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C6846" w14:textId="30BC7358" w:rsidR="004C78B6" w:rsidRDefault="00DD360B" w:rsidP="004C78B6">
      <w:r>
        <w:rPr>
          <w:noProof/>
        </w:rPr>
        <w:drawing>
          <wp:anchor distT="0" distB="0" distL="114300" distR="114300" simplePos="0" relativeHeight="251658279" behindDoc="1" locked="0" layoutInCell="1" allowOverlap="1" wp14:anchorId="10314E4F" wp14:editId="48A1D382">
            <wp:simplePos x="0" y="0"/>
            <wp:positionH relativeFrom="page">
              <wp:align>left</wp:align>
            </wp:positionH>
            <wp:positionV relativeFrom="paragraph">
              <wp:posOffset>-1030209</wp:posOffset>
            </wp:positionV>
            <wp:extent cx="7725600" cy="10922400"/>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5600" cy="10922400"/>
                    </a:xfrm>
                    <a:prstGeom prst="rect">
                      <a:avLst/>
                    </a:prstGeom>
                  </pic:spPr>
                </pic:pic>
              </a:graphicData>
            </a:graphic>
            <wp14:sizeRelH relativeFrom="margin">
              <wp14:pctWidth>0</wp14:pctWidth>
            </wp14:sizeRelH>
            <wp14:sizeRelV relativeFrom="margin">
              <wp14:pctHeight>0</wp14:pctHeight>
            </wp14:sizeRelV>
          </wp:anchor>
        </w:drawing>
      </w:r>
      <w:r w:rsidR="00107542" w:rsidRPr="00985B6F">
        <w:rPr>
          <w:noProof/>
          <w:sz w:val="28"/>
          <w:szCs w:val="28"/>
        </w:rPr>
        <w:drawing>
          <wp:inline distT="0" distB="0" distL="0" distR="0" wp14:anchorId="050A0C44" wp14:editId="71D5B93B">
            <wp:extent cx="2441749" cy="460926"/>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1749" cy="460926"/>
                    </a:xfrm>
                    <a:prstGeom prst="rect">
                      <a:avLst/>
                    </a:prstGeom>
                  </pic:spPr>
                </pic:pic>
              </a:graphicData>
            </a:graphic>
          </wp:inline>
        </w:drawing>
      </w:r>
    </w:p>
    <w:p w14:paraId="56AA9408" w14:textId="68FDD22B" w:rsidR="004C78B6" w:rsidRDefault="004C78B6" w:rsidP="00D838D7">
      <w:pPr>
        <w:jc w:val="center"/>
      </w:pPr>
    </w:p>
    <w:p w14:paraId="6C749E99" w14:textId="10FF8ADA" w:rsidR="004C78B6" w:rsidRDefault="004C78B6" w:rsidP="00D838D7">
      <w:pPr>
        <w:jc w:val="center"/>
      </w:pPr>
    </w:p>
    <w:p w14:paraId="00648F61" w14:textId="7648AAD2" w:rsidR="00D838D7" w:rsidRDefault="00D838D7" w:rsidP="00D838D7">
      <w:pPr>
        <w:jc w:val="center"/>
      </w:pPr>
    </w:p>
    <w:p w14:paraId="1CD4EF8B" w14:textId="1030970E" w:rsidR="00AD53D2" w:rsidRDefault="00A163B7" w:rsidP="00D838D7">
      <w:r w:rsidRPr="00AD53D2">
        <w:rPr>
          <w:noProof/>
        </w:rPr>
        <mc:AlternateContent>
          <mc:Choice Requires="wps">
            <w:drawing>
              <wp:anchor distT="0" distB="0" distL="114300" distR="114300" simplePos="0" relativeHeight="251658244" behindDoc="0" locked="0" layoutInCell="1" allowOverlap="1" wp14:anchorId="13874347" wp14:editId="2E334C49">
                <wp:simplePos x="0" y="0"/>
                <wp:positionH relativeFrom="margin">
                  <wp:posOffset>224790</wp:posOffset>
                </wp:positionH>
                <wp:positionV relativeFrom="paragraph">
                  <wp:posOffset>107315</wp:posOffset>
                </wp:positionV>
                <wp:extent cx="5721350" cy="15271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721350" cy="1527175"/>
                        </a:xfrm>
                        <a:prstGeom prst="rect">
                          <a:avLst/>
                        </a:prstGeom>
                        <a:noFill/>
                        <a:ln w="6350">
                          <a:noFill/>
                        </a:ln>
                      </wps:spPr>
                      <wps:txbx>
                        <w:txbxContent>
                          <w:p w14:paraId="668663AC" w14:textId="77777777" w:rsidR="00AD53D2" w:rsidRPr="00B417A0" w:rsidRDefault="00112783" w:rsidP="00F65579">
                            <w:pPr>
                              <w:jc w:val="center"/>
                              <w:rPr>
                                <w:rFonts w:ascii="Work Sans" w:hAnsi="Work Sans" w:cs="Open Sans"/>
                                <w:b/>
                                <w:bCs/>
                                <w:color w:val="FFFFFF"/>
                                <w:sz w:val="84"/>
                                <w:szCs w:val="84"/>
                              </w:rPr>
                            </w:pPr>
                            <w:r>
                              <w:rPr>
                                <w:rFonts w:ascii="Work Sans" w:hAnsi="Work Sans" w:cs="Open Sans"/>
                                <w:b/>
                                <w:bCs/>
                                <w:color w:val="FFFFFF"/>
                                <w:sz w:val="84"/>
                                <w:szCs w:val="84"/>
                              </w:rPr>
                              <w:t>GST</w:t>
                            </w:r>
                            <w:r w:rsidR="00B112E8">
                              <w:rPr>
                                <w:rFonts w:ascii="Work Sans" w:hAnsi="Work Sans" w:cs="Open Sans"/>
                                <w:b/>
                                <w:bCs/>
                                <w:color w:val="FFFFFF"/>
                                <w:sz w:val="84"/>
                                <w:szCs w:val="84"/>
                              </w:rPr>
                              <w:t xml:space="preserve"> </w:t>
                            </w:r>
                            <w:r w:rsidR="006D77D1">
                              <w:rPr>
                                <w:rFonts w:ascii="Work Sans" w:hAnsi="Work Sans" w:cs="Open Sans"/>
                                <w:b/>
                                <w:bCs/>
                                <w:color w:val="FFFFFF"/>
                                <w:sz w:val="84"/>
                                <w:szCs w:val="84"/>
                              </w:rPr>
                              <w:t>R</w:t>
                            </w:r>
                            <w:r w:rsidR="00B112E8">
                              <w:rPr>
                                <w:rFonts w:ascii="Work Sans" w:hAnsi="Work Sans" w:cs="Open Sans"/>
                                <w:b/>
                                <w:bCs/>
                                <w:color w:val="FFFFFF"/>
                                <w:sz w:val="84"/>
                                <w:szCs w:val="84"/>
                              </w:rPr>
                              <w:t>evenue</w:t>
                            </w:r>
                            <w:r w:rsidR="006D77D1">
                              <w:rPr>
                                <w:rFonts w:ascii="Work Sans" w:hAnsi="Work Sans" w:cs="Open Sans"/>
                                <w:b/>
                                <w:bCs/>
                                <w:color w:val="FFFFFF"/>
                                <w:sz w:val="84"/>
                                <w:szCs w:val="84"/>
                              </w:rPr>
                              <w:t xml:space="preserve"> </w:t>
                            </w:r>
                            <w:r w:rsidR="00B112E8">
                              <w:rPr>
                                <w:rFonts w:ascii="Work Sans" w:hAnsi="Work Sans" w:cs="Open Sans"/>
                                <w:b/>
                                <w:bCs/>
                                <w:color w:val="FFFFFF"/>
                                <w:sz w:val="84"/>
                                <w:szCs w:val="84"/>
                              </w:rPr>
                              <w:t xml:space="preserve">Sharing </w:t>
                            </w:r>
                            <w:r w:rsidR="006D77D1">
                              <w:rPr>
                                <w:rFonts w:ascii="Work Sans" w:hAnsi="Work Sans" w:cs="Open Sans"/>
                                <w:b/>
                                <w:bCs/>
                                <w:color w:val="FFFFFF"/>
                                <w:sz w:val="84"/>
                                <w:szCs w:val="84"/>
                              </w:rPr>
                              <w:t>Relativities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13874347" id="_x0000_t202" coordsize="21600,21600" o:spt="202" path="m,l,21600r21600,l21600,xe">
                <v:stroke joinstyle="miter"/>
                <v:path gradientshapeok="t" o:connecttype="rect"/>
              </v:shapetype>
              <v:shape id="Text Box 13" o:spid="_x0000_s1026" type="#_x0000_t202" style="position:absolute;margin-left:17.7pt;margin-top:8.45pt;width:450.5pt;height:120.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BIFQIAAC0EAAAOAAAAZHJzL2Uyb0RvYy54bWysU8tu2zAQvBfoPxC817JcO2kFy4GbwEUB&#10;IwngFDnTFGkJILksSVtyv75LSn407anohdrlrPYxO5zfdVqRg3C+AVPSfDSmRBgOVWN2Jf3+svrw&#10;iRIfmKmYAiNKehSe3i3ev5u3thATqEFVwhFMYnzR2pLWIdgiyzyvhWZ+BFYYBCU4zQK6bpdVjrWY&#10;XatsMh7fZC24yjrgwnu8fehBukj5pRQ8PEnpRSCqpNhbSKdL5zae2WLOip1jtm740Ab7hy40awwW&#10;Pad6YIGRvWv+SKUb7sCDDCMOOgMpGy7SDDhNPn4zzaZmVqRZkBxvzzT5/5eWPx429tmR0H2BDhcY&#10;CWmtLzxexnk66XT8YqcEcaTweKZNdIFwvJzdTvKPM4Q4YvlscpvfzmKe7PK7dT58FaBJNErqcC+J&#10;LnZY+9CHnkJiNQOrRqm0G2VIW9KbmP83BJMrgzUuzUYrdNtumGAL1REHc9Dv3Fu+arD4mvnwzBwu&#10;GRtG4YYnPKQCLAKDRUkN7uff7mM8co8oJS2KpqT+x545QYn6ZnArn/PpNKosOVPkBR13jWyvEbPX&#10;94C6zPGJWJ7MGB/UyZQO9CvqexmrIsQMx9olDSfzPvRSxvfBxXKZglBXloW12VgeU0fSIrUv3Stz&#10;duA/4Ooe4SQvVrxZQx/b073cB5BN2lEkuGd14B01mbY8vJ8o+ms/RV1e+eIXAAAA//8DAFBLAwQU&#10;AAYACAAAACEAeNPYxuEAAAAJAQAADwAAAGRycy9kb3ducmV2LnhtbEyPwU7DMBBE70j8g7VI3KhD&#10;2oQ2xKmqSBUSgkNLL9yceJtExOsQu23g61lOcNyZ0eybfD3ZXpxx9J0jBfezCARS7UxHjYLD2/Zu&#10;CcIHTUb3jlDBF3pYF9dXuc6Mu9AOz/vQCC4hn2kFbQhDJqWvW7Taz9yAxN7RjVYHPsdGmlFfuNz2&#10;Mo6iVFrdEX9o9YBli/XH/mQVPJfbV72rYrv87sunl+Nm+Dy8J0rd3kybRxABp/AXhl98RoeCmSp3&#10;IuNFr2CeLDjJeroCwf5qnrJQKYiThwXIIpf/FxQ/AAAA//8DAFBLAQItABQABgAIAAAAIQC2gziS&#10;/gAAAOEBAAATAAAAAAAAAAAAAAAAAAAAAABbQ29udGVudF9UeXBlc10ueG1sUEsBAi0AFAAGAAgA&#10;AAAhADj9If/WAAAAlAEAAAsAAAAAAAAAAAAAAAAALwEAAF9yZWxzLy5yZWxzUEsBAi0AFAAGAAgA&#10;AAAhAGSxAEgVAgAALQQAAA4AAAAAAAAAAAAAAAAALgIAAGRycy9lMm9Eb2MueG1sUEsBAi0AFAAG&#10;AAgAAAAhAHjT2MbhAAAACQEAAA8AAAAAAAAAAAAAAAAAbwQAAGRycy9kb3ducmV2LnhtbFBLBQYA&#10;AAAABAAEAPMAAAB9BQAAAAA=&#10;" filled="f" stroked="f" strokeweight=".5pt">
                <v:textbox>
                  <w:txbxContent>
                    <w:p w14:paraId="668663AC" w14:textId="77777777" w:rsidR="00AD53D2" w:rsidRPr="00B417A0" w:rsidRDefault="00112783" w:rsidP="00F65579">
                      <w:pPr>
                        <w:jc w:val="center"/>
                        <w:rPr>
                          <w:rFonts w:ascii="Work Sans" w:hAnsi="Work Sans" w:cs="Open Sans"/>
                          <w:b/>
                          <w:bCs/>
                          <w:color w:val="FFFFFF"/>
                          <w:sz w:val="84"/>
                          <w:szCs w:val="84"/>
                        </w:rPr>
                      </w:pPr>
                      <w:r>
                        <w:rPr>
                          <w:rFonts w:ascii="Work Sans" w:hAnsi="Work Sans" w:cs="Open Sans"/>
                          <w:b/>
                          <w:bCs/>
                          <w:color w:val="FFFFFF"/>
                          <w:sz w:val="84"/>
                          <w:szCs w:val="84"/>
                        </w:rPr>
                        <w:t>GST</w:t>
                      </w:r>
                      <w:r w:rsidR="00B112E8">
                        <w:rPr>
                          <w:rFonts w:ascii="Work Sans" w:hAnsi="Work Sans" w:cs="Open Sans"/>
                          <w:b/>
                          <w:bCs/>
                          <w:color w:val="FFFFFF"/>
                          <w:sz w:val="84"/>
                          <w:szCs w:val="84"/>
                        </w:rPr>
                        <w:t xml:space="preserve"> </w:t>
                      </w:r>
                      <w:r w:rsidR="006D77D1">
                        <w:rPr>
                          <w:rFonts w:ascii="Work Sans" w:hAnsi="Work Sans" w:cs="Open Sans"/>
                          <w:b/>
                          <w:bCs/>
                          <w:color w:val="FFFFFF"/>
                          <w:sz w:val="84"/>
                          <w:szCs w:val="84"/>
                        </w:rPr>
                        <w:t>R</w:t>
                      </w:r>
                      <w:r w:rsidR="00B112E8">
                        <w:rPr>
                          <w:rFonts w:ascii="Work Sans" w:hAnsi="Work Sans" w:cs="Open Sans"/>
                          <w:b/>
                          <w:bCs/>
                          <w:color w:val="FFFFFF"/>
                          <w:sz w:val="84"/>
                          <w:szCs w:val="84"/>
                        </w:rPr>
                        <w:t>evenue</w:t>
                      </w:r>
                      <w:r w:rsidR="006D77D1">
                        <w:rPr>
                          <w:rFonts w:ascii="Work Sans" w:hAnsi="Work Sans" w:cs="Open Sans"/>
                          <w:b/>
                          <w:bCs/>
                          <w:color w:val="FFFFFF"/>
                          <w:sz w:val="84"/>
                          <w:szCs w:val="84"/>
                        </w:rPr>
                        <w:t xml:space="preserve"> </w:t>
                      </w:r>
                      <w:r w:rsidR="00B112E8">
                        <w:rPr>
                          <w:rFonts w:ascii="Work Sans" w:hAnsi="Work Sans" w:cs="Open Sans"/>
                          <w:b/>
                          <w:bCs/>
                          <w:color w:val="FFFFFF"/>
                          <w:sz w:val="84"/>
                          <w:szCs w:val="84"/>
                        </w:rPr>
                        <w:t xml:space="preserve">Sharing </w:t>
                      </w:r>
                      <w:r w:rsidR="006D77D1">
                        <w:rPr>
                          <w:rFonts w:ascii="Work Sans" w:hAnsi="Work Sans" w:cs="Open Sans"/>
                          <w:b/>
                          <w:bCs/>
                          <w:color w:val="FFFFFF"/>
                          <w:sz w:val="84"/>
                          <w:szCs w:val="84"/>
                        </w:rPr>
                        <w:t>Relativities</w:t>
                      </w:r>
                    </w:p>
                  </w:txbxContent>
                </v:textbox>
                <w10:wrap anchorx="margin"/>
              </v:shape>
            </w:pict>
          </mc:Fallback>
        </mc:AlternateContent>
      </w:r>
    </w:p>
    <w:p w14:paraId="33F1EEB6" w14:textId="65F77DB7" w:rsidR="00AD53D2" w:rsidRDefault="00AD53D2" w:rsidP="00D838D7"/>
    <w:p w14:paraId="639E79F8" w14:textId="34FBB46B" w:rsidR="00AD53D2" w:rsidRDefault="00AD53D2" w:rsidP="00D838D7"/>
    <w:p w14:paraId="699217D6" w14:textId="7260FC9D" w:rsidR="00AD53D2" w:rsidRDefault="00AD53D2" w:rsidP="00D838D7"/>
    <w:p w14:paraId="45D6F931" w14:textId="558B8756" w:rsidR="00AD53D2" w:rsidRDefault="00AD53D2" w:rsidP="00D838D7"/>
    <w:p w14:paraId="0568BBED" w14:textId="45F2CAB7" w:rsidR="00AD53D2" w:rsidRDefault="00AD53D2" w:rsidP="00D838D7"/>
    <w:p w14:paraId="39A7AC3F" w14:textId="1CB6158F" w:rsidR="00AD53D2" w:rsidRDefault="00AD53D2" w:rsidP="00D838D7"/>
    <w:p w14:paraId="13081939" w14:textId="69A5ED00" w:rsidR="00C21FAB" w:rsidRDefault="00C21FAB" w:rsidP="00D838D7"/>
    <w:p w14:paraId="2B432A16" w14:textId="5CCE32FF" w:rsidR="00C21FAB" w:rsidRDefault="00CD30DA" w:rsidP="00D838D7">
      <w:r w:rsidRPr="00AD53D2">
        <w:rPr>
          <w:noProof/>
        </w:rPr>
        <mc:AlternateContent>
          <mc:Choice Requires="wps">
            <w:drawing>
              <wp:anchor distT="0" distB="0" distL="114300" distR="114300" simplePos="0" relativeHeight="251658247" behindDoc="0" locked="0" layoutInCell="1" allowOverlap="1" wp14:anchorId="406EDF67" wp14:editId="320E8769">
                <wp:simplePos x="0" y="0"/>
                <wp:positionH relativeFrom="margin">
                  <wp:posOffset>180184</wp:posOffset>
                </wp:positionH>
                <wp:positionV relativeFrom="paragraph">
                  <wp:posOffset>36509</wp:posOffset>
                </wp:positionV>
                <wp:extent cx="5760085" cy="1057910"/>
                <wp:effectExtent l="0" t="0" r="0" b="0"/>
                <wp:wrapNone/>
                <wp:docPr id="3" name="Text Box 3"/>
                <wp:cNvGraphicFramePr/>
                <a:graphic xmlns:a="http://schemas.openxmlformats.org/drawingml/2006/main">
                  <a:graphicData uri="http://schemas.microsoft.com/office/word/2010/wordprocessingShape">
                    <wps:wsp>
                      <wps:cNvSpPr txBox="1"/>
                      <wps:spPr>
                        <a:xfrm>
                          <a:off x="0" y="0"/>
                          <a:ext cx="5760085" cy="1057910"/>
                        </a:xfrm>
                        <a:prstGeom prst="rect">
                          <a:avLst/>
                        </a:prstGeom>
                        <a:noFill/>
                        <a:ln w="6350">
                          <a:noFill/>
                        </a:ln>
                      </wps:spPr>
                      <wps:txbx>
                        <w:txbxContent>
                          <w:p w14:paraId="07C4A606" w14:textId="77777777" w:rsidR="00077174" w:rsidRPr="00B417A0" w:rsidRDefault="00077174" w:rsidP="00077174">
                            <w:pPr>
                              <w:jc w:val="center"/>
                              <w:rPr>
                                <w:rFonts w:ascii="Work Sans" w:hAnsi="Work Sans" w:cs="Open Sans"/>
                                <w:b/>
                                <w:bCs/>
                                <w:color w:val="FFFFFF"/>
                                <w:sz w:val="84"/>
                                <w:szCs w:val="84"/>
                              </w:rPr>
                            </w:pPr>
                            <w:r>
                              <w:rPr>
                                <w:rFonts w:ascii="Work Sans" w:hAnsi="Work Sans" w:cs="Open Sans"/>
                                <w:b/>
                                <w:bCs/>
                                <w:color w:val="FFFFFF"/>
                                <w:sz w:val="84"/>
                                <w:szCs w:val="84"/>
                              </w:rPr>
                              <w:t>2022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06EDF67" id="Text Box 3" o:spid="_x0000_s1027" type="#_x0000_t202" style="position:absolute;margin-left:14.2pt;margin-top:2.85pt;width:453.55pt;height:83.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OEGwIAADQEAAAOAAAAZHJzL2Uyb0RvYy54bWysU1tv2yAUfp/U/4B4b2xnubRWnCprlWlS&#10;1FZKqz4TDLElzGFAYme/fgecm7o9TXuBA+dwLt/3MXvoGkX2wroadEGzQUqJ0BzKWm8L+v62vL2j&#10;xHmmS6ZAi4IehKMP85svs9bkYggVqFJYgkm0y1tT0Mp7kyeJ45VomBuAERqdEmzDPB7tNiktazF7&#10;o5Jhmk6SFmxpLHDhHN4+9U46j/mlFNy/SOmEJ6qg2JuPq43rJqzJfMbyrWWmqvmxDfYPXTSs1lj0&#10;nOqJeUZ2tv4jVVNzCw6kH3BoEpCy5iLOgNNk6adp1hUzIs6C4Dhzhsn9v7T8eb82r5b47ht0SGAA&#10;pDUud3gZ5umkbcKOnRL0I4SHM2yi84Tj5Xg6SdO7MSUcfVk6nt5nEdjk8txY578LaEgwCmqRlwgX&#10;26+cx5IYegoJ1TQsa6UiN0qTtqCTr+M0Pjh78IXS+PDSbLB8t+lIXV4NsoHygPNZ6Kl3hi9r7GHF&#10;nH9lFrnGkVC//gUXqQBrwdGipAL762/3IR4pQC8lLWqnoO7njllBifqhkZz7bDQKYouH0Xg6xIO9&#10;9myuPXrXPALKM8OfYng0Q7xXJ1NaaD5Q5otQFV1Mc6xdUH8yH32vaPwmXCwWMQjlZZhf6bXhIXVA&#10;NSD81n0wa440eGTwGU4qY/knNvrYno/FzoOsI1UB5x7VI/wozcjg8RsF7V+fY9Tls89/AwAA//8D&#10;AFBLAwQUAAYACAAAACEAhcswouAAAAAIAQAADwAAAGRycy9kb3ducmV2LnhtbEyPQU+DQBCF7yb+&#10;h82YeLOLVCwiS9OQNCaNHlp78TawUyCys8huW+yvdz3pcfK+vPdNvpxML040us6ygvtZBIK4trrj&#10;RsH+fX2XgnAeWWNvmRR8k4NlcX2VY6btmbd02vlGhBJ2GSpovR8yKV3dkkE3swNxyA52NOjDOTZS&#10;j3gO5aaXcRQ9SoMdh4UWBypbqj93R6NgU67fcFvFJr305cvrYTV87T8SpW5vptUzCE+T/4PhVz+o&#10;QxGcKntk7USvIE4fAqkgWYAI8dM8SUBUgVvEc5BFLv8/UPwAAAD//wMAUEsBAi0AFAAGAAgAAAAh&#10;ALaDOJL+AAAA4QEAABMAAAAAAAAAAAAAAAAAAAAAAFtDb250ZW50X1R5cGVzXS54bWxQSwECLQAU&#10;AAYACAAAACEAOP0h/9YAAACUAQAACwAAAAAAAAAAAAAAAAAvAQAAX3JlbHMvLnJlbHNQSwECLQAU&#10;AAYACAAAACEASG5jhBsCAAA0BAAADgAAAAAAAAAAAAAAAAAuAgAAZHJzL2Uyb0RvYy54bWxQSwEC&#10;LQAUAAYACAAAACEAhcswouAAAAAIAQAADwAAAAAAAAAAAAAAAAB1BAAAZHJzL2Rvd25yZXYueG1s&#10;UEsFBgAAAAAEAAQA8wAAAIIFAAAAAA==&#10;" filled="f" stroked="f" strokeweight=".5pt">
                <v:textbox>
                  <w:txbxContent>
                    <w:p w14:paraId="07C4A606" w14:textId="77777777" w:rsidR="00077174" w:rsidRPr="00B417A0" w:rsidRDefault="00077174" w:rsidP="00077174">
                      <w:pPr>
                        <w:jc w:val="center"/>
                        <w:rPr>
                          <w:rFonts w:ascii="Work Sans" w:hAnsi="Work Sans" w:cs="Open Sans"/>
                          <w:b/>
                          <w:bCs/>
                          <w:color w:val="FFFFFF"/>
                          <w:sz w:val="84"/>
                          <w:szCs w:val="84"/>
                        </w:rPr>
                      </w:pPr>
                      <w:r>
                        <w:rPr>
                          <w:rFonts w:ascii="Work Sans" w:hAnsi="Work Sans" w:cs="Open Sans"/>
                          <w:b/>
                          <w:bCs/>
                          <w:color w:val="FFFFFF"/>
                          <w:sz w:val="84"/>
                          <w:szCs w:val="84"/>
                        </w:rPr>
                        <w:t>2022 Update</w:t>
                      </w:r>
                    </w:p>
                  </w:txbxContent>
                </v:textbox>
                <w10:wrap anchorx="margin"/>
              </v:shape>
            </w:pict>
          </mc:Fallback>
        </mc:AlternateContent>
      </w:r>
    </w:p>
    <w:p w14:paraId="34F93995" w14:textId="40BACF18" w:rsidR="00C21FAB" w:rsidRDefault="00C21FAB" w:rsidP="00D838D7"/>
    <w:p w14:paraId="4E2AAD1A" w14:textId="2DE74D6C" w:rsidR="00C21FAB" w:rsidRDefault="00C21FAB" w:rsidP="00D838D7"/>
    <w:p w14:paraId="5F8E6807" w14:textId="77777777" w:rsidR="00C21FAB" w:rsidRDefault="00C21FAB" w:rsidP="00D838D7"/>
    <w:p w14:paraId="43A9B754" w14:textId="77777777" w:rsidR="00C21FAB" w:rsidRDefault="00C21FAB" w:rsidP="00D838D7"/>
    <w:p w14:paraId="25834C5D" w14:textId="7539C0E3" w:rsidR="00AD53D2" w:rsidRDefault="00EC0F01" w:rsidP="00D838D7">
      <w:r w:rsidRPr="00AD53D2">
        <w:rPr>
          <w:noProof/>
        </w:rPr>
        <mc:AlternateContent>
          <mc:Choice Requires="wps">
            <w:drawing>
              <wp:anchor distT="0" distB="0" distL="114300" distR="114300" simplePos="0" relativeHeight="251658245" behindDoc="0" locked="0" layoutInCell="1" allowOverlap="1" wp14:anchorId="17BEE366" wp14:editId="25079DC0">
                <wp:simplePos x="0" y="0"/>
                <wp:positionH relativeFrom="margin">
                  <wp:align>right</wp:align>
                </wp:positionH>
                <wp:positionV relativeFrom="paragraph">
                  <wp:posOffset>89172</wp:posOffset>
                </wp:positionV>
                <wp:extent cx="5760539" cy="875211"/>
                <wp:effectExtent l="0" t="0" r="0" b="1270"/>
                <wp:wrapNone/>
                <wp:docPr id="14" name="Text Box 14"/>
                <wp:cNvGraphicFramePr/>
                <a:graphic xmlns:a="http://schemas.openxmlformats.org/drawingml/2006/main">
                  <a:graphicData uri="http://schemas.microsoft.com/office/word/2010/wordprocessingShape">
                    <wps:wsp>
                      <wps:cNvSpPr txBox="1"/>
                      <wps:spPr>
                        <a:xfrm>
                          <a:off x="0" y="0"/>
                          <a:ext cx="5760539" cy="875211"/>
                        </a:xfrm>
                        <a:prstGeom prst="rect">
                          <a:avLst/>
                        </a:prstGeom>
                        <a:noFill/>
                        <a:ln w="6350">
                          <a:noFill/>
                        </a:ln>
                      </wps:spPr>
                      <wps:txbx>
                        <w:txbxContent>
                          <w:p w14:paraId="73DD6A39" w14:textId="1EF24312" w:rsidR="00AD53D2" w:rsidRPr="00194D05" w:rsidRDefault="006B2222" w:rsidP="006B2222">
                            <w:pPr>
                              <w:jc w:val="center"/>
                              <w:rPr>
                                <w:rFonts w:ascii="Work Sans" w:hAnsi="Work Sans" w:cs="Open Sans"/>
                                <w:color w:val="FFFFFF"/>
                                <w:sz w:val="56"/>
                                <w:szCs w:val="56"/>
                              </w:rPr>
                            </w:pPr>
                            <w:r w:rsidRPr="00194D05">
                              <w:rPr>
                                <w:rFonts w:ascii="Work Sans" w:hAnsi="Work Sans" w:cs="Open Sans"/>
                                <w:color w:val="FFFFFF"/>
                                <w:sz w:val="56"/>
                                <w:szCs w:val="56"/>
                              </w:rPr>
                              <w:t>GST Relativities for 2022</w:t>
                            </w:r>
                            <w:r w:rsidR="001519C4">
                              <w:rPr>
                                <w:rFonts w:ascii="Work Sans" w:hAnsi="Work Sans" w:cs="Open Sans"/>
                                <w:color w:val="FFFFFF"/>
                                <w:sz w:val="56"/>
                                <w:szCs w:val="56"/>
                              </w:rPr>
                              <w:t>–</w:t>
                            </w:r>
                            <w:r w:rsidRPr="00194D05">
                              <w:rPr>
                                <w:rFonts w:ascii="Work Sans" w:hAnsi="Work Sans" w:cs="Open Sans"/>
                                <w:color w:val="FFFFFF"/>
                                <w:sz w:val="56"/>
                                <w:szCs w:val="5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7BEE366" id="Text Box 14" o:spid="_x0000_s1028" type="#_x0000_t202" style="position:absolute;margin-left:402.4pt;margin-top:7pt;width:453.6pt;height:68.9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hMHA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NxO88nNPSUcfXe3k9Ewpckur63z4ZuAhkSjpA5pSWix&#10;/coHrIihp5BYzMBSaZ2o0Ya0JZ3eTPL04OzBF9rgw0uv0QrdpiOqKunoNMcGqgOO56Bn3lu+VNjD&#10;ivnwyhxSjROhfMMLLlID1oKjRUkN7tff7mM8MoBeSlqUTkn9zx1zghL93SA398PxOGotHcaT2xEe&#10;3LVnc+0xu+YRUJ1D/CiWJzPGB30ypYPmHVW+iFXRxQzH2iUNJ/Mx9ILGX8LFYpGCUF2WhZVZWx5T&#10;R1Qjwm/dO3P2SENAAp/hJDJWfGCjj+35WOwCSJWoijj3qB7hR2UmBo+/KEr/+pyiLn99/hsAAP//&#10;AwBQSwMEFAAGAAgAAAAhAJAL1r/eAAAABwEAAA8AAABkcnMvZG93bnJldi54bWxMj09Lw0AQxe+C&#10;32EZwZvdNFiNaTalBIogemjtxdskO01C90/Mbtvop3c86WmY94Y3v1esJmvEmcbQe6dgPktAkGu8&#10;7l2rYP++uctAhIhOo/GOFHxRgFV5fVVgrv3Fbem8i63gEBdyVNDFOORShqYji2HmB3LsHfxoMfI6&#10;tlKPeOFwa2SaJA/SYu/4Q4cDVR01x93JKnipNm+4rVObfZvq+fWwHj73Hwulbm+m9RJEpCn+HcMv&#10;PqNDyUy1PzkdhFHARSKr9zzZfUoeUxA1C4t5BrIs5H/+8gcAAP//AwBQSwECLQAUAAYACAAAACEA&#10;toM4kv4AAADhAQAAEwAAAAAAAAAAAAAAAAAAAAAAW0NvbnRlbnRfVHlwZXNdLnhtbFBLAQItABQA&#10;BgAIAAAAIQA4/SH/1gAAAJQBAAALAAAAAAAAAAAAAAAAAC8BAABfcmVscy8ucmVsc1BLAQItABQA&#10;BgAIAAAAIQA7cghMHAIAADMEAAAOAAAAAAAAAAAAAAAAAC4CAABkcnMvZTJvRG9jLnhtbFBLAQIt&#10;ABQABgAIAAAAIQCQC9a/3gAAAAcBAAAPAAAAAAAAAAAAAAAAAHYEAABkcnMvZG93bnJldi54bWxQ&#10;SwUGAAAAAAQABADzAAAAgQUAAAAA&#10;" filled="f" stroked="f" strokeweight=".5pt">
                <v:textbox>
                  <w:txbxContent>
                    <w:p w14:paraId="73DD6A39" w14:textId="1EF24312" w:rsidR="00AD53D2" w:rsidRPr="00194D05" w:rsidRDefault="006B2222" w:rsidP="006B2222">
                      <w:pPr>
                        <w:jc w:val="center"/>
                        <w:rPr>
                          <w:rFonts w:ascii="Work Sans" w:hAnsi="Work Sans" w:cs="Open Sans"/>
                          <w:color w:val="FFFFFF"/>
                          <w:sz w:val="56"/>
                          <w:szCs w:val="56"/>
                        </w:rPr>
                      </w:pPr>
                      <w:r w:rsidRPr="00194D05">
                        <w:rPr>
                          <w:rFonts w:ascii="Work Sans" w:hAnsi="Work Sans" w:cs="Open Sans"/>
                          <w:color w:val="FFFFFF"/>
                          <w:sz w:val="56"/>
                          <w:szCs w:val="56"/>
                        </w:rPr>
                        <w:t>GST Relativities for 2022</w:t>
                      </w:r>
                      <w:r w:rsidR="001519C4">
                        <w:rPr>
                          <w:rFonts w:ascii="Work Sans" w:hAnsi="Work Sans" w:cs="Open Sans"/>
                          <w:color w:val="FFFFFF"/>
                          <w:sz w:val="56"/>
                          <w:szCs w:val="56"/>
                        </w:rPr>
                        <w:t>–</w:t>
                      </w:r>
                      <w:r w:rsidRPr="00194D05">
                        <w:rPr>
                          <w:rFonts w:ascii="Work Sans" w:hAnsi="Work Sans" w:cs="Open Sans"/>
                          <w:color w:val="FFFFFF"/>
                          <w:sz w:val="56"/>
                          <w:szCs w:val="56"/>
                        </w:rPr>
                        <w:t>23</w:t>
                      </w:r>
                    </w:p>
                  </w:txbxContent>
                </v:textbox>
                <w10:wrap anchorx="margin"/>
              </v:shape>
            </w:pict>
          </mc:Fallback>
        </mc:AlternateContent>
      </w:r>
    </w:p>
    <w:p w14:paraId="00E92AD7" w14:textId="5FF0A900" w:rsidR="00AD53D2" w:rsidRDefault="00AD53D2" w:rsidP="00D838D7"/>
    <w:p w14:paraId="57BDAF8A" w14:textId="07F6A63B" w:rsidR="00AD53D2" w:rsidRDefault="00AD53D2" w:rsidP="00D838D7"/>
    <w:p w14:paraId="7310BB9F" w14:textId="77777777" w:rsidR="00AD53D2" w:rsidRDefault="00AD53D2" w:rsidP="00D838D7"/>
    <w:p w14:paraId="22A6B70E" w14:textId="77777777" w:rsidR="00AD53D2" w:rsidRDefault="00AD53D2" w:rsidP="00D838D7"/>
    <w:p w14:paraId="75078E44" w14:textId="71D1D6EA" w:rsidR="00AD53D2" w:rsidRDefault="00F8305F" w:rsidP="00D838D7">
      <w:r w:rsidRPr="00AD53D2">
        <w:rPr>
          <w:noProof/>
        </w:rPr>
        <mc:AlternateContent>
          <mc:Choice Requires="wps">
            <w:drawing>
              <wp:anchor distT="0" distB="0" distL="114300" distR="114300" simplePos="0" relativeHeight="251658246" behindDoc="0" locked="0" layoutInCell="1" allowOverlap="1" wp14:anchorId="0A5643A7" wp14:editId="533AD32F">
                <wp:simplePos x="0" y="0"/>
                <wp:positionH relativeFrom="margin">
                  <wp:align>center</wp:align>
                </wp:positionH>
                <wp:positionV relativeFrom="paragraph">
                  <wp:posOffset>60597</wp:posOffset>
                </wp:positionV>
                <wp:extent cx="1704975" cy="53557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04975" cy="535577"/>
                        </a:xfrm>
                        <a:prstGeom prst="rect">
                          <a:avLst/>
                        </a:prstGeom>
                        <a:noFill/>
                        <a:ln w="6350">
                          <a:noFill/>
                        </a:ln>
                      </wps:spPr>
                      <wps:txbx>
                        <w:txbxContent>
                          <w:p w14:paraId="1041002D" w14:textId="7F6EBC93" w:rsidR="00AD53D2" w:rsidRPr="00F8305F" w:rsidRDefault="00266FCD" w:rsidP="00D760F0">
                            <w:pPr>
                              <w:jc w:val="center"/>
                              <w:rPr>
                                <w:rFonts w:ascii="Work Sans" w:hAnsi="Work Sans" w:cs="Open Sans"/>
                                <w:color w:val="FFFFFF"/>
                                <w:sz w:val="28"/>
                                <w:szCs w:val="28"/>
                              </w:rPr>
                            </w:pPr>
                            <w:r>
                              <w:rPr>
                                <w:rFonts w:ascii="Work Sans" w:hAnsi="Work Sans" w:cs="Open Sans"/>
                                <w:color w:val="FFFFFF"/>
                                <w:sz w:val="28"/>
                                <w:szCs w:val="28"/>
                              </w:rPr>
                              <w:t>March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A5643A7" id="Text Box 15" o:spid="_x0000_s1029" type="#_x0000_t202" style="position:absolute;margin-left:0;margin-top:4.75pt;width:134.25pt;height:42.15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DiGwIAADMEAAAOAAAAZHJzL2Uyb0RvYy54bWysU1tv2yAUfp+0/4B4X+xc3LRWnCprlWlS&#10;1FZKpz4TDLElzGFAYme/fgecm7o9VX2BA+dwLt/3MbvvGkX2wroadEGHg5QSoTmUtd4W9Nfr8tst&#10;Jc4zXTIFWhT0IBy9n3/9MmtNLkZQgSqFJZhEu7w1Ba28N3mSOF6JhrkBGKHRKcE2zOPRbpPSshaz&#10;NyoZpelN0oItjQUunMPbx95J5zG/lIL7Zymd8EQVFHvzcbVx3YQ1mc9YvrXMVDU/tsE+0EXDao1F&#10;z6kemWdkZ+t/UjU1t+BA+gGHJgEpay7iDDjNMH03zbpiRsRZEBxnzjC5z0vLn/Zr82KJ775DhwQG&#10;QFrjcoeXYZ5O2ibs2ClBP0J4OMMmOk94eDRNJ3fTjBKOvmycZdNpSJNcXhvr/A8BDQlGQS3SEtFi&#10;+5XzfegpJBTTsKyVitQoTdqC3oyzND44ezC50ljj0muwfLfpSF0WdHyaYwPlAcez0DPvDF/W2MOK&#10;Of/CLFKNE6F8/TMuUgHWgqNFSQX2z//uQzwygF5KWpROQd3vHbOCEvVTIzd3w8kkaC0eJtl0hAd7&#10;7dlce/SueQBU5xA/iuHRDPFenUxpoXlDlS9CVXQxzbF2Qf3JfPC9oPGXcLFYxCBUl2F+pdeGh9QB&#10;1YDwa/fGrDnS4JHAJziJjOXv2Ohjez4WOw+yjlQFnHtUj/CjMiPZx18UpH99jlGXvz7/CwAA//8D&#10;AFBLAwQUAAYACAAAACEAtJJ4F90AAAAFAQAADwAAAGRycy9kb3ducmV2LnhtbEyPT0vDQBDF74Lf&#10;YRnBm9000hJjNqUEiiB6aO3F2yQ7TUL3T8xu2+indzzZ23u84b3fFKvJGnGmMfTeKZjPEhDkGq97&#10;1yrYf2weMhAhotNovCMF3xRgVd7eFJhrf3FbOu9iK7jEhRwVdDEOuZSh6chimPmBHGcHP1qMbMdW&#10;6hEvXG6NTJNkKS32jhc6HKjqqDnuTlbBa7V5x22d2uzHVC9vh/Xwtf9cKHV/N62fQUSa4v8x/OEz&#10;OpTMVPuT00EYBfxIVPC0AMFhusxY1OwfM5BlIa/py18AAAD//wMAUEsBAi0AFAAGAAgAAAAhALaD&#10;OJL+AAAA4QEAABMAAAAAAAAAAAAAAAAAAAAAAFtDb250ZW50X1R5cGVzXS54bWxQSwECLQAUAAYA&#10;CAAAACEAOP0h/9YAAACUAQAACwAAAAAAAAAAAAAAAAAvAQAAX3JlbHMvLnJlbHNQSwECLQAUAAYA&#10;CAAAACEA6EMA4hsCAAAzBAAADgAAAAAAAAAAAAAAAAAuAgAAZHJzL2Uyb0RvYy54bWxQSwECLQAU&#10;AAYACAAAACEAtJJ4F90AAAAFAQAADwAAAAAAAAAAAAAAAAB1BAAAZHJzL2Rvd25yZXYueG1sUEsF&#10;BgAAAAAEAAQA8wAAAH8FAAAAAA==&#10;" filled="f" stroked="f" strokeweight=".5pt">
                <v:textbox>
                  <w:txbxContent>
                    <w:p w14:paraId="1041002D" w14:textId="7F6EBC93" w:rsidR="00AD53D2" w:rsidRPr="00F8305F" w:rsidRDefault="00266FCD" w:rsidP="00D760F0">
                      <w:pPr>
                        <w:jc w:val="center"/>
                        <w:rPr>
                          <w:rFonts w:ascii="Work Sans" w:hAnsi="Work Sans" w:cs="Open Sans"/>
                          <w:color w:val="FFFFFF"/>
                          <w:sz w:val="28"/>
                          <w:szCs w:val="28"/>
                        </w:rPr>
                      </w:pPr>
                      <w:r>
                        <w:rPr>
                          <w:rFonts w:ascii="Work Sans" w:hAnsi="Work Sans" w:cs="Open Sans"/>
                          <w:color w:val="FFFFFF"/>
                          <w:sz w:val="28"/>
                          <w:szCs w:val="28"/>
                        </w:rPr>
                        <w:t>March 2022</w:t>
                      </w:r>
                    </w:p>
                  </w:txbxContent>
                </v:textbox>
                <w10:wrap anchorx="margin"/>
              </v:shape>
            </w:pict>
          </mc:Fallback>
        </mc:AlternateContent>
      </w:r>
    </w:p>
    <w:p w14:paraId="4AF9959E" w14:textId="77777777" w:rsidR="00AD53D2" w:rsidRDefault="00AD53D2" w:rsidP="00D838D7"/>
    <w:p w14:paraId="2E172C72" w14:textId="77777777" w:rsidR="00AD53D2" w:rsidRDefault="00AD53D2" w:rsidP="00D838D7"/>
    <w:p w14:paraId="06D8C5E2" w14:textId="77777777" w:rsidR="00AD53D2" w:rsidRDefault="00AD53D2" w:rsidP="00D838D7"/>
    <w:p w14:paraId="493FF90D" w14:textId="77777777" w:rsidR="00AD53D2" w:rsidRDefault="00AD53D2" w:rsidP="00D838D7"/>
    <w:p w14:paraId="24EE791A" w14:textId="77777777" w:rsidR="00AD53D2" w:rsidRDefault="00AD53D2" w:rsidP="00D838D7"/>
    <w:p w14:paraId="3E6770BD" w14:textId="77777777" w:rsidR="00AD53D2" w:rsidRDefault="00AD53D2" w:rsidP="00D838D7"/>
    <w:p w14:paraId="164D3A4A" w14:textId="5B388E40" w:rsidR="00D838D7" w:rsidRDefault="00D838D7" w:rsidP="00D838D7"/>
    <w:p w14:paraId="62A55BDB" w14:textId="14FA2AF6" w:rsidR="00AD53D2" w:rsidRDefault="00AD53D2" w:rsidP="00D838D7"/>
    <w:p w14:paraId="6AEFD306" w14:textId="77777777" w:rsidR="00506E0B" w:rsidRDefault="00506E0B" w:rsidP="00D838D7">
      <w:pPr>
        <w:sectPr w:rsidR="00506E0B" w:rsidSect="008E2BFE">
          <w:footerReference w:type="even" r:id="rId13"/>
          <w:footerReference w:type="default" r:id="rId14"/>
          <w:headerReference w:type="first" r:id="rId15"/>
          <w:pgSz w:w="11900" w:h="16840"/>
          <w:pgMar w:top="1247" w:right="1418" w:bottom="1134" w:left="1418" w:header="709" w:footer="284" w:gutter="0"/>
          <w:pgNumType w:start="1"/>
          <w:cols w:space="708"/>
          <w:docGrid w:linePitch="360"/>
        </w:sectPr>
      </w:pPr>
    </w:p>
    <w:p w14:paraId="657047E4" w14:textId="77777777" w:rsidR="00215C85" w:rsidRPr="00215C85" w:rsidRDefault="00215C85" w:rsidP="00214D86">
      <w:pPr>
        <w:pStyle w:val="Heading3"/>
        <w:rPr>
          <w:shd w:val="clear" w:color="auto" w:fill="FFFFFF"/>
        </w:rPr>
      </w:pPr>
      <w:r w:rsidRPr="00215C85">
        <w:rPr>
          <w:shd w:val="clear" w:color="auto" w:fill="FFFFFF"/>
        </w:rPr>
        <w:t>Copyright</w:t>
      </w:r>
    </w:p>
    <w:p w14:paraId="1F82DA76" w14:textId="7FF73C30" w:rsidR="00215C85" w:rsidRPr="00215C85" w:rsidRDefault="00215C85" w:rsidP="00215C85">
      <w:pPr>
        <w:tabs>
          <w:tab w:val="clear" w:pos="567"/>
        </w:tabs>
        <w:spacing w:before="0" w:line="240" w:lineRule="auto"/>
        <w:rPr>
          <w:rFonts w:ascii="Work Sans" w:hAnsi="Work Sans" w:cs="Cambria Math"/>
          <w:color w:val="000000"/>
          <w:sz w:val="24"/>
          <w:szCs w:val="24"/>
          <w:shd w:val="clear" w:color="auto" w:fill="FFFFFF"/>
        </w:rPr>
      </w:pPr>
      <w:r w:rsidRPr="00215C85">
        <w:rPr>
          <w:rFonts w:ascii="Work Sans" w:hAnsi="Work Sans" w:cs="Cambria Math"/>
          <w:color w:val="000000"/>
          <w:sz w:val="24"/>
          <w:szCs w:val="24"/>
          <w:shd w:val="clear" w:color="auto" w:fill="FFFFFF"/>
        </w:rPr>
        <w:t>© Commonwealth of Australia 202</w:t>
      </w:r>
      <w:r w:rsidR="002560F0">
        <w:rPr>
          <w:rFonts w:ascii="Work Sans" w:hAnsi="Work Sans" w:cs="Cambria Math"/>
          <w:color w:val="000000"/>
          <w:sz w:val="24"/>
          <w:szCs w:val="24"/>
          <w:shd w:val="clear" w:color="auto" w:fill="FFFFFF"/>
        </w:rPr>
        <w:t>2</w:t>
      </w:r>
      <w:r w:rsidR="009E534B">
        <w:rPr>
          <w:rFonts w:ascii="Work Sans" w:hAnsi="Work Sans" w:cs="Cambria Math"/>
          <w:color w:val="000000"/>
          <w:sz w:val="24"/>
          <w:szCs w:val="24"/>
          <w:shd w:val="clear" w:color="auto" w:fill="FFFFFF"/>
        </w:rPr>
        <w:t xml:space="preserve"> </w:t>
      </w:r>
      <w:r w:rsidRPr="00215C85">
        <w:rPr>
          <w:rFonts w:ascii="Work Sans" w:hAnsi="Work Sans" w:cs="Cambria Math"/>
          <w:color w:val="000000"/>
          <w:sz w:val="24"/>
          <w:szCs w:val="24"/>
          <w:shd w:val="clear" w:color="auto" w:fill="FFFFFF"/>
        </w:rPr>
        <w:t xml:space="preserve">ISBN: </w:t>
      </w:r>
      <w:r w:rsidRPr="008406C1">
        <w:rPr>
          <w:rFonts w:ascii="Work Sans" w:hAnsi="Work Sans" w:cs="Cambria Math"/>
          <w:color w:val="000000"/>
          <w:sz w:val="24"/>
          <w:szCs w:val="24"/>
          <w:shd w:val="clear" w:color="auto" w:fill="FFFFFF"/>
        </w:rPr>
        <w:t>978-0-6485912-</w:t>
      </w:r>
      <w:r w:rsidR="007425BC" w:rsidRPr="008406C1">
        <w:rPr>
          <w:rFonts w:ascii="Work Sans" w:hAnsi="Work Sans" w:cs="Cambria Math"/>
          <w:color w:val="000000"/>
          <w:sz w:val="24"/>
          <w:szCs w:val="24"/>
          <w:shd w:val="clear" w:color="auto" w:fill="FFFFFF"/>
        </w:rPr>
        <w:t>3</w:t>
      </w:r>
      <w:r w:rsidRPr="008406C1">
        <w:rPr>
          <w:rFonts w:ascii="Work Sans" w:hAnsi="Work Sans" w:cs="Cambria Math"/>
          <w:color w:val="000000"/>
          <w:sz w:val="24"/>
          <w:szCs w:val="24"/>
          <w:shd w:val="clear" w:color="auto" w:fill="FFFFFF"/>
        </w:rPr>
        <w:t>-</w:t>
      </w:r>
      <w:r w:rsidR="007425BC" w:rsidRPr="008406C1">
        <w:rPr>
          <w:rFonts w:ascii="Work Sans" w:hAnsi="Work Sans" w:cs="Cambria Math"/>
          <w:color w:val="000000"/>
          <w:sz w:val="24"/>
          <w:szCs w:val="24"/>
          <w:shd w:val="clear" w:color="auto" w:fill="FFFFFF"/>
        </w:rPr>
        <w:t>8</w:t>
      </w:r>
    </w:p>
    <w:p w14:paraId="7A03922B" w14:textId="7FCBDD77" w:rsidR="00215C85" w:rsidRPr="00215C85" w:rsidRDefault="00215C85" w:rsidP="00215C85">
      <w:pPr>
        <w:tabs>
          <w:tab w:val="clear" w:pos="567"/>
        </w:tabs>
        <w:spacing w:before="0" w:line="240" w:lineRule="auto"/>
        <w:rPr>
          <w:rFonts w:ascii="Work Sans" w:hAnsi="Work Sans" w:cs="Cambria Math"/>
          <w:color w:val="000000"/>
          <w:sz w:val="24"/>
          <w:szCs w:val="24"/>
          <w:shd w:val="clear" w:color="auto" w:fill="FFFFFF"/>
        </w:rPr>
      </w:pPr>
      <w:r w:rsidRPr="00215C85">
        <w:rPr>
          <w:rFonts w:ascii="Work Sans" w:hAnsi="Work Sans" w:cs="Cambria Math"/>
          <w:color w:val="000000"/>
          <w:sz w:val="24"/>
          <w:szCs w:val="24"/>
          <w:shd w:val="clear" w:color="auto" w:fill="FFFFFF"/>
        </w:rPr>
        <w:t xml:space="preserve">With the exception of the Commonwealth Coat of Arms, all material presented in this document is provided under </w:t>
      </w:r>
      <w:hyperlink r:id="rId16" w:history="1">
        <w:r w:rsidRPr="00215C85">
          <w:rPr>
            <w:rStyle w:val="Hyperlink"/>
            <w:rFonts w:ascii="Work Sans" w:hAnsi="Work Sans" w:cs="Cambria Math"/>
            <w:sz w:val="24"/>
            <w:szCs w:val="24"/>
            <w:shd w:val="clear" w:color="auto" w:fill="FFFFFF"/>
          </w:rPr>
          <w:t>Creative Commons Attribution 4.0</w:t>
        </w:r>
      </w:hyperlink>
      <w:r w:rsidRPr="00215C85">
        <w:rPr>
          <w:rFonts w:ascii="Work Sans" w:hAnsi="Work Sans" w:cs="Cambria Math"/>
          <w:color w:val="000000"/>
          <w:sz w:val="24"/>
          <w:szCs w:val="24"/>
          <w:shd w:val="clear" w:color="auto" w:fill="FFFFFF"/>
        </w:rPr>
        <w:t xml:space="preserve"> (https://creativecommons.org/licenses/by/4.0/) licence. The</w:t>
      </w:r>
      <w:r w:rsidR="008420D4">
        <w:rPr>
          <w:rFonts w:ascii="Work Sans" w:hAnsi="Work Sans" w:cs="Cambria Math"/>
          <w:color w:val="000000"/>
          <w:sz w:val="24"/>
          <w:szCs w:val="24"/>
          <w:shd w:val="clear" w:color="auto" w:fill="FFFFFF"/>
        </w:rPr>
        <w:t> </w:t>
      </w:r>
      <w:r w:rsidRPr="00215C85">
        <w:rPr>
          <w:rFonts w:ascii="Work Sans" w:hAnsi="Work Sans" w:cs="Cambria Math"/>
          <w:color w:val="000000"/>
          <w:sz w:val="24"/>
          <w:szCs w:val="24"/>
          <w:shd w:val="clear" w:color="auto" w:fill="FFFFFF"/>
        </w:rPr>
        <w:t xml:space="preserve">details of the relevant licence conditions are available on the Creative Commons website as is the full legal code for </w:t>
      </w:r>
      <w:hyperlink r:id="rId17" w:history="1">
        <w:r w:rsidRPr="00215C85">
          <w:rPr>
            <w:rStyle w:val="Hyperlink"/>
            <w:rFonts w:ascii="Work Sans" w:hAnsi="Work Sans" w:cs="Cambria Math"/>
            <w:sz w:val="24"/>
            <w:szCs w:val="24"/>
            <w:shd w:val="clear" w:color="auto" w:fill="FFFFFF"/>
          </w:rPr>
          <w:t>CC BY 4.0 International</w:t>
        </w:r>
      </w:hyperlink>
      <w:r w:rsidRPr="00215C85">
        <w:rPr>
          <w:rFonts w:ascii="Work Sans" w:hAnsi="Work Sans" w:cs="Cambria Math"/>
          <w:color w:val="000000"/>
          <w:sz w:val="24"/>
          <w:szCs w:val="24"/>
          <w:shd w:val="clear" w:color="auto" w:fill="FFFFFF"/>
        </w:rPr>
        <w:t xml:space="preserve"> (https://creativecommons.org/licenses/by/4.0/legalcode). </w:t>
      </w:r>
    </w:p>
    <w:p w14:paraId="760B6963" w14:textId="77777777" w:rsidR="00215C85" w:rsidRPr="00215C85" w:rsidRDefault="00215C85" w:rsidP="00215C85">
      <w:pPr>
        <w:tabs>
          <w:tab w:val="clear" w:pos="567"/>
        </w:tabs>
        <w:spacing w:before="0" w:line="240" w:lineRule="auto"/>
        <w:rPr>
          <w:rFonts w:ascii="Work Sans" w:hAnsi="Work Sans" w:cs="Cambria Math"/>
          <w:color w:val="000000"/>
          <w:sz w:val="24"/>
          <w:szCs w:val="24"/>
          <w:shd w:val="clear" w:color="auto" w:fill="FFFFFF"/>
        </w:rPr>
      </w:pPr>
      <w:r w:rsidRPr="00215C85">
        <w:rPr>
          <w:rFonts w:ascii="Work Sans" w:hAnsi="Work Sans" w:cs="Cambria Math"/>
          <w:noProof/>
          <w:color w:val="000000"/>
          <w:sz w:val="24"/>
          <w:szCs w:val="24"/>
          <w:shd w:val="clear" w:color="auto" w:fill="FFFFFF"/>
        </w:rPr>
        <w:drawing>
          <wp:inline distT="0" distB="0" distL="0" distR="0" wp14:anchorId="217AE45A" wp14:editId="02970E5E">
            <wp:extent cx="828675" cy="295275"/>
            <wp:effectExtent l="19050" t="0" r="9525" b="0"/>
            <wp:docPr id="16" name="Picture 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8"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2ED6FF37" w14:textId="77777777" w:rsidR="00215C85" w:rsidRPr="00215C85" w:rsidRDefault="00215C85" w:rsidP="00215C85">
      <w:pPr>
        <w:tabs>
          <w:tab w:val="clear" w:pos="567"/>
        </w:tabs>
        <w:spacing w:before="0" w:line="240" w:lineRule="auto"/>
        <w:rPr>
          <w:rFonts w:ascii="Work Sans" w:hAnsi="Work Sans" w:cs="Cambria Math"/>
          <w:color w:val="000000"/>
          <w:sz w:val="24"/>
          <w:szCs w:val="24"/>
          <w:shd w:val="clear" w:color="auto" w:fill="FFFFFF"/>
        </w:rPr>
      </w:pPr>
    </w:p>
    <w:p w14:paraId="0909AB63" w14:textId="77777777" w:rsidR="00215C85" w:rsidRPr="00215C85" w:rsidRDefault="00215C85" w:rsidP="00214D86">
      <w:pPr>
        <w:pStyle w:val="Heading3"/>
        <w:rPr>
          <w:shd w:val="clear" w:color="auto" w:fill="FFFFFF"/>
        </w:rPr>
      </w:pPr>
      <w:r w:rsidRPr="00215C85">
        <w:rPr>
          <w:shd w:val="clear" w:color="auto" w:fill="FFFFFF"/>
        </w:rPr>
        <w:t>Use of the Coat of Arms</w:t>
      </w:r>
    </w:p>
    <w:p w14:paraId="5300B69A" w14:textId="05B4E954" w:rsidR="00215C85" w:rsidRPr="00215C85" w:rsidRDefault="00215C85" w:rsidP="00215C85">
      <w:pPr>
        <w:tabs>
          <w:tab w:val="clear" w:pos="567"/>
        </w:tabs>
        <w:spacing w:before="0" w:line="240" w:lineRule="auto"/>
        <w:rPr>
          <w:rFonts w:ascii="Work Sans" w:hAnsi="Work Sans" w:cs="Cambria Math"/>
          <w:color w:val="000000"/>
          <w:sz w:val="24"/>
          <w:szCs w:val="24"/>
          <w:shd w:val="clear" w:color="auto" w:fill="FFFFFF"/>
        </w:rPr>
      </w:pPr>
      <w:r w:rsidRPr="00215C85">
        <w:rPr>
          <w:rFonts w:ascii="Work Sans" w:hAnsi="Work Sans" w:cs="Cambria Math"/>
          <w:color w:val="000000"/>
          <w:sz w:val="24"/>
          <w:szCs w:val="24"/>
          <w:shd w:val="clear" w:color="auto" w:fill="FFFFFF"/>
        </w:rPr>
        <w:t xml:space="preserve">The terms under which the Coat of Arms can be used are detailed on the </w:t>
      </w:r>
      <w:hyperlink r:id="rId19" w:history="1">
        <w:r w:rsidRPr="00215C85">
          <w:rPr>
            <w:rStyle w:val="Hyperlink"/>
            <w:rFonts w:ascii="Work Sans" w:hAnsi="Work Sans" w:cs="Cambria Math"/>
            <w:sz w:val="24"/>
            <w:szCs w:val="24"/>
            <w:shd w:val="clear" w:color="auto" w:fill="FFFFFF"/>
          </w:rPr>
          <w:t>It’s an Honour website</w:t>
        </w:r>
      </w:hyperlink>
      <w:r w:rsidRPr="00215C85">
        <w:rPr>
          <w:rFonts w:ascii="Work Sans" w:hAnsi="Work Sans" w:cs="Cambria Math"/>
          <w:color w:val="000000"/>
          <w:sz w:val="24"/>
          <w:szCs w:val="24"/>
          <w:shd w:val="clear" w:color="auto" w:fill="FFFFFF"/>
        </w:rPr>
        <w:t xml:space="preserve"> (https://www.pmc.gov.au/government/commonwealth-coat-arms). </w:t>
      </w:r>
    </w:p>
    <w:p w14:paraId="5D6A1047" w14:textId="77777777" w:rsidR="00215C85" w:rsidRPr="00215C85" w:rsidRDefault="00215C85" w:rsidP="00214D86">
      <w:pPr>
        <w:pStyle w:val="Heading3"/>
        <w:rPr>
          <w:shd w:val="clear" w:color="auto" w:fill="FFFFFF"/>
        </w:rPr>
      </w:pPr>
      <w:r w:rsidRPr="00215C85">
        <w:rPr>
          <w:shd w:val="clear" w:color="auto" w:fill="FFFFFF"/>
        </w:rPr>
        <w:t>Attribution</w:t>
      </w:r>
    </w:p>
    <w:p w14:paraId="48FF67EE" w14:textId="7D4E550E" w:rsidR="00215C85" w:rsidRPr="00215C85" w:rsidRDefault="00215C85" w:rsidP="00215C85">
      <w:pPr>
        <w:tabs>
          <w:tab w:val="clear" w:pos="567"/>
        </w:tabs>
        <w:spacing w:before="0" w:line="240" w:lineRule="auto"/>
        <w:rPr>
          <w:rFonts w:ascii="Work Sans" w:hAnsi="Work Sans" w:cs="Cambria Math"/>
          <w:color w:val="000000"/>
          <w:sz w:val="24"/>
          <w:szCs w:val="24"/>
          <w:shd w:val="clear" w:color="auto" w:fill="FFFFFF"/>
        </w:rPr>
      </w:pPr>
      <w:r w:rsidRPr="00215C85">
        <w:rPr>
          <w:rFonts w:ascii="Work Sans" w:hAnsi="Work Sans" w:cs="Cambria Math"/>
          <w:color w:val="000000"/>
          <w:sz w:val="24"/>
          <w:szCs w:val="24"/>
          <w:shd w:val="clear" w:color="auto" w:fill="FFFFFF"/>
        </w:rPr>
        <w:t xml:space="preserve">The recommended attribution for this document is Commonwealth Grants Commission, </w:t>
      </w:r>
      <w:r w:rsidRPr="00215C85">
        <w:rPr>
          <w:rFonts w:ascii="Work Sans" w:hAnsi="Work Sans" w:cs="Cambria Math"/>
          <w:i/>
          <w:color w:val="000000"/>
          <w:sz w:val="24"/>
          <w:szCs w:val="24"/>
          <w:shd w:val="clear" w:color="auto" w:fill="FFFFFF"/>
        </w:rPr>
        <w:t>GST Revenue Sharing Relativities 202</w:t>
      </w:r>
      <w:r w:rsidR="00305D60">
        <w:rPr>
          <w:rFonts w:ascii="Work Sans" w:hAnsi="Work Sans" w:cs="Cambria Math"/>
          <w:i/>
          <w:color w:val="000000"/>
          <w:sz w:val="24"/>
          <w:szCs w:val="24"/>
          <w:shd w:val="clear" w:color="auto" w:fill="FFFFFF"/>
        </w:rPr>
        <w:t>2</w:t>
      </w:r>
      <w:r w:rsidRPr="00215C85">
        <w:rPr>
          <w:rFonts w:ascii="Work Sans" w:hAnsi="Work Sans" w:cs="Cambria Math"/>
          <w:i/>
          <w:color w:val="000000"/>
          <w:sz w:val="24"/>
          <w:szCs w:val="24"/>
          <w:shd w:val="clear" w:color="auto" w:fill="FFFFFF"/>
        </w:rPr>
        <w:t> Update.</w:t>
      </w:r>
    </w:p>
    <w:p w14:paraId="09430422" w14:textId="77777777" w:rsidR="00215C85" w:rsidRPr="00215C85" w:rsidRDefault="00215C85" w:rsidP="00214D86">
      <w:pPr>
        <w:pStyle w:val="Heading3"/>
        <w:rPr>
          <w:shd w:val="clear" w:color="auto" w:fill="FFFFFF"/>
        </w:rPr>
      </w:pPr>
      <w:r w:rsidRPr="00215C85">
        <w:rPr>
          <w:shd w:val="clear" w:color="auto" w:fill="FFFFFF"/>
        </w:rPr>
        <w:t>Contact us</w:t>
      </w:r>
    </w:p>
    <w:p w14:paraId="6B024AB1" w14:textId="77777777" w:rsidR="00215C85" w:rsidRPr="00215C85" w:rsidRDefault="00215C85" w:rsidP="00215C85">
      <w:pPr>
        <w:tabs>
          <w:tab w:val="clear" w:pos="567"/>
        </w:tabs>
        <w:spacing w:before="0" w:line="240" w:lineRule="auto"/>
        <w:rPr>
          <w:rFonts w:ascii="Work Sans" w:hAnsi="Work Sans" w:cs="Cambria Math"/>
          <w:color w:val="000000"/>
          <w:sz w:val="24"/>
          <w:szCs w:val="24"/>
          <w:shd w:val="clear" w:color="auto" w:fill="FFFFFF"/>
        </w:rPr>
      </w:pPr>
      <w:r w:rsidRPr="00215C85">
        <w:rPr>
          <w:rFonts w:ascii="Work Sans" w:hAnsi="Work Sans" w:cs="Cambria Math"/>
          <w:color w:val="000000"/>
          <w:sz w:val="24"/>
          <w:szCs w:val="24"/>
          <w:shd w:val="clear" w:color="auto" w:fill="FFFFFF"/>
        </w:rPr>
        <w:t>Inquiries regarding the licence and any use of this document should be directed to:</w:t>
      </w:r>
    </w:p>
    <w:p w14:paraId="51F846EF" w14:textId="77777777" w:rsidR="00215C85" w:rsidRPr="00215C85" w:rsidRDefault="00215C85" w:rsidP="00215C85">
      <w:pPr>
        <w:tabs>
          <w:tab w:val="clear" w:pos="567"/>
        </w:tabs>
        <w:spacing w:before="0" w:line="240" w:lineRule="auto"/>
        <w:rPr>
          <w:rFonts w:ascii="Work Sans" w:hAnsi="Work Sans" w:cs="Cambria Math"/>
          <w:color w:val="000000"/>
          <w:sz w:val="24"/>
          <w:szCs w:val="24"/>
          <w:shd w:val="clear" w:color="auto" w:fill="FFFFFF"/>
        </w:rPr>
      </w:pPr>
      <w:r w:rsidRPr="00215C85">
        <w:rPr>
          <w:rFonts w:ascii="Work Sans" w:hAnsi="Work Sans" w:cs="Cambria Math"/>
          <w:color w:val="000000"/>
          <w:sz w:val="24"/>
          <w:szCs w:val="24"/>
          <w:shd w:val="clear" w:color="auto" w:fill="FFFFFF"/>
        </w:rPr>
        <w:t>Secretary</w:t>
      </w:r>
    </w:p>
    <w:p w14:paraId="3CC6288C" w14:textId="77777777" w:rsidR="00215C85" w:rsidRPr="00215C85" w:rsidRDefault="00215C85" w:rsidP="00215C85">
      <w:pPr>
        <w:tabs>
          <w:tab w:val="clear" w:pos="567"/>
        </w:tabs>
        <w:spacing w:before="0" w:line="240" w:lineRule="auto"/>
        <w:rPr>
          <w:rFonts w:ascii="Work Sans" w:hAnsi="Work Sans" w:cs="Cambria Math"/>
          <w:color w:val="000000"/>
          <w:sz w:val="24"/>
          <w:szCs w:val="24"/>
          <w:shd w:val="clear" w:color="auto" w:fill="FFFFFF"/>
        </w:rPr>
      </w:pPr>
      <w:r w:rsidRPr="00215C85">
        <w:rPr>
          <w:rFonts w:ascii="Work Sans" w:hAnsi="Work Sans" w:cs="Cambria Math"/>
          <w:color w:val="000000"/>
          <w:sz w:val="24"/>
          <w:szCs w:val="24"/>
          <w:shd w:val="clear" w:color="auto" w:fill="FFFFFF"/>
        </w:rPr>
        <w:t>Commonwealth Grants Commission</w:t>
      </w:r>
    </w:p>
    <w:p w14:paraId="190E6804" w14:textId="77777777" w:rsidR="00215C85" w:rsidRPr="00215C85" w:rsidRDefault="00215C85" w:rsidP="00215C85">
      <w:pPr>
        <w:tabs>
          <w:tab w:val="clear" w:pos="567"/>
        </w:tabs>
        <w:spacing w:before="0" w:line="240" w:lineRule="auto"/>
        <w:rPr>
          <w:rFonts w:ascii="Work Sans" w:hAnsi="Work Sans" w:cs="Cambria Math"/>
          <w:color w:val="000000"/>
          <w:sz w:val="24"/>
          <w:szCs w:val="24"/>
          <w:shd w:val="clear" w:color="auto" w:fill="FFFFFF"/>
        </w:rPr>
      </w:pPr>
      <w:r w:rsidRPr="00215C85">
        <w:rPr>
          <w:rFonts w:ascii="Work Sans" w:hAnsi="Work Sans" w:cs="Cambria Math"/>
          <w:color w:val="000000"/>
          <w:sz w:val="24"/>
          <w:szCs w:val="24"/>
          <w:shd w:val="clear" w:color="auto" w:fill="FFFFFF"/>
        </w:rPr>
        <w:t>Second Floor, Phoenix House</w:t>
      </w:r>
    </w:p>
    <w:p w14:paraId="58B91D2B" w14:textId="77777777" w:rsidR="00215C85" w:rsidRPr="00215C85" w:rsidRDefault="00215C85" w:rsidP="00215C85">
      <w:pPr>
        <w:tabs>
          <w:tab w:val="clear" w:pos="567"/>
        </w:tabs>
        <w:spacing w:before="0" w:line="240" w:lineRule="auto"/>
        <w:rPr>
          <w:rFonts w:ascii="Work Sans" w:hAnsi="Work Sans" w:cs="Cambria Math"/>
          <w:color w:val="000000"/>
          <w:sz w:val="24"/>
          <w:szCs w:val="24"/>
          <w:shd w:val="clear" w:color="auto" w:fill="FFFFFF"/>
        </w:rPr>
      </w:pPr>
      <w:r w:rsidRPr="00215C85">
        <w:rPr>
          <w:rFonts w:ascii="Work Sans" w:hAnsi="Work Sans" w:cs="Cambria Math"/>
          <w:color w:val="000000"/>
          <w:sz w:val="24"/>
          <w:szCs w:val="24"/>
          <w:shd w:val="clear" w:color="auto" w:fill="FFFFFF"/>
        </w:rPr>
        <w:t>86-88 Northbourne Avenue</w:t>
      </w:r>
    </w:p>
    <w:p w14:paraId="50A0F1E8" w14:textId="77777777" w:rsidR="00215C85" w:rsidRPr="00215C85" w:rsidRDefault="00215C85" w:rsidP="00215C85">
      <w:pPr>
        <w:tabs>
          <w:tab w:val="clear" w:pos="567"/>
        </w:tabs>
        <w:spacing w:before="0" w:line="240" w:lineRule="auto"/>
        <w:rPr>
          <w:rFonts w:ascii="Work Sans" w:hAnsi="Work Sans" w:cs="Cambria Math"/>
          <w:color w:val="000000"/>
          <w:sz w:val="24"/>
          <w:szCs w:val="24"/>
          <w:shd w:val="clear" w:color="auto" w:fill="FFFFFF"/>
        </w:rPr>
      </w:pPr>
      <w:r w:rsidRPr="00215C85">
        <w:rPr>
          <w:rFonts w:ascii="Work Sans" w:hAnsi="Work Sans" w:cs="Cambria Math"/>
          <w:color w:val="000000"/>
          <w:sz w:val="24"/>
          <w:szCs w:val="24"/>
          <w:shd w:val="clear" w:color="auto" w:fill="FFFFFF"/>
        </w:rPr>
        <w:t>BRADDON ACT 2612</w:t>
      </w:r>
    </w:p>
    <w:p w14:paraId="496D31B7" w14:textId="77777777" w:rsidR="00215C85" w:rsidRPr="00215C85" w:rsidRDefault="00215C85" w:rsidP="00215C85">
      <w:pPr>
        <w:tabs>
          <w:tab w:val="clear" w:pos="567"/>
        </w:tabs>
        <w:spacing w:before="0" w:line="240" w:lineRule="auto"/>
        <w:rPr>
          <w:rFonts w:ascii="Work Sans" w:hAnsi="Work Sans" w:cs="Cambria Math"/>
          <w:color w:val="000000"/>
          <w:sz w:val="24"/>
          <w:szCs w:val="24"/>
          <w:shd w:val="clear" w:color="auto" w:fill="FFFFFF"/>
        </w:rPr>
      </w:pPr>
      <w:r w:rsidRPr="00215C85">
        <w:rPr>
          <w:rFonts w:ascii="Work Sans" w:hAnsi="Work Sans" w:cs="Cambria Math"/>
          <w:color w:val="000000"/>
          <w:sz w:val="24"/>
          <w:szCs w:val="24"/>
          <w:shd w:val="clear" w:color="auto" w:fill="FFFFFF"/>
        </w:rPr>
        <w:t>Telephone (02) 6218 5700</w:t>
      </w:r>
    </w:p>
    <w:p w14:paraId="7D190A8D" w14:textId="0867EC73" w:rsidR="00215C85" w:rsidRPr="00215C85" w:rsidRDefault="00215C85" w:rsidP="00215C85">
      <w:pPr>
        <w:tabs>
          <w:tab w:val="clear" w:pos="567"/>
        </w:tabs>
        <w:spacing w:before="0" w:line="240" w:lineRule="auto"/>
        <w:rPr>
          <w:rFonts w:ascii="Work Sans" w:hAnsi="Work Sans" w:cs="Cambria Math"/>
          <w:color w:val="000000"/>
          <w:sz w:val="24"/>
          <w:szCs w:val="24"/>
          <w:shd w:val="clear" w:color="auto" w:fill="FFFFFF"/>
        </w:rPr>
      </w:pPr>
      <w:r w:rsidRPr="00215C85">
        <w:rPr>
          <w:rFonts w:ascii="Work Sans" w:hAnsi="Work Sans" w:cs="Cambria Math"/>
          <w:color w:val="000000"/>
          <w:sz w:val="24"/>
          <w:szCs w:val="24"/>
          <w:shd w:val="clear" w:color="auto" w:fill="FFFFFF"/>
        </w:rPr>
        <w:t xml:space="preserve">Email </w:t>
      </w:r>
      <w:hyperlink r:id="rId20" w:history="1">
        <w:r w:rsidRPr="00215C85">
          <w:rPr>
            <w:rStyle w:val="Hyperlink"/>
            <w:rFonts w:ascii="Work Sans" w:hAnsi="Work Sans" w:cs="Cambria Math"/>
            <w:sz w:val="24"/>
            <w:szCs w:val="24"/>
            <w:shd w:val="clear" w:color="auto" w:fill="FFFFFF"/>
          </w:rPr>
          <w:t>secretary@cgc.gov.au</w:t>
        </w:r>
      </w:hyperlink>
    </w:p>
    <w:p w14:paraId="44B6B198" w14:textId="77777777" w:rsidR="00215C85" w:rsidRPr="00215C85" w:rsidRDefault="00215C85" w:rsidP="00214D86">
      <w:pPr>
        <w:pStyle w:val="Heading3"/>
        <w:rPr>
          <w:shd w:val="clear" w:color="auto" w:fill="FFFFFF"/>
        </w:rPr>
      </w:pPr>
      <w:r w:rsidRPr="00215C85">
        <w:rPr>
          <w:shd w:val="clear" w:color="auto" w:fill="FFFFFF"/>
        </w:rPr>
        <w:t>Internet</w:t>
      </w:r>
    </w:p>
    <w:p w14:paraId="4F43B2B4" w14:textId="4B08A805" w:rsidR="00506E0B" w:rsidRDefault="00215C85" w:rsidP="00215C85">
      <w:pPr>
        <w:tabs>
          <w:tab w:val="clear" w:pos="567"/>
        </w:tabs>
        <w:spacing w:before="0" w:line="240" w:lineRule="auto"/>
        <w:rPr>
          <w:rFonts w:ascii="Work Sans" w:hAnsi="Work Sans" w:cs="Cambria Math"/>
          <w:color w:val="000000"/>
          <w:sz w:val="24"/>
          <w:szCs w:val="24"/>
          <w:shd w:val="clear" w:color="auto" w:fill="FFFFFF"/>
        </w:rPr>
        <w:sectPr w:rsidR="00506E0B" w:rsidSect="00A36CE3">
          <w:pgSz w:w="11900" w:h="16840"/>
          <w:pgMar w:top="1247" w:right="1418" w:bottom="1134" w:left="1418" w:header="709" w:footer="284" w:gutter="0"/>
          <w:pgNumType w:start="0"/>
          <w:cols w:space="708"/>
          <w:titlePg/>
          <w:docGrid w:linePitch="360"/>
        </w:sectPr>
      </w:pPr>
      <w:r w:rsidRPr="00215C85">
        <w:rPr>
          <w:rFonts w:ascii="Work Sans" w:hAnsi="Work Sans" w:cs="Cambria Math"/>
          <w:color w:val="000000"/>
          <w:sz w:val="24"/>
          <w:szCs w:val="24"/>
          <w:shd w:val="clear" w:color="auto" w:fill="FFFFFF"/>
        </w:rPr>
        <w:t xml:space="preserve">A copy of this report can be obtained from the </w:t>
      </w:r>
      <w:hyperlink r:id="rId21" w:history="1">
        <w:r w:rsidRPr="00215C85">
          <w:rPr>
            <w:rStyle w:val="Hyperlink"/>
            <w:rFonts w:ascii="Work Sans" w:hAnsi="Work Sans" w:cs="Cambria Math"/>
            <w:sz w:val="24"/>
            <w:szCs w:val="24"/>
            <w:shd w:val="clear" w:color="auto" w:fill="FFFFFF"/>
          </w:rPr>
          <w:t>Commission’s website</w:t>
        </w:r>
      </w:hyperlink>
      <w:r w:rsidRPr="00215C85">
        <w:rPr>
          <w:rFonts w:ascii="Work Sans" w:hAnsi="Work Sans" w:cs="Cambria Math"/>
          <w:color w:val="000000"/>
          <w:sz w:val="24"/>
          <w:szCs w:val="24"/>
          <w:shd w:val="clear" w:color="auto" w:fill="FFFFFF"/>
        </w:rPr>
        <w:t xml:space="preserve"> (</w:t>
      </w:r>
      <w:hyperlink r:id="rId22" w:history="1">
        <w:r w:rsidR="00506E0B" w:rsidRPr="00155413">
          <w:rPr>
            <w:rStyle w:val="Hyperlink"/>
            <w:rFonts w:ascii="Work Sans" w:hAnsi="Work Sans" w:cs="Cambria Math"/>
            <w:sz w:val="24"/>
            <w:szCs w:val="24"/>
            <w:shd w:val="clear" w:color="auto" w:fill="FFFFFF"/>
          </w:rPr>
          <w:t>https://www.cgc.gov.au</w:t>
        </w:r>
      </w:hyperlink>
      <w:r w:rsidRPr="00215C85">
        <w:rPr>
          <w:rFonts w:ascii="Work Sans" w:hAnsi="Work Sans" w:cs="Cambria Math"/>
          <w:color w:val="000000"/>
          <w:sz w:val="24"/>
          <w:szCs w:val="24"/>
          <w:shd w:val="clear" w:color="auto" w:fill="FFFFFF"/>
        </w:rPr>
        <w:t>).</w:t>
      </w:r>
      <w:r w:rsidR="001639E5" w:rsidRPr="001639E5">
        <w:rPr>
          <w:noProof/>
        </w:rPr>
        <w:t xml:space="preserve"> </w:t>
      </w:r>
      <w:r w:rsidR="001639E5">
        <w:rPr>
          <w:noProof/>
        </w:rPr>
        <w:drawing>
          <wp:anchor distT="0" distB="0" distL="114300" distR="114300" simplePos="0" relativeHeight="251658303" behindDoc="1" locked="1" layoutInCell="1" allowOverlap="1" wp14:anchorId="546FC653" wp14:editId="7784CA1B">
            <wp:simplePos x="0" y="0"/>
            <wp:positionH relativeFrom="page">
              <wp:posOffset>-1270</wp:posOffset>
            </wp:positionH>
            <wp:positionV relativeFrom="margin">
              <wp:posOffset>-787400</wp:posOffset>
            </wp:positionV>
            <wp:extent cx="7563485" cy="10691495"/>
            <wp:effectExtent l="0" t="0" r="0" b="0"/>
            <wp:wrapNone/>
            <wp:docPr id="94" name="Picture 9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08758BC1" w14:textId="291F0624" w:rsidR="00A46530" w:rsidRDefault="00401083" w:rsidP="00506E0B">
      <w:pPr>
        <w:pStyle w:val="Heading1"/>
      </w:pPr>
      <w:bookmarkStart w:id="0" w:name="_Toc65050513"/>
      <w:bookmarkStart w:id="1" w:name="_Toc96074909"/>
      <w:r>
        <w:rPr>
          <w:noProof/>
        </w:rPr>
        <w:drawing>
          <wp:anchor distT="0" distB="0" distL="114300" distR="114300" simplePos="0" relativeHeight="251658260" behindDoc="1" locked="1" layoutInCell="1" allowOverlap="1" wp14:anchorId="0CB56CD6" wp14:editId="3E2D0C98">
            <wp:simplePos x="0" y="0"/>
            <wp:positionH relativeFrom="page">
              <wp:posOffset>-13970</wp:posOffset>
            </wp:positionH>
            <wp:positionV relativeFrom="margin">
              <wp:posOffset>-790575</wp:posOffset>
            </wp:positionV>
            <wp:extent cx="7563485" cy="10691495"/>
            <wp:effectExtent l="19050" t="19050" r="18415" b="14605"/>
            <wp:wrapNone/>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a:ln>
                      <a:solidFill>
                        <a:schemeClr val="bg2">
                          <a:lumMod val="10000"/>
                        </a:schemeClr>
                      </a:solidFill>
                    </a:ln>
                  </pic:spPr>
                </pic:pic>
              </a:graphicData>
            </a:graphic>
            <wp14:sizeRelH relativeFrom="margin">
              <wp14:pctWidth>0</wp14:pctWidth>
            </wp14:sizeRelH>
            <wp14:sizeRelV relativeFrom="margin">
              <wp14:pctHeight>0</wp14:pctHeight>
            </wp14:sizeRelV>
          </wp:anchor>
        </w:drawing>
      </w:r>
      <w:r w:rsidR="00E05252" w:rsidRPr="00E05252">
        <w:t xml:space="preserve">Letter of </w:t>
      </w:r>
      <w:bookmarkEnd w:id="0"/>
      <w:r w:rsidR="00E05252" w:rsidRPr="00E05252">
        <w:t>transmittal</w:t>
      </w:r>
      <w:bookmarkEnd w:id="1"/>
      <w:r w:rsidR="00E05252" w:rsidRPr="00E05252">
        <w:t xml:space="preserve"> </w:t>
      </w:r>
    </w:p>
    <w:p w14:paraId="6D51FAB8" w14:textId="2E0D0C4D" w:rsidR="00645E85" w:rsidRDefault="00007EC8" w:rsidP="0004064D">
      <w:pPr>
        <w:pStyle w:val="CGCBodyCopy"/>
      </w:pPr>
      <w:r w:rsidRPr="00D345BE">
        <w:rPr>
          <w:noProof/>
        </w:rPr>
        <w:drawing>
          <wp:inline distT="0" distB="0" distL="0" distR="0" wp14:anchorId="459DAB6E" wp14:editId="4CC68369">
            <wp:extent cx="2098950" cy="1089329"/>
            <wp:effectExtent l="0" t="0" r="0" b="0"/>
            <wp:docPr id="1" name="Picture 1" descr="CGC_stacked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C_stackedstrip"/>
                    <pic:cNvPicPr>
                      <a:picLocks noChangeAspect="1" noChangeArrowheads="1"/>
                    </pic:cNvPicPr>
                  </pic:nvPicPr>
                  <pic:blipFill>
                    <a:blip r:embed="rId24"/>
                    <a:srcRect/>
                    <a:stretch>
                      <a:fillRect/>
                    </a:stretch>
                  </pic:blipFill>
                  <pic:spPr bwMode="auto">
                    <a:xfrm>
                      <a:off x="0" y="0"/>
                      <a:ext cx="2101060" cy="1090424"/>
                    </a:xfrm>
                    <a:prstGeom prst="rect">
                      <a:avLst/>
                    </a:prstGeom>
                    <a:noFill/>
                    <a:ln w="9525">
                      <a:noFill/>
                      <a:miter lim="800000"/>
                      <a:headEnd/>
                      <a:tailEnd/>
                    </a:ln>
                  </pic:spPr>
                </pic:pic>
              </a:graphicData>
            </a:graphic>
          </wp:inline>
        </w:drawing>
      </w:r>
    </w:p>
    <w:p w14:paraId="5723DCA8" w14:textId="77777777" w:rsidR="00920DF0" w:rsidRPr="00E15A2A" w:rsidRDefault="00920DF0" w:rsidP="00920DF0">
      <w:pPr>
        <w:jc w:val="right"/>
        <w:rPr>
          <w:b/>
        </w:rPr>
      </w:pPr>
      <w:r w:rsidRPr="00E15A2A">
        <w:rPr>
          <w:b/>
        </w:rPr>
        <w:t>Chairperson</w:t>
      </w:r>
    </w:p>
    <w:p w14:paraId="15D4FA11" w14:textId="77777777" w:rsidR="00920DF0" w:rsidRPr="00846D10" w:rsidRDefault="00920DF0" w:rsidP="00920DF0">
      <w:pPr>
        <w:spacing w:before="0"/>
        <w:jc w:val="right"/>
        <w:rPr>
          <w:sz w:val="16"/>
        </w:rPr>
      </w:pPr>
      <w:r w:rsidRPr="00846D10">
        <w:rPr>
          <w:sz w:val="16"/>
        </w:rPr>
        <w:t>Second Floor, Phoenix House</w:t>
      </w:r>
    </w:p>
    <w:p w14:paraId="268A1A45" w14:textId="77777777" w:rsidR="00920DF0" w:rsidRPr="00846D10" w:rsidRDefault="00920DF0" w:rsidP="00920DF0">
      <w:pPr>
        <w:spacing w:before="0"/>
        <w:jc w:val="right"/>
        <w:rPr>
          <w:sz w:val="16"/>
        </w:rPr>
      </w:pPr>
      <w:r w:rsidRPr="00846D10">
        <w:rPr>
          <w:sz w:val="16"/>
        </w:rPr>
        <w:t>86-88 Northbourne Avenue</w:t>
      </w:r>
    </w:p>
    <w:p w14:paraId="1B1E9678" w14:textId="77777777" w:rsidR="00920DF0" w:rsidRPr="00846D10" w:rsidRDefault="00920DF0" w:rsidP="00920DF0">
      <w:pPr>
        <w:spacing w:before="0"/>
        <w:jc w:val="right"/>
        <w:rPr>
          <w:sz w:val="16"/>
        </w:rPr>
      </w:pPr>
      <w:r w:rsidRPr="00846D10">
        <w:rPr>
          <w:sz w:val="16"/>
        </w:rPr>
        <w:t>BRADDON  ACT  2612</w:t>
      </w:r>
    </w:p>
    <w:p w14:paraId="7F7F456B" w14:textId="77777777" w:rsidR="00920DF0" w:rsidRPr="00846D10" w:rsidRDefault="00920DF0" w:rsidP="00920DF0">
      <w:pPr>
        <w:spacing w:before="0"/>
        <w:rPr>
          <w:sz w:val="16"/>
        </w:rPr>
      </w:pPr>
    </w:p>
    <w:p w14:paraId="5097132E" w14:textId="77777777" w:rsidR="00920DF0" w:rsidRPr="008A6857" w:rsidRDefault="00920DF0" w:rsidP="00920DF0">
      <w:pPr>
        <w:spacing w:before="0"/>
        <w:jc w:val="right"/>
        <w:rPr>
          <w:sz w:val="16"/>
        </w:rPr>
      </w:pPr>
      <w:r w:rsidRPr="008A6857">
        <w:rPr>
          <w:sz w:val="16"/>
        </w:rPr>
        <w:t>Telephone: 02 6218 5716</w:t>
      </w:r>
    </w:p>
    <w:p w14:paraId="4EC7A88C" w14:textId="77777777" w:rsidR="00920DF0" w:rsidRPr="0027108E" w:rsidRDefault="00FA5AFA" w:rsidP="00920DF0">
      <w:pPr>
        <w:spacing w:before="0"/>
        <w:jc w:val="right"/>
        <w:rPr>
          <w:sz w:val="16"/>
        </w:rPr>
      </w:pPr>
      <w:hyperlink r:id="rId25" w:history="1">
        <w:r w:rsidR="00920DF0" w:rsidRPr="0027108E">
          <w:rPr>
            <w:rStyle w:val="Hyperlink"/>
            <w:sz w:val="16"/>
          </w:rPr>
          <w:t>Mike.Callaghan@cgc.gov.au</w:t>
        </w:r>
      </w:hyperlink>
      <w:r w:rsidR="00920DF0" w:rsidRPr="0027108E">
        <w:rPr>
          <w:sz w:val="16"/>
        </w:rPr>
        <w:t xml:space="preserve"> </w:t>
      </w:r>
    </w:p>
    <w:p w14:paraId="5C99DEB8" w14:textId="77777777" w:rsidR="00920DF0" w:rsidRPr="008A6857" w:rsidRDefault="00920DF0" w:rsidP="00920DF0">
      <w:pPr>
        <w:spacing w:before="0"/>
        <w:jc w:val="right"/>
        <w:rPr>
          <w:sz w:val="16"/>
        </w:rPr>
      </w:pPr>
      <w:r w:rsidRPr="00846D10">
        <w:rPr>
          <w:sz w:val="16"/>
        </w:rPr>
        <w:t>http</w:t>
      </w:r>
      <w:r>
        <w:rPr>
          <w:sz w:val="16"/>
        </w:rPr>
        <w:t>s</w:t>
      </w:r>
      <w:r w:rsidRPr="00846D10">
        <w:rPr>
          <w:sz w:val="16"/>
        </w:rPr>
        <w:t>://www.cgc.gov.au</w:t>
      </w:r>
    </w:p>
    <w:p w14:paraId="01E61E91" w14:textId="39CE9133" w:rsidR="00661543" w:rsidRPr="007621D1" w:rsidRDefault="00C92032" w:rsidP="00661543">
      <w:bookmarkStart w:id="2" w:name="_Hlk96003751"/>
      <w:r>
        <w:t>17</w:t>
      </w:r>
      <w:r w:rsidR="00661543" w:rsidRPr="00B44B93">
        <w:t xml:space="preserve"> M</w:t>
      </w:r>
      <w:r w:rsidR="00661543">
        <w:t xml:space="preserve">arch </w:t>
      </w:r>
      <w:bookmarkEnd w:id="2"/>
      <w:r w:rsidR="00661543">
        <w:t>2022</w:t>
      </w:r>
    </w:p>
    <w:p w14:paraId="742F4563" w14:textId="77777777" w:rsidR="00661543" w:rsidRDefault="00661543" w:rsidP="00661543">
      <w:r>
        <w:t>The Hon Josh Frydenberg</w:t>
      </w:r>
    </w:p>
    <w:p w14:paraId="5485E752" w14:textId="77777777" w:rsidR="00661543" w:rsidRDefault="00661543" w:rsidP="00661543">
      <w:pPr>
        <w:spacing w:before="0"/>
      </w:pPr>
      <w:r>
        <w:t>Treasurer</w:t>
      </w:r>
    </w:p>
    <w:p w14:paraId="3008050A" w14:textId="77777777" w:rsidR="00661543" w:rsidRDefault="00661543" w:rsidP="00661543">
      <w:pPr>
        <w:spacing w:before="0"/>
      </w:pPr>
      <w:r>
        <w:t>Parliament House</w:t>
      </w:r>
    </w:p>
    <w:p w14:paraId="3EB618B7" w14:textId="77777777" w:rsidR="00661543" w:rsidRPr="007621D1" w:rsidRDefault="00661543" w:rsidP="00661543">
      <w:pPr>
        <w:spacing w:before="0"/>
      </w:pPr>
      <w:r>
        <w:t>CANBERRA ACT 2600</w:t>
      </w:r>
    </w:p>
    <w:p w14:paraId="6ADEF447" w14:textId="77777777" w:rsidR="00661543" w:rsidRDefault="00661543" w:rsidP="00661543"/>
    <w:p w14:paraId="064E32CB" w14:textId="77777777" w:rsidR="00661543" w:rsidRPr="007621D1" w:rsidRDefault="00661543" w:rsidP="00661543">
      <w:r w:rsidRPr="007621D1">
        <w:t xml:space="preserve">Dear </w:t>
      </w:r>
      <w:r>
        <w:t>Treasurer</w:t>
      </w:r>
    </w:p>
    <w:p w14:paraId="5EDC4808" w14:textId="77777777" w:rsidR="00661543" w:rsidRDefault="00661543" w:rsidP="00661543">
      <w:r>
        <w:t xml:space="preserve">As members of the Commonwealth Grants Commission </w:t>
      </w:r>
      <w:r w:rsidRPr="00055B7B">
        <w:t xml:space="preserve">appointed under the </w:t>
      </w:r>
      <w:r w:rsidRPr="00962C74">
        <w:rPr>
          <w:i/>
          <w:iCs/>
        </w:rPr>
        <w:t>Commonwealth</w:t>
      </w:r>
      <w:r>
        <w:rPr>
          <w:i/>
          <w:iCs/>
        </w:rPr>
        <w:t> </w:t>
      </w:r>
      <w:r w:rsidRPr="00962C74">
        <w:rPr>
          <w:i/>
          <w:iCs/>
        </w:rPr>
        <w:t>Grants</w:t>
      </w:r>
      <w:r>
        <w:rPr>
          <w:i/>
          <w:iCs/>
        </w:rPr>
        <w:t> </w:t>
      </w:r>
      <w:r w:rsidRPr="00962C74">
        <w:rPr>
          <w:i/>
          <w:iCs/>
        </w:rPr>
        <w:t>Commission</w:t>
      </w:r>
      <w:r>
        <w:rPr>
          <w:i/>
          <w:iCs/>
        </w:rPr>
        <w:t> </w:t>
      </w:r>
      <w:r w:rsidRPr="00962C74">
        <w:rPr>
          <w:i/>
          <w:iCs/>
        </w:rPr>
        <w:t>Act</w:t>
      </w:r>
      <w:r>
        <w:rPr>
          <w:i/>
          <w:iCs/>
        </w:rPr>
        <w:t> </w:t>
      </w:r>
      <w:r w:rsidRPr="00962C74">
        <w:rPr>
          <w:i/>
          <w:iCs/>
        </w:rPr>
        <w:t>1973</w:t>
      </w:r>
      <w:r w:rsidRPr="00055B7B">
        <w:t xml:space="preserve">, </w:t>
      </w:r>
      <w:r>
        <w:t xml:space="preserve">and in response to the terms of reference from you, we have updated </w:t>
      </w:r>
      <w:r w:rsidRPr="00801C2C">
        <w:t xml:space="preserve">GST relativities </w:t>
      </w:r>
      <w:r>
        <w:t>for use in distributing</w:t>
      </w:r>
      <w:r w:rsidRPr="00801C2C">
        <w:t xml:space="preserve"> GST revenue among the </w:t>
      </w:r>
      <w:r>
        <w:t>s</w:t>
      </w:r>
      <w:r w:rsidRPr="00801C2C">
        <w:t>tates</w:t>
      </w:r>
      <w:r>
        <w:t xml:space="preserve"> and territories</w:t>
      </w:r>
      <w:r w:rsidRPr="00801C2C">
        <w:t xml:space="preserve"> in 202</w:t>
      </w:r>
      <w:r>
        <w:t>2</w:t>
      </w:r>
      <w:r>
        <w:noBreakHyphen/>
        <w:t>23</w:t>
      </w:r>
      <w:r w:rsidRPr="00801C2C">
        <w:t xml:space="preserve">. </w:t>
      </w:r>
    </w:p>
    <w:p w14:paraId="58C6A4EB" w14:textId="28427B23" w:rsidR="00661543" w:rsidRPr="007621D1" w:rsidRDefault="00661543" w:rsidP="00661543">
      <w:r w:rsidRPr="00055B7B">
        <w:t xml:space="preserve">In accordance with those terms of reference, we are also providing the </w:t>
      </w:r>
      <w:r>
        <w:t xml:space="preserve">update </w:t>
      </w:r>
      <w:r w:rsidRPr="00055B7B">
        <w:t xml:space="preserve">to the </w:t>
      </w:r>
      <w:r>
        <w:t>s</w:t>
      </w:r>
      <w:r w:rsidRPr="00055B7B">
        <w:t xml:space="preserve">tates </w:t>
      </w:r>
      <w:r>
        <w:t xml:space="preserve">and territories on </w:t>
      </w:r>
      <w:r w:rsidRPr="00C92032">
        <w:t>17 March 2022</w:t>
      </w:r>
      <w:r>
        <w:t>, under embargo</w:t>
      </w:r>
      <w:r w:rsidRPr="00055B7B">
        <w:t>.</w:t>
      </w:r>
    </w:p>
    <w:p w14:paraId="57B1B5C5" w14:textId="77777777" w:rsidR="00661543" w:rsidRPr="007621D1" w:rsidRDefault="00661543" w:rsidP="00661543">
      <w:r w:rsidRPr="007621D1">
        <w:t>Yours sincerely</w:t>
      </w:r>
    </w:p>
    <w:p w14:paraId="5B5B8C1C" w14:textId="77777777" w:rsidR="00661543" w:rsidRPr="007621D1" w:rsidRDefault="00661543" w:rsidP="00661543"/>
    <w:p w14:paraId="621AE277" w14:textId="77777777" w:rsidR="00661543" w:rsidRPr="007621D1" w:rsidRDefault="00661543" w:rsidP="00661543">
      <w:r>
        <w:rPr>
          <w:noProof/>
        </w:rPr>
        <w:drawing>
          <wp:inline distT="0" distB="0" distL="0" distR="0" wp14:anchorId="3B532B35" wp14:editId="137800B6">
            <wp:extent cx="1790700" cy="438150"/>
            <wp:effectExtent l="19050" t="19050" r="19050" b="19050"/>
            <wp:docPr id="1358171262" name="Picture 13581712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790700" cy="438150"/>
                    </a:xfrm>
                    <a:prstGeom prst="rect">
                      <a:avLst/>
                    </a:prstGeom>
                    <a:ln>
                      <a:solidFill>
                        <a:schemeClr val="bg1"/>
                      </a:solidFill>
                    </a:ln>
                  </pic:spPr>
                </pic:pic>
              </a:graphicData>
            </a:graphic>
          </wp:inline>
        </w:drawing>
      </w:r>
    </w:p>
    <w:p w14:paraId="3C6ED655" w14:textId="77777777" w:rsidR="00661543" w:rsidRPr="00D345BE" w:rsidRDefault="00661543" w:rsidP="00661543">
      <w:r>
        <w:t>Mike Callaghan AM PSM</w:t>
      </w:r>
    </w:p>
    <w:p w14:paraId="03215253" w14:textId="77777777" w:rsidR="00661543" w:rsidRDefault="00661543" w:rsidP="00661543">
      <w:r>
        <w:t>Chairperson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977"/>
        <w:gridCol w:w="3006"/>
      </w:tblGrid>
      <w:tr w:rsidR="00661543" w14:paraId="79F80D7A" w14:textId="77777777" w:rsidTr="00D30E68">
        <w:trPr>
          <w:trHeight w:val="794"/>
        </w:trPr>
        <w:tc>
          <w:tcPr>
            <w:tcW w:w="2972" w:type="dxa"/>
          </w:tcPr>
          <w:p w14:paraId="305FECA8" w14:textId="77777777" w:rsidR="00661543" w:rsidRDefault="00661543" w:rsidP="00D30E68">
            <w:r w:rsidRPr="00E11576">
              <w:rPr>
                <w:noProof/>
              </w:rPr>
              <w:drawing>
                <wp:inline distT="0" distB="0" distL="0" distR="0" wp14:anchorId="16563D35" wp14:editId="0576CBF0">
                  <wp:extent cx="1085936" cy="684000"/>
                  <wp:effectExtent l="0" t="0" r="0" b="1905"/>
                  <wp:docPr id="47" name="Picture 47"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antenna&#10;&#10;Description automatically generated"/>
                          <pic:cNvPicPr/>
                        </pic:nvPicPr>
                        <pic:blipFill>
                          <a:blip r:embed="rId27"/>
                          <a:stretch>
                            <a:fillRect/>
                          </a:stretch>
                        </pic:blipFill>
                        <pic:spPr>
                          <a:xfrm>
                            <a:off x="0" y="0"/>
                            <a:ext cx="1085936" cy="684000"/>
                          </a:xfrm>
                          <a:prstGeom prst="rect">
                            <a:avLst/>
                          </a:prstGeom>
                        </pic:spPr>
                      </pic:pic>
                    </a:graphicData>
                  </a:graphic>
                </wp:inline>
              </w:drawing>
            </w:r>
          </w:p>
        </w:tc>
        <w:tc>
          <w:tcPr>
            <w:tcW w:w="2977" w:type="dxa"/>
          </w:tcPr>
          <w:p w14:paraId="6B06ACD7" w14:textId="77777777" w:rsidR="00661543" w:rsidRDefault="00661543" w:rsidP="00D30E68">
            <w:r w:rsidRPr="002577FF">
              <w:rPr>
                <w:noProof/>
              </w:rPr>
              <w:drawing>
                <wp:inline distT="0" distB="0" distL="0" distR="0" wp14:anchorId="397A5F36" wp14:editId="26A37279">
                  <wp:extent cx="1548000" cy="436762"/>
                  <wp:effectExtent l="0" t="0" r="0" b="1905"/>
                  <wp:docPr id="2" name="Picture 2" descr="A picture containing text,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hanger&#10;&#10;Description automatically generated"/>
                          <pic:cNvPicPr/>
                        </pic:nvPicPr>
                        <pic:blipFill>
                          <a:blip r:embed="rId28"/>
                          <a:stretch>
                            <a:fillRect/>
                          </a:stretch>
                        </pic:blipFill>
                        <pic:spPr>
                          <a:xfrm>
                            <a:off x="0" y="0"/>
                            <a:ext cx="1548000" cy="436762"/>
                          </a:xfrm>
                          <a:prstGeom prst="rect">
                            <a:avLst/>
                          </a:prstGeom>
                        </pic:spPr>
                      </pic:pic>
                    </a:graphicData>
                  </a:graphic>
                </wp:inline>
              </w:drawing>
            </w:r>
          </w:p>
        </w:tc>
        <w:tc>
          <w:tcPr>
            <w:tcW w:w="2948" w:type="dxa"/>
          </w:tcPr>
          <w:p w14:paraId="7A21B3B5" w14:textId="77777777" w:rsidR="00661543" w:rsidRDefault="00661543" w:rsidP="00D30E68">
            <w:r w:rsidRPr="00ED6328">
              <w:rPr>
                <w:noProof/>
              </w:rPr>
              <w:drawing>
                <wp:inline distT="0" distB="0" distL="0" distR="0" wp14:anchorId="676B51A3" wp14:editId="1B27D793">
                  <wp:extent cx="1764000" cy="663387"/>
                  <wp:effectExtent l="0" t="0" r="8255" b="3810"/>
                  <wp:docPr id="50" name="Picture 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with medium confidence"/>
                          <pic:cNvPicPr/>
                        </pic:nvPicPr>
                        <pic:blipFill>
                          <a:blip r:embed="rId29"/>
                          <a:stretch>
                            <a:fillRect/>
                          </a:stretch>
                        </pic:blipFill>
                        <pic:spPr>
                          <a:xfrm>
                            <a:off x="0" y="0"/>
                            <a:ext cx="1764000" cy="663387"/>
                          </a:xfrm>
                          <a:prstGeom prst="rect">
                            <a:avLst/>
                          </a:prstGeom>
                        </pic:spPr>
                      </pic:pic>
                    </a:graphicData>
                  </a:graphic>
                </wp:inline>
              </w:drawing>
            </w:r>
          </w:p>
        </w:tc>
      </w:tr>
    </w:tbl>
    <w:p w14:paraId="3C2A02B9" w14:textId="77777777" w:rsidR="00661543" w:rsidRDefault="00661543" w:rsidP="00661543">
      <w:pPr>
        <w:tabs>
          <w:tab w:val="left" w:pos="3402"/>
          <w:tab w:val="left" w:pos="6804"/>
        </w:tabs>
      </w:pPr>
      <w:r>
        <w:t>J D Petchey</w:t>
      </w:r>
      <w:r>
        <w:tab/>
        <w:t>L S Williams AM</w:t>
      </w:r>
      <w:r>
        <w:tab/>
        <w:t>The Hon P W Hendy</w:t>
      </w:r>
    </w:p>
    <w:p w14:paraId="5EC6F81A" w14:textId="430BA9F5" w:rsidR="00645E85" w:rsidRPr="00645E85" w:rsidRDefault="00661543" w:rsidP="0004064D">
      <w:pPr>
        <w:pStyle w:val="CGCBodyCopy"/>
      </w:pPr>
      <w:r>
        <w:t>Member</w:t>
      </w:r>
      <w:r w:rsidR="00157B0C">
        <w:tab/>
      </w:r>
      <w:r w:rsidR="00157B0C">
        <w:tab/>
      </w:r>
      <w:r w:rsidR="00157B0C">
        <w:tab/>
      </w:r>
      <w:r>
        <w:tab/>
        <w:t>Member</w:t>
      </w:r>
      <w:r w:rsidR="00157B0C">
        <w:tab/>
      </w:r>
      <w:r w:rsidR="00D1404D">
        <w:tab/>
      </w:r>
      <w:r w:rsidR="00D1404D">
        <w:tab/>
      </w:r>
      <w:r w:rsidR="00D1404D">
        <w:tab/>
      </w:r>
      <w:r>
        <w:t>Member</w:t>
      </w:r>
    </w:p>
    <w:p w14:paraId="1CDEC14D" w14:textId="77777777" w:rsidR="00506E0B" w:rsidRDefault="00506E0B">
      <w:pPr>
        <w:tabs>
          <w:tab w:val="clear" w:pos="567"/>
        </w:tabs>
        <w:spacing w:before="0" w:line="240" w:lineRule="auto"/>
        <w:sectPr w:rsidR="00506E0B" w:rsidSect="008E2BFE">
          <w:pgSz w:w="11900" w:h="16840"/>
          <w:pgMar w:top="1247" w:right="1418" w:bottom="1134" w:left="1418" w:header="709" w:footer="284" w:gutter="0"/>
          <w:pgNumType w:fmt="lowerRoman" w:start="1"/>
          <w:cols w:space="708"/>
          <w:docGrid w:linePitch="360"/>
        </w:sectPr>
      </w:pPr>
    </w:p>
    <w:p w14:paraId="491675CB" w14:textId="4624A173" w:rsidR="0048769C" w:rsidRPr="0048769C" w:rsidRDefault="00774105" w:rsidP="000D6032">
      <w:pPr>
        <w:pStyle w:val="Heading1"/>
        <w:rPr>
          <w:b w:val="0"/>
        </w:rPr>
      </w:pPr>
      <w:bookmarkStart w:id="3" w:name="_Toc65050514"/>
      <w:r>
        <w:rPr>
          <w:noProof/>
        </w:rPr>
        <w:drawing>
          <wp:anchor distT="0" distB="0" distL="114300" distR="114300" simplePos="0" relativeHeight="251658261" behindDoc="1" locked="1" layoutInCell="1" allowOverlap="1" wp14:anchorId="06529FBC" wp14:editId="5FAE36A8">
            <wp:simplePos x="0" y="0"/>
            <wp:positionH relativeFrom="page">
              <wp:posOffset>6985</wp:posOffset>
            </wp:positionH>
            <wp:positionV relativeFrom="page">
              <wp:posOffset>6985</wp:posOffset>
            </wp:positionV>
            <wp:extent cx="7563485" cy="10691495"/>
            <wp:effectExtent l="0" t="0" r="0" b="0"/>
            <wp:wrapNone/>
            <wp:docPr id="97" name="Picture 9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48769C" w:rsidRPr="0048769C">
        <w:rPr>
          <w:b w:val="0"/>
        </w:rPr>
        <w:t>Acknowledgements</w:t>
      </w:r>
      <w:bookmarkEnd w:id="3"/>
    </w:p>
    <w:p w14:paraId="7DB1CE60" w14:textId="7A97D632" w:rsidR="0048769C" w:rsidRPr="0048769C" w:rsidRDefault="0048769C" w:rsidP="0004064D">
      <w:pPr>
        <w:pStyle w:val="CGCBodyCopy"/>
      </w:pPr>
      <w:r w:rsidRPr="0048769C">
        <w:t xml:space="preserve">The Commission appreciates the co-operation extended to the Commission and its staff during this update by staff of Commonwealth and </w:t>
      </w:r>
      <w:r w:rsidR="00EC76C8">
        <w:t>s</w:t>
      </w:r>
      <w:r w:rsidRPr="0048769C">
        <w:t>tate Treasuries and other agencies.</w:t>
      </w:r>
    </w:p>
    <w:p w14:paraId="29472CB7" w14:textId="1228F4A9" w:rsidR="0048769C" w:rsidRDefault="0048769C" w:rsidP="0004064D">
      <w:pPr>
        <w:pStyle w:val="CGCBodyCopy"/>
      </w:pPr>
      <w:r w:rsidRPr="0048769C">
        <w:t>The Commission also acknowledges the commitment and excellent contribution of its staff.</w:t>
      </w:r>
    </w:p>
    <w:p w14:paraId="271F9F55" w14:textId="77777777" w:rsidR="00645E85" w:rsidRDefault="00645E85" w:rsidP="0004064D">
      <w:pPr>
        <w:pStyle w:val="CGCBodyCopy"/>
        <w:sectPr w:rsidR="00645E85" w:rsidSect="008E2BFE">
          <w:pgSz w:w="11900" w:h="16840"/>
          <w:pgMar w:top="1247" w:right="1418" w:bottom="1134" w:left="1418" w:header="709" w:footer="284" w:gutter="0"/>
          <w:pgNumType w:fmt="lowerRoman"/>
          <w:cols w:space="708"/>
          <w:docGrid w:linePitch="360"/>
        </w:sectPr>
      </w:pPr>
    </w:p>
    <w:p w14:paraId="29C47158" w14:textId="5BBA6779" w:rsidR="00DD2181" w:rsidRPr="00A84034" w:rsidRDefault="00D151F4" w:rsidP="00A84034">
      <w:pPr>
        <w:pStyle w:val="Heading1"/>
      </w:pPr>
      <w:bookmarkStart w:id="4" w:name="_Toc65050515"/>
      <w:bookmarkStart w:id="5" w:name="_Toc96074910"/>
      <w:r w:rsidRPr="00A84034">
        <w:rPr>
          <w:noProof/>
        </w:rPr>
        <w:drawing>
          <wp:anchor distT="0" distB="0" distL="114300" distR="114300" simplePos="0" relativeHeight="251658280" behindDoc="1" locked="1" layoutInCell="1" allowOverlap="1" wp14:anchorId="2F7D1CAD" wp14:editId="10396243">
            <wp:simplePos x="0" y="0"/>
            <wp:positionH relativeFrom="page">
              <wp:posOffset>3810</wp:posOffset>
            </wp:positionH>
            <wp:positionV relativeFrom="margin">
              <wp:posOffset>-783590</wp:posOffset>
            </wp:positionV>
            <wp:extent cx="7563485" cy="10691495"/>
            <wp:effectExtent l="0" t="0" r="0" b="0"/>
            <wp:wrapNone/>
            <wp:docPr id="10" name="Picture 1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DD2181" w:rsidRPr="00A84034">
        <w:t>Terms of reference</w:t>
      </w:r>
      <w:bookmarkEnd w:id="4"/>
      <w:bookmarkEnd w:id="5"/>
    </w:p>
    <w:p w14:paraId="1920843F" w14:textId="0809E588" w:rsidR="00C92032" w:rsidRPr="00C92032" w:rsidRDefault="00E92B97" w:rsidP="00C92032">
      <w:r>
        <w:rPr>
          <w:noProof/>
        </w:rPr>
        <w:drawing>
          <wp:inline distT="0" distB="0" distL="0" distR="0" wp14:anchorId="70342B12" wp14:editId="5E2B8AED">
            <wp:extent cx="5400213" cy="8312150"/>
            <wp:effectExtent l="0" t="0" r="0" b="0"/>
            <wp:docPr id="89" name="Picture 89" descr="THE HON JOSH FRYDENBERG MP&#10;TREASURER&#10;&#10;Ref: MS22-000498&#10;&#10;Mr Michael Callaghan AM PSM Chairperson&#10;Commonwealth Grants Commission Second Floor, Phoenix House&#10;86-88 Northboume Ave&#10;BRADDON ACT 2612&#10;&#10;Dear Mr Callaghan&#10;&#10;Please find attached the terms of reference for the Commonwealth Grants Commission's 2022 Update of GST Revenue Sharing Relativities.&#10;&#10;The Commission should provide its report to the Government and the states and territories by 17 March 2022. The terms of reference also direct that the report be released publicly on&#10;25 March 2022.&#10;&#10;Yours sincerely&#10;&#10;THE HON JOSH FRYDENBERG MP&#10;16/3/2022&#10;Enc: Terms of reference for the 2022 Update of GST Revenue Sharing Relativities&#10;Parliament House Canberra ACT 2600 Australia Telephone: 61 2 6277 7340 I Facsimile: 61 2 6273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E HON JOSH FRYDENBERG MP&#10;TREASURER&#10;&#10;Ref: MS22-000498&#10;&#10;Mr Michael Callaghan AM PSM Chairperson&#10;Commonwealth Grants Commission Second Floor, Phoenix House&#10;86-88 Northboume Ave&#10;BRADDON ACT 2612&#10;&#10;Dear Mr Callaghan&#10;&#10;Please find attached the terms of reference for the Commonwealth Grants Commission's 2022 Update of GST Revenue Sharing Relativities.&#10;&#10;The Commission should provide its report to the Government and the states and territories by 17 March 2022. The terms of reference also direct that the report be released publicly on&#10;25 March 2022.&#10;&#10;Yours sincerely&#10;&#10;THE HON JOSH FRYDENBERG MP&#10;16/3/2022&#10;Enc: Terms of reference for the 2022 Update of GST Revenue Sharing Relativities&#10;Parliament House Canberra ACT 2600 Australia Telephone: 61 2 6277 7340 I Facsimile: 61 2 6273 34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2842" cy="8331590"/>
                    </a:xfrm>
                    <a:prstGeom prst="rect">
                      <a:avLst/>
                    </a:prstGeom>
                    <a:noFill/>
                    <a:ln>
                      <a:noFill/>
                    </a:ln>
                  </pic:spPr>
                </pic:pic>
              </a:graphicData>
            </a:graphic>
          </wp:inline>
        </w:drawing>
      </w:r>
    </w:p>
    <w:p w14:paraId="267CA190" w14:textId="619A3D80" w:rsidR="00C92032" w:rsidRPr="00C92032" w:rsidRDefault="00644E0F" w:rsidP="00C92032">
      <w:r>
        <w:rPr>
          <w:noProof/>
        </w:rPr>
        <w:drawing>
          <wp:anchor distT="0" distB="0" distL="114300" distR="114300" simplePos="0" relativeHeight="251660361" behindDoc="1" locked="1" layoutInCell="1" allowOverlap="1" wp14:anchorId="753652D4" wp14:editId="59AB9761">
            <wp:simplePos x="0" y="0"/>
            <wp:positionH relativeFrom="page">
              <wp:align>left</wp:align>
            </wp:positionH>
            <wp:positionV relativeFrom="margin">
              <wp:posOffset>-786130</wp:posOffset>
            </wp:positionV>
            <wp:extent cx="7563485" cy="10691495"/>
            <wp:effectExtent l="0" t="0" r="0" b="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E92B97">
        <w:rPr>
          <w:noProof/>
        </w:rPr>
        <w:drawing>
          <wp:inline distT="0" distB="0" distL="0" distR="0" wp14:anchorId="19CC52FD" wp14:editId="40323CC8">
            <wp:extent cx="5753100" cy="7569200"/>
            <wp:effectExtent l="0" t="0" r="0" b="0"/>
            <wp:docPr id="90" name="Picture 90" descr="Terms of Reference for the 2022 Update of GST Revenue Sharing Relativities&#10;COMMONWEALTH GRANTS COMMISSION ACT 1973&#10;1) I, Josh Frydenberg, Treasurer, pursuant to sections 16, 16A, 16AA and 16AB of the Commonwealth Grants Commission Act 1973 (the Act) refer to the Commission for inquiry into and report upon the recommended GST revenue sharing relativities to be used to distribute GST revenue among the states, the Northern Territory  and  the  Australian Capital Territory (the states) in 2022-23.&#10;GST Relativities for 2022-23&#10;2) The Commission should undertake an assessment of the GST revenue sharing relativities recommended to be used to distribute GST revenue among the states in 2022-23, consistent with the objective in subsection 16AB(2) of  the  Act, the  transitional  proportions in subsection 16AB(3) of the Act, the GST revenue sharing relativity  factor in subsection 8(2A) of the Federal Financial Relations Act 2009 and the pool top-ups for a payment year as outlined in section 8A of the Federal Financial Relations Act 2009.&#10;(a) The Commission's assessment should be based on the assessment years 2018-19 to 2020-21 inclusive.&#10;(b) To assist in ensuring that each state and territory will get the better of the current or the former GST distribution, the Commission  should  also  provide  relativities  that would have applied if the Treasury Laws Amendment (Making Sure Every State and Territory Gets Their Fair Share of the GST) Act 2018 had not been enacted.&#10;3) The Commission's assessment should take into account the Intergovernmental Agreement as defined under the Federal Financial Relations Act 2009, which provides that GST revenue will be distributed among the states in accordance with the principle of horizontal fiscal equalisation (HFE).&#10;4) Subject to paragraphs 5 - 6, the Commission's assessment should be based on the application of the same principles, categories and methods of assessment that the Commission used to calculate the GST revenue sharing relativities in its Report on GST Revenue Sharing Relativities - 2021 Update.&#10;5) The Commission's assessment should treat Commonwealth payments to the states as follows:&#10;(a) National Specific Purpose Payments (NSPPs), National Health Reform (NHR) funding, Quality Schools funding (for government schools) and National Partnership project payments should affect the relativities, recognising that these payments provide the states with budget support for providing standard state services.&#10;i. NHR funding and corresponding expenditure relating to the provision of&#10;cross-border services to the residents of other states should be allocated to states on the basis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erms of Reference for the 2022 Update of GST Revenue Sharing Relativities&#10;COMMONWEALTH GRANTS COMMISSION ACT 1973&#10;1) I, Josh Frydenberg, Treasurer, pursuant to sections 16, 16A, 16AA and 16AB of the Commonwealth Grants Commission Act 1973 (the Act) refer to the Commission for inquiry into and report upon the recommended GST revenue sharing relativities to be used to distribute GST revenue among the states, the Northern Territory  and  the  Australian Capital Territory (the states) in 2022-23.&#10;GST Relativities for 2022-23&#10;2) The Commission should undertake an assessment of the GST revenue sharing relativities recommended to be used to distribute GST revenue among the states in 2022-23, consistent with the objective in subsection 16AB(2) of  the  Act, the  transitional  proportions in subsection 16AB(3) of the Act, the GST revenue sharing relativity  factor in subsection 8(2A) of the Federal Financial Relations Act 2009 and the pool top-ups for a payment year as outlined in section 8A of the Federal Financial Relations Act 2009.&#10;(a) The Commission's assessment should be based on the assessment years 2018-19 to 2020-21 inclusive.&#10;(b) To assist in ensuring that each state and territory will get the better of the current or the former GST distribution, the Commission  should  also  provide  relativities  that would have applied if the Treasury Laws Amendment (Making Sure Every State and Territory Gets Their Fair Share of the GST) Act 2018 had not been enacted.&#10;3) The Commission's assessment should take into account the Intergovernmental Agreement as defined under the Federal Financial Relations Act 2009, which provides that GST revenue will be distributed among the states in accordance with the principle of horizontal fiscal equalisation (HFE).&#10;4) Subject to paragraphs 5 - 6, the Commission's assessment should be based on the application of the same principles, categories and methods of assessment that the Commission used to calculate the GST revenue sharing relativities in its Report on GST Revenue Sharing Relativities - 2021 Update.&#10;5) The Commission's assessment should treat Commonwealth payments to the states as follows:&#10;(a) National Specific Purpose Payments (NSPPs), National Health Reform (NHR) funding, Quality Schools funding (for government schools) and National Partnership project payments should affect the relativities, recognising that these payments provide the states with budget support for providing standard state services.&#10;i. NHR funding and corresponding expenditure relating to the provision of&#10;cross-border services to the residents of other states should be allocated to states on the basis of res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7569200"/>
                    </a:xfrm>
                    <a:prstGeom prst="rect">
                      <a:avLst/>
                    </a:prstGeom>
                    <a:noFill/>
                    <a:ln>
                      <a:noFill/>
                    </a:ln>
                  </pic:spPr>
                </pic:pic>
              </a:graphicData>
            </a:graphic>
          </wp:inline>
        </w:drawing>
      </w:r>
    </w:p>
    <w:p w14:paraId="75157ABD" w14:textId="340E8762" w:rsidR="00645E85" w:rsidRDefault="00644E0F" w:rsidP="00645E85">
      <w:r>
        <w:rPr>
          <w:noProof/>
        </w:rPr>
        <w:drawing>
          <wp:anchor distT="0" distB="0" distL="114300" distR="114300" simplePos="0" relativeHeight="251662409" behindDoc="1" locked="1" layoutInCell="1" allowOverlap="1" wp14:anchorId="441474FF" wp14:editId="3BF1531E">
            <wp:simplePos x="0" y="0"/>
            <wp:positionH relativeFrom="page">
              <wp:align>right</wp:align>
            </wp:positionH>
            <wp:positionV relativeFrom="margin">
              <wp:posOffset>-786130</wp:posOffset>
            </wp:positionV>
            <wp:extent cx="7563485" cy="10691495"/>
            <wp:effectExtent l="0" t="0" r="0" b="0"/>
            <wp:wrapNone/>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E92B97">
        <w:rPr>
          <w:noProof/>
        </w:rPr>
        <w:drawing>
          <wp:inline distT="0" distB="0" distL="0" distR="0" wp14:anchorId="6E881491" wp14:editId="79D04897">
            <wp:extent cx="5746750" cy="7734300"/>
            <wp:effectExtent l="0" t="0" r="6350" b="0"/>
            <wp:docPr id="92" name="Picture 92" descr="(b) National Partnership facilitation and reward payments should not affect the relativities, so that any benefit to a state from achieving specified outputs sought by the Commonwealth, or through implementing reforms, will not be redistributed to other states through the horizontal fiscal equalisation process.&#10;(c) General revenue assistance, excluding GST payments, will affect the relativities, recognising that these payments are available to provide untied general budget support to a state.&#10;(d) Notwithstanding subparagraphs 5(a) - (c), the Commission may determine that it is appropriate for particular payments to be treated differently, reflecting the nature of the particular payment and the role of state governments in providing particular services.&#10;(e) Those payments which the Commission has previously been directed to treat as having no direct influence on the relativities, including payments for which the Commission has been directed to apply a 50 per cent discount, should continue to be treated in that way. Where those payments are replaced, the treatment of the new payment should be guided by subparagraphs 5(a) - (d), unless otherwise directed.&#10;GST Relativities for 2022-23 - Consultation and Data&#10;&#10;6) Where possible, the Commission should:&#10;(a) aim to have assessments that are simple and consistent with the quality and fitness for purpose of the available data;&#10;(b) use the latest available data consistent with this; and&#10;(c) ensure robust quality assurance processes.&#10;7) If data problems arise, subject to consultation with the states, the Commission should proceed on the basis that:&#10;(a) new, more reliable data that was not previously considered would be used in the first possible update, if method changes were not required; or&#10;(b) if overcoming the data problems necessitated method changes, revised methods would be used in the first possible update, subject to consultation with the states during.that update.&#10;GST Relativities for 2022-23 - The Report&#10;&#10;8) The Commission should provide a copy of its report on GST Relativities for 2022-23, under embargo, to the Commonwealth and the states on or before 17 March 2022. The Commission should release the report publicly on 25 March 2022.&#10;9) The Commission should consult the Commonwealth and the states before deciding on any changes in methods that arise as a result of a significant change in arrangements which govern Commonwealth-state relations and which are considered appropriate for the Commission to fulfil its obligations in respect of these terms of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b) National Partnership facilitation and reward payments should not affect the relativities, so that any benefit to a state from achieving specified outputs sought by the Commonwealth, or through implementing reforms, will not be redistributed to other states through the horizontal fiscal equalisation process.&#10;(c) General revenue assistance, excluding GST payments, will affect the relativities, recognising that these payments are available to provide untied general budget support to a state.&#10;(d) Notwithstanding subparagraphs 5(a) - (c), the Commission may determine that it is appropriate for particular payments to be treated differently, reflecting the nature of the particular payment and the role of state governments in providing particular services.&#10;(e) Those payments which the Commission has previously been directed to treat as having no direct influence on the relativities, including payments for which the Commission has been directed to apply a 50 per cent discount, should continue to be treated in that way. Where those payments are replaced, the treatment of the new payment should be guided by subparagraphs 5(a) - (d), unless otherwise directed.&#10;GST Relativities for 2022-23 - Consultation and Data&#10;&#10;6) Where possible, the Commission should:&#10;(a) aim to have assessments that are simple and consistent with the quality and fitness for purpose of the available data;&#10;(b) use the latest available data consistent with this; and&#10;(c) ensure robust quality assurance processes.&#10;7) If data problems arise, subject to consultation with the states, the Commission should proceed on the basis that:&#10;(a) new, more reliable data that was not previously considered would be used in the first possible update, if method changes were not required; or&#10;(b) if overcoming the data problems necessitated method changes, revised methods would be used in the first possible update, subject to consultation with the states during.that update.&#10;GST Relativities for 2022-23 - The Report&#10;&#10;8) The Commission should provide a copy of its report on GST Relativities for 2022-23, under embargo, to the Commonwealth and the states on or before 17 March 2022. The Commission should release the report publicly on 25 March 2022.&#10;9) The Commission should consult the Commonwealth and the states before deciding on any changes in methods that arise as a result of a significant change in arrangements which govern Commonwealth-state relations and which are considered appropriate for the Commission to fulfil its obligations in respect of these terms of refer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6750" cy="7734300"/>
                    </a:xfrm>
                    <a:prstGeom prst="rect">
                      <a:avLst/>
                    </a:prstGeom>
                    <a:noFill/>
                    <a:ln>
                      <a:noFill/>
                    </a:ln>
                  </pic:spPr>
                </pic:pic>
              </a:graphicData>
            </a:graphic>
          </wp:inline>
        </w:drawing>
      </w:r>
      <w:r>
        <w:rPr>
          <w:noProof/>
        </w:rPr>
        <w:drawing>
          <wp:anchor distT="0" distB="0" distL="114300" distR="114300" simplePos="0" relativeHeight="251664457" behindDoc="1" locked="1" layoutInCell="1" allowOverlap="1" wp14:anchorId="2C6C7A24" wp14:editId="0645A531">
            <wp:simplePos x="0" y="0"/>
            <wp:positionH relativeFrom="page">
              <wp:posOffset>5715</wp:posOffset>
            </wp:positionH>
            <wp:positionV relativeFrom="margin">
              <wp:posOffset>-779780</wp:posOffset>
            </wp:positionV>
            <wp:extent cx="7563485" cy="10691495"/>
            <wp:effectExtent l="0" t="0" r="0" b="0"/>
            <wp:wrapNone/>
            <wp:docPr id="20" name="Picture 2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E92B97">
        <w:rPr>
          <w:noProof/>
        </w:rPr>
        <w:drawing>
          <wp:inline distT="0" distB="0" distL="0" distR="0" wp14:anchorId="70AEEF18" wp14:editId="318B708B">
            <wp:extent cx="5746750" cy="7950200"/>
            <wp:effectExtent l="0" t="0" r="6350" b="0"/>
            <wp:docPr id="107" name="Picture 107" descr="10) To the extent possible, the Commission should, upon reporting, provide all parties with details underpinning its calculations and assessments, and endeavour to meet requests for supplementary calculations.&#10;&#10;JOSH FRYDENBERG&#10;16/3/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10) To the extent possible, the Commission should, upon reporting, provide all parties with details underpinning its calculations and assessments, and endeavour to meet requests for supplementary calculations.&#10;&#10;JOSH FRYDENBERG&#10;16/3/2022&#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6750" cy="7950200"/>
                    </a:xfrm>
                    <a:prstGeom prst="rect">
                      <a:avLst/>
                    </a:prstGeom>
                    <a:noFill/>
                    <a:ln>
                      <a:noFill/>
                    </a:ln>
                  </pic:spPr>
                </pic:pic>
              </a:graphicData>
            </a:graphic>
          </wp:inline>
        </w:drawing>
      </w:r>
    </w:p>
    <w:p w14:paraId="204FACBC" w14:textId="77777777" w:rsidR="00645E85" w:rsidRDefault="00645E85" w:rsidP="00645E85"/>
    <w:p w14:paraId="291A9CDD" w14:textId="719696F5" w:rsidR="00645E85" w:rsidRDefault="00645E85" w:rsidP="00645E85">
      <w:pPr>
        <w:sectPr w:rsidR="00645E85" w:rsidSect="008E2BFE">
          <w:pgSz w:w="11900" w:h="16840"/>
          <w:pgMar w:top="1247" w:right="1418" w:bottom="1134" w:left="1418" w:header="709" w:footer="284" w:gutter="0"/>
          <w:pgNumType w:fmt="lowerRoman"/>
          <w:cols w:space="708"/>
          <w:docGrid w:linePitch="360"/>
        </w:sectPr>
      </w:pPr>
    </w:p>
    <w:p w14:paraId="7B81AC35" w14:textId="7D009343" w:rsidR="002051BB" w:rsidRDefault="002051BB" w:rsidP="00645E85">
      <w:pPr>
        <w:pStyle w:val="Heading1"/>
        <w:rPr>
          <w:shd w:val="clear" w:color="auto" w:fill="FFFFFF"/>
        </w:rPr>
      </w:pPr>
      <w:bookmarkStart w:id="6" w:name="_Toc65050516"/>
      <w:bookmarkStart w:id="7" w:name="_Toc96074911"/>
      <w:r w:rsidRPr="002051BB">
        <w:rPr>
          <w:shd w:val="clear" w:color="auto" w:fill="FFFFFF"/>
        </w:rPr>
        <w:t>L</w:t>
      </w:r>
      <w:r w:rsidR="00643BE9">
        <w:rPr>
          <w:noProof/>
        </w:rPr>
        <w:drawing>
          <wp:anchor distT="0" distB="0" distL="114300" distR="114300" simplePos="0" relativeHeight="251658243" behindDoc="1" locked="1" layoutInCell="1" allowOverlap="1" wp14:anchorId="131B06DC" wp14:editId="6027B90E">
            <wp:simplePos x="0" y="0"/>
            <wp:positionH relativeFrom="page">
              <wp:posOffset>3810</wp:posOffset>
            </wp:positionH>
            <wp:positionV relativeFrom="margin">
              <wp:posOffset>-784860</wp:posOffset>
            </wp:positionV>
            <wp:extent cx="7563600" cy="10692000"/>
            <wp:effectExtent l="0" t="0" r="0" b="0"/>
            <wp:wrapNone/>
            <wp:docPr id="11" name="Picture 1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Pr="002051BB">
        <w:rPr>
          <w:shd w:val="clear" w:color="auto" w:fill="FFFFFF"/>
        </w:rPr>
        <w:t>ist of acronyms</w:t>
      </w:r>
      <w:bookmarkEnd w:id="6"/>
      <w:bookmarkEnd w:id="7"/>
      <w:r w:rsidRPr="002051BB">
        <w:rPr>
          <w:shd w:val="clear" w:color="auto" w:fill="FFFFFF"/>
        </w:rPr>
        <w:t xml:space="preserve"> </w:t>
      </w:r>
    </w:p>
    <w:tbl>
      <w:tblPr>
        <w:tblW w:w="8940" w:type="dxa"/>
        <w:tblInd w:w="93" w:type="dxa"/>
        <w:tblBorders>
          <w:top w:val="single" w:sz="4" w:space="0" w:color="ADD6EA"/>
          <w:bottom w:val="single" w:sz="4" w:space="0" w:color="ADD6EA"/>
          <w:insideH w:val="single" w:sz="4" w:space="0" w:color="ADD6EA"/>
        </w:tblBorders>
        <w:tblLook w:val="04A0" w:firstRow="1" w:lastRow="0" w:firstColumn="1" w:lastColumn="0" w:noHBand="0" w:noVBand="1"/>
      </w:tblPr>
      <w:tblGrid>
        <w:gridCol w:w="1440"/>
        <w:gridCol w:w="7500"/>
      </w:tblGrid>
      <w:tr w:rsidR="008F2197" w:rsidRPr="008F2197" w14:paraId="104A2D9E" w14:textId="77777777" w:rsidTr="00C95FB6">
        <w:trPr>
          <w:trHeight w:val="315"/>
        </w:trPr>
        <w:tc>
          <w:tcPr>
            <w:tcW w:w="1440" w:type="dxa"/>
            <w:shd w:val="clear" w:color="auto" w:fill="auto"/>
          </w:tcPr>
          <w:p w14:paraId="2CA36962" w14:textId="77777777" w:rsidR="008F2197" w:rsidRPr="00EB4428" w:rsidRDefault="008F2197" w:rsidP="00C95FB6">
            <w:pPr>
              <w:spacing w:before="0"/>
              <w:rPr>
                <w:rFonts w:ascii="Work Sans" w:hAnsi="Work Sans"/>
                <w:sz w:val="24"/>
                <w:szCs w:val="24"/>
              </w:rPr>
            </w:pPr>
            <w:r w:rsidRPr="00EB4428">
              <w:rPr>
                <w:rFonts w:ascii="Work Sans" w:hAnsi="Work Sans"/>
                <w:sz w:val="24"/>
                <w:szCs w:val="24"/>
              </w:rPr>
              <w:t>ABS</w:t>
            </w:r>
          </w:p>
        </w:tc>
        <w:tc>
          <w:tcPr>
            <w:tcW w:w="7500" w:type="dxa"/>
            <w:shd w:val="clear" w:color="auto" w:fill="auto"/>
          </w:tcPr>
          <w:p w14:paraId="140EA12E" w14:textId="77777777" w:rsidR="008F2197" w:rsidRPr="00EB4428" w:rsidRDefault="008F2197" w:rsidP="00C95FB6">
            <w:pPr>
              <w:spacing w:before="0"/>
              <w:rPr>
                <w:rFonts w:ascii="Work Sans" w:hAnsi="Work Sans"/>
                <w:sz w:val="24"/>
                <w:szCs w:val="24"/>
              </w:rPr>
            </w:pPr>
            <w:r w:rsidRPr="00EB4428">
              <w:rPr>
                <w:rFonts w:ascii="Work Sans" w:hAnsi="Work Sans"/>
                <w:sz w:val="24"/>
                <w:szCs w:val="24"/>
              </w:rPr>
              <w:t>Australian Bureau of Statistics</w:t>
            </w:r>
          </w:p>
        </w:tc>
      </w:tr>
      <w:tr w:rsidR="008F2197" w:rsidRPr="008F2197" w14:paraId="71EB47A3" w14:textId="77777777" w:rsidTr="00C95FB6">
        <w:trPr>
          <w:trHeight w:val="315"/>
        </w:trPr>
        <w:tc>
          <w:tcPr>
            <w:tcW w:w="1440" w:type="dxa"/>
            <w:shd w:val="clear" w:color="auto" w:fill="auto"/>
          </w:tcPr>
          <w:p w14:paraId="08C4B9F4" w14:textId="77777777" w:rsidR="008F2197" w:rsidRPr="00EB4428" w:rsidRDefault="008F2197" w:rsidP="00C95FB6">
            <w:pPr>
              <w:spacing w:before="0"/>
              <w:rPr>
                <w:rFonts w:ascii="Work Sans" w:hAnsi="Work Sans"/>
                <w:sz w:val="24"/>
                <w:szCs w:val="24"/>
              </w:rPr>
            </w:pPr>
            <w:r w:rsidRPr="00EB4428">
              <w:rPr>
                <w:rFonts w:ascii="Work Sans" w:hAnsi="Work Sans"/>
                <w:sz w:val="24"/>
                <w:szCs w:val="24"/>
              </w:rPr>
              <w:t>ACT</w:t>
            </w:r>
          </w:p>
        </w:tc>
        <w:tc>
          <w:tcPr>
            <w:tcW w:w="7500" w:type="dxa"/>
            <w:shd w:val="clear" w:color="auto" w:fill="auto"/>
          </w:tcPr>
          <w:p w14:paraId="7E1E77EA" w14:textId="77777777" w:rsidR="008F2197" w:rsidRPr="00EB4428" w:rsidRDefault="008F2197" w:rsidP="00C95FB6">
            <w:pPr>
              <w:spacing w:before="0"/>
              <w:rPr>
                <w:rFonts w:ascii="Work Sans" w:hAnsi="Work Sans"/>
                <w:sz w:val="24"/>
                <w:szCs w:val="24"/>
              </w:rPr>
            </w:pPr>
            <w:r w:rsidRPr="00EB4428">
              <w:rPr>
                <w:rFonts w:ascii="Work Sans" w:hAnsi="Work Sans"/>
                <w:sz w:val="24"/>
                <w:szCs w:val="24"/>
              </w:rPr>
              <w:t>Australian Capital Territory</w:t>
            </w:r>
          </w:p>
        </w:tc>
      </w:tr>
      <w:tr w:rsidR="008F2197" w:rsidRPr="008F2197" w14:paraId="4F327FF0" w14:textId="77777777" w:rsidTr="00C95FB6">
        <w:trPr>
          <w:trHeight w:val="315"/>
        </w:trPr>
        <w:tc>
          <w:tcPr>
            <w:tcW w:w="1440" w:type="dxa"/>
            <w:shd w:val="clear" w:color="auto" w:fill="auto"/>
          </w:tcPr>
          <w:p w14:paraId="6A282D53" w14:textId="216187B4" w:rsidR="008F2197" w:rsidRPr="00EB4428" w:rsidRDefault="004C5272" w:rsidP="00C95FB6">
            <w:pPr>
              <w:spacing w:before="0"/>
              <w:rPr>
                <w:rFonts w:ascii="Work Sans" w:hAnsi="Work Sans"/>
                <w:sz w:val="24"/>
                <w:szCs w:val="24"/>
              </w:rPr>
            </w:pPr>
            <w:r w:rsidRPr="00EB4428">
              <w:rPr>
                <w:rFonts w:ascii="Work Sans" w:hAnsi="Work Sans"/>
                <w:sz w:val="24"/>
                <w:szCs w:val="24"/>
              </w:rPr>
              <w:t>CoE</w:t>
            </w:r>
          </w:p>
        </w:tc>
        <w:tc>
          <w:tcPr>
            <w:tcW w:w="7500" w:type="dxa"/>
            <w:shd w:val="clear" w:color="auto" w:fill="auto"/>
          </w:tcPr>
          <w:p w14:paraId="225FC5C3" w14:textId="1A83D9A5" w:rsidR="008F2197" w:rsidRPr="00EB4428" w:rsidRDefault="004C5272" w:rsidP="004C5272">
            <w:pPr>
              <w:tabs>
                <w:tab w:val="clear" w:pos="567"/>
                <w:tab w:val="left" w:pos="1000"/>
              </w:tabs>
              <w:spacing w:before="0"/>
              <w:rPr>
                <w:rFonts w:ascii="Work Sans" w:hAnsi="Work Sans"/>
                <w:sz w:val="24"/>
                <w:szCs w:val="24"/>
              </w:rPr>
            </w:pPr>
            <w:r w:rsidRPr="00EB4428">
              <w:rPr>
                <w:rFonts w:ascii="Work Sans" w:hAnsi="Work Sans"/>
                <w:sz w:val="24"/>
                <w:szCs w:val="24"/>
              </w:rPr>
              <w:t>Compensation of Employees</w:t>
            </w:r>
          </w:p>
        </w:tc>
      </w:tr>
      <w:tr w:rsidR="008F2197" w:rsidRPr="008F2197" w14:paraId="56C4C49A" w14:textId="77777777" w:rsidTr="00C95FB6">
        <w:trPr>
          <w:trHeight w:val="315"/>
        </w:trPr>
        <w:tc>
          <w:tcPr>
            <w:tcW w:w="1440" w:type="dxa"/>
            <w:shd w:val="clear" w:color="auto" w:fill="auto"/>
          </w:tcPr>
          <w:p w14:paraId="6B95A6D0" w14:textId="6F288A9B" w:rsidR="008F2197" w:rsidRPr="00EB4428" w:rsidRDefault="00E11436" w:rsidP="00C95FB6">
            <w:pPr>
              <w:spacing w:before="0"/>
              <w:rPr>
                <w:rFonts w:ascii="Work Sans" w:hAnsi="Work Sans"/>
                <w:sz w:val="24"/>
                <w:szCs w:val="24"/>
              </w:rPr>
            </w:pPr>
            <w:r w:rsidRPr="00EB4428">
              <w:rPr>
                <w:rFonts w:ascii="Work Sans" w:hAnsi="Work Sans"/>
                <w:sz w:val="24"/>
                <w:szCs w:val="24"/>
              </w:rPr>
              <w:t>GST</w:t>
            </w:r>
          </w:p>
        </w:tc>
        <w:tc>
          <w:tcPr>
            <w:tcW w:w="7500" w:type="dxa"/>
            <w:shd w:val="clear" w:color="auto" w:fill="auto"/>
          </w:tcPr>
          <w:p w14:paraId="672D7A96" w14:textId="015A4164" w:rsidR="008F2197" w:rsidRPr="00EB4428" w:rsidRDefault="00E11436" w:rsidP="00C95FB6">
            <w:pPr>
              <w:spacing w:before="0"/>
              <w:rPr>
                <w:rFonts w:ascii="Work Sans" w:hAnsi="Work Sans"/>
                <w:sz w:val="24"/>
                <w:szCs w:val="24"/>
              </w:rPr>
            </w:pPr>
            <w:r w:rsidRPr="00EB4428">
              <w:rPr>
                <w:rFonts w:ascii="Work Sans" w:hAnsi="Work Sans"/>
                <w:sz w:val="24"/>
                <w:szCs w:val="24"/>
              </w:rPr>
              <w:t>Goods and Services Tax</w:t>
            </w:r>
          </w:p>
        </w:tc>
      </w:tr>
      <w:tr w:rsidR="008F2197" w:rsidRPr="008F2197" w14:paraId="4F1774E4" w14:textId="77777777" w:rsidTr="00C95FB6">
        <w:trPr>
          <w:trHeight w:val="315"/>
        </w:trPr>
        <w:tc>
          <w:tcPr>
            <w:tcW w:w="1440" w:type="dxa"/>
            <w:shd w:val="clear" w:color="auto" w:fill="auto"/>
          </w:tcPr>
          <w:p w14:paraId="78C02E2A" w14:textId="77777777" w:rsidR="008F2197" w:rsidRPr="00EB4428" w:rsidRDefault="008F2197" w:rsidP="00C95FB6">
            <w:pPr>
              <w:spacing w:before="0"/>
              <w:rPr>
                <w:rFonts w:ascii="Work Sans" w:hAnsi="Work Sans"/>
                <w:sz w:val="24"/>
                <w:szCs w:val="24"/>
              </w:rPr>
            </w:pPr>
            <w:r w:rsidRPr="00EB4428">
              <w:rPr>
                <w:rFonts w:ascii="Work Sans" w:hAnsi="Work Sans"/>
                <w:sz w:val="24"/>
                <w:szCs w:val="24"/>
              </w:rPr>
              <w:t>SDC</w:t>
            </w:r>
          </w:p>
        </w:tc>
        <w:tc>
          <w:tcPr>
            <w:tcW w:w="7500" w:type="dxa"/>
            <w:shd w:val="clear" w:color="auto" w:fill="auto"/>
          </w:tcPr>
          <w:p w14:paraId="7FB7F3F8" w14:textId="2A01CA3E" w:rsidR="008F2197" w:rsidRPr="00EB4428" w:rsidRDefault="008F2197" w:rsidP="00C95FB6">
            <w:pPr>
              <w:spacing w:before="0"/>
              <w:rPr>
                <w:rFonts w:ascii="Work Sans" w:hAnsi="Work Sans"/>
                <w:sz w:val="24"/>
                <w:szCs w:val="24"/>
              </w:rPr>
            </w:pPr>
            <w:r w:rsidRPr="00EB4428">
              <w:rPr>
                <w:rFonts w:ascii="Work Sans" w:hAnsi="Work Sans"/>
                <w:sz w:val="24"/>
                <w:szCs w:val="24"/>
              </w:rPr>
              <w:t>Socio</w:t>
            </w:r>
            <w:r w:rsidR="00AB43D6" w:rsidRPr="00EB4428">
              <w:rPr>
                <w:rFonts w:ascii="Work Sans" w:hAnsi="Work Sans"/>
                <w:sz w:val="24"/>
                <w:szCs w:val="24"/>
              </w:rPr>
              <w:noBreakHyphen/>
            </w:r>
            <w:r w:rsidRPr="00EB4428">
              <w:rPr>
                <w:rFonts w:ascii="Work Sans" w:hAnsi="Work Sans"/>
                <w:sz w:val="24"/>
                <w:szCs w:val="24"/>
              </w:rPr>
              <w:t>demographic composition</w:t>
            </w:r>
          </w:p>
        </w:tc>
      </w:tr>
    </w:tbl>
    <w:p w14:paraId="24A7A2ED" w14:textId="452A59A5" w:rsidR="66CA4D4B" w:rsidRDefault="66CA4D4B"/>
    <w:p w14:paraId="4D42CB3D" w14:textId="77777777" w:rsidR="00645E85" w:rsidRDefault="00645E85" w:rsidP="00310353">
      <w:pPr>
        <w:sectPr w:rsidR="00645E85" w:rsidSect="008E2BFE">
          <w:pgSz w:w="11900" w:h="16840"/>
          <w:pgMar w:top="1247" w:right="1418" w:bottom="1134" w:left="1418" w:header="709" w:footer="284" w:gutter="0"/>
          <w:pgNumType w:fmt="lowerRoman"/>
          <w:cols w:space="708"/>
          <w:docGrid w:linePitch="360"/>
        </w:sectPr>
      </w:pPr>
    </w:p>
    <w:p w14:paraId="2B80674C" w14:textId="77777777" w:rsidR="0057367F" w:rsidRDefault="00AD53D2">
      <w:pPr>
        <w:pStyle w:val="TOCHeading"/>
        <w:rPr>
          <w:rFonts w:ascii="Open Sans Light" w:eastAsiaTheme="minorHAnsi" w:hAnsi="Open Sans Light" w:cstheme="minorBidi"/>
          <w:color w:val="auto"/>
          <w:sz w:val="20"/>
          <w:szCs w:val="22"/>
          <w:lang w:val="en-AU"/>
        </w:rPr>
      </w:pPr>
      <w:r>
        <w:rPr>
          <w:noProof/>
        </w:rPr>
        <w:drawing>
          <wp:anchor distT="0" distB="0" distL="114300" distR="114300" simplePos="0" relativeHeight="251658242" behindDoc="1" locked="1" layoutInCell="1" allowOverlap="1" wp14:anchorId="25F74EAF" wp14:editId="2AF1455F">
            <wp:simplePos x="0" y="0"/>
            <wp:positionH relativeFrom="page">
              <wp:posOffset>3810</wp:posOffset>
            </wp:positionH>
            <wp:positionV relativeFrom="margin">
              <wp:posOffset>-784860</wp:posOffset>
            </wp:positionV>
            <wp:extent cx="7563600" cy="10692000"/>
            <wp:effectExtent l="0" t="0" r="0" b="0"/>
            <wp:wrapNone/>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bookmarkStart w:id="8" w:name="_Toc96074912" w:displacedByCustomXml="next"/>
    <w:sdt>
      <w:sdtPr>
        <w:rPr>
          <w:rFonts w:ascii="Open Sans Light" w:eastAsiaTheme="minorHAnsi" w:hAnsi="Open Sans Light" w:cstheme="minorBidi"/>
          <w:b w:val="0"/>
          <w:bCs w:val="0"/>
          <w:color w:val="auto"/>
          <w:sz w:val="20"/>
          <w:szCs w:val="22"/>
        </w:rPr>
        <w:id w:val="1484961669"/>
        <w:docPartObj>
          <w:docPartGallery w:val="Table of Contents"/>
          <w:docPartUnique/>
        </w:docPartObj>
      </w:sdtPr>
      <w:sdtContent>
        <w:p w14:paraId="2F962418" w14:textId="45142AFA" w:rsidR="00F54331" w:rsidRPr="00F54331" w:rsidRDefault="00F54331" w:rsidP="00F54331">
          <w:pPr>
            <w:pStyle w:val="Heading1"/>
          </w:pPr>
          <w:r w:rsidRPr="00F54331">
            <w:t>Contents</w:t>
          </w:r>
          <w:bookmarkEnd w:id="8"/>
        </w:p>
        <w:p w14:paraId="53B34824" w14:textId="6B02685D" w:rsidR="00651659" w:rsidRDefault="00A84034" w:rsidP="00651659">
          <w:pPr>
            <w:pStyle w:val="TOC1"/>
            <w:rPr>
              <w:rFonts w:asciiTheme="minorHAnsi" w:eastAsiaTheme="minorEastAsia" w:hAnsiTheme="minorHAnsi"/>
              <w:sz w:val="22"/>
              <w:lang w:eastAsia="en-AU"/>
            </w:rPr>
          </w:pPr>
          <w:r>
            <w:fldChar w:fldCharType="begin"/>
          </w:r>
          <w:r>
            <w:instrText xml:space="preserve"> TOC \o "1-1" \h \z \u </w:instrText>
          </w:r>
          <w:r>
            <w:fldChar w:fldCharType="separate"/>
          </w:r>
          <w:hyperlink w:anchor="_Toc96074909" w:history="1">
            <w:r w:rsidR="00651659" w:rsidRPr="008C0F18">
              <w:rPr>
                <w:rStyle w:val="Hyperlink"/>
              </w:rPr>
              <w:t>Letter of transmittal</w:t>
            </w:r>
            <w:r w:rsidR="00651659">
              <w:rPr>
                <w:webHidden/>
              </w:rPr>
              <w:tab/>
            </w:r>
            <w:r w:rsidR="00651659">
              <w:rPr>
                <w:webHidden/>
              </w:rPr>
              <w:fldChar w:fldCharType="begin"/>
            </w:r>
            <w:r w:rsidR="00651659">
              <w:rPr>
                <w:webHidden/>
              </w:rPr>
              <w:instrText xml:space="preserve"> PAGEREF _Toc96074909 \h </w:instrText>
            </w:r>
            <w:r w:rsidR="00651659">
              <w:rPr>
                <w:webHidden/>
              </w:rPr>
            </w:r>
            <w:r w:rsidR="00651659">
              <w:rPr>
                <w:webHidden/>
              </w:rPr>
              <w:fldChar w:fldCharType="separate"/>
            </w:r>
            <w:r w:rsidR="00FE4664">
              <w:rPr>
                <w:webHidden/>
              </w:rPr>
              <w:t>i</w:t>
            </w:r>
            <w:r w:rsidR="00651659">
              <w:rPr>
                <w:webHidden/>
              </w:rPr>
              <w:fldChar w:fldCharType="end"/>
            </w:r>
          </w:hyperlink>
        </w:p>
        <w:p w14:paraId="1FE361E6" w14:textId="33B325FD" w:rsidR="00651659" w:rsidRDefault="00FA5AFA" w:rsidP="00651659">
          <w:pPr>
            <w:pStyle w:val="TOC1"/>
            <w:rPr>
              <w:rFonts w:asciiTheme="minorHAnsi" w:eastAsiaTheme="minorEastAsia" w:hAnsiTheme="minorHAnsi"/>
              <w:sz w:val="22"/>
              <w:lang w:eastAsia="en-AU"/>
            </w:rPr>
          </w:pPr>
          <w:hyperlink w:anchor="_Toc96074910" w:history="1">
            <w:r w:rsidR="00651659" w:rsidRPr="008C0F18">
              <w:rPr>
                <w:rStyle w:val="Hyperlink"/>
              </w:rPr>
              <w:t>Terms of reference</w:t>
            </w:r>
            <w:r w:rsidR="00651659">
              <w:rPr>
                <w:webHidden/>
              </w:rPr>
              <w:tab/>
            </w:r>
            <w:r w:rsidR="00651659">
              <w:rPr>
                <w:webHidden/>
              </w:rPr>
              <w:fldChar w:fldCharType="begin"/>
            </w:r>
            <w:r w:rsidR="00651659">
              <w:rPr>
                <w:webHidden/>
              </w:rPr>
              <w:instrText xml:space="preserve"> PAGEREF _Toc96074910 \h </w:instrText>
            </w:r>
            <w:r w:rsidR="00651659">
              <w:rPr>
                <w:webHidden/>
              </w:rPr>
            </w:r>
            <w:r w:rsidR="00651659">
              <w:rPr>
                <w:webHidden/>
              </w:rPr>
              <w:fldChar w:fldCharType="separate"/>
            </w:r>
            <w:r w:rsidR="00FE4664">
              <w:rPr>
                <w:webHidden/>
              </w:rPr>
              <w:t>iii</w:t>
            </w:r>
            <w:r w:rsidR="00651659">
              <w:rPr>
                <w:webHidden/>
              </w:rPr>
              <w:fldChar w:fldCharType="end"/>
            </w:r>
          </w:hyperlink>
        </w:p>
        <w:p w14:paraId="712F7FB5" w14:textId="768EC912" w:rsidR="00651659" w:rsidRDefault="00FA5AFA" w:rsidP="00651659">
          <w:pPr>
            <w:pStyle w:val="TOC1"/>
            <w:rPr>
              <w:rFonts w:asciiTheme="minorHAnsi" w:eastAsiaTheme="minorEastAsia" w:hAnsiTheme="minorHAnsi"/>
              <w:sz w:val="22"/>
              <w:lang w:eastAsia="en-AU"/>
            </w:rPr>
          </w:pPr>
          <w:hyperlink w:anchor="_Toc96074911" w:history="1">
            <w:r w:rsidR="00651659" w:rsidRPr="008C0F18">
              <w:rPr>
                <w:rStyle w:val="Hyperlink"/>
                <w:shd w:val="clear" w:color="auto" w:fill="FFFFFF"/>
              </w:rPr>
              <w:t>List of acronyms</w:t>
            </w:r>
            <w:r w:rsidR="00651659">
              <w:rPr>
                <w:webHidden/>
              </w:rPr>
              <w:tab/>
            </w:r>
            <w:r w:rsidR="00651659">
              <w:rPr>
                <w:webHidden/>
              </w:rPr>
              <w:fldChar w:fldCharType="begin"/>
            </w:r>
            <w:r w:rsidR="00651659">
              <w:rPr>
                <w:webHidden/>
              </w:rPr>
              <w:instrText xml:space="preserve"> PAGEREF _Toc96074911 \h </w:instrText>
            </w:r>
            <w:r w:rsidR="00651659">
              <w:rPr>
                <w:webHidden/>
              </w:rPr>
            </w:r>
            <w:r w:rsidR="00651659">
              <w:rPr>
                <w:webHidden/>
              </w:rPr>
              <w:fldChar w:fldCharType="separate"/>
            </w:r>
            <w:r w:rsidR="00FE4664">
              <w:rPr>
                <w:webHidden/>
              </w:rPr>
              <w:t>vii</w:t>
            </w:r>
            <w:r w:rsidR="00651659">
              <w:rPr>
                <w:webHidden/>
              </w:rPr>
              <w:fldChar w:fldCharType="end"/>
            </w:r>
          </w:hyperlink>
        </w:p>
        <w:p w14:paraId="464323B6" w14:textId="3B458BB8" w:rsidR="00651659" w:rsidRDefault="00FA5AFA" w:rsidP="00651659">
          <w:pPr>
            <w:pStyle w:val="TOC1"/>
            <w:rPr>
              <w:rFonts w:asciiTheme="minorHAnsi" w:eastAsiaTheme="minorEastAsia" w:hAnsiTheme="minorHAnsi"/>
              <w:sz w:val="22"/>
              <w:lang w:eastAsia="en-AU"/>
            </w:rPr>
          </w:pPr>
          <w:hyperlink w:anchor="_Toc96074912" w:history="1">
            <w:r w:rsidR="00651659" w:rsidRPr="008C0F18">
              <w:rPr>
                <w:rStyle w:val="Hyperlink"/>
              </w:rPr>
              <w:t>Contents</w:t>
            </w:r>
            <w:r w:rsidR="00651659">
              <w:rPr>
                <w:webHidden/>
              </w:rPr>
              <w:tab/>
            </w:r>
            <w:r w:rsidR="00651659">
              <w:rPr>
                <w:webHidden/>
              </w:rPr>
              <w:fldChar w:fldCharType="begin"/>
            </w:r>
            <w:r w:rsidR="00651659">
              <w:rPr>
                <w:webHidden/>
              </w:rPr>
              <w:instrText xml:space="preserve"> PAGEREF _Toc96074912 \h </w:instrText>
            </w:r>
            <w:r w:rsidR="00651659">
              <w:rPr>
                <w:webHidden/>
              </w:rPr>
            </w:r>
            <w:r w:rsidR="00651659">
              <w:rPr>
                <w:webHidden/>
              </w:rPr>
              <w:fldChar w:fldCharType="separate"/>
            </w:r>
            <w:r w:rsidR="00FE4664">
              <w:rPr>
                <w:webHidden/>
              </w:rPr>
              <w:t>viii</w:t>
            </w:r>
            <w:r w:rsidR="00651659">
              <w:rPr>
                <w:webHidden/>
              </w:rPr>
              <w:fldChar w:fldCharType="end"/>
            </w:r>
          </w:hyperlink>
        </w:p>
        <w:p w14:paraId="18BDD8C2" w14:textId="0FBB42E1" w:rsidR="00651659" w:rsidRDefault="00FA5AFA" w:rsidP="00651659">
          <w:pPr>
            <w:pStyle w:val="TOC1"/>
            <w:rPr>
              <w:rFonts w:asciiTheme="minorHAnsi" w:eastAsiaTheme="minorEastAsia" w:hAnsiTheme="minorHAnsi"/>
              <w:sz w:val="22"/>
              <w:lang w:eastAsia="en-AU"/>
            </w:rPr>
          </w:pPr>
          <w:hyperlink w:anchor="_Toc96074913" w:history="1">
            <w:r w:rsidR="00651659" w:rsidRPr="008C0F18">
              <w:rPr>
                <w:rStyle w:val="Hyperlink"/>
              </w:rPr>
              <w:t>Executive Summary</w:t>
            </w:r>
            <w:r w:rsidR="00651659">
              <w:rPr>
                <w:webHidden/>
              </w:rPr>
              <w:tab/>
            </w:r>
            <w:r w:rsidR="00651659">
              <w:rPr>
                <w:webHidden/>
              </w:rPr>
              <w:fldChar w:fldCharType="begin"/>
            </w:r>
            <w:r w:rsidR="00651659">
              <w:rPr>
                <w:webHidden/>
              </w:rPr>
              <w:instrText xml:space="preserve"> PAGEREF _Toc96074913 \h </w:instrText>
            </w:r>
            <w:r w:rsidR="00651659">
              <w:rPr>
                <w:webHidden/>
              </w:rPr>
            </w:r>
            <w:r w:rsidR="00651659">
              <w:rPr>
                <w:webHidden/>
              </w:rPr>
              <w:fldChar w:fldCharType="separate"/>
            </w:r>
            <w:r w:rsidR="00FE4664">
              <w:rPr>
                <w:webHidden/>
              </w:rPr>
              <w:t>ix</w:t>
            </w:r>
            <w:r w:rsidR="00651659">
              <w:rPr>
                <w:webHidden/>
              </w:rPr>
              <w:fldChar w:fldCharType="end"/>
            </w:r>
          </w:hyperlink>
        </w:p>
        <w:p w14:paraId="46314392" w14:textId="35D14973" w:rsidR="00651659" w:rsidRDefault="00FA5AFA" w:rsidP="00651659">
          <w:pPr>
            <w:pStyle w:val="TOC1"/>
            <w:rPr>
              <w:rFonts w:asciiTheme="minorHAnsi" w:eastAsiaTheme="minorEastAsia" w:hAnsiTheme="minorHAnsi"/>
              <w:sz w:val="22"/>
              <w:lang w:eastAsia="en-AU"/>
            </w:rPr>
          </w:pPr>
          <w:hyperlink w:anchor="_Toc96074914" w:history="1">
            <w:r w:rsidR="00651659" w:rsidRPr="008C0F18">
              <w:rPr>
                <w:rStyle w:val="Hyperlink"/>
              </w:rPr>
              <w:t>Introduction</w:t>
            </w:r>
            <w:r w:rsidR="00651659">
              <w:rPr>
                <w:webHidden/>
              </w:rPr>
              <w:tab/>
            </w:r>
            <w:r w:rsidR="00651659">
              <w:rPr>
                <w:webHidden/>
              </w:rPr>
              <w:fldChar w:fldCharType="begin"/>
            </w:r>
            <w:r w:rsidR="00651659">
              <w:rPr>
                <w:webHidden/>
              </w:rPr>
              <w:instrText xml:space="preserve"> PAGEREF _Toc96074914 \h </w:instrText>
            </w:r>
            <w:r w:rsidR="00651659">
              <w:rPr>
                <w:webHidden/>
              </w:rPr>
            </w:r>
            <w:r w:rsidR="00651659">
              <w:rPr>
                <w:webHidden/>
              </w:rPr>
              <w:fldChar w:fldCharType="separate"/>
            </w:r>
            <w:r w:rsidR="00FE4664">
              <w:rPr>
                <w:webHidden/>
              </w:rPr>
              <w:t>1</w:t>
            </w:r>
            <w:r w:rsidR="00651659">
              <w:rPr>
                <w:webHidden/>
              </w:rPr>
              <w:fldChar w:fldCharType="end"/>
            </w:r>
          </w:hyperlink>
        </w:p>
        <w:p w14:paraId="6AFA219C" w14:textId="2356DFE3" w:rsidR="00651659" w:rsidRPr="00651659" w:rsidRDefault="00FA5AFA" w:rsidP="00651659">
          <w:pPr>
            <w:pStyle w:val="TOC1"/>
            <w:rPr>
              <w:rFonts w:eastAsiaTheme="minorEastAsia"/>
              <w:sz w:val="22"/>
              <w:lang w:eastAsia="en-AU"/>
            </w:rPr>
          </w:pPr>
          <w:hyperlink w:anchor="_Toc96074915" w:history="1">
            <w:r w:rsidR="00651659" w:rsidRPr="00651659">
              <w:rPr>
                <w:rStyle w:val="Hyperlink"/>
              </w:rPr>
              <w:t>1.</w:t>
            </w:r>
            <w:r w:rsidR="00651659" w:rsidRPr="00651659">
              <w:rPr>
                <w:rFonts w:eastAsiaTheme="minorEastAsia"/>
                <w:sz w:val="22"/>
                <w:lang w:eastAsia="en-AU"/>
              </w:rPr>
              <w:tab/>
            </w:r>
            <w:r w:rsidR="00651659" w:rsidRPr="00651659">
              <w:rPr>
                <w:rStyle w:val="Hyperlink"/>
              </w:rPr>
              <w:t>Recommended GST relativities</w:t>
            </w:r>
            <w:r w:rsidR="00651659" w:rsidRPr="00651659">
              <w:rPr>
                <w:webHidden/>
              </w:rPr>
              <w:tab/>
            </w:r>
            <w:r w:rsidR="00651659" w:rsidRPr="00651659">
              <w:rPr>
                <w:webHidden/>
              </w:rPr>
              <w:fldChar w:fldCharType="begin"/>
            </w:r>
            <w:r w:rsidR="00651659" w:rsidRPr="00651659">
              <w:rPr>
                <w:webHidden/>
              </w:rPr>
              <w:instrText xml:space="preserve"> PAGEREF _Toc96074915 \h </w:instrText>
            </w:r>
            <w:r w:rsidR="00651659" w:rsidRPr="00651659">
              <w:rPr>
                <w:webHidden/>
              </w:rPr>
            </w:r>
            <w:r w:rsidR="00651659" w:rsidRPr="00651659">
              <w:rPr>
                <w:webHidden/>
              </w:rPr>
              <w:fldChar w:fldCharType="separate"/>
            </w:r>
            <w:r w:rsidR="00FE4664">
              <w:rPr>
                <w:webHidden/>
              </w:rPr>
              <w:t>3</w:t>
            </w:r>
            <w:r w:rsidR="00651659" w:rsidRPr="00651659">
              <w:rPr>
                <w:webHidden/>
              </w:rPr>
              <w:fldChar w:fldCharType="end"/>
            </w:r>
          </w:hyperlink>
        </w:p>
        <w:p w14:paraId="18E85B41" w14:textId="32334749" w:rsidR="00651659" w:rsidRPr="00651659" w:rsidRDefault="00FA5AFA" w:rsidP="00651659">
          <w:pPr>
            <w:pStyle w:val="TOC1"/>
            <w:rPr>
              <w:rFonts w:asciiTheme="minorHAnsi" w:eastAsiaTheme="minorEastAsia" w:hAnsiTheme="minorHAnsi"/>
              <w:sz w:val="22"/>
              <w:lang w:eastAsia="en-AU"/>
            </w:rPr>
          </w:pPr>
          <w:hyperlink w:anchor="_Toc96074916" w:history="1">
            <w:r w:rsidR="00651659" w:rsidRPr="00651659">
              <w:rPr>
                <w:rStyle w:val="Hyperlink"/>
              </w:rPr>
              <w:t>2.</w:t>
            </w:r>
            <w:r w:rsidR="00651659" w:rsidRPr="00651659">
              <w:rPr>
                <w:rFonts w:asciiTheme="minorHAnsi" w:eastAsiaTheme="minorEastAsia" w:hAnsiTheme="minorHAnsi"/>
                <w:sz w:val="22"/>
                <w:lang w:eastAsia="en-AU"/>
              </w:rPr>
              <w:tab/>
            </w:r>
            <w:r w:rsidR="00651659" w:rsidRPr="00651659">
              <w:rPr>
                <w:rStyle w:val="Hyperlink"/>
              </w:rPr>
              <w:t>Drivers of the GST distribution</w:t>
            </w:r>
            <w:r w:rsidR="00651659" w:rsidRPr="00651659">
              <w:rPr>
                <w:webHidden/>
              </w:rPr>
              <w:tab/>
            </w:r>
            <w:r w:rsidR="00651659" w:rsidRPr="00651659">
              <w:rPr>
                <w:webHidden/>
              </w:rPr>
              <w:fldChar w:fldCharType="begin"/>
            </w:r>
            <w:r w:rsidR="00651659" w:rsidRPr="00651659">
              <w:rPr>
                <w:webHidden/>
              </w:rPr>
              <w:instrText xml:space="preserve"> PAGEREF _Toc96074916 \h </w:instrText>
            </w:r>
            <w:r w:rsidR="00651659" w:rsidRPr="00651659">
              <w:rPr>
                <w:webHidden/>
              </w:rPr>
            </w:r>
            <w:r w:rsidR="00651659" w:rsidRPr="00651659">
              <w:rPr>
                <w:webHidden/>
              </w:rPr>
              <w:fldChar w:fldCharType="separate"/>
            </w:r>
            <w:r w:rsidR="00FE4664">
              <w:rPr>
                <w:webHidden/>
              </w:rPr>
              <w:t>14</w:t>
            </w:r>
            <w:r w:rsidR="00651659" w:rsidRPr="00651659">
              <w:rPr>
                <w:webHidden/>
              </w:rPr>
              <w:fldChar w:fldCharType="end"/>
            </w:r>
          </w:hyperlink>
        </w:p>
        <w:p w14:paraId="25019093" w14:textId="389F8526" w:rsidR="00651659" w:rsidRPr="00651659" w:rsidRDefault="00FA5AFA" w:rsidP="00651659">
          <w:pPr>
            <w:pStyle w:val="TOC1"/>
            <w:rPr>
              <w:rFonts w:asciiTheme="minorHAnsi" w:eastAsiaTheme="minorEastAsia" w:hAnsiTheme="minorHAnsi"/>
              <w:sz w:val="22"/>
              <w:lang w:eastAsia="en-AU"/>
            </w:rPr>
          </w:pPr>
          <w:hyperlink w:anchor="_Toc96074917" w:history="1">
            <w:r w:rsidR="00651659" w:rsidRPr="00651659">
              <w:rPr>
                <w:rStyle w:val="Hyperlink"/>
              </w:rPr>
              <w:t>3.</w:t>
            </w:r>
            <w:r w:rsidR="00651659" w:rsidRPr="00651659">
              <w:rPr>
                <w:rFonts w:asciiTheme="minorHAnsi" w:eastAsiaTheme="minorEastAsia" w:hAnsiTheme="minorHAnsi"/>
                <w:sz w:val="22"/>
                <w:lang w:eastAsia="en-AU"/>
              </w:rPr>
              <w:tab/>
            </w:r>
            <w:r w:rsidR="00651659" w:rsidRPr="00651659">
              <w:rPr>
                <w:rStyle w:val="Hyperlink"/>
              </w:rPr>
              <w:t>State by state changes</w:t>
            </w:r>
            <w:r w:rsidR="00651659" w:rsidRPr="00651659">
              <w:rPr>
                <w:webHidden/>
              </w:rPr>
              <w:tab/>
            </w:r>
            <w:r w:rsidR="00651659" w:rsidRPr="00651659">
              <w:rPr>
                <w:webHidden/>
              </w:rPr>
              <w:fldChar w:fldCharType="begin"/>
            </w:r>
            <w:r w:rsidR="00651659" w:rsidRPr="00651659">
              <w:rPr>
                <w:webHidden/>
              </w:rPr>
              <w:instrText xml:space="preserve"> PAGEREF _Toc96074917 \h </w:instrText>
            </w:r>
            <w:r w:rsidR="00651659" w:rsidRPr="00651659">
              <w:rPr>
                <w:webHidden/>
              </w:rPr>
            </w:r>
            <w:r w:rsidR="00651659" w:rsidRPr="00651659">
              <w:rPr>
                <w:webHidden/>
              </w:rPr>
              <w:fldChar w:fldCharType="separate"/>
            </w:r>
            <w:r w:rsidR="00FE4664">
              <w:rPr>
                <w:webHidden/>
              </w:rPr>
              <w:t>31</w:t>
            </w:r>
            <w:r w:rsidR="00651659" w:rsidRPr="00651659">
              <w:rPr>
                <w:webHidden/>
              </w:rPr>
              <w:fldChar w:fldCharType="end"/>
            </w:r>
          </w:hyperlink>
        </w:p>
        <w:p w14:paraId="48142793" w14:textId="24201835" w:rsidR="00651659" w:rsidRPr="00651659" w:rsidRDefault="00FA5AFA" w:rsidP="00651659">
          <w:pPr>
            <w:pStyle w:val="TOC1"/>
            <w:rPr>
              <w:rFonts w:asciiTheme="minorHAnsi" w:eastAsiaTheme="minorEastAsia" w:hAnsiTheme="minorHAnsi"/>
              <w:sz w:val="22"/>
              <w:lang w:eastAsia="en-AU"/>
            </w:rPr>
          </w:pPr>
          <w:hyperlink w:anchor="_Toc96074918" w:history="1">
            <w:r w:rsidR="00651659" w:rsidRPr="00651659">
              <w:rPr>
                <w:rStyle w:val="Hyperlink"/>
              </w:rPr>
              <w:t>Attachment A: Relativities to determine no worse off payments</w:t>
            </w:r>
            <w:r w:rsidR="00651659" w:rsidRPr="00651659">
              <w:rPr>
                <w:webHidden/>
              </w:rPr>
              <w:tab/>
            </w:r>
            <w:r w:rsidR="00651659" w:rsidRPr="00651659">
              <w:rPr>
                <w:webHidden/>
              </w:rPr>
              <w:fldChar w:fldCharType="begin"/>
            </w:r>
            <w:r w:rsidR="00651659" w:rsidRPr="00651659">
              <w:rPr>
                <w:webHidden/>
              </w:rPr>
              <w:instrText xml:space="preserve"> PAGEREF _Toc96074918 \h </w:instrText>
            </w:r>
            <w:r w:rsidR="00651659" w:rsidRPr="00651659">
              <w:rPr>
                <w:webHidden/>
              </w:rPr>
            </w:r>
            <w:r w:rsidR="00651659" w:rsidRPr="00651659">
              <w:rPr>
                <w:webHidden/>
              </w:rPr>
              <w:fldChar w:fldCharType="separate"/>
            </w:r>
            <w:r w:rsidR="00FE4664">
              <w:rPr>
                <w:webHidden/>
              </w:rPr>
              <w:t>42</w:t>
            </w:r>
            <w:r w:rsidR="00651659" w:rsidRPr="00651659">
              <w:rPr>
                <w:webHidden/>
              </w:rPr>
              <w:fldChar w:fldCharType="end"/>
            </w:r>
          </w:hyperlink>
        </w:p>
        <w:p w14:paraId="483F19E1" w14:textId="79417FB9" w:rsidR="00651659" w:rsidRPr="00651659" w:rsidRDefault="00FA5AFA" w:rsidP="00651659">
          <w:pPr>
            <w:pStyle w:val="TOC1"/>
            <w:rPr>
              <w:rFonts w:asciiTheme="minorHAnsi" w:eastAsiaTheme="minorEastAsia" w:hAnsiTheme="minorHAnsi"/>
              <w:sz w:val="22"/>
              <w:lang w:eastAsia="en-AU"/>
            </w:rPr>
          </w:pPr>
          <w:hyperlink w:anchor="_Toc96074919" w:history="1">
            <w:r w:rsidR="00651659" w:rsidRPr="00651659">
              <w:rPr>
                <w:rStyle w:val="Hyperlink"/>
              </w:rPr>
              <w:t>Attachment B: Quality assurance</w:t>
            </w:r>
            <w:r w:rsidR="00651659" w:rsidRPr="00651659">
              <w:rPr>
                <w:webHidden/>
              </w:rPr>
              <w:tab/>
            </w:r>
            <w:r w:rsidR="00651659" w:rsidRPr="00651659">
              <w:rPr>
                <w:webHidden/>
              </w:rPr>
              <w:fldChar w:fldCharType="begin"/>
            </w:r>
            <w:r w:rsidR="00651659" w:rsidRPr="00651659">
              <w:rPr>
                <w:webHidden/>
              </w:rPr>
              <w:instrText xml:space="preserve"> PAGEREF _Toc96074919 \h </w:instrText>
            </w:r>
            <w:r w:rsidR="00651659" w:rsidRPr="00651659">
              <w:rPr>
                <w:webHidden/>
              </w:rPr>
            </w:r>
            <w:r w:rsidR="00651659" w:rsidRPr="00651659">
              <w:rPr>
                <w:webHidden/>
              </w:rPr>
              <w:fldChar w:fldCharType="separate"/>
            </w:r>
            <w:r w:rsidR="00FE4664">
              <w:rPr>
                <w:webHidden/>
              </w:rPr>
              <w:t>43</w:t>
            </w:r>
            <w:r w:rsidR="00651659" w:rsidRPr="00651659">
              <w:rPr>
                <w:webHidden/>
              </w:rPr>
              <w:fldChar w:fldCharType="end"/>
            </w:r>
          </w:hyperlink>
        </w:p>
        <w:p w14:paraId="37D0A0A9" w14:textId="53348969" w:rsidR="00651659" w:rsidRPr="00651659" w:rsidRDefault="00FA5AFA" w:rsidP="00651659">
          <w:pPr>
            <w:pStyle w:val="TOC1"/>
            <w:rPr>
              <w:rFonts w:asciiTheme="minorHAnsi" w:eastAsiaTheme="minorEastAsia" w:hAnsiTheme="minorHAnsi"/>
              <w:sz w:val="22"/>
              <w:lang w:eastAsia="en-AU"/>
            </w:rPr>
          </w:pPr>
          <w:hyperlink w:anchor="_Toc96074920" w:history="1">
            <w:r w:rsidR="00651659" w:rsidRPr="00651659">
              <w:rPr>
                <w:rStyle w:val="Hyperlink"/>
              </w:rPr>
              <w:t>Glossary</w:t>
            </w:r>
            <w:r w:rsidR="00651659" w:rsidRPr="00651659">
              <w:rPr>
                <w:webHidden/>
              </w:rPr>
              <w:tab/>
            </w:r>
            <w:r w:rsidR="00651659" w:rsidRPr="00651659">
              <w:rPr>
                <w:webHidden/>
              </w:rPr>
              <w:fldChar w:fldCharType="begin"/>
            </w:r>
            <w:r w:rsidR="00651659" w:rsidRPr="00651659">
              <w:rPr>
                <w:webHidden/>
              </w:rPr>
              <w:instrText xml:space="preserve"> PAGEREF _Toc96074920 \h </w:instrText>
            </w:r>
            <w:r w:rsidR="00651659" w:rsidRPr="00651659">
              <w:rPr>
                <w:webHidden/>
              </w:rPr>
            </w:r>
            <w:r w:rsidR="00651659" w:rsidRPr="00651659">
              <w:rPr>
                <w:webHidden/>
              </w:rPr>
              <w:fldChar w:fldCharType="separate"/>
            </w:r>
            <w:r w:rsidR="00FE4664">
              <w:rPr>
                <w:webHidden/>
              </w:rPr>
              <w:t>44</w:t>
            </w:r>
            <w:r w:rsidR="00651659" w:rsidRPr="00651659">
              <w:rPr>
                <w:webHidden/>
              </w:rPr>
              <w:fldChar w:fldCharType="end"/>
            </w:r>
          </w:hyperlink>
        </w:p>
        <w:p w14:paraId="551E65E6" w14:textId="631E9322" w:rsidR="00516CB3" w:rsidRDefault="00A84034">
          <w:r>
            <w:fldChar w:fldCharType="end"/>
          </w:r>
        </w:p>
      </w:sdtContent>
    </w:sdt>
    <w:p w14:paraId="012BA99E" w14:textId="77777777" w:rsidR="00645E85" w:rsidRDefault="00645E85" w:rsidP="0004064D">
      <w:pPr>
        <w:pStyle w:val="CGCBodyCopy"/>
      </w:pPr>
    </w:p>
    <w:p w14:paraId="3D727355" w14:textId="77777777" w:rsidR="00645E85" w:rsidRDefault="00645E85" w:rsidP="00645E85">
      <w:pPr>
        <w:tabs>
          <w:tab w:val="clear" w:pos="567"/>
        </w:tabs>
        <w:spacing w:before="0" w:line="240" w:lineRule="auto"/>
        <w:sectPr w:rsidR="00645E85" w:rsidSect="008E2BFE">
          <w:pgSz w:w="11900" w:h="16840"/>
          <w:pgMar w:top="1247" w:right="1418" w:bottom="1134" w:left="1418" w:header="709" w:footer="284" w:gutter="0"/>
          <w:pgNumType w:fmt="lowerRoman"/>
          <w:cols w:space="708"/>
          <w:docGrid w:linePitch="360"/>
        </w:sectPr>
      </w:pPr>
    </w:p>
    <w:p w14:paraId="07BA9104" w14:textId="21F0364E" w:rsidR="006A573F" w:rsidRDefault="006A573F" w:rsidP="00112A42">
      <w:pPr>
        <w:pStyle w:val="Heading1"/>
      </w:pPr>
      <w:bookmarkStart w:id="9" w:name="_Toc96074913"/>
      <w:r w:rsidRPr="00141E0D">
        <w:t>Executive Summary</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9016"/>
        <w:gridCol w:w="48"/>
      </w:tblGrid>
      <w:tr w:rsidR="00141E0D" w:rsidRPr="00141E0D" w14:paraId="19B49646" w14:textId="77777777" w:rsidTr="009F0AEF">
        <w:trPr>
          <w:trHeight w:val="4479"/>
        </w:trPr>
        <w:tc>
          <w:tcPr>
            <w:tcW w:w="9064" w:type="dxa"/>
            <w:gridSpan w:val="2"/>
            <w:shd w:val="clear" w:color="auto" w:fill="EBF3F5"/>
          </w:tcPr>
          <w:p w14:paraId="2261BB2C" w14:textId="733B89BD" w:rsidR="00141E0D" w:rsidRPr="00141E0D" w:rsidRDefault="00943074" w:rsidP="00C330CA">
            <w:pPr>
              <w:tabs>
                <w:tab w:val="clear" w:pos="567"/>
              </w:tabs>
              <w:spacing w:before="240" w:line="300" w:lineRule="atLeast"/>
              <w:rPr>
                <w:rFonts w:ascii="Work Sans" w:eastAsia="Times New Roman" w:hAnsi="Work Sans" w:cs="Times New Roman"/>
                <w:sz w:val="24"/>
                <w:szCs w:val="20"/>
                <w:lang w:eastAsia="en-AU"/>
              </w:rPr>
            </w:pPr>
            <w:r w:rsidRPr="00C330CA">
              <w:rPr>
                <w:rFonts w:ascii="Work Sans" w:eastAsia="Times New Roman" w:hAnsi="Work Sans" w:cs="Times New Roman"/>
                <w:noProof/>
                <w:sz w:val="24"/>
                <w:szCs w:val="20"/>
                <w:lang w:eastAsia="en-AU"/>
              </w:rPr>
              <w:drawing>
                <wp:anchor distT="0" distB="0" distL="114300" distR="114300" simplePos="0" relativeHeight="251658281" behindDoc="1" locked="1" layoutInCell="1" allowOverlap="1" wp14:anchorId="0E9175EA" wp14:editId="1D145715">
                  <wp:simplePos x="0" y="0"/>
                  <wp:positionH relativeFrom="page">
                    <wp:posOffset>-897255</wp:posOffset>
                  </wp:positionH>
                  <wp:positionV relativeFrom="margin">
                    <wp:posOffset>-1483995</wp:posOffset>
                  </wp:positionV>
                  <wp:extent cx="7563485" cy="10691495"/>
                  <wp:effectExtent l="0" t="0" r="0" b="0"/>
                  <wp:wrapNone/>
                  <wp:docPr id="17" name="Picture 1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bookmarkStart w:id="10" w:name="_Hlk95825820"/>
            <w:r w:rsidR="00141E0D" w:rsidRPr="00141E0D">
              <w:rPr>
                <w:rFonts w:ascii="Work Sans" w:eastAsia="Times New Roman" w:hAnsi="Work Sans" w:cs="Times New Roman"/>
                <w:sz w:val="24"/>
                <w:szCs w:val="20"/>
                <w:lang w:eastAsia="en-AU"/>
              </w:rPr>
              <w:t>The 2022 Update presents the recommended GST relativities for 2022</w:t>
            </w:r>
            <w:r w:rsidR="0013098F">
              <w:rPr>
                <w:rFonts w:ascii="Work Sans" w:eastAsia="Times New Roman" w:hAnsi="Work Sans" w:cs="Times New Roman"/>
                <w:sz w:val="24"/>
                <w:szCs w:val="20"/>
                <w:lang w:eastAsia="en-AU"/>
              </w:rPr>
              <w:t>–</w:t>
            </w:r>
            <w:r w:rsidR="00141E0D" w:rsidRPr="00141E0D">
              <w:rPr>
                <w:rFonts w:ascii="Work Sans" w:eastAsia="Times New Roman" w:hAnsi="Work Sans" w:cs="Times New Roman"/>
                <w:sz w:val="24"/>
                <w:szCs w:val="20"/>
                <w:lang w:eastAsia="en-AU"/>
              </w:rPr>
              <w:t xml:space="preserve">23. </w:t>
            </w:r>
          </w:p>
          <w:p w14:paraId="1A5655D0" w14:textId="0C7442D2" w:rsidR="00141E0D" w:rsidRPr="00141E0D" w:rsidRDefault="00141E0D" w:rsidP="002834B4">
            <w:pPr>
              <w:pStyle w:val="Heading3"/>
              <w:spacing w:before="240" w:after="0"/>
              <w:rPr>
                <w:b w:val="0"/>
              </w:rPr>
            </w:pPr>
            <w:r w:rsidRPr="00214D86">
              <w:t>Recommended GST relativities</w:t>
            </w:r>
          </w:p>
          <w:p w14:paraId="7D26C355" w14:textId="57912582" w:rsidR="00141E0D" w:rsidRPr="00141E0D" w:rsidRDefault="00141E0D" w:rsidP="00802062">
            <w:pPr>
              <w:tabs>
                <w:tab w:val="clear" w:pos="567"/>
              </w:tabs>
              <w:spacing w:before="240"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The table below sets out the distribution of the estimated GST pool in 2022</w:t>
            </w:r>
            <w:r w:rsidR="0013098F">
              <w:rPr>
                <w:rFonts w:ascii="Work Sans" w:eastAsia="Times New Roman" w:hAnsi="Work Sans" w:cs="Times New Roman"/>
                <w:sz w:val="24"/>
                <w:szCs w:val="20"/>
                <w:lang w:eastAsia="en-AU"/>
              </w:rPr>
              <w:t>–</w:t>
            </w:r>
            <w:r w:rsidRPr="00141E0D">
              <w:rPr>
                <w:rFonts w:ascii="Work Sans" w:eastAsia="Times New Roman" w:hAnsi="Work Sans" w:cs="Times New Roman"/>
                <w:sz w:val="24"/>
                <w:szCs w:val="20"/>
                <w:lang w:eastAsia="en-AU"/>
              </w:rPr>
              <w:t>23 based on the Commission’s recommendations. Comparing this update with last year, it shows each state’s GST relativity and share of the GST pool, and its estimated amount of GST. The table does not include no worse off payments by the Commonwealth.</w:t>
            </w:r>
          </w:p>
          <w:p w14:paraId="53208B9D" w14:textId="31FF90D1" w:rsidR="00141E0D" w:rsidRPr="0013098F" w:rsidRDefault="00141E0D" w:rsidP="0006045E">
            <w:pPr>
              <w:pStyle w:val="Caption"/>
              <w:ind w:hanging="1099"/>
              <w:rPr>
                <w:sz w:val="18"/>
                <w:szCs w:val="18"/>
              </w:rPr>
            </w:pPr>
            <w:r w:rsidRPr="0013098F">
              <w:rPr>
                <w:sz w:val="18"/>
                <w:szCs w:val="18"/>
              </w:rPr>
              <w:t>Change in distribution of GST from 2021</w:t>
            </w:r>
            <w:r w:rsidR="0013098F" w:rsidRPr="0013098F">
              <w:rPr>
                <w:sz w:val="18"/>
                <w:szCs w:val="18"/>
              </w:rPr>
              <w:t>–</w:t>
            </w:r>
            <w:r w:rsidRPr="0013098F">
              <w:rPr>
                <w:sz w:val="18"/>
                <w:szCs w:val="18"/>
              </w:rPr>
              <w:t>22 to 2022</w:t>
            </w:r>
            <w:r w:rsidR="0013098F" w:rsidRPr="0013098F">
              <w:rPr>
                <w:sz w:val="18"/>
                <w:szCs w:val="18"/>
              </w:rPr>
              <w:t>–</w:t>
            </w:r>
            <w:r w:rsidRPr="0013098F">
              <w:rPr>
                <w:sz w:val="18"/>
                <w:szCs w:val="18"/>
              </w:rPr>
              <w:t>23, excluding no worse off payments</w:t>
            </w:r>
          </w:p>
          <w:tbl>
            <w:tblPr>
              <w:tblW w:w="8880" w:type="dxa"/>
              <w:tblLook w:val="04A0" w:firstRow="1" w:lastRow="0" w:firstColumn="1" w:lastColumn="0" w:noHBand="0" w:noVBand="1"/>
            </w:tblPr>
            <w:tblGrid>
              <w:gridCol w:w="2630"/>
              <w:gridCol w:w="1037"/>
              <w:gridCol w:w="1037"/>
              <w:gridCol w:w="1036"/>
              <w:gridCol w:w="1036"/>
              <w:gridCol w:w="1036"/>
              <w:gridCol w:w="1036"/>
            </w:tblGrid>
            <w:tr w:rsidR="00DD623B" w:rsidRPr="00DD623B" w14:paraId="088D7EFC" w14:textId="77777777" w:rsidTr="00DD623B">
              <w:trPr>
                <w:trHeight w:val="315"/>
              </w:trPr>
              <w:tc>
                <w:tcPr>
                  <w:tcW w:w="2640" w:type="dxa"/>
                  <w:tcBorders>
                    <w:top w:val="nil"/>
                    <w:left w:val="nil"/>
                    <w:bottom w:val="single" w:sz="4" w:space="0" w:color="ADD6EA"/>
                    <w:right w:val="nil"/>
                  </w:tcBorders>
                  <w:shd w:val="clear" w:color="000000" w:fill="006991"/>
                  <w:noWrap/>
                  <w:vAlign w:val="center"/>
                  <w:hideMark/>
                </w:tcPr>
                <w:p w14:paraId="6D42A852" w14:textId="77777777" w:rsidR="00DD623B" w:rsidRPr="00DD623B" w:rsidRDefault="00DD623B" w:rsidP="00DD623B">
                  <w:pPr>
                    <w:tabs>
                      <w:tab w:val="clear" w:pos="567"/>
                    </w:tabs>
                    <w:spacing w:before="0" w:line="240" w:lineRule="auto"/>
                    <w:rPr>
                      <w:rFonts w:ascii="Open Sans Semibold" w:eastAsia="Times New Roman" w:hAnsi="Open Sans Semibold" w:cs="Open Sans Semibold"/>
                      <w:color w:val="FFFFFF"/>
                      <w:sz w:val="16"/>
                      <w:szCs w:val="16"/>
                      <w:lang w:eastAsia="en-AU"/>
                    </w:rPr>
                  </w:pPr>
                  <w:r w:rsidRPr="00DD623B">
                    <w:rPr>
                      <w:rFonts w:ascii="Open Sans Semibold" w:eastAsia="Times New Roman" w:hAnsi="Open Sans Semibold" w:cs="Open Sans Semibold"/>
                      <w:color w:val="FFFFFF"/>
                      <w:sz w:val="16"/>
                      <w:szCs w:val="16"/>
                      <w:lang w:eastAsia="en-AU"/>
                    </w:rPr>
                    <w:t> </w:t>
                  </w:r>
                </w:p>
              </w:tc>
              <w:tc>
                <w:tcPr>
                  <w:tcW w:w="2080" w:type="dxa"/>
                  <w:gridSpan w:val="2"/>
                  <w:tcBorders>
                    <w:top w:val="nil"/>
                    <w:left w:val="nil"/>
                    <w:bottom w:val="single" w:sz="4" w:space="0" w:color="ADD6EA"/>
                    <w:right w:val="nil"/>
                  </w:tcBorders>
                  <w:shd w:val="clear" w:color="000000" w:fill="006991"/>
                  <w:noWrap/>
                  <w:vAlign w:val="center"/>
                  <w:hideMark/>
                </w:tcPr>
                <w:p w14:paraId="31403200" w14:textId="77777777" w:rsidR="00DD623B" w:rsidRPr="00DD623B" w:rsidRDefault="00DD623B" w:rsidP="00DD623B">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DD623B">
                    <w:rPr>
                      <w:rFonts w:ascii="Open Sans Semibold" w:eastAsia="Times New Roman" w:hAnsi="Open Sans Semibold" w:cs="Open Sans Semibold"/>
                      <w:color w:val="FFFFFF"/>
                      <w:sz w:val="16"/>
                      <w:szCs w:val="16"/>
                      <w:lang w:eastAsia="en-AU"/>
                    </w:rPr>
                    <w:t>GST relativities</w:t>
                  </w:r>
                </w:p>
              </w:tc>
              <w:tc>
                <w:tcPr>
                  <w:tcW w:w="2080" w:type="dxa"/>
                  <w:gridSpan w:val="2"/>
                  <w:tcBorders>
                    <w:top w:val="nil"/>
                    <w:left w:val="nil"/>
                    <w:bottom w:val="single" w:sz="4" w:space="0" w:color="ADD6EA"/>
                    <w:right w:val="nil"/>
                  </w:tcBorders>
                  <w:shd w:val="clear" w:color="000000" w:fill="006991"/>
                  <w:noWrap/>
                  <w:vAlign w:val="center"/>
                  <w:hideMark/>
                </w:tcPr>
                <w:p w14:paraId="06CAE62C" w14:textId="77777777" w:rsidR="00DD623B" w:rsidRPr="00DD623B" w:rsidRDefault="00DD623B" w:rsidP="00DD623B">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DD623B">
                    <w:rPr>
                      <w:rFonts w:ascii="Open Sans Semibold" w:eastAsia="Times New Roman" w:hAnsi="Open Sans Semibold" w:cs="Open Sans Semibold"/>
                      <w:color w:val="FFFFFF"/>
                      <w:sz w:val="16"/>
                      <w:szCs w:val="16"/>
                      <w:lang w:eastAsia="en-AU"/>
                    </w:rPr>
                    <w:t>GST shares</w:t>
                  </w:r>
                </w:p>
              </w:tc>
              <w:tc>
                <w:tcPr>
                  <w:tcW w:w="2080" w:type="dxa"/>
                  <w:gridSpan w:val="2"/>
                  <w:tcBorders>
                    <w:top w:val="nil"/>
                    <w:left w:val="nil"/>
                    <w:bottom w:val="single" w:sz="4" w:space="0" w:color="ADD6EA"/>
                    <w:right w:val="nil"/>
                  </w:tcBorders>
                  <w:shd w:val="clear" w:color="000000" w:fill="006991"/>
                  <w:noWrap/>
                  <w:vAlign w:val="center"/>
                  <w:hideMark/>
                </w:tcPr>
                <w:p w14:paraId="30ECD3FE" w14:textId="77777777" w:rsidR="00DD623B" w:rsidRPr="00DD623B" w:rsidRDefault="00DD623B" w:rsidP="00DD623B">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DD623B">
                    <w:rPr>
                      <w:rFonts w:ascii="Open Sans Semibold" w:eastAsia="Times New Roman" w:hAnsi="Open Sans Semibold" w:cs="Open Sans Semibold"/>
                      <w:color w:val="FFFFFF"/>
                      <w:sz w:val="16"/>
                      <w:szCs w:val="16"/>
                      <w:lang w:eastAsia="en-AU"/>
                    </w:rPr>
                    <w:t>GST distribution</w:t>
                  </w:r>
                </w:p>
              </w:tc>
            </w:tr>
            <w:tr w:rsidR="00DD623B" w:rsidRPr="00DD623B" w14:paraId="331394CB" w14:textId="77777777" w:rsidTr="00DD623B">
              <w:trPr>
                <w:trHeight w:val="315"/>
              </w:trPr>
              <w:tc>
                <w:tcPr>
                  <w:tcW w:w="2640" w:type="dxa"/>
                  <w:tcBorders>
                    <w:top w:val="nil"/>
                    <w:left w:val="nil"/>
                    <w:bottom w:val="single" w:sz="4" w:space="0" w:color="ADD6EA"/>
                    <w:right w:val="nil"/>
                  </w:tcBorders>
                  <w:shd w:val="clear" w:color="000000" w:fill="006991"/>
                  <w:noWrap/>
                  <w:vAlign w:val="center"/>
                  <w:hideMark/>
                </w:tcPr>
                <w:p w14:paraId="374D3681" w14:textId="77777777" w:rsidR="00DD623B" w:rsidRPr="00DD623B" w:rsidRDefault="00DD623B" w:rsidP="00DD623B">
                  <w:pPr>
                    <w:tabs>
                      <w:tab w:val="clear" w:pos="567"/>
                    </w:tabs>
                    <w:spacing w:before="0" w:line="240" w:lineRule="auto"/>
                    <w:rPr>
                      <w:rFonts w:ascii="Open Sans Semibold" w:eastAsia="Times New Roman" w:hAnsi="Open Sans Semibold" w:cs="Open Sans Semibold"/>
                      <w:color w:val="FFFFFF"/>
                      <w:sz w:val="16"/>
                      <w:szCs w:val="16"/>
                      <w:lang w:eastAsia="en-AU"/>
                    </w:rPr>
                  </w:pPr>
                  <w:r w:rsidRPr="00DD623B">
                    <w:rPr>
                      <w:rFonts w:ascii="Open Sans Semibold" w:eastAsia="Times New Roman" w:hAnsi="Open Sans Semibold" w:cs="Open Sans Semibold"/>
                      <w:color w:val="FFFFFF"/>
                      <w:sz w:val="16"/>
                      <w:szCs w:val="16"/>
                      <w:lang w:eastAsia="en-AU"/>
                    </w:rPr>
                    <w:t> </w:t>
                  </w:r>
                </w:p>
              </w:tc>
              <w:tc>
                <w:tcPr>
                  <w:tcW w:w="1040" w:type="dxa"/>
                  <w:tcBorders>
                    <w:top w:val="nil"/>
                    <w:left w:val="nil"/>
                    <w:bottom w:val="single" w:sz="4" w:space="0" w:color="ADD6EA"/>
                    <w:right w:val="nil"/>
                  </w:tcBorders>
                  <w:shd w:val="clear" w:color="000000" w:fill="006991"/>
                  <w:noWrap/>
                  <w:vAlign w:val="center"/>
                  <w:hideMark/>
                </w:tcPr>
                <w:p w14:paraId="2830CC1B" w14:textId="0489A470" w:rsidR="00DD623B" w:rsidRPr="00DD623B" w:rsidRDefault="00DD623B" w:rsidP="00DD623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623B">
                    <w:rPr>
                      <w:rFonts w:ascii="Open Sans Semibold" w:eastAsia="Times New Roman" w:hAnsi="Open Sans Semibold" w:cs="Open Sans Semibold"/>
                      <w:color w:val="FFFFFF"/>
                      <w:sz w:val="16"/>
                      <w:szCs w:val="16"/>
                      <w:lang w:eastAsia="en-AU"/>
                    </w:rPr>
                    <w:t>2021</w:t>
                  </w:r>
                  <w:r w:rsidR="00F23D0E">
                    <w:rPr>
                      <w:rFonts w:ascii="Open Sans Semibold" w:eastAsia="Times New Roman" w:hAnsi="Open Sans Semibold" w:cs="Open Sans Semibold"/>
                      <w:color w:val="FFFFFF"/>
                      <w:sz w:val="16"/>
                      <w:szCs w:val="16"/>
                      <w:lang w:eastAsia="en-AU"/>
                    </w:rPr>
                    <w:t>–</w:t>
                  </w:r>
                  <w:r w:rsidRPr="00DD623B">
                    <w:rPr>
                      <w:rFonts w:ascii="Open Sans Semibold" w:eastAsia="Times New Roman" w:hAnsi="Open Sans Semibold" w:cs="Open Sans Semibold"/>
                      <w:color w:val="FFFFFF"/>
                      <w:sz w:val="16"/>
                      <w:szCs w:val="16"/>
                      <w:lang w:eastAsia="en-AU"/>
                    </w:rPr>
                    <w:t>22</w:t>
                  </w:r>
                </w:p>
              </w:tc>
              <w:tc>
                <w:tcPr>
                  <w:tcW w:w="1040" w:type="dxa"/>
                  <w:tcBorders>
                    <w:top w:val="nil"/>
                    <w:left w:val="nil"/>
                    <w:bottom w:val="single" w:sz="4" w:space="0" w:color="ADD6EA"/>
                    <w:right w:val="nil"/>
                  </w:tcBorders>
                  <w:shd w:val="clear" w:color="000000" w:fill="006991"/>
                  <w:noWrap/>
                  <w:vAlign w:val="center"/>
                  <w:hideMark/>
                </w:tcPr>
                <w:p w14:paraId="7312E818" w14:textId="12D441A4" w:rsidR="00DD623B" w:rsidRPr="00DD623B" w:rsidRDefault="00DD623B" w:rsidP="00DD623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623B">
                    <w:rPr>
                      <w:rFonts w:ascii="Open Sans Semibold" w:eastAsia="Times New Roman" w:hAnsi="Open Sans Semibold" w:cs="Open Sans Semibold"/>
                      <w:color w:val="FFFFFF"/>
                      <w:sz w:val="16"/>
                      <w:szCs w:val="16"/>
                      <w:lang w:eastAsia="en-AU"/>
                    </w:rPr>
                    <w:t>2022</w:t>
                  </w:r>
                  <w:r w:rsidR="00F23D0E">
                    <w:rPr>
                      <w:rFonts w:ascii="Open Sans Semibold" w:eastAsia="Times New Roman" w:hAnsi="Open Sans Semibold" w:cs="Open Sans Semibold"/>
                      <w:color w:val="FFFFFF"/>
                      <w:sz w:val="16"/>
                      <w:szCs w:val="16"/>
                      <w:lang w:eastAsia="en-AU"/>
                    </w:rPr>
                    <w:t>–</w:t>
                  </w:r>
                  <w:r w:rsidRPr="00DD623B">
                    <w:rPr>
                      <w:rFonts w:ascii="Open Sans Semibold" w:eastAsia="Times New Roman" w:hAnsi="Open Sans Semibold" w:cs="Open Sans Semibold"/>
                      <w:color w:val="FFFFFF"/>
                      <w:sz w:val="16"/>
                      <w:szCs w:val="16"/>
                      <w:lang w:eastAsia="en-AU"/>
                    </w:rPr>
                    <w:t>23</w:t>
                  </w:r>
                </w:p>
              </w:tc>
              <w:tc>
                <w:tcPr>
                  <w:tcW w:w="1040" w:type="dxa"/>
                  <w:tcBorders>
                    <w:top w:val="nil"/>
                    <w:left w:val="nil"/>
                    <w:bottom w:val="single" w:sz="4" w:space="0" w:color="ADD6EA"/>
                    <w:right w:val="nil"/>
                  </w:tcBorders>
                  <w:shd w:val="clear" w:color="000000" w:fill="006991"/>
                  <w:noWrap/>
                  <w:vAlign w:val="center"/>
                  <w:hideMark/>
                </w:tcPr>
                <w:p w14:paraId="375EDB14" w14:textId="7BCA9EA0" w:rsidR="00DD623B" w:rsidRPr="00DD623B" w:rsidRDefault="00DD623B" w:rsidP="00DD623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623B">
                    <w:rPr>
                      <w:rFonts w:ascii="Open Sans Semibold" w:eastAsia="Times New Roman" w:hAnsi="Open Sans Semibold" w:cs="Open Sans Semibold"/>
                      <w:color w:val="FFFFFF"/>
                      <w:sz w:val="16"/>
                      <w:szCs w:val="16"/>
                      <w:lang w:eastAsia="en-AU"/>
                    </w:rPr>
                    <w:t>2021</w:t>
                  </w:r>
                  <w:r w:rsidR="00F23D0E">
                    <w:rPr>
                      <w:rFonts w:ascii="Open Sans Semibold" w:eastAsia="Times New Roman" w:hAnsi="Open Sans Semibold" w:cs="Open Sans Semibold"/>
                      <w:color w:val="FFFFFF"/>
                      <w:sz w:val="16"/>
                      <w:szCs w:val="16"/>
                      <w:lang w:eastAsia="en-AU"/>
                    </w:rPr>
                    <w:t>–</w:t>
                  </w:r>
                  <w:r w:rsidRPr="00DD623B">
                    <w:rPr>
                      <w:rFonts w:ascii="Open Sans Semibold" w:eastAsia="Times New Roman" w:hAnsi="Open Sans Semibold" w:cs="Open Sans Semibold"/>
                      <w:color w:val="FFFFFF"/>
                      <w:sz w:val="16"/>
                      <w:szCs w:val="16"/>
                      <w:lang w:eastAsia="en-AU"/>
                    </w:rPr>
                    <w:t>22</w:t>
                  </w:r>
                </w:p>
              </w:tc>
              <w:tc>
                <w:tcPr>
                  <w:tcW w:w="1040" w:type="dxa"/>
                  <w:tcBorders>
                    <w:top w:val="nil"/>
                    <w:left w:val="nil"/>
                    <w:bottom w:val="single" w:sz="4" w:space="0" w:color="ADD6EA"/>
                    <w:right w:val="nil"/>
                  </w:tcBorders>
                  <w:shd w:val="clear" w:color="000000" w:fill="006991"/>
                  <w:noWrap/>
                  <w:vAlign w:val="center"/>
                  <w:hideMark/>
                </w:tcPr>
                <w:p w14:paraId="4D075991" w14:textId="1EB3D006" w:rsidR="00DD623B" w:rsidRPr="00DD623B" w:rsidRDefault="00DD623B" w:rsidP="00DD623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623B">
                    <w:rPr>
                      <w:rFonts w:ascii="Open Sans Semibold" w:eastAsia="Times New Roman" w:hAnsi="Open Sans Semibold" w:cs="Open Sans Semibold"/>
                      <w:color w:val="FFFFFF"/>
                      <w:sz w:val="16"/>
                      <w:szCs w:val="16"/>
                      <w:lang w:eastAsia="en-AU"/>
                    </w:rPr>
                    <w:t>2022</w:t>
                  </w:r>
                  <w:r w:rsidR="00F23D0E">
                    <w:rPr>
                      <w:rFonts w:ascii="Open Sans Semibold" w:eastAsia="Times New Roman" w:hAnsi="Open Sans Semibold" w:cs="Open Sans Semibold"/>
                      <w:color w:val="FFFFFF"/>
                      <w:sz w:val="16"/>
                      <w:szCs w:val="16"/>
                      <w:lang w:eastAsia="en-AU"/>
                    </w:rPr>
                    <w:t>–</w:t>
                  </w:r>
                  <w:r w:rsidRPr="00DD623B">
                    <w:rPr>
                      <w:rFonts w:ascii="Open Sans Semibold" w:eastAsia="Times New Roman" w:hAnsi="Open Sans Semibold" w:cs="Open Sans Semibold"/>
                      <w:color w:val="FFFFFF"/>
                      <w:sz w:val="16"/>
                      <w:szCs w:val="16"/>
                      <w:lang w:eastAsia="en-AU"/>
                    </w:rPr>
                    <w:t>23</w:t>
                  </w:r>
                </w:p>
              </w:tc>
              <w:tc>
                <w:tcPr>
                  <w:tcW w:w="1040" w:type="dxa"/>
                  <w:tcBorders>
                    <w:top w:val="nil"/>
                    <w:left w:val="nil"/>
                    <w:bottom w:val="single" w:sz="4" w:space="0" w:color="ADD6EA"/>
                    <w:right w:val="nil"/>
                  </w:tcBorders>
                  <w:shd w:val="clear" w:color="000000" w:fill="006991"/>
                  <w:noWrap/>
                  <w:vAlign w:val="center"/>
                  <w:hideMark/>
                </w:tcPr>
                <w:p w14:paraId="2E03FE92" w14:textId="03145AF8" w:rsidR="00DD623B" w:rsidRPr="00DD623B" w:rsidRDefault="00DD623B" w:rsidP="00DD623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623B">
                    <w:rPr>
                      <w:rFonts w:ascii="Open Sans Semibold" w:eastAsia="Times New Roman" w:hAnsi="Open Sans Semibold" w:cs="Open Sans Semibold"/>
                      <w:color w:val="FFFFFF"/>
                      <w:sz w:val="16"/>
                      <w:szCs w:val="16"/>
                      <w:lang w:eastAsia="en-AU"/>
                    </w:rPr>
                    <w:t>2021</w:t>
                  </w:r>
                  <w:r w:rsidR="00F23D0E">
                    <w:rPr>
                      <w:rFonts w:ascii="Open Sans Semibold" w:eastAsia="Times New Roman" w:hAnsi="Open Sans Semibold" w:cs="Open Sans Semibold"/>
                      <w:color w:val="FFFFFF"/>
                      <w:sz w:val="16"/>
                      <w:szCs w:val="16"/>
                      <w:lang w:eastAsia="en-AU"/>
                    </w:rPr>
                    <w:t>–</w:t>
                  </w:r>
                  <w:r w:rsidRPr="00DD623B">
                    <w:rPr>
                      <w:rFonts w:ascii="Open Sans Semibold" w:eastAsia="Times New Roman" w:hAnsi="Open Sans Semibold" w:cs="Open Sans Semibold"/>
                      <w:color w:val="FFFFFF"/>
                      <w:sz w:val="16"/>
                      <w:szCs w:val="16"/>
                      <w:lang w:eastAsia="en-AU"/>
                    </w:rPr>
                    <w:t>22</w:t>
                  </w:r>
                </w:p>
              </w:tc>
              <w:tc>
                <w:tcPr>
                  <w:tcW w:w="1040" w:type="dxa"/>
                  <w:tcBorders>
                    <w:top w:val="nil"/>
                    <w:left w:val="nil"/>
                    <w:bottom w:val="single" w:sz="4" w:space="0" w:color="ADD6EA"/>
                    <w:right w:val="nil"/>
                  </w:tcBorders>
                  <w:shd w:val="clear" w:color="000000" w:fill="006991"/>
                  <w:noWrap/>
                  <w:vAlign w:val="center"/>
                  <w:hideMark/>
                </w:tcPr>
                <w:p w14:paraId="6A49FA48" w14:textId="7B5ADB9F" w:rsidR="00DD623B" w:rsidRPr="00DD623B" w:rsidRDefault="00DD623B" w:rsidP="00DD623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623B">
                    <w:rPr>
                      <w:rFonts w:ascii="Open Sans Semibold" w:eastAsia="Times New Roman" w:hAnsi="Open Sans Semibold" w:cs="Open Sans Semibold"/>
                      <w:color w:val="FFFFFF"/>
                      <w:sz w:val="16"/>
                      <w:szCs w:val="16"/>
                      <w:lang w:eastAsia="en-AU"/>
                    </w:rPr>
                    <w:t>2022</w:t>
                  </w:r>
                  <w:r w:rsidR="00F23D0E">
                    <w:rPr>
                      <w:rFonts w:ascii="Open Sans Semibold" w:eastAsia="Times New Roman" w:hAnsi="Open Sans Semibold" w:cs="Open Sans Semibold"/>
                      <w:color w:val="FFFFFF"/>
                      <w:sz w:val="16"/>
                      <w:szCs w:val="16"/>
                      <w:lang w:eastAsia="en-AU"/>
                    </w:rPr>
                    <w:t>–</w:t>
                  </w:r>
                  <w:r w:rsidRPr="00DD623B">
                    <w:rPr>
                      <w:rFonts w:ascii="Open Sans Semibold" w:eastAsia="Times New Roman" w:hAnsi="Open Sans Semibold" w:cs="Open Sans Semibold"/>
                      <w:color w:val="FFFFFF"/>
                      <w:sz w:val="16"/>
                      <w:szCs w:val="16"/>
                      <w:lang w:eastAsia="en-AU"/>
                    </w:rPr>
                    <w:t>23</w:t>
                  </w:r>
                </w:p>
              </w:tc>
            </w:tr>
            <w:tr w:rsidR="00DD623B" w:rsidRPr="00DD623B" w14:paraId="6AE97A97" w14:textId="77777777" w:rsidTr="00DD623B">
              <w:trPr>
                <w:trHeight w:val="259"/>
              </w:trPr>
              <w:tc>
                <w:tcPr>
                  <w:tcW w:w="2640" w:type="dxa"/>
                  <w:tcBorders>
                    <w:top w:val="nil"/>
                    <w:left w:val="nil"/>
                    <w:bottom w:val="single" w:sz="4" w:space="0" w:color="ADD6EA"/>
                    <w:right w:val="nil"/>
                  </w:tcBorders>
                  <w:shd w:val="clear" w:color="000000" w:fill="B6D5E4"/>
                  <w:noWrap/>
                  <w:vAlign w:val="center"/>
                  <w:hideMark/>
                </w:tcPr>
                <w:p w14:paraId="113FF429" w14:textId="77777777" w:rsidR="00DD623B" w:rsidRPr="00DD623B" w:rsidRDefault="00DD623B" w:rsidP="00DD623B">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r w:rsidRPr="00DD623B">
                    <w:rPr>
                      <w:rFonts w:ascii="Open Sans Semibold" w:eastAsia="Times New Roman" w:hAnsi="Open Sans Semibold" w:cs="Open Sans Semibold"/>
                      <w:color w:val="000000"/>
                      <w:sz w:val="16"/>
                      <w:szCs w:val="16"/>
                      <w:lang w:eastAsia="en-AU"/>
                    </w:rPr>
                    <w:t> </w:t>
                  </w:r>
                </w:p>
              </w:tc>
              <w:tc>
                <w:tcPr>
                  <w:tcW w:w="1040" w:type="dxa"/>
                  <w:tcBorders>
                    <w:top w:val="nil"/>
                    <w:left w:val="nil"/>
                    <w:bottom w:val="single" w:sz="4" w:space="0" w:color="ADD6EA"/>
                    <w:right w:val="nil"/>
                  </w:tcBorders>
                  <w:shd w:val="clear" w:color="000000" w:fill="B6D5E4"/>
                  <w:noWrap/>
                  <w:vAlign w:val="center"/>
                  <w:hideMark/>
                </w:tcPr>
                <w:p w14:paraId="5D867626" w14:textId="77777777" w:rsidR="00DD623B" w:rsidRPr="00DD623B" w:rsidRDefault="00DD623B" w:rsidP="00DD623B">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r w:rsidRPr="00DD623B">
                    <w:rPr>
                      <w:rFonts w:ascii="Open Sans Semibold" w:eastAsia="Times New Roman" w:hAnsi="Open Sans Semibold" w:cs="Open Sans Semibold"/>
                      <w:color w:val="000000"/>
                      <w:sz w:val="16"/>
                      <w:szCs w:val="16"/>
                      <w:lang w:eastAsia="en-AU"/>
                    </w:rPr>
                    <w:t> </w:t>
                  </w:r>
                </w:p>
              </w:tc>
              <w:tc>
                <w:tcPr>
                  <w:tcW w:w="1040" w:type="dxa"/>
                  <w:tcBorders>
                    <w:top w:val="nil"/>
                    <w:left w:val="nil"/>
                    <w:bottom w:val="single" w:sz="4" w:space="0" w:color="ADD6EA"/>
                    <w:right w:val="nil"/>
                  </w:tcBorders>
                  <w:shd w:val="clear" w:color="000000" w:fill="B6D5E4"/>
                  <w:noWrap/>
                  <w:vAlign w:val="center"/>
                  <w:hideMark/>
                </w:tcPr>
                <w:p w14:paraId="0A6F84EC" w14:textId="77777777" w:rsidR="00DD623B" w:rsidRPr="00DD623B" w:rsidRDefault="00DD623B" w:rsidP="00DD623B">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r w:rsidRPr="00DD623B">
                    <w:rPr>
                      <w:rFonts w:ascii="Open Sans Semibold" w:eastAsia="Times New Roman" w:hAnsi="Open Sans Semibold" w:cs="Open Sans Semibold"/>
                      <w:color w:val="000000"/>
                      <w:sz w:val="16"/>
                      <w:szCs w:val="16"/>
                      <w:lang w:eastAsia="en-AU"/>
                    </w:rPr>
                    <w:t> </w:t>
                  </w:r>
                </w:p>
              </w:tc>
              <w:tc>
                <w:tcPr>
                  <w:tcW w:w="1040" w:type="dxa"/>
                  <w:tcBorders>
                    <w:top w:val="nil"/>
                    <w:left w:val="nil"/>
                    <w:bottom w:val="single" w:sz="4" w:space="0" w:color="ADD6EA"/>
                    <w:right w:val="nil"/>
                  </w:tcBorders>
                  <w:shd w:val="clear" w:color="000000" w:fill="B6D5E4"/>
                  <w:noWrap/>
                  <w:vAlign w:val="center"/>
                  <w:hideMark/>
                </w:tcPr>
                <w:p w14:paraId="734B0189" w14:textId="77777777" w:rsidR="00DD623B" w:rsidRPr="00DD623B" w:rsidRDefault="00DD623B" w:rsidP="00DD623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623B">
                    <w:rPr>
                      <w:rFonts w:ascii="Open Sans Semibold" w:eastAsia="Times New Roman" w:hAnsi="Open Sans Semibold" w:cs="Open Sans Semibold"/>
                      <w:color w:val="000000"/>
                      <w:sz w:val="16"/>
                      <w:szCs w:val="16"/>
                      <w:lang w:eastAsia="en-AU"/>
                    </w:rPr>
                    <w:t>%</w:t>
                  </w:r>
                </w:p>
              </w:tc>
              <w:tc>
                <w:tcPr>
                  <w:tcW w:w="1040" w:type="dxa"/>
                  <w:tcBorders>
                    <w:top w:val="nil"/>
                    <w:left w:val="nil"/>
                    <w:bottom w:val="single" w:sz="4" w:space="0" w:color="ADD6EA"/>
                    <w:right w:val="nil"/>
                  </w:tcBorders>
                  <w:shd w:val="clear" w:color="000000" w:fill="B6D5E4"/>
                  <w:noWrap/>
                  <w:vAlign w:val="center"/>
                  <w:hideMark/>
                </w:tcPr>
                <w:p w14:paraId="1F86E0A1" w14:textId="77777777" w:rsidR="00DD623B" w:rsidRPr="00DD623B" w:rsidRDefault="00DD623B" w:rsidP="00DD623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623B">
                    <w:rPr>
                      <w:rFonts w:ascii="Open Sans Semibold" w:eastAsia="Times New Roman" w:hAnsi="Open Sans Semibold" w:cs="Open Sans Semibold"/>
                      <w:color w:val="000000"/>
                      <w:sz w:val="16"/>
                      <w:szCs w:val="16"/>
                      <w:lang w:eastAsia="en-AU"/>
                    </w:rPr>
                    <w:t>%</w:t>
                  </w:r>
                </w:p>
              </w:tc>
              <w:tc>
                <w:tcPr>
                  <w:tcW w:w="1040" w:type="dxa"/>
                  <w:tcBorders>
                    <w:top w:val="nil"/>
                    <w:left w:val="nil"/>
                    <w:bottom w:val="single" w:sz="4" w:space="0" w:color="ADD6EA"/>
                    <w:right w:val="nil"/>
                  </w:tcBorders>
                  <w:shd w:val="clear" w:color="000000" w:fill="B6D5E4"/>
                  <w:noWrap/>
                  <w:vAlign w:val="center"/>
                  <w:hideMark/>
                </w:tcPr>
                <w:p w14:paraId="14643DB5" w14:textId="77777777" w:rsidR="00DD623B" w:rsidRPr="00DD623B" w:rsidRDefault="00DD623B" w:rsidP="00DD623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623B">
                    <w:rPr>
                      <w:rFonts w:ascii="Open Sans Semibold" w:eastAsia="Times New Roman" w:hAnsi="Open Sans Semibold" w:cs="Open Sans Semibold"/>
                      <w:color w:val="000000"/>
                      <w:sz w:val="16"/>
                      <w:szCs w:val="16"/>
                      <w:lang w:eastAsia="en-AU"/>
                    </w:rPr>
                    <w:t>$m</w:t>
                  </w:r>
                </w:p>
              </w:tc>
              <w:tc>
                <w:tcPr>
                  <w:tcW w:w="1040" w:type="dxa"/>
                  <w:tcBorders>
                    <w:top w:val="nil"/>
                    <w:left w:val="nil"/>
                    <w:bottom w:val="single" w:sz="4" w:space="0" w:color="ADD6EA"/>
                    <w:right w:val="nil"/>
                  </w:tcBorders>
                  <w:shd w:val="clear" w:color="000000" w:fill="B6D5E4"/>
                  <w:noWrap/>
                  <w:vAlign w:val="center"/>
                  <w:hideMark/>
                </w:tcPr>
                <w:p w14:paraId="64A00B97" w14:textId="77777777" w:rsidR="00DD623B" w:rsidRPr="00DD623B" w:rsidRDefault="00DD623B" w:rsidP="00DD623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623B">
                    <w:rPr>
                      <w:rFonts w:ascii="Open Sans Semibold" w:eastAsia="Times New Roman" w:hAnsi="Open Sans Semibold" w:cs="Open Sans Semibold"/>
                      <w:color w:val="000000"/>
                      <w:sz w:val="16"/>
                      <w:szCs w:val="16"/>
                      <w:lang w:eastAsia="en-AU"/>
                    </w:rPr>
                    <w:t>$m</w:t>
                  </w:r>
                </w:p>
              </w:tc>
            </w:tr>
            <w:tr w:rsidR="00DD623B" w:rsidRPr="00DD623B" w14:paraId="20F4C341" w14:textId="77777777" w:rsidTr="00DD623B">
              <w:trPr>
                <w:trHeight w:val="315"/>
              </w:trPr>
              <w:tc>
                <w:tcPr>
                  <w:tcW w:w="2640" w:type="dxa"/>
                  <w:tcBorders>
                    <w:top w:val="nil"/>
                    <w:left w:val="nil"/>
                    <w:bottom w:val="single" w:sz="4" w:space="0" w:color="ADD6EA"/>
                    <w:right w:val="nil"/>
                  </w:tcBorders>
                  <w:shd w:val="clear" w:color="auto" w:fill="auto"/>
                  <w:vAlign w:val="bottom"/>
                  <w:hideMark/>
                </w:tcPr>
                <w:p w14:paraId="1A10F1C9" w14:textId="77777777" w:rsidR="00DD623B" w:rsidRPr="00DD623B" w:rsidRDefault="00DD623B" w:rsidP="00DD623B">
                  <w:pPr>
                    <w:tabs>
                      <w:tab w:val="clear" w:pos="567"/>
                    </w:tabs>
                    <w:spacing w:before="0" w:line="240" w:lineRule="auto"/>
                    <w:rPr>
                      <w:rFonts w:eastAsia="Times New Roman" w:cs="Open Sans Light"/>
                      <w:sz w:val="16"/>
                      <w:szCs w:val="16"/>
                      <w:lang w:eastAsia="en-AU"/>
                    </w:rPr>
                  </w:pPr>
                  <w:r w:rsidRPr="00DD623B">
                    <w:rPr>
                      <w:rFonts w:eastAsia="Times New Roman" w:cs="Open Sans Light"/>
                      <w:sz w:val="16"/>
                      <w:szCs w:val="16"/>
                      <w:lang w:eastAsia="en-AU"/>
                    </w:rPr>
                    <w:t>New South Wales</w:t>
                  </w:r>
                </w:p>
              </w:tc>
              <w:tc>
                <w:tcPr>
                  <w:tcW w:w="1040" w:type="dxa"/>
                  <w:tcBorders>
                    <w:top w:val="nil"/>
                    <w:left w:val="nil"/>
                    <w:bottom w:val="single" w:sz="4" w:space="0" w:color="ADD6EA"/>
                    <w:right w:val="nil"/>
                  </w:tcBorders>
                  <w:shd w:val="clear" w:color="auto" w:fill="auto"/>
                  <w:vAlign w:val="bottom"/>
                  <w:hideMark/>
                </w:tcPr>
                <w:p w14:paraId="17187A79"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0.95617</w:t>
                  </w:r>
                </w:p>
              </w:tc>
              <w:tc>
                <w:tcPr>
                  <w:tcW w:w="1040" w:type="dxa"/>
                  <w:tcBorders>
                    <w:top w:val="nil"/>
                    <w:left w:val="nil"/>
                    <w:bottom w:val="single" w:sz="4" w:space="0" w:color="ADD6EA"/>
                    <w:right w:val="nil"/>
                  </w:tcBorders>
                  <w:shd w:val="clear" w:color="000000" w:fill="D6E7F0"/>
                  <w:vAlign w:val="bottom"/>
                  <w:hideMark/>
                </w:tcPr>
                <w:p w14:paraId="211F2E41"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0.95065</w:t>
                  </w:r>
                </w:p>
              </w:tc>
              <w:tc>
                <w:tcPr>
                  <w:tcW w:w="1040" w:type="dxa"/>
                  <w:tcBorders>
                    <w:top w:val="nil"/>
                    <w:left w:val="nil"/>
                    <w:bottom w:val="single" w:sz="4" w:space="0" w:color="ADD6EA"/>
                    <w:right w:val="nil"/>
                  </w:tcBorders>
                  <w:shd w:val="clear" w:color="auto" w:fill="auto"/>
                  <w:vAlign w:val="bottom"/>
                  <w:hideMark/>
                </w:tcPr>
                <w:p w14:paraId="443E333A"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30.3</w:t>
                  </w:r>
                </w:p>
              </w:tc>
              <w:tc>
                <w:tcPr>
                  <w:tcW w:w="1040" w:type="dxa"/>
                  <w:tcBorders>
                    <w:top w:val="nil"/>
                    <w:left w:val="nil"/>
                    <w:bottom w:val="single" w:sz="4" w:space="0" w:color="ADD6EA"/>
                    <w:right w:val="nil"/>
                  </w:tcBorders>
                  <w:shd w:val="clear" w:color="000000" w:fill="D6E7F0"/>
                  <w:vAlign w:val="bottom"/>
                  <w:hideMark/>
                </w:tcPr>
                <w:p w14:paraId="21401A14"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30.0</w:t>
                  </w:r>
                </w:p>
              </w:tc>
              <w:tc>
                <w:tcPr>
                  <w:tcW w:w="1040" w:type="dxa"/>
                  <w:tcBorders>
                    <w:top w:val="nil"/>
                    <w:left w:val="nil"/>
                    <w:bottom w:val="single" w:sz="4" w:space="0" w:color="ADD6EA"/>
                    <w:right w:val="nil"/>
                  </w:tcBorders>
                  <w:shd w:val="clear" w:color="auto" w:fill="auto"/>
                  <w:vAlign w:val="bottom"/>
                  <w:hideMark/>
                </w:tcPr>
                <w:p w14:paraId="33353B39"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22,107</w:t>
                  </w:r>
                </w:p>
              </w:tc>
              <w:tc>
                <w:tcPr>
                  <w:tcW w:w="1040" w:type="dxa"/>
                  <w:tcBorders>
                    <w:top w:val="nil"/>
                    <w:left w:val="nil"/>
                    <w:bottom w:val="single" w:sz="4" w:space="0" w:color="ADD6EA"/>
                    <w:right w:val="nil"/>
                  </w:tcBorders>
                  <w:shd w:val="clear" w:color="000000" w:fill="D6E7F0"/>
                  <w:vAlign w:val="bottom"/>
                  <w:hideMark/>
                </w:tcPr>
                <w:p w14:paraId="1C2DB7E6"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23,218</w:t>
                  </w:r>
                </w:p>
              </w:tc>
            </w:tr>
            <w:tr w:rsidR="00DD623B" w:rsidRPr="00DD623B" w14:paraId="624C049B" w14:textId="77777777" w:rsidTr="00DD623B">
              <w:trPr>
                <w:trHeight w:val="315"/>
              </w:trPr>
              <w:tc>
                <w:tcPr>
                  <w:tcW w:w="2640" w:type="dxa"/>
                  <w:tcBorders>
                    <w:top w:val="nil"/>
                    <w:left w:val="nil"/>
                    <w:bottom w:val="single" w:sz="4" w:space="0" w:color="ADD6EA"/>
                    <w:right w:val="nil"/>
                  </w:tcBorders>
                  <w:shd w:val="clear" w:color="auto" w:fill="auto"/>
                  <w:vAlign w:val="bottom"/>
                  <w:hideMark/>
                </w:tcPr>
                <w:p w14:paraId="68F36024" w14:textId="77777777" w:rsidR="00DD623B" w:rsidRPr="00DD623B" w:rsidRDefault="00DD623B" w:rsidP="00DD623B">
                  <w:pPr>
                    <w:tabs>
                      <w:tab w:val="clear" w:pos="567"/>
                    </w:tabs>
                    <w:spacing w:before="0" w:line="240" w:lineRule="auto"/>
                    <w:rPr>
                      <w:rFonts w:eastAsia="Times New Roman" w:cs="Open Sans Light"/>
                      <w:sz w:val="16"/>
                      <w:szCs w:val="16"/>
                      <w:lang w:eastAsia="en-AU"/>
                    </w:rPr>
                  </w:pPr>
                  <w:r w:rsidRPr="00DD623B">
                    <w:rPr>
                      <w:rFonts w:eastAsia="Times New Roman" w:cs="Open Sans Light"/>
                      <w:sz w:val="16"/>
                      <w:szCs w:val="16"/>
                      <w:lang w:eastAsia="en-AU"/>
                    </w:rPr>
                    <w:t>Victoria</w:t>
                  </w:r>
                </w:p>
              </w:tc>
              <w:tc>
                <w:tcPr>
                  <w:tcW w:w="1040" w:type="dxa"/>
                  <w:tcBorders>
                    <w:top w:val="nil"/>
                    <w:left w:val="nil"/>
                    <w:bottom w:val="single" w:sz="4" w:space="0" w:color="ADD6EA"/>
                    <w:right w:val="nil"/>
                  </w:tcBorders>
                  <w:shd w:val="clear" w:color="auto" w:fill="auto"/>
                  <w:vAlign w:val="bottom"/>
                  <w:hideMark/>
                </w:tcPr>
                <w:p w14:paraId="5BBC2283"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0.92335</w:t>
                  </w:r>
                </w:p>
              </w:tc>
              <w:tc>
                <w:tcPr>
                  <w:tcW w:w="1040" w:type="dxa"/>
                  <w:tcBorders>
                    <w:top w:val="nil"/>
                    <w:left w:val="nil"/>
                    <w:bottom w:val="single" w:sz="4" w:space="0" w:color="ADD6EA"/>
                    <w:right w:val="nil"/>
                  </w:tcBorders>
                  <w:shd w:val="clear" w:color="000000" w:fill="D6E7F0"/>
                  <w:vAlign w:val="bottom"/>
                  <w:hideMark/>
                </w:tcPr>
                <w:p w14:paraId="5B84E8D5"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0.85861</w:t>
                  </w:r>
                </w:p>
              </w:tc>
              <w:tc>
                <w:tcPr>
                  <w:tcW w:w="1040" w:type="dxa"/>
                  <w:tcBorders>
                    <w:top w:val="nil"/>
                    <w:left w:val="nil"/>
                    <w:bottom w:val="single" w:sz="4" w:space="0" w:color="ADD6EA"/>
                    <w:right w:val="nil"/>
                  </w:tcBorders>
                  <w:shd w:val="clear" w:color="auto" w:fill="auto"/>
                  <w:vAlign w:val="bottom"/>
                  <w:hideMark/>
                </w:tcPr>
                <w:p w14:paraId="14E52D24"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23.8</w:t>
                  </w:r>
                </w:p>
              </w:tc>
              <w:tc>
                <w:tcPr>
                  <w:tcW w:w="1040" w:type="dxa"/>
                  <w:tcBorders>
                    <w:top w:val="nil"/>
                    <w:left w:val="nil"/>
                    <w:bottom w:val="single" w:sz="4" w:space="0" w:color="ADD6EA"/>
                    <w:right w:val="nil"/>
                  </w:tcBorders>
                  <w:shd w:val="clear" w:color="000000" w:fill="D6E7F0"/>
                  <w:vAlign w:val="bottom"/>
                  <w:hideMark/>
                </w:tcPr>
                <w:p w14:paraId="370177EC"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22.2</w:t>
                  </w:r>
                </w:p>
              </w:tc>
              <w:tc>
                <w:tcPr>
                  <w:tcW w:w="1040" w:type="dxa"/>
                  <w:tcBorders>
                    <w:top w:val="nil"/>
                    <w:left w:val="nil"/>
                    <w:bottom w:val="single" w:sz="4" w:space="0" w:color="ADD6EA"/>
                    <w:right w:val="nil"/>
                  </w:tcBorders>
                  <w:shd w:val="clear" w:color="auto" w:fill="auto"/>
                  <w:vAlign w:val="bottom"/>
                  <w:hideMark/>
                </w:tcPr>
                <w:p w14:paraId="4E627B44"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17,411</w:t>
                  </w:r>
                </w:p>
              </w:tc>
              <w:tc>
                <w:tcPr>
                  <w:tcW w:w="1040" w:type="dxa"/>
                  <w:tcBorders>
                    <w:top w:val="nil"/>
                    <w:left w:val="nil"/>
                    <w:bottom w:val="single" w:sz="4" w:space="0" w:color="ADD6EA"/>
                    <w:right w:val="nil"/>
                  </w:tcBorders>
                  <w:shd w:val="clear" w:color="000000" w:fill="D6E7F0"/>
                  <w:vAlign w:val="bottom"/>
                  <w:hideMark/>
                </w:tcPr>
                <w:p w14:paraId="331FB413"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17,167</w:t>
                  </w:r>
                </w:p>
              </w:tc>
            </w:tr>
            <w:tr w:rsidR="00DD623B" w:rsidRPr="00DD623B" w14:paraId="55523261" w14:textId="77777777" w:rsidTr="00DD623B">
              <w:trPr>
                <w:trHeight w:val="315"/>
              </w:trPr>
              <w:tc>
                <w:tcPr>
                  <w:tcW w:w="2640" w:type="dxa"/>
                  <w:tcBorders>
                    <w:top w:val="nil"/>
                    <w:left w:val="nil"/>
                    <w:bottom w:val="single" w:sz="4" w:space="0" w:color="ADD6EA"/>
                    <w:right w:val="nil"/>
                  </w:tcBorders>
                  <w:shd w:val="clear" w:color="auto" w:fill="auto"/>
                  <w:vAlign w:val="bottom"/>
                  <w:hideMark/>
                </w:tcPr>
                <w:p w14:paraId="1959A7FF" w14:textId="77777777" w:rsidR="00DD623B" w:rsidRPr="00DD623B" w:rsidRDefault="00DD623B" w:rsidP="00DD623B">
                  <w:pPr>
                    <w:tabs>
                      <w:tab w:val="clear" w:pos="567"/>
                    </w:tabs>
                    <w:spacing w:before="0" w:line="240" w:lineRule="auto"/>
                    <w:rPr>
                      <w:rFonts w:eastAsia="Times New Roman" w:cs="Open Sans Light"/>
                      <w:sz w:val="16"/>
                      <w:szCs w:val="16"/>
                      <w:lang w:eastAsia="en-AU"/>
                    </w:rPr>
                  </w:pPr>
                  <w:r w:rsidRPr="00DD623B">
                    <w:rPr>
                      <w:rFonts w:eastAsia="Times New Roman" w:cs="Open Sans Light"/>
                      <w:sz w:val="16"/>
                      <w:szCs w:val="16"/>
                      <w:lang w:eastAsia="en-AU"/>
                    </w:rPr>
                    <w:t>Queensland</w:t>
                  </w:r>
                </w:p>
              </w:tc>
              <w:tc>
                <w:tcPr>
                  <w:tcW w:w="1040" w:type="dxa"/>
                  <w:tcBorders>
                    <w:top w:val="nil"/>
                    <w:left w:val="nil"/>
                    <w:bottom w:val="single" w:sz="4" w:space="0" w:color="ADD6EA"/>
                    <w:right w:val="nil"/>
                  </w:tcBorders>
                  <w:shd w:val="clear" w:color="auto" w:fill="auto"/>
                  <w:vAlign w:val="bottom"/>
                  <w:hideMark/>
                </w:tcPr>
                <w:p w14:paraId="1F8E9484"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1.05918</w:t>
                  </w:r>
                </w:p>
              </w:tc>
              <w:tc>
                <w:tcPr>
                  <w:tcW w:w="1040" w:type="dxa"/>
                  <w:tcBorders>
                    <w:top w:val="nil"/>
                    <w:left w:val="nil"/>
                    <w:bottom w:val="single" w:sz="4" w:space="0" w:color="ADD6EA"/>
                    <w:right w:val="nil"/>
                  </w:tcBorders>
                  <w:shd w:val="clear" w:color="000000" w:fill="D6E7F0"/>
                  <w:vAlign w:val="bottom"/>
                  <w:hideMark/>
                </w:tcPr>
                <w:p w14:paraId="3BE44C3E"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1.03377</w:t>
                  </w:r>
                </w:p>
              </w:tc>
              <w:tc>
                <w:tcPr>
                  <w:tcW w:w="1040" w:type="dxa"/>
                  <w:tcBorders>
                    <w:top w:val="nil"/>
                    <w:left w:val="nil"/>
                    <w:bottom w:val="single" w:sz="4" w:space="0" w:color="ADD6EA"/>
                    <w:right w:val="nil"/>
                  </w:tcBorders>
                  <w:shd w:val="clear" w:color="auto" w:fill="auto"/>
                  <w:vAlign w:val="bottom"/>
                  <w:hideMark/>
                </w:tcPr>
                <w:p w14:paraId="404DBA85"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21.5</w:t>
                  </w:r>
                </w:p>
              </w:tc>
              <w:tc>
                <w:tcPr>
                  <w:tcW w:w="1040" w:type="dxa"/>
                  <w:tcBorders>
                    <w:top w:val="nil"/>
                    <w:left w:val="nil"/>
                    <w:bottom w:val="single" w:sz="4" w:space="0" w:color="ADD6EA"/>
                    <w:right w:val="nil"/>
                  </w:tcBorders>
                  <w:shd w:val="clear" w:color="000000" w:fill="D6E7F0"/>
                  <w:vAlign w:val="bottom"/>
                  <w:hideMark/>
                </w:tcPr>
                <w:p w14:paraId="00F94B8C"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21.2</w:t>
                  </w:r>
                </w:p>
              </w:tc>
              <w:tc>
                <w:tcPr>
                  <w:tcW w:w="1040" w:type="dxa"/>
                  <w:tcBorders>
                    <w:top w:val="nil"/>
                    <w:left w:val="nil"/>
                    <w:bottom w:val="single" w:sz="4" w:space="0" w:color="ADD6EA"/>
                    <w:right w:val="nil"/>
                  </w:tcBorders>
                  <w:shd w:val="clear" w:color="auto" w:fill="auto"/>
                  <w:vAlign w:val="bottom"/>
                  <w:hideMark/>
                </w:tcPr>
                <w:p w14:paraId="76D3FB6B"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15,739</w:t>
                  </w:r>
                </w:p>
              </w:tc>
              <w:tc>
                <w:tcPr>
                  <w:tcW w:w="1040" w:type="dxa"/>
                  <w:tcBorders>
                    <w:top w:val="nil"/>
                    <w:left w:val="nil"/>
                    <w:bottom w:val="single" w:sz="4" w:space="0" w:color="ADD6EA"/>
                    <w:right w:val="nil"/>
                  </w:tcBorders>
                  <w:shd w:val="clear" w:color="000000" w:fill="D6E7F0"/>
                  <w:vAlign w:val="bottom"/>
                  <w:hideMark/>
                </w:tcPr>
                <w:p w14:paraId="3D61359A"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16,384</w:t>
                  </w:r>
                </w:p>
              </w:tc>
            </w:tr>
            <w:tr w:rsidR="00DD623B" w:rsidRPr="00DD623B" w14:paraId="0F040D62" w14:textId="77777777" w:rsidTr="00DD623B">
              <w:trPr>
                <w:trHeight w:val="315"/>
              </w:trPr>
              <w:tc>
                <w:tcPr>
                  <w:tcW w:w="2640" w:type="dxa"/>
                  <w:tcBorders>
                    <w:top w:val="nil"/>
                    <w:left w:val="nil"/>
                    <w:bottom w:val="single" w:sz="4" w:space="0" w:color="ADD6EA"/>
                    <w:right w:val="nil"/>
                  </w:tcBorders>
                  <w:shd w:val="clear" w:color="auto" w:fill="auto"/>
                  <w:vAlign w:val="bottom"/>
                  <w:hideMark/>
                </w:tcPr>
                <w:p w14:paraId="4D63A07C" w14:textId="77777777" w:rsidR="00DD623B" w:rsidRPr="00DD623B" w:rsidRDefault="00DD623B" w:rsidP="00DD623B">
                  <w:pPr>
                    <w:tabs>
                      <w:tab w:val="clear" w:pos="567"/>
                    </w:tabs>
                    <w:spacing w:before="0" w:line="240" w:lineRule="auto"/>
                    <w:rPr>
                      <w:rFonts w:eastAsia="Times New Roman" w:cs="Open Sans Light"/>
                      <w:sz w:val="16"/>
                      <w:szCs w:val="16"/>
                      <w:lang w:eastAsia="en-AU"/>
                    </w:rPr>
                  </w:pPr>
                  <w:r w:rsidRPr="00DD623B">
                    <w:rPr>
                      <w:rFonts w:eastAsia="Times New Roman" w:cs="Open Sans Light"/>
                      <w:sz w:val="16"/>
                      <w:szCs w:val="16"/>
                      <w:lang w:eastAsia="en-AU"/>
                    </w:rPr>
                    <w:t>Western Australia</w:t>
                  </w:r>
                </w:p>
              </w:tc>
              <w:tc>
                <w:tcPr>
                  <w:tcW w:w="1040" w:type="dxa"/>
                  <w:tcBorders>
                    <w:top w:val="nil"/>
                    <w:left w:val="nil"/>
                    <w:bottom w:val="single" w:sz="4" w:space="0" w:color="ADD6EA"/>
                    <w:right w:val="nil"/>
                  </w:tcBorders>
                  <w:shd w:val="clear" w:color="auto" w:fill="auto"/>
                  <w:vAlign w:val="bottom"/>
                  <w:hideMark/>
                </w:tcPr>
                <w:p w14:paraId="02108872"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0.41967</w:t>
                  </w:r>
                </w:p>
              </w:tc>
              <w:tc>
                <w:tcPr>
                  <w:tcW w:w="1040" w:type="dxa"/>
                  <w:tcBorders>
                    <w:top w:val="nil"/>
                    <w:left w:val="nil"/>
                    <w:bottom w:val="single" w:sz="4" w:space="0" w:color="ADD6EA"/>
                    <w:right w:val="nil"/>
                  </w:tcBorders>
                  <w:shd w:val="clear" w:color="000000" w:fill="D6E7F0"/>
                  <w:vAlign w:val="bottom"/>
                  <w:hideMark/>
                </w:tcPr>
                <w:p w14:paraId="4F4F3742"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0.70000</w:t>
                  </w:r>
                </w:p>
              </w:tc>
              <w:tc>
                <w:tcPr>
                  <w:tcW w:w="1040" w:type="dxa"/>
                  <w:tcBorders>
                    <w:top w:val="nil"/>
                    <w:left w:val="nil"/>
                    <w:bottom w:val="single" w:sz="4" w:space="0" w:color="ADD6EA"/>
                    <w:right w:val="nil"/>
                  </w:tcBorders>
                  <w:shd w:val="clear" w:color="auto" w:fill="auto"/>
                  <w:vAlign w:val="bottom"/>
                  <w:hideMark/>
                </w:tcPr>
                <w:p w14:paraId="2D07C183"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4.4</w:t>
                  </w:r>
                </w:p>
              </w:tc>
              <w:tc>
                <w:tcPr>
                  <w:tcW w:w="1040" w:type="dxa"/>
                  <w:tcBorders>
                    <w:top w:val="nil"/>
                    <w:left w:val="nil"/>
                    <w:bottom w:val="single" w:sz="4" w:space="0" w:color="ADD6EA"/>
                    <w:right w:val="nil"/>
                  </w:tcBorders>
                  <w:shd w:val="clear" w:color="000000" w:fill="D6E7F0"/>
                  <w:vAlign w:val="bottom"/>
                  <w:hideMark/>
                </w:tcPr>
                <w:p w14:paraId="1D97839A"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7.3</w:t>
                  </w:r>
                </w:p>
              </w:tc>
              <w:tc>
                <w:tcPr>
                  <w:tcW w:w="1040" w:type="dxa"/>
                  <w:tcBorders>
                    <w:top w:val="nil"/>
                    <w:left w:val="nil"/>
                    <w:bottom w:val="single" w:sz="4" w:space="0" w:color="ADD6EA"/>
                    <w:right w:val="nil"/>
                  </w:tcBorders>
                  <w:shd w:val="clear" w:color="auto" w:fill="auto"/>
                  <w:vAlign w:val="bottom"/>
                  <w:hideMark/>
                </w:tcPr>
                <w:p w14:paraId="58A06996"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3,199</w:t>
                  </w:r>
                </w:p>
              </w:tc>
              <w:tc>
                <w:tcPr>
                  <w:tcW w:w="1040" w:type="dxa"/>
                  <w:tcBorders>
                    <w:top w:val="nil"/>
                    <w:left w:val="nil"/>
                    <w:bottom w:val="single" w:sz="4" w:space="0" w:color="ADD6EA"/>
                    <w:right w:val="nil"/>
                  </w:tcBorders>
                  <w:shd w:val="clear" w:color="000000" w:fill="D6E7F0"/>
                  <w:vAlign w:val="bottom"/>
                  <w:hideMark/>
                </w:tcPr>
                <w:p w14:paraId="1CFF73A4"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5,682</w:t>
                  </w:r>
                </w:p>
              </w:tc>
            </w:tr>
            <w:tr w:rsidR="00DD623B" w:rsidRPr="00DD623B" w14:paraId="7E497DFA" w14:textId="77777777" w:rsidTr="00DD623B">
              <w:trPr>
                <w:trHeight w:val="315"/>
              </w:trPr>
              <w:tc>
                <w:tcPr>
                  <w:tcW w:w="2640" w:type="dxa"/>
                  <w:tcBorders>
                    <w:top w:val="nil"/>
                    <w:left w:val="nil"/>
                    <w:bottom w:val="single" w:sz="4" w:space="0" w:color="ADD6EA"/>
                    <w:right w:val="nil"/>
                  </w:tcBorders>
                  <w:shd w:val="clear" w:color="auto" w:fill="auto"/>
                  <w:vAlign w:val="bottom"/>
                  <w:hideMark/>
                </w:tcPr>
                <w:p w14:paraId="298221EC" w14:textId="77777777" w:rsidR="00DD623B" w:rsidRPr="00DD623B" w:rsidRDefault="00DD623B" w:rsidP="00DD623B">
                  <w:pPr>
                    <w:tabs>
                      <w:tab w:val="clear" w:pos="567"/>
                    </w:tabs>
                    <w:spacing w:before="0" w:line="240" w:lineRule="auto"/>
                    <w:rPr>
                      <w:rFonts w:eastAsia="Times New Roman" w:cs="Open Sans Light"/>
                      <w:sz w:val="16"/>
                      <w:szCs w:val="16"/>
                      <w:lang w:eastAsia="en-AU"/>
                    </w:rPr>
                  </w:pPr>
                  <w:r w:rsidRPr="00DD623B">
                    <w:rPr>
                      <w:rFonts w:eastAsia="Times New Roman" w:cs="Open Sans Light"/>
                      <w:sz w:val="16"/>
                      <w:szCs w:val="16"/>
                      <w:lang w:eastAsia="en-AU"/>
                    </w:rPr>
                    <w:t>South Australia</w:t>
                  </w:r>
                </w:p>
              </w:tc>
              <w:tc>
                <w:tcPr>
                  <w:tcW w:w="1040" w:type="dxa"/>
                  <w:tcBorders>
                    <w:top w:val="nil"/>
                    <w:left w:val="nil"/>
                    <w:bottom w:val="single" w:sz="4" w:space="0" w:color="ADD6EA"/>
                    <w:right w:val="nil"/>
                  </w:tcBorders>
                  <w:shd w:val="clear" w:color="auto" w:fill="auto"/>
                  <w:vAlign w:val="bottom"/>
                  <w:hideMark/>
                </w:tcPr>
                <w:p w14:paraId="005C32DB"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1.34719</w:t>
                  </w:r>
                </w:p>
              </w:tc>
              <w:tc>
                <w:tcPr>
                  <w:tcW w:w="1040" w:type="dxa"/>
                  <w:tcBorders>
                    <w:top w:val="nil"/>
                    <w:left w:val="nil"/>
                    <w:bottom w:val="single" w:sz="4" w:space="0" w:color="ADD6EA"/>
                    <w:right w:val="nil"/>
                  </w:tcBorders>
                  <w:shd w:val="clear" w:color="000000" w:fill="D6E7F0"/>
                  <w:vAlign w:val="bottom"/>
                  <w:hideMark/>
                </w:tcPr>
                <w:p w14:paraId="6C17A00C"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1.28411</w:t>
                  </w:r>
                </w:p>
              </w:tc>
              <w:tc>
                <w:tcPr>
                  <w:tcW w:w="1040" w:type="dxa"/>
                  <w:tcBorders>
                    <w:top w:val="nil"/>
                    <w:left w:val="nil"/>
                    <w:bottom w:val="single" w:sz="4" w:space="0" w:color="ADD6EA"/>
                    <w:right w:val="nil"/>
                  </w:tcBorders>
                  <w:shd w:val="clear" w:color="auto" w:fill="auto"/>
                  <w:vAlign w:val="bottom"/>
                  <w:hideMark/>
                </w:tcPr>
                <w:p w14:paraId="6163D7CE"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9.3</w:t>
                  </w:r>
                </w:p>
              </w:tc>
              <w:tc>
                <w:tcPr>
                  <w:tcW w:w="1040" w:type="dxa"/>
                  <w:tcBorders>
                    <w:top w:val="nil"/>
                    <w:left w:val="nil"/>
                    <w:bottom w:val="single" w:sz="4" w:space="0" w:color="ADD6EA"/>
                    <w:right w:val="nil"/>
                  </w:tcBorders>
                  <w:shd w:val="clear" w:color="000000" w:fill="D6E7F0"/>
                  <w:vAlign w:val="bottom"/>
                  <w:hideMark/>
                </w:tcPr>
                <w:p w14:paraId="4E5AF431"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8.9</w:t>
                  </w:r>
                </w:p>
              </w:tc>
              <w:tc>
                <w:tcPr>
                  <w:tcW w:w="1040" w:type="dxa"/>
                  <w:tcBorders>
                    <w:top w:val="nil"/>
                    <w:left w:val="nil"/>
                    <w:bottom w:val="single" w:sz="4" w:space="0" w:color="ADD6EA"/>
                    <w:right w:val="nil"/>
                  </w:tcBorders>
                  <w:shd w:val="clear" w:color="auto" w:fill="auto"/>
                  <w:vAlign w:val="bottom"/>
                  <w:hideMark/>
                </w:tcPr>
                <w:p w14:paraId="1256ED65"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6,785</w:t>
                  </w:r>
                </w:p>
              </w:tc>
              <w:tc>
                <w:tcPr>
                  <w:tcW w:w="1040" w:type="dxa"/>
                  <w:tcBorders>
                    <w:top w:val="nil"/>
                    <w:left w:val="nil"/>
                    <w:bottom w:val="single" w:sz="4" w:space="0" w:color="ADD6EA"/>
                    <w:right w:val="nil"/>
                  </w:tcBorders>
                  <w:shd w:val="clear" w:color="000000" w:fill="D6E7F0"/>
                  <w:vAlign w:val="bottom"/>
                  <w:hideMark/>
                </w:tcPr>
                <w:p w14:paraId="2BDDFD41"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6,865</w:t>
                  </w:r>
                </w:p>
              </w:tc>
            </w:tr>
            <w:tr w:rsidR="00DD623B" w:rsidRPr="00DD623B" w14:paraId="6A158E34" w14:textId="77777777" w:rsidTr="00DD623B">
              <w:trPr>
                <w:trHeight w:val="315"/>
              </w:trPr>
              <w:tc>
                <w:tcPr>
                  <w:tcW w:w="2640" w:type="dxa"/>
                  <w:tcBorders>
                    <w:top w:val="nil"/>
                    <w:left w:val="nil"/>
                    <w:bottom w:val="single" w:sz="4" w:space="0" w:color="ADD6EA"/>
                    <w:right w:val="nil"/>
                  </w:tcBorders>
                  <w:shd w:val="clear" w:color="auto" w:fill="auto"/>
                  <w:vAlign w:val="bottom"/>
                  <w:hideMark/>
                </w:tcPr>
                <w:p w14:paraId="6472D814" w14:textId="77777777" w:rsidR="00DD623B" w:rsidRPr="00DD623B" w:rsidRDefault="00DD623B" w:rsidP="00DD623B">
                  <w:pPr>
                    <w:tabs>
                      <w:tab w:val="clear" w:pos="567"/>
                    </w:tabs>
                    <w:spacing w:before="0" w:line="240" w:lineRule="auto"/>
                    <w:rPr>
                      <w:rFonts w:eastAsia="Times New Roman" w:cs="Open Sans Light"/>
                      <w:sz w:val="16"/>
                      <w:szCs w:val="16"/>
                      <w:lang w:eastAsia="en-AU"/>
                    </w:rPr>
                  </w:pPr>
                  <w:r w:rsidRPr="00DD623B">
                    <w:rPr>
                      <w:rFonts w:eastAsia="Times New Roman" w:cs="Open Sans Light"/>
                      <w:sz w:val="16"/>
                      <w:szCs w:val="16"/>
                      <w:lang w:eastAsia="en-AU"/>
                    </w:rPr>
                    <w:t>Tasmania</w:t>
                  </w:r>
                </w:p>
              </w:tc>
              <w:tc>
                <w:tcPr>
                  <w:tcW w:w="1040" w:type="dxa"/>
                  <w:tcBorders>
                    <w:top w:val="nil"/>
                    <w:left w:val="nil"/>
                    <w:bottom w:val="single" w:sz="4" w:space="0" w:color="ADD6EA"/>
                    <w:right w:val="nil"/>
                  </w:tcBorders>
                  <w:shd w:val="clear" w:color="auto" w:fill="auto"/>
                  <w:vAlign w:val="bottom"/>
                  <w:hideMark/>
                </w:tcPr>
                <w:p w14:paraId="24D865A3"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1.96067</w:t>
                  </w:r>
                </w:p>
              </w:tc>
              <w:tc>
                <w:tcPr>
                  <w:tcW w:w="1040" w:type="dxa"/>
                  <w:tcBorders>
                    <w:top w:val="nil"/>
                    <w:left w:val="nil"/>
                    <w:bottom w:val="single" w:sz="4" w:space="0" w:color="ADD6EA"/>
                    <w:right w:val="nil"/>
                  </w:tcBorders>
                  <w:shd w:val="clear" w:color="000000" w:fill="D6E7F0"/>
                  <w:vAlign w:val="bottom"/>
                  <w:hideMark/>
                </w:tcPr>
                <w:p w14:paraId="1CBFE70C"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1.85360</w:t>
                  </w:r>
                </w:p>
              </w:tc>
              <w:tc>
                <w:tcPr>
                  <w:tcW w:w="1040" w:type="dxa"/>
                  <w:tcBorders>
                    <w:top w:val="nil"/>
                    <w:left w:val="nil"/>
                    <w:bottom w:val="single" w:sz="4" w:space="0" w:color="ADD6EA"/>
                    <w:right w:val="nil"/>
                  </w:tcBorders>
                  <w:shd w:val="clear" w:color="auto" w:fill="auto"/>
                  <w:vAlign w:val="bottom"/>
                  <w:hideMark/>
                </w:tcPr>
                <w:p w14:paraId="090F801E"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4.1</w:t>
                  </w:r>
                </w:p>
              </w:tc>
              <w:tc>
                <w:tcPr>
                  <w:tcW w:w="1040" w:type="dxa"/>
                  <w:tcBorders>
                    <w:top w:val="nil"/>
                    <w:left w:val="nil"/>
                    <w:bottom w:val="single" w:sz="4" w:space="0" w:color="ADD6EA"/>
                    <w:right w:val="nil"/>
                  </w:tcBorders>
                  <w:shd w:val="clear" w:color="000000" w:fill="D6E7F0"/>
                  <w:vAlign w:val="bottom"/>
                  <w:hideMark/>
                </w:tcPr>
                <w:p w14:paraId="32B2C0B0"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3.9</w:t>
                  </w:r>
                </w:p>
              </w:tc>
              <w:tc>
                <w:tcPr>
                  <w:tcW w:w="1040" w:type="dxa"/>
                  <w:tcBorders>
                    <w:top w:val="nil"/>
                    <w:left w:val="nil"/>
                    <w:bottom w:val="single" w:sz="4" w:space="0" w:color="ADD6EA"/>
                    <w:right w:val="nil"/>
                  </w:tcBorders>
                  <w:shd w:val="clear" w:color="auto" w:fill="auto"/>
                  <w:vAlign w:val="bottom"/>
                  <w:hideMark/>
                </w:tcPr>
                <w:p w14:paraId="0E96E5D9"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3,024</w:t>
                  </w:r>
                </w:p>
              </w:tc>
              <w:tc>
                <w:tcPr>
                  <w:tcW w:w="1040" w:type="dxa"/>
                  <w:tcBorders>
                    <w:top w:val="nil"/>
                    <w:left w:val="nil"/>
                    <w:bottom w:val="single" w:sz="4" w:space="0" w:color="ADD6EA"/>
                    <w:right w:val="nil"/>
                  </w:tcBorders>
                  <w:shd w:val="clear" w:color="000000" w:fill="D6E7F0"/>
                  <w:vAlign w:val="bottom"/>
                  <w:hideMark/>
                </w:tcPr>
                <w:p w14:paraId="4DFC7B5D"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3,035</w:t>
                  </w:r>
                </w:p>
              </w:tc>
            </w:tr>
            <w:tr w:rsidR="00DD623B" w:rsidRPr="00DD623B" w14:paraId="7B7526D2" w14:textId="77777777" w:rsidTr="00DD623B">
              <w:trPr>
                <w:trHeight w:val="315"/>
              </w:trPr>
              <w:tc>
                <w:tcPr>
                  <w:tcW w:w="2640" w:type="dxa"/>
                  <w:tcBorders>
                    <w:top w:val="nil"/>
                    <w:left w:val="nil"/>
                    <w:bottom w:val="single" w:sz="4" w:space="0" w:color="ADD6EA"/>
                    <w:right w:val="nil"/>
                  </w:tcBorders>
                  <w:shd w:val="clear" w:color="auto" w:fill="auto"/>
                  <w:vAlign w:val="bottom"/>
                  <w:hideMark/>
                </w:tcPr>
                <w:p w14:paraId="57FD3E8D" w14:textId="77777777" w:rsidR="00DD623B" w:rsidRPr="00DD623B" w:rsidRDefault="00DD623B" w:rsidP="00DD623B">
                  <w:pPr>
                    <w:tabs>
                      <w:tab w:val="clear" w:pos="567"/>
                    </w:tabs>
                    <w:spacing w:before="0" w:line="240" w:lineRule="auto"/>
                    <w:rPr>
                      <w:rFonts w:eastAsia="Times New Roman" w:cs="Open Sans Light"/>
                      <w:sz w:val="16"/>
                      <w:szCs w:val="16"/>
                      <w:lang w:eastAsia="en-AU"/>
                    </w:rPr>
                  </w:pPr>
                  <w:r w:rsidRPr="00DD623B">
                    <w:rPr>
                      <w:rFonts w:eastAsia="Times New Roman" w:cs="Open Sans Light"/>
                      <w:sz w:val="16"/>
                      <w:szCs w:val="16"/>
                      <w:lang w:eastAsia="en-AU"/>
                    </w:rPr>
                    <w:t>Australian Capital Territory</w:t>
                  </w:r>
                </w:p>
              </w:tc>
              <w:tc>
                <w:tcPr>
                  <w:tcW w:w="1040" w:type="dxa"/>
                  <w:tcBorders>
                    <w:top w:val="nil"/>
                    <w:left w:val="nil"/>
                    <w:bottom w:val="single" w:sz="4" w:space="0" w:color="ADD6EA"/>
                    <w:right w:val="nil"/>
                  </w:tcBorders>
                  <w:shd w:val="clear" w:color="auto" w:fill="auto"/>
                  <w:vAlign w:val="bottom"/>
                  <w:hideMark/>
                </w:tcPr>
                <w:p w14:paraId="29558303"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1.16266</w:t>
                  </w:r>
                </w:p>
              </w:tc>
              <w:tc>
                <w:tcPr>
                  <w:tcW w:w="1040" w:type="dxa"/>
                  <w:tcBorders>
                    <w:top w:val="nil"/>
                    <w:left w:val="nil"/>
                    <w:bottom w:val="single" w:sz="4" w:space="0" w:color="ADD6EA"/>
                    <w:right w:val="nil"/>
                  </w:tcBorders>
                  <w:shd w:val="clear" w:color="000000" w:fill="D6E7F0"/>
                  <w:vAlign w:val="bottom"/>
                  <w:hideMark/>
                </w:tcPr>
                <w:p w14:paraId="508FD11F"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1.09250</w:t>
                  </w:r>
                </w:p>
              </w:tc>
              <w:tc>
                <w:tcPr>
                  <w:tcW w:w="1040" w:type="dxa"/>
                  <w:tcBorders>
                    <w:top w:val="nil"/>
                    <w:left w:val="nil"/>
                    <w:bottom w:val="single" w:sz="4" w:space="0" w:color="ADD6EA"/>
                    <w:right w:val="nil"/>
                  </w:tcBorders>
                  <w:shd w:val="clear" w:color="auto" w:fill="auto"/>
                  <w:vAlign w:val="bottom"/>
                  <w:hideMark/>
                </w:tcPr>
                <w:p w14:paraId="38567398"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2.0</w:t>
                  </w:r>
                </w:p>
              </w:tc>
              <w:tc>
                <w:tcPr>
                  <w:tcW w:w="1040" w:type="dxa"/>
                  <w:tcBorders>
                    <w:top w:val="nil"/>
                    <w:left w:val="nil"/>
                    <w:bottom w:val="single" w:sz="4" w:space="0" w:color="ADD6EA"/>
                    <w:right w:val="nil"/>
                  </w:tcBorders>
                  <w:shd w:val="clear" w:color="000000" w:fill="D6E7F0"/>
                  <w:vAlign w:val="bottom"/>
                  <w:hideMark/>
                </w:tcPr>
                <w:p w14:paraId="679D662F"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1.8</w:t>
                  </w:r>
                </w:p>
              </w:tc>
              <w:tc>
                <w:tcPr>
                  <w:tcW w:w="1040" w:type="dxa"/>
                  <w:tcBorders>
                    <w:top w:val="nil"/>
                    <w:left w:val="nil"/>
                    <w:bottom w:val="single" w:sz="4" w:space="0" w:color="ADD6EA"/>
                    <w:right w:val="nil"/>
                  </w:tcBorders>
                  <w:shd w:val="clear" w:color="auto" w:fill="auto"/>
                  <w:vAlign w:val="bottom"/>
                  <w:hideMark/>
                </w:tcPr>
                <w:p w14:paraId="1C65FC5B"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1,426</w:t>
                  </w:r>
                </w:p>
              </w:tc>
              <w:tc>
                <w:tcPr>
                  <w:tcW w:w="1040" w:type="dxa"/>
                  <w:tcBorders>
                    <w:top w:val="nil"/>
                    <w:left w:val="nil"/>
                    <w:bottom w:val="single" w:sz="4" w:space="0" w:color="ADD6EA"/>
                    <w:right w:val="nil"/>
                  </w:tcBorders>
                  <w:shd w:val="clear" w:color="000000" w:fill="D6E7F0"/>
                  <w:vAlign w:val="bottom"/>
                  <w:hideMark/>
                </w:tcPr>
                <w:p w14:paraId="0F8EFC63"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1,421</w:t>
                  </w:r>
                </w:p>
              </w:tc>
            </w:tr>
            <w:tr w:rsidR="00DD623B" w:rsidRPr="00DD623B" w14:paraId="0A6759E6" w14:textId="77777777" w:rsidTr="00DD623B">
              <w:trPr>
                <w:trHeight w:val="315"/>
              </w:trPr>
              <w:tc>
                <w:tcPr>
                  <w:tcW w:w="2640" w:type="dxa"/>
                  <w:tcBorders>
                    <w:top w:val="nil"/>
                    <w:left w:val="nil"/>
                    <w:bottom w:val="single" w:sz="4" w:space="0" w:color="ADD6EA"/>
                    <w:right w:val="nil"/>
                  </w:tcBorders>
                  <w:shd w:val="clear" w:color="auto" w:fill="auto"/>
                  <w:vAlign w:val="bottom"/>
                  <w:hideMark/>
                </w:tcPr>
                <w:p w14:paraId="585F43B8" w14:textId="77777777" w:rsidR="00DD623B" w:rsidRPr="00DD623B" w:rsidRDefault="00DD623B" w:rsidP="00DD623B">
                  <w:pPr>
                    <w:tabs>
                      <w:tab w:val="clear" w:pos="567"/>
                    </w:tabs>
                    <w:spacing w:before="0" w:line="240" w:lineRule="auto"/>
                    <w:rPr>
                      <w:rFonts w:eastAsia="Times New Roman" w:cs="Open Sans Light"/>
                      <w:sz w:val="16"/>
                      <w:szCs w:val="16"/>
                      <w:lang w:eastAsia="en-AU"/>
                    </w:rPr>
                  </w:pPr>
                  <w:r w:rsidRPr="00DD623B">
                    <w:rPr>
                      <w:rFonts w:eastAsia="Times New Roman" w:cs="Open Sans Light"/>
                      <w:sz w:val="16"/>
                      <w:szCs w:val="16"/>
                      <w:lang w:eastAsia="en-AU"/>
                    </w:rPr>
                    <w:t>Northern Territory</w:t>
                  </w:r>
                </w:p>
              </w:tc>
              <w:tc>
                <w:tcPr>
                  <w:tcW w:w="1040" w:type="dxa"/>
                  <w:tcBorders>
                    <w:top w:val="nil"/>
                    <w:left w:val="nil"/>
                    <w:bottom w:val="single" w:sz="4" w:space="0" w:color="ADD6EA"/>
                    <w:right w:val="nil"/>
                  </w:tcBorders>
                  <w:shd w:val="clear" w:color="auto" w:fill="auto"/>
                  <w:vAlign w:val="bottom"/>
                  <w:hideMark/>
                </w:tcPr>
                <w:p w14:paraId="59B5C661"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4.79985</w:t>
                  </w:r>
                </w:p>
              </w:tc>
              <w:tc>
                <w:tcPr>
                  <w:tcW w:w="1040" w:type="dxa"/>
                  <w:tcBorders>
                    <w:top w:val="nil"/>
                    <w:left w:val="nil"/>
                    <w:bottom w:val="single" w:sz="4" w:space="0" w:color="ADD6EA"/>
                    <w:right w:val="nil"/>
                  </w:tcBorders>
                  <w:shd w:val="clear" w:color="000000" w:fill="D6E7F0"/>
                  <w:vAlign w:val="bottom"/>
                  <w:hideMark/>
                </w:tcPr>
                <w:p w14:paraId="2D885D97"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4.86988</w:t>
                  </w:r>
                </w:p>
              </w:tc>
              <w:tc>
                <w:tcPr>
                  <w:tcW w:w="1040" w:type="dxa"/>
                  <w:tcBorders>
                    <w:top w:val="nil"/>
                    <w:left w:val="nil"/>
                    <w:bottom w:val="single" w:sz="4" w:space="0" w:color="ADD6EA"/>
                    <w:right w:val="nil"/>
                  </w:tcBorders>
                  <w:shd w:val="clear" w:color="auto" w:fill="auto"/>
                  <w:vAlign w:val="bottom"/>
                  <w:hideMark/>
                </w:tcPr>
                <w:p w14:paraId="637B4857"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4.6</w:t>
                  </w:r>
                </w:p>
              </w:tc>
              <w:tc>
                <w:tcPr>
                  <w:tcW w:w="1040" w:type="dxa"/>
                  <w:tcBorders>
                    <w:top w:val="nil"/>
                    <w:left w:val="nil"/>
                    <w:bottom w:val="single" w:sz="4" w:space="0" w:color="ADD6EA"/>
                    <w:right w:val="nil"/>
                  </w:tcBorders>
                  <w:shd w:val="clear" w:color="000000" w:fill="D6E7F0"/>
                  <w:vAlign w:val="bottom"/>
                  <w:hideMark/>
                </w:tcPr>
                <w:p w14:paraId="0B930D52"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4.7</w:t>
                  </w:r>
                </w:p>
              </w:tc>
              <w:tc>
                <w:tcPr>
                  <w:tcW w:w="1040" w:type="dxa"/>
                  <w:tcBorders>
                    <w:top w:val="nil"/>
                    <w:left w:val="nil"/>
                    <w:bottom w:val="single" w:sz="4" w:space="0" w:color="ADD6EA"/>
                    <w:right w:val="nil"/>
                  </w:tcBorders>
                  <w:shd w:val="clear" w:color="auto" w:fill="auto"/>
                  <w:vAlign w:val="bottom"/>
                  <w:hideMark/>
                </w:tcPr>
                <w:p w14:paraId="2372C2DB" w14:textId="77777777" w:rsidR="00DD623B" w:rsidRPr="00DD623B" w:rsidRDefault="00DD623B" w:rsidP="00DD623B">
                  <w:pPr>
                    <w:tabs>
                      <w:tab w:val="clear" w:pos="567"/>
                    </w:tabs>
                    <w:spacing w:before="0" w:line="240" w:lineRule="auto"/>
                    <w:jc w:val="right"/>
                    <w:rPr>
                      <w:rFonts w:eastAsia="Times New Roman" w:cs="Open Sans Light"/>
                      <w:sz w:val="16"/>
                      <w:szCs w:val="16"/>
                      <w:lang w:eastAsia="en-AU"/>
                    </w:rPr>
                  </w:pPr>
                  <w:r w:rsidRPr="00DD623B">
                    <w:rPr>
                      <w:rFonts w:eastAsia="Times New Roman" w:cs="Open Sans Light"/>
                      <w:sz w:val="16"/>
                      <w:szCs w:val="16"/>
                      <w:lang w:eastAsia="en-AU"/>
                    </w:rPr>
                    <w:t>3,379</w:t>
                  </w:r>
                </w:p>
              </w:tc>
              <w:tc>
                <w:tcPr>
                  <w:tcW w:w="1040" w:type="dxa"/>
                  <w:tcBorders>
                    <w:top w:val="nil"/>
                    <w:left w:val="nil"/>
                    <w:bottom w:val="single" w:sz="4" w:space="0" w:color="ADD6EA"/>
                    <w:right w:val="nil"/>
                  </w:tcBorders>
                  <w:shd w:val="clear" w:color="000000" w:fill="D6E7F0"/>
                  <w:vAlign w:val="bottom"/>
                  <w:hideMark/>
                </w:tcPr>
                <w:p w14:paraId="04AA0AA7" w14:textId="77777777" w:rsidR="00DD623B" w:rsidRPr="00DD623B" w:rsidRDefault="00DD623B" w:rsidP="00DD623B">
                  <w:pPr>
                    <w:tabs>
                      <w:tab w:val="clear" w:pos="567"/>
                    </w:tabs>
                    <w:spacing w:before="0" w:line="240" w:lineRule="auto"/>
                    <w:jc w:val="right"/>
                    <w:rPr>
                      <w:rFonts w:eastAsia="Times New Roman" w:cs="Open Sans Light"/>
                      <w:color w:val="000000"/>
                      <w:sz w:val="16"/>
                      <w:szCs w:val="16"/>
                      <w:lang w:eastAsia="en-AU"/>
                    </w:rPr>
                  </w:pPr>
                  <w:r w:rsidRPr="00DD623B">
                    <w:rPr>
                      <w:rFonts w:eastAsia="Times New Roman" w:cs="Open Sans Light"/>
                      <w:color w:val="000000"/>
                      <w:sz w:val="16"/>
                      <w:szCs w:val="16"/>
                      <w:lang w:eastAsia="en-AU"/>
                    </w:rPr>
                    <w:t>3,644</w:t>
                  </w:r>
                </w:p>
              </w:tc>
            </w:tr>
            <w:tr w:rsidR="00DD623B" w:rsidRPr="00DD623B" w14:paraId="57C7E1A1" w14:textId="77777777" w:rsidTr="00DD623B">
              <w:trPr>
                <w:trHeight w:val="315"/>
              </w:trPr>
              <w:tc>
                <w:tcPr>
                  <w:tcW w:w="2640" w:type="dxa"/>
                  <w:tcBorders>
                    <w:top w:val="nil"/>
                    <w:left w:val="nil"/>
                    <w:bottom w:val="single" w:sz="4" w:space="0" w:color="ADD6EA"/>
                    <w:right w:val="nil"/>
                  </w:tcBorders>
                  <w:shd w:val="clear" w:color="auto" w:fill="auto"/>
                  <w:vAlign w:val="bottom"/>
                  <w:hideMark/>
                </w:tcPr>
                <w:p w14:paraId="39F08CFE" w14:textId="77777777" w:rsidR="00DD623B" w:rsidRPr="00DD623B" w:rsidRDefault="00DD623B" w:rsidP="00DD623B">
                  <w:pPr>
                    <w:tabs>
                      <w:tab w:val="clear" w:pos="567"/>
                    </w:tabs>
                    <w:spacing w:before="0" w:line="240" w:lineRule="auto"/>
                    <w:rPr>
                      <w:rFonts w:ascii="Open Sans Semibold" w:eastAsia="Times New Roman" w:hAnsi="Open Sans Semibold" w:cs="Open Sans Semibold"/>
                      <w:sz w:val="16"/>
                      <w:szCs w:val="16"/>
                      <w:lang w:eastAsia="en-AU"/>
                    </w:rPr>
                  </w:pPr>
                  <w:r w:rsidRPr="00DD623B">
                    <w:rPr>
                      <w:rFonts w:ascii="Open Sans Semibold" w:eastAsia="Times New Roman" w:hAnsi="Open Sans Semibold" w:cs="Open Sans Semibold"/>
                      <w:sz w:val="16"/>
                      <w:szCs w:val="16"/>
                      <w:lang w:eastAsia="en-AU"/>
                    </w:rPr>
                    <w:t>Total</w:t>
                  </w:r>
                </w:p>
              </w:tc>
              <w:tc>
                <w:tcPr>
                  <w:tcW w:w="1040" w:type="dxa"/>
                  <w:tcBorders>
                    <w:top w:val="nil"/>
                    <w:left w:val="nil"/>
                    <w:bottom w:val="single" w:sz="4" w:space="0" w:color="ADD6EA"/>
                    <w:right w:val="nil"/>
                  </w:tcBorders>
                  <w:shd w:val="clear" w:color="auto" w:fill="auto"/>
                  <w:vAlign w:val="bottom"/>
                  <w:hideMark/>
                </w:tcPr>
                <w:p w14:paraId="5C5DCE34" w14:textId="77777777" w:rsidR="00DD623B" w:rsidRPr="00DD623B" w:rsidRDefault="00DD623B" w:rsidP="00DD623B">
                  <w:pPr>
                    <w:tabs>
                      <w:tab w:val="clear" w:pos="567"/>
                    </w:tabs>
                    <w:spacing w:before="0" w:line="240" w:lineRule="auto"/>
                    <w:jc w:val="right"/>
                    <w:rPr>
                      <w:rFonts w:ascii="Open Sans Semibold" w:eastAsia="Times New Roman" w:hAnsi="Open Sans Semibold" w:cs="Open Sans Semibold"/>
                      <w:sz w:val="16"/>
                      <w:szCs w:val="16"/>
                      <w:lang w:eastAsia="en-AU"/>
                    </w:rPr>
                  </w:pPr>
                  <w:r w:rsidRPr="00DD623B">
                    <w:rPr>
                      <w:rFonts w:ascii="Open Sans Semibold" w:eastAsia="Times New Roman" w:hAnsi="Open Sans Semibold" w:cs="Open Sans Semibold"/>
                      <w:sz w:val="16"/>
                      <w:szCs w:val="16"/>
                      <w:lang w:eastAsia="en-AU"/>
                    </w:rPr>
                    <w:t>1.00000</w:t>
                  </w:r>
                </w:p>
              </w:tc>
              <w:tc>
                <w:tcPr>
                  <w:tcW w:w="1040" w:type="dxa"/>
                  <w:tcBorders>
                    <w:top w:val="nil"/>
                    <w:left w:val="nil"/>
                    <w:bottom w:val="single" w:sz="4" w:space="0" w:color="ADD6EA"/>
                    <w:right w:val="nil"/>
                  </w:tcBorders>
                  <w:shd w:val="clear" w:color="000000" w:fill="D6E7F0"/>
                  <w:vAlign w:val="bottom"/>
                  <w:hideMark/>
                </w:tcPr>
                <w:p w14:paraId="15BC8A3E" w14:textId="77777777" w:rsidR="00DD623B" w:rsidRPr="00DD623B" w:rsidRDefault="00DD623B" w:rsidP="00DD623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623B">
                    <w:rPr>
                      <w:rFonts w:ascii="Open Sans Semibold" w:eastAsia="Times New Roman" w:hAnsi="Open Sans Semibold" w:cs="Open Sans Semibold"/>
                      <w:color w:val="000000"/>
                      <w:sz w:val="16"/>
                      <w:szCs w:val="16"/>
                      <w:lang w:eastAsia="en-AU"/>
                    </w:rPr>
                    <w:t>1.00000</w:t>
                  </w:r>
                </w:p>
              </w:tc>
              <w:tc>
                <w:tcPr>
                  <w:tcW w:w="1040" w:type="dxa"/>
                  <w:tcBorders>
                    <w:top w:val="nil"/>
                    <w:left w:val="nil"/>
                    <w:bottom w:val="single" w:sz="4" w:space="0" w:color="ADD6EA"/>
                    <w:right w:val="nil"/>
                  </w:tcBorders>
                  <w:shd w:val="clear" w:color="auto" w:fill="auto"/>
                  <w:vAlign w:val="bottom"/>
                  <w:hideMark/>
                </w:tcPr>
                <w:p w14:paraId="7D102ED5" w14:textId="77777777" w:rsidR="00DD623B" w:rsidRPr="00DD623B" w:rsidRDefault="00DD623B" w:rsidP="00DD623B">
                  <w:pPr>
                    <w:tabs>
                      <w:tab w:val="clear" w:pos="567"/>
                    </w:tabs>
                    <w:spacing w:before="0" w:line="240" w:lineRule="auto"/>
                    <w:jc w:val="right"/>
                    <w:rPr>
                      <w:rFonts w:ascii="Open Sans Semibold" w:eastAsia="Times New Roman" w:hAnsi="Open Sans Semibold" w:cs="Open Sans Semibold"/>
                      <w:sz w:val="16"/>
                      <w:szCs w:val="16"/>
                      <w:lang w:eastAsia="en-AU"/>
                    </w:rPr>
                  </w:pPr>
                  <w:r w:rsidRPr="00DD623B">
                    <w:rPr>
                      <w:rFonts w:ascii="Open Sans Semibold" w:eastAsia="Times New Roman" w:hAnsi="Open Sans Semibold" w:cs="Open Sans Semibold"/>
                      <w:sz w:val="16"/>
                      <w:szCs w:val="16"/>
                      <w:lang w:eastAsia="en-AU"/>
                    </w:rPr>
                    <w:t>100.0</w:t>
                  </w:r>
                </w:p>
              </w:tc>
              <w:tc>
                <w:tcPr>
                  <w:tcW w:w="1040" w:type="dxa"/>
                  <w:tcBorders>
                    <w:top w:val="nil"/>
                    <w:left w:val="nil"/>
                    <w:bottom w:val="single" w:sz="4" w:space="0" w:color="ADD6EA"/>
                    <w:right w:val="nil"/>
                  </w:tcBorders>
                  <w:shd w:val="clear" w:color="000000" w:fill="D6E7F0"/>
                  <w:vAlign w:val="bottom"/>
                  <w:hideMark/>
                </w:tcPr>
                <w:p w14:paraId="70E19810" w14:textId="77777777" w:rsidR="00DD623B" w:rsidRPr="00DD623B" w:rsidRDefault="00DD623B" w:rsidP="00DD623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623B">
                    <w:rPr>
                      <w:rFonts w:ascii="Open Sans Semibold" w:eastAsia="Times New Roman" w:hAnsi="Open Sans Semibold" w:cs="Open Sans Semibold"/>
                      <w:color w:val="000000"/>
                      <w:sz w:val="16"/>
                      <w:szCs w:val="16"/>
                      <w:lang w:eastAsia="en-AU"/>
                    </w:rPr>
                    <w:t>100.0</w:t>
                  </w:r>
                </w:p>
              </w:tc>
              <w:tc>
                <w:tcPr>
                  <w:tcW w:w="1040" w:type="dxa"/>
                  <w:tcBorders>
                    <w:top w:val="nil"/>
                    <w:left w:val="nil"/>
                    <w:bottom w:val="single" w:sz="4" w:space="0" w:color="ADD6EA"/>
                    <w:right w:val="nil"/>
                  </w:tcBorders>
                  <w:shd w:val="clear" w:color="auto" w:fill="auto"/>
                  <w:vAlign w:val="bottom"/>
                  <w:hideMark/>
                </w:tcPr>
                <w:p w14:paraId="1993933A" w14:textId="77777777" w:rsidR="00DD623B" w:rsidRPr="00DD623B" w:rsidRDefault="00DD623B" w:rsidP="00DD623B">
                  <w:pPr>
                    <w:tabs>
                      <w:tab w:val="clear" w:pos="567"/>
                    </w:tabs>
                    <w:spacing w:before="0" w:line="240" w:lineRule="auto"/>
                    <w:jc w:val="right"/>
                    <w:rPr>
                      <w:rFonts w:ascii="Open Sans Semibold" w:eastAsia="Times New Roman" w:hAnsi="Open Sans Semibold" w:cs="Open Sans Semibold"/>
                      <w:sz w:val="16"/>
                      <w:szCs w:val="16"/>
                      <w:lang w:eastAsia="en-AU"/>
                    </w:rPr>
                  </w:pPr>
                  <w:r w:rsidRPr="00DD623B">
                    <w:rPr>
                      <w:rFonts w:ascii="Open Sans Semibold" w:eastAsia="Times New Roman" w:hAnsi="Open Sans Semibold" w:cs="Open Sans Semibold"/>
                      <w:sz w:val="16"/>
                      <w:szCs w:val="16"/>
                      <w:lang w:eastAsia="en-AU"/>
                    </w:rPr>
                    <w:t>73,070</w:t>
                  </w:r>
                </w:p>
              </w:tc>
              <w:tc>
                <w:tcPr>
                  <w:tcW w:w="1040" w:type="dxa"/>
                  <w:tcBorders>
                    <w:top w:val="nil"/>
                    <w:left w:val="nil"/>
                    <w:bottom w:val="single" w:sz="4" w:space="0" w:color="ADD6EA"/>
                    <w:right w:val="nil"/>
                  </w:tcBorders>
                  <w:shd w:val="clear" w:color="000000" w:fill="D6E7F0"/>
                  <w:vAlign w:val="bottom"/>
                  <w:hideMark/>
                </w:tcPr>
                <w:p w14:paraId="4D83E3D3" w14:textId="77777777" w:rsidR="00DD623B" w:rsidRPr="00DD623B" w:rsidRDefault="00DD623B" w:rsidP="00DD623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623B">
                    <w:rPr>
                      <w:rFonts w:ascii="Open Sans Semibold" w:eastAsia="Times New Roman" w:hAnsi="Open Sans Semibold" w:cs="Open Sans Semibold"/>
                      <w:color w:val="000000"/>
                      <w:sz w:val="16"/>
                      <w:szCs w:val="16"/>
                      <w:lang w:eastAsia="en-AU"/>
                    </w:rPr>
                    <w:t>77,416</w:t>
                  </w:r>
                </w:p>
              </w:tc>
            </w:tr>
          </w:tbl>
          <w:p w14:paraId="628F98A0" w14:textId="72818144" w:rsidR="00141E0D" w:rsidRPr="00141E0D" w:rsidRDefault="00141E0D" w:rsidP="002834B4">
            <w:pPr>
              <w:pStyle w:val="Heading3"/>
              <w:spacing w:before="240" w:after="0"/>
              <w:rPr>
                <w:b w:val="0"/>
              </w:rPr>
            </w:pPr>
            <w:r w:rsidRPr="00141E0D">
              <w:t>Overview</w:t>
            </w:r>
          </w:p>
          <w:p w14:paraId="39DF17A7" w14:textId="2BF4D00E" w:rsidR="00141E0D" w:rsidRPr="00141E0D" w:rsidRDefault="00141E0D" w:rsidP="00802062">
            <w:pPr>
              <w:tabs>
                <w:tab w:val="clear" w:pos="567"/>
              </w:tabs>
              <w:spacing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 xml:space="preserve">COVID-19, and Commonwealth and state government responses, continue to affect Australia’s economy and society. The 2022 Update assesses state circumstances for the 36 months from July 2018 to June 2021, of which 16 months were affected by the pandemic. The Omicron variant </w:t>
            </w:r>
            <w:r w:rsidR="008A330B">
              <w:rPr>
                <w:rFonts w:ascii="Work Sans" w:eastAsia="Times New Roman" w:hAnsi="Work Sans" w:cs="Times New Roman"/>
                <w:sz w:val="24"/>
                <w:szCs w:val="20"/>
                <w:lang w:eastAsia="en-AU"/>
              </w:rPr>
              <w:t>emerged</w:t>
            </w:r>
            <w:r w:rsidRPr="00141E0D">
              <w:rPr>
                <w:rFonts w:ascii="Work Sans" w:eastAsia="Times New Roman" w:hAnsi="Work Sans" w:cs="Times New Roman"/>
                <w:sz w:val="24"/>
                <w:szCs w:val="20"/>
                <w:lang w:eastAsia="en-AU"/>
              </w:rPr>
              <w:t xml:space="preserve"> in 2021</w:t>
            </w:r>
            <w:r w:rsidR="002E0452">
              <w:rPr>
                <w:rFonts w:ascii="Work Sans" w:eastAsia="Times New Roman" w:hAnsi="Work Sans" w:cs="Times New Roman"/>
                <w:sz w:val="24"/>
                <w:szCs w:val="20"/>
                <w:lang w:eastAsia="en-AU"/>
              </w:rPr>
              <w:t>–</w:t>
            </w:r>
            <w:r w:rsidRPr="00141E0D">
              <w:rPr>
                <w:rFonts w:ascii="Work Sans" w:eastAsia="Times New Roman" w:hAnsi="Work Sans" w:cs="Times New Roman"/>
                <w:sz w:val="24"/>
                <w:szCs w:val="20"/>
                <w:lang w:eastAsia="en-AU"/>
              </w:rPr>
              <w:t>22, so its impacts are not reflected in this update.</w:t>
            </w:r>
          </w:p>
          <w:p w14:paraId="3E9B403A" w14:textId="72FF95CC" w:rsidR="00141E0D" w:rsidRPr="00141E0D" w:rsidRDefault="00141E0D" w:rsidP="00802062">
            <w:pPr>
              <w:tabs>
                <w:tab w:val="clear" w:pos="567"/>
              </w:tabs>
              <w:spacing w:before="240"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 xml:space="preserve">The Treasurer’s terms of reference required the Commission to use </w:t>
            </w:r>
            <w:r w:rsidR="00477F04">
              <w:rPr>
                <w:rFonts w:ascii="Work Sans" w:eastAsia="Times New Roman" w:hAnsi="Work Sans" w:cs="Times New Roman"/>
                <w:sz w:val="24"/>
                <w:szCs w:val="20"/>
                <w:lang w:eastAsia="en-AU"/>
              </w:rPr>
              <w:t>the same methods</w:t>
            </w:r>
            <w:r w:rsidR="00AB2977">
              <w:rPr>
                <w:rFonts w:ascii="Work Sans" w:eastAsia="Times New Roman" w:hAnsi="Work Sans" w:cs="Times New Roman"/>
                <w:sz w:val="24"/>
                <w:szCs w:val="20"/>
                <w:lang w:eastAsia="en-AU"/>
              </w:rPr>
              <w:t xml:space="preserve"> it used in its 2021 U</w:t>
            </w:r>
            <w:r w:rsidR="000A001C">
              <w:rPr>
                <w:rFonts w:ascii="Work Sans" w:eastAsia="Times New Roman" w:hAnsi="Work Sans" w:cs="Times New Roman"/>
                <w:sz w:val="24"/>
                <w:szCs w:val="20"/>
                <w:lang w:eastAsia="en-AU"/>
              </w:rPr>
              <w:t>pdate. The 2021 Update used the methods from the Commission’s 2020 R</w:t>
            </w:r>
            <w:r w:rsidRPr="00141E0D">
              <w:rPr>
                <w:rFonts w:ascii="Work Sans" w:eastAsia="Times New Roman" w:hAnsi="Work Sans" w:cs="Times New Roman"/>
                <w:sz w:val="24"/>
                <w:szCs w:val="20"/>
                <w:lang w:eastAsia="en-AU"/>
              </w:rPr>
              <w:t xml:space="preserve">eview. </w:t>
            </w:r>
            <w:r w:rsidR="00BE16AF">
              <w:rPr>
                <w:rFonts w:ascii="Work Sans" w:eastAsia="Times New Roman" w:hAnsi="Work Sans" w:cs="Times New Roman"/>
                <w:sz w:val="24"/>
                <w:szCs w:val="20"/>
                <w:lang w:eastAsia="en-AU"/>
              </w:rPr>
              <w:t>Therefor</w:t>
            </w:r>
            <w:r w:rsidR="00454EFC">
              <w:rPr>
                <w:rFonts w:ascii="Work Sans" w:eastAsia="Times New Roman" w:hAnsi="Work Sans" w:cs="Times New Roman"/>
                <w:sz w:val="24"/>
                <w:szCs w:val="20"/>
                <w:lang w:eastAsia="en-AU"/>
              </w:rPr>
              <w:t>e</w:t>
            </w:r>
            <w:r w:rsidR="00BE16AF">
              <w:rPr>
                <w:rFonts w:ascii="Work Sans" w:eastAsia="Times New Roman" w:hAnsi="Work Sans" w:cs="Times New Roman"/>
                <w:sz w:val="24"/>
                <w:szCs w:val="20"/>
                <w:lang w:eastAsia="en-AU"/>
              </w:rPr>
              <w:t>, w</w:t>
            </w:r>
            <w:r w:rsidRPr="00141E0D">
              <w:rPr>
                <w:rFonts w:ascii="Work Sans" w:eastAsia="Times New Roman" w:hAnsi="Work Sans" w:cs="Times New Roman"/>
                <w:sz w:val="24"/>
                <w:szCs w:val="20"/>
                <w:lang w:eastAsia="en-AU"/>
              </w:rPr>
              <w:t xml:space="preserve">hile the pandemic </w:t>
            </w:r>
            <w:r w:rsidR="00454EFC">
              <w:rPr>
                <w:rFonts w:ascii="Work Sans" w:eastAsia="Times New Roman" w:hAnsi="Work Sans" w:cs="Times New Roman"/>
                <w:sz w:val="24"/>
                <w:szCs w:val="20"/>
                <w:lang w:eastAsia="en-AU"/>
              </w:rPr>
              <w:t xml:space="preserve">has </w:t>
            </w:r>
            <w:r w:rsidRPr="00141E0D">
              <w:rPr>
                <w:rFonts w:ascii="Work Sans" w:eastAsia="Times New Roman" w:hAnsi="Work Sans" w:cs="Times New Roman"/>
                <w:sz w:val="24"/>
                <w:szCs w:val="20"/>
                <w:lang w:eastAsia="en-AU"/>
              </w:rPr>
              <w:t xml:space="preserve">influenced data </w:t>
            </w:r>
            <w:r w:rsidR="002C279C">
              <w:rPr>
                <w:rFonts w:ascii="Work Sans" w:eastAsia="Times New Roman" w:hAnsi="Work Sans" w:cs="Times New Roman"/>
                <w:sz w:val="24"/>
                <w:szCs w:val="20"/>
                <w:lang w:eastAsia="en-AU"/>
              </w:rPr>
              <w:t xml:space="preserve">used </w:t>
            </w:r>
            <w:r w:rsidRPr="00141E0D">
              <w:rPr>
                <w:rFonts w:ascii="Work Sans" w:eastAsia="Times New Roman" w:hAnsi="Work Sans" w:cs="Times New Roman"/>
                <w:sz w:val="24"/>
                <w:szCs w:val="20"/>
                <w:lang w:eastAsia="en-AU"/>
              </w:rPr>
              <w:t xml:space="preserve">in </w:t>
            </w:r>
            <w:r w:rsidR="002C279C">
              <w:rPr>
                <w:rFonts w:ascii="Work Sans" w:eastAsia="Times New Roman" w:hAnsi="Work Sans" w:cs="Times New Roman"/>
                <w:sz w:val="24"/>
                <w:szCs w:val="20"/>
                <w:lang w:eastAsia="en-AU"/>
              </w:rPr>
              <w:t>the</w:t>
            </w:r>
            <w:r w:rsidRPr="00141E0D">
              <w:rPr>
                <w:rFonts w:ascii="Work Sans" w:eastAsia="Times New Roman" w:hAnsi="Work Sans" w:cs="Times New Roman"/>
                <w:sz w:val="24"/>
                <w:szCs w:val="20"/>
                <w:lang w:eastAsia="en-AU"/>
              </w:rPr>
              <w:t xml:space="preserve"> calculations, methods for assessing state fiscal capacities have not changed.</w:t>
            </w:r>
          </w:p>
          <w:p w14:paraId="7A5493BC" w14:textId="3AC13F66" w:rsidR="00141E0D" w:rsidRPr="003F1241" w:rsidRDefault="00141E0D" w:rsidP="00DF556A">
            <w:pPr>
              <w:tabs>
                <w:tab w:val="clear" w:pos="567"/>
              </w:tabs>
              <w:spacing w:before="240" w:after="240" w:line="300" w:lineRule="atLeast"/>
              <w:rPr>
                <w:vertAlign w:val="superscript"/>
              </w:rPr>
            </w:pPr>
            <w:r w:rsidRPr="00141E0D">
              <w:rPr>
                <w:rFonts w:ascii="Work Sans" w:eastAsia="Times New Roman" w:hAnsi="Work Sans" w:cs="Times New Roman"/>
                <w:sz w:val="24"/>
                <w:szCs w:val="20"/>
                <w:lang w:eastAsia="en-AU"/>
              </w:rPr>
              <w:t xml:space="preserve">To </w:t>
            </w:r>
            <w:r w:rsidR="00F26A99">
              <w:rPr>
                <w:rFonts w:ascii="Work Sans" w:eastAsia="Times New Roman" w:hAnsi="Work Sans" w:cs="Times New Roman"/>
                <w:sz w:val="24"/>
                <w:szCs w:val="20"/>
                <w:lang w:eastAsia="en-AU"/>
              </w:rPr>
              <w:t>smooth the effects of</w:t>
            </w:r>
            <w:r w:rsidRPr="00141E0D">
              <w:rPr>
                <w:rFonts w:ascii="Work Sans" w:eastAsia="Times New Roman" w:hAnsi="Work Sans" w:cs="Times New Roman"/>
                <w:sz w:val="24"/>
                <w:szCs w:val="20"/>
                <w:lang w:eastAsia="en-AU"/>
              </w:rPr>
              <w:t xml:space="preserve"> volatility, the Commission averages three years of data in its assessments, so changes in state circumstances take three years to flow fully through calculations. Hence while the pandemic affected state data, the consequential impact will flow </w:t>
            </w:r>
            <w:r w:rsidRPr="00141E0D" w:rsidDel="00F75401">
              <w:rPr>
                <w:rFonts w:ascii="Work Sans" w:eastAsia="Times New Roman" w:hAnsi="Work Sans" w:cs="Times New Roman"/>
                <w:sz w:val="24"/>
                <w:szCs w:val="20"/>
                <w:lang w:eastAsia="en-AU"/>
              </w:rPr>
              <w:t>into</w:t>
            </w:r>
            <w:r w:rsidRPr="00141E0D">
              <w:rPr>
                <w:rFonts w:ascii="Work Sans" w:eastAsia="Times New Roman" w:hAnsi="Work Sans" w:cs="Times New Roman"/>
                <w:sz w:val="24"/>
                <w:szCs w:val="20"/>
                <w:lang w:eastAsia="en-AU"/>
              </w:rPr>
              <w:t xml:space="preserve"> GST distribution over time.</w:t>
            </w:r>
            <w:bookmarkEnd w:id="10"/>
          </w:p>
        </w:tc>
      </w:tr>
      <w:tr w:rsidR="0099357F" w:rsidRPr="00141E0D" w14:paraId="25A9C05C" w14:textId="77777777" w:rsidTr="004F24E9">
        <w:trPr>
          <w:gridAfter w:val="1"/>
          <w:wAfter w:w="47" w:type="dxa"/>
          <w:trHeight w:val="1474"/>
        </w:trPr>
        <w:tc>
          <w:tcPr>
            <w:tcW w:w="9017" w:type="dxa"/>
            <w:shd w:val="clear" w:color="auto" w:fill="EBF3F5"/>
          </w:tcPr>
          <w:p w14:paraId="511F1D74" w14:textId="7E8797ED" w:rsidR="008C0A5A" w:rsidRPr="00141E0D" w:rsidRDefault="007C1AF5" w:rsidP="008C0A5A">
            <w:pPr>
              <w:tabs>
                <w:tab w:val="clear" w:pos="567"/>
              </w:tabs>
              <w:spacing w:before="240" w:line="300" w:lineRule="atLeast"/>
              <w:rPr>
                <w:rFonts w:ascii="Work Sans" w:eastAsia="Times New Roman" w:hAnsi="Work Sans" w:cs="Times New Roman"/>
                <w:sz w:val="24"/>
                <w:szCs w:val="24"/>
                <w:lang w:eastAsia="en-AU"/>
              </w:rPr>
            </w:pPr>
            <w:r>
              <w:br w:type="page"/>
            </w:r>
            <w:r w:rsidR="008C0A5A" w:rsidRPr="321BF594">
              <w:rPr>
                <w:rFonts w:ascii="Work Sans" w:eastAsia="Times New Roman" w:hAnsi="Work Sans" w:cs="Times New Roman"/>
                <w:sz w:val="24"/>
                <w:szCs w:val="24"/>
                <w:lang w:eastAsia="en-AU"/>
              </w:rPr>
              <w:t xml:space="preserve">While the </w:t>
            </w:r>
            <w:r w:rsidR="00D76318" w:rsidRPr="00C330CA">
              <w:rPr>
                <w:rFonts w:ascii="Work Sans" w:eastAsia="Times New Roman" w:hAnsi="Work Sans" w:cs="Times New Roman"/>
                <w:noProof/>
                <w:sz w:val="24"/>
                <w:szCs w:val="20"/>
                <w:lang w:eastAsia="en-AU"/>
              </w:rPr>
              <w:drawing>
                <wp:anchor distT="0" distB="0" distL="114300" distR="114300" simplePos="0" relativeHeight="251658312" behindDoc="1" locked="1" layoutInCell="1" allowOverlap="1" wp14:anchorId="32DC5124" wp14:editId="12654C2D">
                  <wp:simplePos x="0" y="0"/>
                  <wp:positionH relativeFrom="page">
                    <wp:posOffset>-898525</wp:posOffset>
                  </wp:positionH>
                  <wp:positionV relativeFrom="margin">
                    <wp:posOffset>-792480</wp:posOffset>
                  </wp:positionV>
                  <wp:extent cx="7563485" cy="10691495"/>
                  <wp:effectExtent l="0" t="0" r="0" b="0"/>
                  <wp:wrapNone/>
                  <wp:docPr id="87" name="Picture 8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8C0A5A" w:rsidRPr="321BF594">
              <w:rPr>
                <w:rFonts w:ascii="Work Sans" w:eastAsia="Times New Roman" w:hAnsi="Work Sans" w:cs="Times New Roman"/>
                <w:sz w:val="24"/>
                <w:szCs w:val="24"/>
                <w:lang w:eastAsia="en-AU"/>
              </w:rPr>
              <w:t>pandemic had an impact, other changes were the main influence on GST distribution. Blending of relativities as part of the transition to the GST distribution arrangements legislated in 2018 continued, and, for the first time, the GST relativity floor of 0.7 operated within the GST pool. These combined impacts increased the relativity of Western Australia and reduced the relativities of the other seven states. The impact on the other states</w:t>
            </w:r>
            <w:r w:rsidR="008C0A5A" w:rsidRPr="321BF594" w:rsidDel="000D50E4">
              <w:rPr>
                <w:rFonts w:ascii="Work Sans" w:eastAsia="Times New Roman" w:hAnsi="Work Sans" w:cs="Times New Roman"/>
                <w:sz w:val="24"/>
                <w:szCs w:val="24"/>
                <w:lang w:eastAsia="en-AU"/>
              </w:rPr>
              <w:t xml:space="preserve"> </w:t>
            </w:r>
            <w:r w:rsidR="008C0A5A">
              <w:rPr>
                <w:rFonts w:ascii="Work Sans" w:eastAsia="Times New Roman" w:hAnsi="Work Sans" w:cs="Times New Roman"/>
                <w:sz w:val="24"/>
                <w:szCs w:val="24"/>
                <w:lang w:eastAsia="en-AU"/>
              </w:rPr>
              <w:t>would be</w:t>
            </w:r>
            <w:r w:rsidR="008C0A5A" w:rsidRPr="321BF594">
              <w:rPr>
                <w:rFonts w:ascii="Work Sans" w:eastAsia="Times New Roman" w:hAnsi="Work Sans" w:cs="Times New Roman"/>
                <w:sz w:val="24"/>
                <w:szCs w:val="24"/>
                <w:lang w:eastAsia="en-AU"/>
              </w:rPr>
              <w:t xml:space="preserve"> ameliorated by the Commonwealth’s top-up to the GST pool and no worse off guarantee.</w:t>
            </w:r>
          </w:p>
          <w:p w14:paraId="31B9BF83" w14:textId="77777777" w:rsidR="008C0A5A" w:rsidRPr="00141E0D" w:rsidRDefault="008C0A5A" w:rsidP="008C0A5A">
            <w:pPr>
              <w:tabs>
                <w:tab w:val="clear" w:pos="567"/>
              </w:tabs>
              <w:spacing w:before="240"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 xml:space="preserve">Other important drivers of change </w:t>
            </w:r>
            <w:r>
              <w:rPr>
                <w:rFonts w:ascii="Work Sans" w:eastAsia="Times New Roman" w:hAnsi="Work Sans" w:cs="Times New Roman"/>
                <w:sz w:val="24"/>
                <w:szCs w:val="20"/>
                <w:lang w:eastAsia="en-AU"/>
              </w:rPr>
              <w:t>over</w:t>
            </w:r>
            <w:r w:rsidRPr="00141E0D">
              <w:rPr>
                <w:rFonts w:ascii="Work Sans" w:eastAsia="Times New Roman" w:hAnsi="Work Sans" w:cs="Times New Roman"/>
                <w:sz w:val="24"/>
                <w:szCs w:val="20"/>
                <w:lang w:eastAsia="en-AU"/>
              </w:rPr>
              <w:t xml:space="preserve"> the </w:t>
            </w:r>
            <w:r>
              <w:rPr>
                <w:rFonts w:ascii="Work Sans" w:eastAsia="Times New Roman" w:hAnsi="Work Sans" w:cs="Times New Roman"/>
                <w:sz w:val="24"/>
                <w:szCs w:val="20"/>
                <w:lang w:eastAsia="en-AU"/>
              </w:rPr>
              <w:t>assessment period</w:t>
            </w:r>
            <w:r w:rsidRPr="00141E0D">
              <w:rPr>
                <w:rFonts w:ascii="Work Sans" w:eastAsia="Times New Roman" w:hAnsi="Work Sans" w:cs="Times New Roman"/>
                <w:sz w:val="24"/>
                <w:szCs w:val="20"/>
                <w:lang w:eastAsia="en-AU"/>
              </w:rPr>
              <w:t xml:space="preserve"> include: an increase in the value of iron ore production; shifting patterns of population growth</w:t>
            </w:r>
            <w:r>
              <w:rPr>
                <w:rFonts w:ascii="Work Sans" w:eastAsia="Times New Roman" w:hAnsi="Work Sans" w:cs="Times New Roman"/>
                <w:sz w:val="24"/>
                <w:szCs w:val="20"/>
                <w:lang w:eastAsia="en-AU"/>
              </w:rPr>
              <w:t>;</w:t>
            </w:r>
            <w:r w:rsidRPr="00141E0D">
              <w:rPr>
                <w:rFonts w:ascii="Work Sans" w:eastAsia="Times New Roman" w:hAnsi="Work Sans" w:cs="Times New Roman"/>
                <w:sz w:val="24"/>
                <w:szCs w:val="20"/>
                <w:lang w:eastAsia="en-AU"/>
              </w:rPr>
              <w:t xml:space="preserve"> wage growth and the value of properties transferred; </w:t>
            </w:r>
            <w:r w:rsidRPr="00447982">
              <w:rPr>
                <w:rFonts w:ascii="Work Sans" w:eastAsia="Times New Roman" w:hAnsi="Work Sans" w:cs="Times New Roman"/>
                <w:sz w:val="24"/>
                <w:szCs w:val="20"/>
                <w:lang w:eastAsia="en-AU"/>
              </w:rPr>
              <w:t>and changes in states’ shares of Commonwealth payments.</w:t>
            </w:r>
          </w:p>
          <w:p w14:paraId="3DF4CC4C" w14:textId="77777777" w:rsidR="008C0A5A" w:rsidRPr="00141E0D" w:rsidRDefault="008C0A5A" w:rsidP="008C0A5A">
            <w:pPr>
              <w:tabs>
                <w:tab w:val="clear" w:pos="567"/>
              </w:tabs>
              <w:spacing w:before="240"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 xml:space="preserve">The GST pool (which </w:t>
            </w:r>
            <w:r>
              <w:rPr>
                <w:rFonts w:ascii="Work Sans" w:eastAsia="Times New Roman" w:hAnsi="Work Sans" w:cs="Times New Roman"/>
                <w:sz w:val="24"/>
                <w:szCs w:val="20"/>
                <w:lang w:eastAsia="en-AU"/>
              </w:rPr>
              <w:t>includes top</w:t>
            </w:r>
            <w:r>
              <w:rPr>
                <w:rFonts w:ascii="Work Sans" w:eastAsia="Times New Roman" w:hAnsi="Work Sans" w:cs="Times New Roman"/>
                <w:sz w:val="24"/>
                <w:szCs w:val="20"/>
                <w:lang w:eastAsia="en-AU"/>
              </w:rPr>
              <w:noBreakHyphen/>
              <w:t xml:space="preserve">ups but excludes </w:t>
            </w:r>
            <w:r w:rsidRPr="00141E0D">
              <w:rPr>
                <w:rFonts w:ascii="Work Sans" w:eastAsia="Times New Roman" w:hAnsi="Work Sans" w:cs="Times New Roman"/>
                <w:sz w:val="24"/>
                <w:szCs w:val="20"/>
                <w:lang w:eastAsia="en-AU"/>
              </w:rPr>
              <w:t xml:space="preserve">no worse off payments) is estimated to grow by more than $4 billion. Consequently, most states </w:t>
            </w:r>
            <w:r w:rsidRPr="008F293B">
              <w:rPr>
                <w:rFonts w:ascii="Work Sans" w:eastAsia="Times New Roman" w:hAnsi="Work Sans" w:cs="Times New Roman"/>
                <w:sz w:val="24"/>
                <w:szCs w:val="20"/>
                <w:lang w:eastAsia="en-AU"/>
              </w:rPr>
              <w:t>would</w:t>
            </w:r>
            <w:r w:rsidRPr="00141E0D">
              <w:rPr>
                <w:rFonts w:ascii="Work Sans" w:eastAsia="Times New Roman" w:hAnsi="Work Sans" w:cs="Times New Roman"/>
                <w:sz w:val="24"/>
                <w:szCs w:val="20"/>
                <w:lang w:eastAsia="en-AU"/>
              </w:rPr>
              <w:t xml:space="preserve"> receive more GST in 2022</w:t>
            </w:r>
            <w:r>
              <w:rPr>
                <w:rFonts w:ascii="Work Sans" w:eastAsia="Times New Roman" w:hAnsi="Work Sans" w:cs="Times New Roman"/>
                <w:sz w:val="24"/>
                <w:szCs w:val="20"/>
                <w:lang w:eastAsia="en-AU"/>
              </w:rPr>
              <w:t>–</w:t>
            </w:r>
            <w:r w:rsidRPr="00141E0D">
              <w:rPr>
                <w:rFonts w:ascii="Work Sans" w:eastAsia="Times New Roman" w:hAnsi="Work Sans" w:cs="Times New Roman"/>
                <w:sz w:val="24"/>
                <w:szCs w:val="20"/>
                <w:lang w:eastAsia="en-AU"/>
              </w:rPr>
              <w:t>23, despite having a smaller relativity. Victoria is expected to receive less revenue from the GST pool than it received in 2021</w:t>
            </w:r>
            <w:r>
              <w:rPr>
                <w:rFonts w:ascii="Work Sans" w:eastAsia="Times New Roman" w:hAnsi="Work Sans" w:cs="Times New Roman"/>
                <w:sz w:val="24"/>
                <w:szCs w:val="20"/>
                <w:lang w:eastAsia="en-AU"/>
              </w:rPr>
              <w:t>–</w:t>
            </w:r>
            <w:r w:rsidRPr="00141E0D">
              <w:rPr>
                <w:rFonts w:ascii="Work Sans" w:eastAsia="Times New Roman" w:hAnsi="Work Sans" w:cs="Times New Roman"/>
                <w:sz w:val="24"/>
                <w:szCs w:val="20"/>
                <w:lang w:eastAsia="en-AU"/>
              </w:rPr>
              <w:t xml:space="preserve">22 and the ACT around the same. However, like the other states, they </w:t>
            </w:r>
            <w:r>
              <w:rPr>
                <w:rFonts w:ascii="Work Sans" w:eastAsia="Times New Roman" w:hAnsi="Work Sans" w:cs="Times New Roman"/>
                <w:sz w:val="24"/>
                <w:szCs w:val="20"/>
                <w:lang w:eastAsia="en-AU"/>
              </w:rPr>
              <w:t xml:space="preserve">would </w:t>
            </w:r>
            <w:r w:rsidRPr="00141E0D">
              <w:rPr>
                <w:rFonts w:ascii="Work Sans" w:eastAsia="Times New Roman" w:hAnsi="Work Sans" w:cs="Times New Roman"/>
                <w:sz w:val="24"/>
                <w:szCs w:val="20"/>
                <w:lang w:eastAsia="en-AU"/>
              </w:rPr>
              <w:t xml:space="preserve">receive higher overall payments </w:t>
            </w:r>
            <w:r>
              <w:rPr>
                <w:rFonts w:ascii="Work Sans" w:eastAsia="Times New Roman" w:hAnsi="Work Sans" w:cs="Times New Roman"/>
                <w:sz w:val="24"/>
                <w:szCs w:val="20"/>
                <w:lang w:eastAsia="en-AU"/>
              </w:rPr>
              <w:t xml:space="preserve">because the </w:t>
            </w:r>
            <w:r w:rsidRPr="00141E0D">
              <w:rPr>
                <w:rFonts w:ascii="Work Sans" w:eastAsia="Times New Roman" w:hAnsi="Work Sans" w:cs="Times New Roman"/>
                <w:sz w:val="24"/>
                <w:szCs w:val="20"/>
                <w:lang w:eastAsia="en-AU"/>
              </w:rPr>
              <w:t>2018</w:t>
            </w:r>
            <w:r>
              <w:rPr>
                <w:rFonts w:ascii="Work Sans" w:eastAsia="Times New Roman" w:hAnsi="Work Sans" w:cs="Times New Roman"/>
                <w:sz w:val="24"/>
                <w:szCs w:val="20"/>
                <w:lang w:eastAsia="en-AU"/>
              </w:rPr>
              <w:t> </w:t>
            </w:r>
            <w:r w:rsidRPr="00141E0D">
              <w:rPr>
                <w:rFonts w:ascii="Work Sans" w:eastAsia="Times New Roman" w:hAnsi="Work Sans" w:cs="Times New Roman"/>
                <w:sz w:val="24"/>
                <w:szCs w:val="20"/>
                <w:lang w:eastAsia="en-AU"/>
              </w:rPr>
              <w:t>legislated arrangements include no worse off payments by the Commonwealth during the transition period.</w:t>
            </w:r>
          </w:p>
          <w:p w14:paraId="734E52ED" w14:textId="77777777" w:rsidR="008C0A5A" w:rsidRPr="00141E0D" w:rsidRDefault="008C0A5A" w:rsidP="002834B4">
            <w:pPr>
              <w:pStyle w:val="Heading3"/>
              <w:spacing w:before="240" w:after="0"/>
              <w:rPr>
                <w:b w:val="0"/>
              </w:rPr>
            </w:pPr>
            <w:r w:rsidRPr="00141E0D">
              <w:t>COVID-19</w:t>
            </w:r>
          </w:p>
          <w:p w14:paraId="1ED04DB4" w14:textId="4DD6A010" w:rsidR="008C0A5A" w:rsidRPr="00141E0D" w:rsidRDefault="008C0A5A" w:rsidP="008C0A5A">
            <w:pPr>
              <w:tabs>
                <w:tab w:val="clear" w:pos="567"/>
              </w:tabs>
              <w:spacing w:before="240"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The Commission explored whether its methods capture the impact of the pandemic on state revenue raising capacity and drivers of spending. It</w:t>
            </w:r>
            <w:r w:rsidR="00FE61CA">
              <w:rPr>
                <w:rFonts w:ascii="Work Sans" w:eastAsia="Times New Roman" w:hAnsi="Work Sans" w:cs="Times New Roman"/>
                <w:sz w:val="24"/>
                <w:szCs w:val="20"/>
                <w:lang w:eastAsia="en-AU"/>
              </w:rPr>
              <w:t> </w:t>
            </w:r>
            <w:r w:rsidRPr="00141E0D">
              <w:rPr>
                <w:rFonts w:ascii="Work Sans" w:eastAsia="Times New Roman" w:hAnsi="Work Sans" w:cs="Times New Roman"/>
                <w:sz w:val="24"/>
                <w:szCs w:val="20"/>
                <w:lang w:eastAsia="en-AU"/>
              </w:rPr>
              <w:t xml:space="preserve">also considered whether states’ responses to the pandemic resulted from different policy choices. States had differing views on these issues. </w:t>
            </w:r>
          </w:p>
          <w:p w14:paraId="3841B2C1" w14:textId="77777777" w:rsidR="008C0A5A" w:rsidRPr="00141E0D" w:rsidRDefault="008C0A5A" w:rsidP="008C0A5A">
            <w:pPr>
              <w:tabs>
                <w:tab w:val="clear" w:pos="567"/>
              </w:tabs>
              <w:spacing w:before="240"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 xml:space="preserve">On balance, the Commission concluded that state responses </w:t>
            </w:r>
            <w:r>
              <w:rPr>
                <w:rFonts w:ascii="Work Sans" w:eastAsia="Times New Roman" w:hAnsi="Work Sans" w:cs="Times New Roman"/>
                <w:sz w:val="24"/>
                <w:szCs w:val="20"/>
                <w:lang w:eastAsia="en-AU"/>
              </w:rPr>
              <w:t xml:space="preserve">to the pandemic </w:t>
            </w:r>
            <w:r w:rsidRPr="00141E0D">
              <w:rPr>
                <w:rFonts w:ascii="Work Sans" w:eastAsia="Times New Roman" w:hAnsi="Work Sans" w:cs="Times New Roman"/>
                <w:sz w:val="24"/>
                <w:szCs w:val="20"/>
                <w:lang w:eastAsia="en-AU"/>
              </w:rPr>
              <w:t>largely reflected circumstances rather than state</w:t>
            </w:r>
            <w:r>
              <w:rPr>
                <w:rFonts w:ascii="Work Sans" w:eastAsia="Times New Roman" w:hAnsi="Work Sans" w:cs="Times New Roman"/>
                <w:sz w:val="24"/>
                <w:szCs w:val="20"/>
                <w:lang w:eastAsia="en-AU"/>
              </w:rPr>
              <w:noBreakHyphen/>
            </w:r>
            <w:r w:rsidRPr="00141E0D">
              <w:rPr>
                <w:rFonts w:ascii="Work Sans" w:eastAsia="Times New Roman" w:hAnsi="Work Sans" w:cs="Times New Roman"/>
                <w:sz w:val="24"/>
                <w:szCs w:val="20"/>
                <w:lang w:eastAsia="en-AU"/>
              </w:rPr>
              <w:t xml:space="preserve">specific policy choices. Consistent with the 2021 Update, it also concluded that the Commission’s revenue assessments largely capture the effects of the pandemic on states’ revenue raising capacities. </w:t>
            </w:r>
          </w:p>
          <w:p w14:paraId="187D9AD6" w14:textId="130FEE7E" w:rsidR="0099357F" w:rsidRPr="00C330CA" w:rsidRDefault="008C0A5A" w:rsidP="0075360C">
            <w:pPr>
              <w:tabs>
                <w:tab w:val="clear" w:pos="567"/>
              </w:tabs>
              <w:spacing w:before="240" w:after="240" w:line="300" w:lineRule="atLeast"/>
              <w:rPr>
                <w:rFonts w:ascii="Work Sans" w:eastAsia="Times New Roman" w:hAnsi="Work Sans" w:cs="Times New Roman"/>
                <w:noProof/>
                <w:sz w:val="24"/>
                <w:szCs w:val="20"/>
                <w:lang w:eastAsia="en-AU"/>
              </w:rPr>
            </w:pPr>
            <w:r w:rsidRPr="00141E0D">
              <w:rPr>
                <w:rFonts w:ascii="Work Sans" w:eastAsia="Times New Roman" w:hAnsi="Work Sans" w:cs="Times New Roman"/>
                <w:sz w:val="24"/>
                <w:szCs w:val="20"/>
                <w:lang w:eastAsia="en-AU"/>
              </w:rPr>
              <w:t xml:space="preserve">The potential implications for expense assessments were more complex, although the terms of reference for the update required the application of the 2020 Review assessment methods. The Commission focused on health spending, which was directly affected. Consistent with the approach in the 2021 Update, and the terms of reference, it excluded Commonwealth payments under the </w:t>
            </w:r>
            <w:r w:rsidRPr="00141E0D">
              <w:rPr>
                <w:rFonts w:ascii="Work Sans" w:eastAsia="Times New Roman" w:hAnsi="Work Sans" w:cs="Times New Roman"/>
                <w:i/>
                <w:sz w:val="24"/>
                <w:szCs w:val="20"/>
                <w:lang w:eastAsia="en-AU"/>
              </w:rPr>
              <w:t>National Partnership on COVID</w:t>
            </w:r>
            <w:r w:rsidRPr="00141E0D">
              <w:rPr>
                <w:rFonts w:ascii="Work Sans" w:eastAsia="Times New Roman" w:hAnsi="Work Sans" w:cs="Times New Roman"/>
                <w:i/>
                <w:sz w:val="24"/>
                <w:szCs w:val="20"/>
                <w:lang w:eastAsia="en-AU"/>
              </w:rPr>
              <w:noBreakHyphen/>
              <w:t xml:space="preserve">19 Response </w:t>
            </w:r>
            <w:r w:rsidRPr="00141E0D">
              <w:rPr>
                <w:rFonts w:ascii="Work Sans" w:eastAsia="Times New Roman" w:hAnsi="Work Sans" w:cs="Times New Roman"/>
                <w:iCs/>
                <w:sz w:val="24"/>
                <w:szCs w:val="20"/>
                <w:lang w:eastAsia="en-AU"/>
              </w:rPr>
              <w:t>on the basis that needs for expenditure supported by these payments had not been specifically assessed</w:t>
            </w:r>
            <w:r w:rsidRPr="00141E0D">
              <w:rPr>
                <w:rFonts w:ascii="Work Sans" w:eastAsia="Times New Roman" w:hAnsi="Work Sans" w:cs="Times New Roman"/>
                <w:i/>
                <w:sz w:val="24"/>
                <w:szCs w:val="20"/>
                <w:lang w:eastAsia="en-AU"/>
              </w:rPr>
              <w:t xml:space="preserve">. </w:t>
            </w:r>
            <w:r w:rsidR="00BB0559" w:rsidRPr="00141E0D">
              <w:rPr>
                <w:rFonts w:ascii="Work Sans" w:eastAsia="Times New Roman" w:hAnsi="Work Sans" w:cs="Times New Roman"/>
                <w:iCs/>
                <w:sz w:val="24"/>
                <w:szCs w:val="20"/>
                <w:lang w:eastAsia="en-AU"/>
              </w:rPr>
              <w:t xml:space="preserve">This means these payments </w:t>
            </w:r>
            <w:r w:rsidR="00BB0559">
              <w:rPr>
                <w:rFonts w:ascii="Work Sans" w:eastAsia="Times New Roman" w:hAnsi="Work Sans" w:cs="Times New Roman"/>
                <w:iCs/>
                <w:sz w:val="24"/>
                <w:szCs w:val="20"/>
                <w:lang w:eastAsia="en-AU"/>
              </w:rPr>
              <w:t>did</w:t>
            </w:r>
            <w:r w:rsidR="00BB0559" w:rsidRPr="00141E0D">
              <w:rPr>
                <w:rFonts w:ascii="Work Sans" w:eastAsia="Times New Roman" w:hAnsi="Work Sans" w:cs="Times New Roman"/>
                <w:iCs/>
                <w:sz w:val="24"/>
                <w:szCs w:val="20"/>
                <w:lang w:eastAsia="en-AU"/>
              </w:rPr>
              <w:t xml:space="preserve"> </w:t>
            </w:r>
            <w:r w:rsidR="00BB0559" w:rsidRPr="00DD7976">
              <w:rPr>
                <w:rFonts w:ascii="Work Sans" w:eastAsia="Times New Roman" w:hAnsi="Work Sans" w:cs="Times New Roman"/>
                <w:sz w:val="24"/>
                <w:szCs w:val="20"/>
                <w:lang w:eastAsia="en-AU"/>
              </w:rPr>
              <w:t>not</w:t>
            </w:r>
            <w:r w:rsidR="00F93E01">
              <w:rPr>
                <w:rFonts w:ascii="Work Sans" w:eastAsia="Times New Roman" w:hAnsi="Work Sans" w:cs="Times New Roman"/>
                <w:sz w:val="24"/>
                <w:szCs w:val="20"/>
                <w:lang w:eastAsia="en-AU"/>
              </w:rPr>
              <w:t xml:space="preserve"> </w:t>
            </w:r>
            <w:r w:rsidR="00F93E01" w:rsidRPr="00141E0D">
              <w:rPr>
                <w:rFonts w:ascii="Work Sans" w:eastAsia="Times New Roman" w:hAnsi="Work Sans" w:cs="Times New Roman"/>
                <w:iCs/>
                <w:sz w:val="24"/>
                <w:szCs w:val="20"/>
                <w:lang w:eastAsia="en-AU"/>
              </w:rPr>
              <w:t>affect relat</w:t>
            </w:r>
            <w:r w:rsidR="00F93E01" w:rsidRPr="00141E0D">
              <w:rPr>
                <w:rFonts w:ascii="Work Sans" w:eastAsia="Times New Roman" w:hAnsi="Work Sans" w:cs="Times New Roman"/>
                <w:noProof/>
                <w:sz w:val="24"/>
                <w:szCs w:val="20"/>
                <w:lang w:eastAsia="en-AU"/>
              </w:rPr>
              <w:drawing>
                <wp:anchor distT="0" distB="0" distL="114300" distR="114300" simplePos="0" relativeHeight="251658313" behindDoc="1" locked="1" layoutInCell="1" allowOverlap="1" wp14:anchorId="472C618F" wp14:editId="0CA77355">
                  <wp:simplePos x="0" y="0"/>
                  <wp:positionH relativeFrom="page">
                    <wp:posOffset>-900430</wp:posOffset>
                  </wp:positionH>
                  <wp:positionV relativeFrom="page">
                    <wp:posOffset>-786765</wp:posOffset>
                  </wp:positionV>
                  <wp:extent cx="7563485" cy="10691495"/>
                  <wp:effectExtent l="0" t="0" r="0" b="0"/>
                  <wp:wrapNone/>
                  <wp:docPr id="41" name="Picture 4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F93E01" w:rsidRPr="00141E0D">
              <w:rPr>
                <w:rFonts w:ascii="Work Sans" w:eastAsia="Times New Roman" w:hAnsi="Work Sans" w:cs="Times New Roman"/>
                <w:iCs/>
                <w:sz w:val="24"/>
                <w:szCs w:val="20"/>
                <w:lang w:eastAsia="en-AU"/>
              </w:rPr>
              <w:t>ivities. Consistent with the</w:t>
            </w:r>
            <w:r w:rsidR="009F0AEF">
              <w:rPr>
                <w:rFonts w:ascii="Work Sans" w:eastAsia="Times New Roman" w:hAnsi="Work Sans" w:cs="Times New Roman"/>
                <w:iCs/>
                <w:sz w:val="24"/>
                <w:szCs w:val="20"/>
                <w:lang w:eastAsia="en-AU"/>
              </w:rPr>
              <w:t xml:space="preserve"> terms of </w:t>
            </w:r>
          </w:p>
        </w:tc>
      </w:tr>
      <w:tr w:rsidR="00AF2FD0" w:rsidRPr="00141E0D" w14:paraId="416E81F8" w14:textId="77777777" w:rsidTr="004F24E9">
        <w:trPr>
          <w:gridAfter w:val="1"/>
          <w:wAfter w:w="50" w:type="dxa"/>
          <w:trHeight w:val="1474"/>
        </w:trPr>
        <w:tc>
          <w:tcPr>
            <w:tcW w:w="9014" w:type="dxa"/>
            <w:shd w:val="clear" w:color="auto" w:fill="EBF3F5"/>
          </w:tcPr>
          <w:p w14:paraId="64DCD04C" w14:textId="0A4C351C" w:rsidR="00875B27" w:rsidRPr="00141E0D" w:rsidRDefault="00D76318" w:rsidP="00875B27">
            <w:pPr>
              <w:tabs>
                <w:tab w:val="clear" w:pos="567"/>
              </w:tabs>
              <w:spacing w:before="240" w:after="240"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iCs/>
                <w:sz w:val="24"/>
                <w:szCs w:val="20"/>
                <w:lang w:eastAsia="en-AU"/>
              </w:rPr>
              <w:t>reference, the Commission applied the 2020 Review health assessment methods to the</w:t>
            </w:r>
            <w:r>
              <w:rPr>
                <w:rFonts w:ascii="Work Sans" w:eastAsia="Times New Roman" w:hAnsi="Work Sans" w:cs="Times New Roman"/>
                <w:iCs/>
                <w:sz w:val="24"/>
                <w:szCs w:val="20"/>
                <w:lang w:eastAsia="en-AU"/>
              </w:rPr>
              <w:t xml:space="preserve"> </w:t>
            </w:r>
            <w:r w:rsidR="00875B27" w:rsidRPr="00141E0D">
              <w:rPr>
                <w:rFonts w:ascii="Work Sans" w:eastAsia="Times New Roman" w:hAnsi="Work Sans" w:cs="Times New Roman"/>
                <w:iCs/>
                <w:sz w:val="24"/>
                <w:szCs w:val="20"/>
                <w:lang w:eastAsia="en-AU"/>
              </w:rPr>
              <w:t xml:space="preserve">state funded spending under the </w:t>
            </w:r>
            <w:r w:rsidR="00875B27" w:rsidRPr="00141E0D">
              <w:rPr>
                <w:rFonts w:ascii="Work Sans" w:eastAsia="Times New Roman" w:hAnsi="Work Sans" w:cs="Times New Roman"/>
                <w:i/>
                <w:sz w:val="24"/>
                <w:szCs w:val="20"/>
                <w:lang w:eastAsia="en-AU"/>
              </w:rPr>
              <w:t>National Partnership on COVID</w:t>
            </w:r>
            <w:r w:rsidR="00875B27" w:rsidRPr="00141E0D">
              <w:rPr>
                <w:rFonts w:ascii="Work Sans" w:eastAsia="Times New Roman" w:hAnsi="Work Sans" w:cs="Times New Roman"/>
                <w:i/>
                <w:sz w:val="24"/>
                <w:szCs w:val="20"/>
                <w:lang w:eastAsia="en-AU"/>
              </w:rPr>
              <w:noBreakHyphen/>
              <w:t>19 Response</w:t>
            </w:r>
            <w:r w:rsidR="00875B27" w:rsidRPr="00141E0D">
              <w:rPr>
                <w:rFonts w:ascii="Work Sans" w:eastAsia="Times New Roman" w:hAnsi="Work Sans" w:cs="Times New Roman"/>
                <w:sz w:val="24"/>
                <w:szCs w:val="20"/>
                <w:lang w:eastAsia="en-AU"/>
              </w:rPr>
              <w:t>.</w:t>
            </w:r>
          </w:p>
          <w:p w14:paraId="062FE056" w14:textId="53BFE87D" w:rsidR="00875B27" w:rsidRPr="00141E0D" w:rsidRDefault="00875B27" w:rsidP="00875B27">
            <w:pPr>
              <w:tabs>
                <w:tab w:val="clear" w:pos="567"/>
              </w:tabs>
              <w:spacing w:before="240"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The economic impact of the pandemic resulted in higher spending on business support. This included significant Commonwealth spending (such</w:t>
            </w:r>
            <w:r w:rsidR="00F70D81">
              <w:rPr>
                <w:rFonts w:ascii="Work Sans" w:eastAsia="Times New Roman" w:hAnsi="Work Sans" w:cs="Times New Roman"/>
                <w:sz w:val="24"/>
                <w:szCs w:val="20"/>
                <w:lang w:eastAsia="en-AU"/>
              </w:rPr>
              <w:t> </w:t>
            </w:r>
            <w:r w:rsidRPr="00141E0D">
              <w:rPr>
                <w:rFonts w:ascii="Work Sans" w:eastAsia="Times New Roman" w:hAnsi="Work Sans" w:cs="Times New Roman"/>
                <w:sz w:val="24"/>
                <w:szCs w:val="20"/>
                <w:lang w:eastAsia="en-AU"/>
              </w:rPr>
              <w:t>as JobKeeper</w:t>
            </w:r>
            <w:r>
              <w:rPr>
                <w:rFonts w:ascii="Work Sans" w:eastAsia="Times New Roman" w:hAnsi="Work Sans" w:cs="Times New Roman"/>
                <w:sz w:val="24"/>
                <w:szCs w:val="20"/>
                <w:lang w:eastAsia="en-AU"/>
              </w:rPr>
              <w:t xml:space="preserve"> Payments</w:t>
            </w:r>
            <w:r w:rsidRPr="00141E0D">
              <w:rPr>
                <w:rFonts w:ascii="Work Sans" w:eastAsia="Times New Roman" w:hAnsi="Work Sans" w:cs="Times New Roman"/>
                <w:sz w:val="24"/>
                <w:szCs w:val="20"/>
                <w:lang w:eastAsia="en-AU"/>
              </w:rPr>
              <w:t>), which did not impact the Commission’s assessment of GST relativi</w:t>
            </w:r>
            <w:r w:rsidRPr="00141E0D">
              <w:rPr>
                <w:rFonts w:ascii="Work Sans" w:eastAsia="Times New Roman" w:hAnsi="Work Sans" w:cs="Times New Roman"/>
                <w:noProof/>
                <w:sz w:val="24"/>
                <w:szCs w:val="20"/>
                <w:lang w:eastAsia="en-AU"/>
              </w:rPr>
              <w:drawing>
                <wp:anchor distT="0" distB="0" distL="114300" distR="114300" simplePos="0" relativeHeight="251658302" behindDoc="1" locked="1" layoutInCell="1" allowOverlap="1" wp14:anchorId="59260279" wp14:editId="2239CFB9">
                  <wp:simplePos x="0" y="0"/>
                  <wp:positionH relativeFrom="page">
                    <wp:posOffset>-899160</wp:posOffset>
                  </wp:positionH>
                  <wp:positionV relativeFrom="page">
                    <wp:posOffset>-792480</wp:posOffset>
                  </wp:positionV>
                  <wp:extent cx="7563485" cy="10691495"/>
                  <wp:effectExtent l="0" t="0" r="0" b="0"/>
                  <wp:wrapNone/>
                  <wp:docPr id="44" name="Picture 4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141E0D">
              <w:rPr>
                <w:rFonts w:ascii="Work Sans" w:eastAsia="Times New Roman" w:hAnsi="Work Sans" w:cs="Times New Roman"/>
                <w:sz w:val="24"/>
                <w:szCs w:val="20"/>
                <w:lang w:eastAsia="en-AU"/>
              </w:rPr>
              <w:t xml:space="preserve">ties. While the nature of state spending on business support changed as a result of the pandemic, </w:t>
            </w:r>
            <w:r>
              <w:rPr>
                <w:rFonts w:ascii="Work Sans" w:eastAsia="Times New Roman" w:hAnsi="Work Sans" w:cs="Times New Roman"/>
                <w:sz w:val="24"/>
                <w:szCs w:val="20"/>
                <w:lang w:eastAsia="en-AU"/>
              </w:rPr>
              <w:t xml:space="preserve">consistent with the terms of reference, </w:t>
            </w:r>
            <w:r w:rsidRPr="00141E0D">
              <w:rPr>
                <w:rFonts w:ascii="Work Sans" w:eastAsia="Times New Roman" w:hAnsi="Work Sans" w:cs="Times New Roman"/>
                <w:sz w:val="24"/>
                <w:szCs w:val="20"/>
                <w:lang w:eastAsia="en-AU"/>
              </w:rPr>
              <w:t>2020 Review assessment methods have been applied</w:t>
            </w:r>
            <w:r>
              <w:rPr>
                <w:rFonts w:ascii="Work Sans" w:eastAsia="Times New Roman" w:hAnsi="Work Sans" w:cs="Times New Roman"/>
                <w:sz w:val="24"/>
                <w:szCs w:val="20"/>
                <w:lang w:eastAsia="en-AU"/>
              </w:rPr>
              <w:t>.</w:t>
            </w:r>
          </w:p>
          <w:p w14:paraId="75BDE5DB" w14:textId="3675CE9E" w:rsidR="00875B27" w:rsidRPr="00DA329C" w:rsidRDefault="00875B27" w:rsidP="00875B27">
            <w:pPr>
              <w:tabs>
                <w:tab w:val="clear" w:pos="567"/>
              </w:tabs>
              <w:spacing w:before="240" w:line="300" w:lineRule="atLeast"/>
              <w:rPr>
                <w:rFonts w:ascii="Work Sans" w:eastAsia="Times New Roman" w:hAnsi="Work Sans" w:cs="Times New Roman"/>
                <w:iCs/>
                <w:sz w:val="24"/>
                <w:szCs w:val="20"/>
                <w:lang w:eastAsia="en-AU"/>
              </w:rPr>
            </w:pPr>
            <w:r w:rsidRPr="00141E0D">
              <w:rPr>
                <w:rFonts w:ascii="Work Sans" w:eastAsia="Times New Roman" w:hAnsi="Work Sans" w:cs="Times New Roman"/>
                <w:sz w:val="24"/>
                <w:szCs w:val="20"/>
                <w:lang w:eastAsia="en-AU"/>
              </w:rPr>
              <w:t>The Commission, in consultation with the states, gave detailed consideration to the implications of the pandemic for this update. Further</w:t>
            </w:r>
            <w:r w:rsidR="00FE61CA">
              <w:rPr>
                <w:rFonts w:ascii="Work Sans" w:eastAsia="Times New Roman" w:hAnsi="Work Sans" w:cs="Times New Roman"/>
                <w:sz w:val="24"/>
                <w:szCs w:val="20"/>
                <w:lang w:eastAsia="en-AU"/>
              </w:rPr>
              <w:t> </w:t>
            </w:r>
            <w:r w:rsidRPr="00141E0D">
              <w:rPr>
                <w:rFonts w:ascii="Work Sans" w:eastAsia="Times New Roman" w:hAnsi="Work Sans" w:cs="Times New Roman"/>
                <w:sz w:val="24"/>
                <w:szCs w:val="20"/>
                <w:lang w:eastAsia="en-AU"/>
              </w:rPr>
              <w:t xml:space="preserve">analysis is in </w:t>
            </w:r>
            <w:hyperlink r:id="rId34" w:history="1">
              <w:r w:rsidRPr="00BE4E59">
                <w:rPr>
                  <w:rStyle w:val="Hyperlink"/>
                  <w:rFonts w:ascii="Work Sans" w:eastAsia="Times New Roman" w:hAnsi="Work Sans" w:cs="Times New Roman"/>
                  <w:i/>
                  <w:sz w:val="24"/>
                  <w:szCs w:val="20"/>
                  <w:lang w:eastAsia="en-AU"/>
                </w:rPr>
                <w:t>New issues in the 2022 Update</w:t>
              </w:r>
            </w:hyperlink>
            <w:r>
              <w:rPr>
                <w:rFonts w:ascii="Work Sans" w:eastAsia="Times New Roman" w:hAnsi="Work Sans" w:cs="Times New Roman"/>
                <w:i/>
                <w:sz w:val="24"/>
                <w:szCs w:val="20"/>
                <w:lang w:eastAsia="en-AU"/>
              </w:rPr>
              <w:t xml:space="preserve">. </w:t>
            </w:r>
            <w:r>
              <w:rPr>
                <w:rFonts w:ascii="Work Sans" w:eastAsia="Times New Roman" w:hAnsi="Work Sans" w:cs="Times New Roman"/>
                <w:iCs/>
                <w:sz w:val="24"/>
                <w:szCs w:val="20"/>
                <w:lang w:eastAsia="en-AU"/>
              </w:rPr>
              <w:t>The Commission will continue to monitor potential impacts of the pandemic and its ongoing consequences as part of its work for future updates.</w:t>
            </w:r>
          </w:p>
          <w:p w14:paraId="1127FF9E" w14:textId="77777777" w:rsidR="00875B27" w:rsidRPr="00141E0D" w:rsidRDefault="00875B27" w:rsidP="002834B4">
            <w:pPr>
              <w:pStyle w:val="Heading3"/>
              <w:spacing w:after="0"/>
              <w:rPr>
                <w:b w:val="0"/>
              </w:rPr>
            </w:pPr>
            <w:r w:rsidRPr="00141E0D">
              <w:t>Drivers of changes in GST distribution</w:t>
            </w:r>
          </w:p>
          <w:p w14:paraId="46860A05" w14:textId="77777777" w:rsidR="00875B27" w:rsidRPr="00141E0D" w:rsidRDefault="00875B27" w:rsidP="00875B27">
            <w:pPr>
              <w:tabs>
                <w:tab w:val="clear" w:pos="567"/>
              </w:tabs>
              <w:spacing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As well as the GST floor and blended relativities, several other developments affected states’ GST distribution.</w:t>
            </w:r>
          </w:p>
          <w:p w14:paraId="1F3B2F72" w14:textId="77777777" w:rsidR="00875B27" w:rsidRPr="00141E0D" w:rsidRDefault="00875B27" w:rsidP="00875B27">
            <w:pPr>
              <w:tabs>
                <w:tab w:val="clear" w:pos="567"/>
              </w:tabs>
              <w:spacing w:line="300" w:lineRule="atLeast"/>
              <w:rPr>
                <w:rFonts w:ascii="Work Sans" w:eastAsia="Times New Roman" w:hAnsi="Work Sans" w:cs="Times New Roman"/>
                <w:sz w:val="24"/>
                <w:szCs w:val="20"/>
                <w:u w:val="words"/>
                <w:lang w:eastAsia="en-AU"/>
              </w:rPr>
            </w:pPr>
            <w:r w:rsidRPr="00141E0D">
              <w:rPr>
                <w:rFonts w:ascii="Work Sans" w:eastAsia="Times New Roman" w:hAnsi="Work Sans" w:cs="Times New Roman"/>
                <w:sz w:val="24"/>
                <w:szCs w:val="20"/>
                <w:lang w:eastAsia="en-AU"/>
              </w:rPr>
              <w:t>Strong growth in the value of iron ore production in Western Australia increased its revenue raising capacity. In turn, the GST needs of the other states increased because their relative capacit</w:t>
            </w:r>
            <w:r>
              <w:rPr>
                <w:rFonts w:ascii="Work Sans" w:eastAsia="Times New Roman" w:hAnsi="Work Sans" w:cs="Times New Roman"/>
                <w:sz w:val="24"/>
                <w:szCs w:val="20"/>
                <w:lang w:eastAsia="en-AU"/>
              </w:rPr>
              <w:t>ies</w:t>
            </w:r>
            <w:r w:rsidRPr="00141E0D">
              <w:rPr>
                <w:rFonts w:ascii="Work Sans" w:eastAsia="Times New Roman" w:hAnsi="Work Sans" w:cs="Times New Roman"/>
                <w:sz w:val="24"/>
                <w:szCs w:val="20"/>
                <w:lang w:eastAsia="en-AU"/>
              </w:rPr>
              <w:t xml:space="preserve"> to raise mining revenue declined. </w:t>
            </w:r>
          </w:p>
          <w:p w14:paraId="3C97E2C9" w14:textId="77777777" w:rsidR="00875B27" w:rsidRPr="00141E0D" w:rsidRDefault="00875B27" w:rsidP="00875B27">
            <w:pPr>
              <w:tabs>
                <w:tab w:val="clear" w:pos="567"/>
              </w:tabs>
              <w:spacing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 xml:space="preserve">A high share of national population growth increases a state’s relative need to invest in infrastructure, and </w:t>
            </w:r>
            <w:r>
              <w:rPr>
                <w:rFonts w:ascii="Work Sans" w:eastAsia="Times New Roman" w:hAnsi="Work Sans" w:cs="Times New Roman"/>
                <w:sz w:val="24"/>
                <w:szCs w:val="20"/>
                <w:lang w:eastAsia="en-AU"/>
              </w:rPr>
              <w:t xml:space="preserve">therefore increases </w:t>
            </w:r>
            <w:r w:rsidRPr="00141E0D">
              <w:rPr>
                <w:rFonts w:ascii="Work Sans" w:eastAsia="Times New Roman" w:hAnsi="Work Sans" w:cs="Times New Roman"/>
                <w:sz w:val="24"/>
                <w:szCs w:val="20"/>
                <w:lang w:eastAsia="en-AU"/>
              </w:rPr>
              <w:t xml:space="preserve">its need for GST. In this update, significant shifts in population growth patterns over the assessment years changed states’ relative needs for investment. This </w:t>
            </w:r>
            <w:r>
              <w:rPr>
                <w:rFonts w:ascii="Work Sans" w:eastAsia="Times New Roman" w:hAnsi="Work Sans" w:cs="Times New Roman"/>
                <w:sz w:val="24"/>
                <w:szCs w:val="20"/>
                <w:lang w:eastAsia="en-AU"/>
              </w:rPr>
              <w:t xml:space="preserve">change </w:t>
            </w:r>
            <w:r w:rsidRPr="00141E0D">
              <w:rPr>
                <w:rFonts w:ascii="Work Sans" w:eastAsia="Times New Roman" w:hAnsi="Work Sans" w:cs="Times New Roman"/>
                <w:sz w:val="24"/>
                <w:szCs w:val="20"/>
                <w:lang w:eastAsia="en-AU"/>
              </w:rPr>
              <w:t xml:space="preserve">reduced the GST needs of Victoria and increased </w:t>
            </w:r>
            <w:r>
              <w:rPr>
                <w:rFonts w:ascii="Work Sans" w:eastAsia="Times New Roman" w:hAnsi="Work Sans" w:cs="Times New Roman"/>
                <w:sz w:val="24"/>
                <w:szCs w:val="20"/>
                <w:lang w:eastAsia="en-AU"/>
              </w:rPr>
              <w:t xml:space="preserve">the needs </w:t>
            </w:r>
            <w:r w:rsidRPr="00141E0D">
              <w:rPr>
                <w:rFonts w:ascii="Work Sans" w:eastAsia="Times New Roman" w:hAnsi="Work Sans" w:cs="Times New Roman"/>
                <w:sz w:val="24"/>
                <w:szCs w:val="20"/>
                <w:lang w:eastAsia="en-AU"/>
              </w:rPr>
              <w:t>of most other states, especially Western</w:t>
            </w:r>
            <w:r>
              <w:rPr>
                <w:rFonts w:ascii="Work Sans" w:eastAsia="Times New Roman" w:hAnsi="Work Sans" w:cs="Times New Roman"/>
                <w:sz w:val="24"/>
                <w:szCs w:val="20"/>
                <w:lang w:eastAsia="en-AU"/>
              </w:rPr>
              <w:t> </w:t>
            </w:r>
            <w:r w:rsidRPr="00141E0D">
              <w:rPr>
                <w:rFonts w:ascii="Work Sans" w:eastAsia="Times New Roman" w:hAnsi="Work Sans" w:cs="Times New Roman"/>
                <w:sz w:val="24"/>
                <w:szCs w:val="20"/>
                <w:lang w:eastAsia="en-AU"/>
              </w:rPr>
              <w:t xml:space="preserve">Australia, </w:t>
            </w:r>
            <w:r>
              <w:rPr>
                <w:rFonts w:ascii="Work Sans" w:eastAsia="Times New Roman" w:hAnsi="Work Sans" w:cs="Times New Roman"/>
                <w:sz w:val="24"/>
                <w:szCs w:val="20"/>
                <w:lang w:eastAsia="en-AU"/>
              </w:rPr>
              <w:t xml:space="preserve">the </w:t>
            </w:r>
            <w:r w:rsidRPr="00141E0D">
              <w:rPr>
                <w:rFonts w:ascii="Work Sans" w:eastAsia="Times New Roman" w:hAnsi="Work Sans" w:cs="Times New Roman"/>
                <w:sz w:val="24"/>
                <w:szCs w:val="20"/>
                <w:lang w:eastAsia="en-AU"/>
              </w:rPr>
              <w:t>Northern</w:t>
            </w:r>
            <w:r>
              <w:rPr>
                <w:rFonts w:ascii="Work Sans" w:eastAsia="Times New Roman" w:hAnsi="Work Sans" w:cs="Times New Roman"/>
                <w:sz w:val="24"/>
                <w:szCs w:val="20"/>
                <w:lang w:eastAsia="en-AU"/>
              </w:rPr>
              <w:t> </w:t>
            </w:r>
            <w:r w:rsidRPr="00141E0D">
              <w:rPr>
                <w:rFonts w:ascii="Work Sans" w:eastAsia="Times New Roman" w:hAnsi="Work Sans" w:cs="Times New Roman"/>
                <w:sz w:val="24"/>
                <w:szCs w:val="20"/>
                <w:lang w:eastAsia="en-AU"/>
              </w:rPr>
              <w:t>Territory and South</w:t>
            </w:r>
            <w:r>
              <w:rPr>
                <w:rFonts w:ascii="Work Sans" w:eastAsia="Times New Roman" w:hAnsi="Work Sans" w:cs="Times New Roman"/>
                <w:sz w:val="24"/>
                <w:szCs w:val="20"/>
                <w:lang w:eastAsia="en-AU"/>
              </w:rPr>
              <w:t> </w:t>
            </w:r>
            <w:r w:rsidRPr="00141E0D">
              <w:rPr>
                <w:rFonts w:ascii="Work Sans" w:eastAsia="Times New Roman" w:hAnsi="Work Sans" w:cs="Times New Roman"/>
                <w:sz w:val="24"/>
                <w:szCs w:val="20"/>
                <w:lang w:eastAsia="en-AU"/>
              </w:rPr>
              <w:t xml:space="preserve">Australia. </w:t>
            </w:r>
          </w:p>
          <w:p w14:paraId="29E3FF9B" w14:textId="24B8198C" w:rsidR="00875B27" w:rsidRDefault="00875B27" w:rsidP="00875B27">
            <w:pPr>
              <w:tabs>
                <w:tab w:val="clear" w:pos="567"/>
              </w:tabs>
              <w:spacing w:line="300" w:lineRule="atLeast"/>
              <w:rPr>
                <w:rFonts w:ascii="Work Sans" w:eastAsia="Times New Roman" w:hAnsi="Work Sans" w:cs="Times New Roman"/>
                <w:sz w:val="24"/>
                <w:szCs w:val="20"/>
                <w:lang w:eastAsia="en-AU"/>
              </w:rPr>
            </w:pPr>
            <w:r w:rsidRPr="00430C20">
              <w:rPr>
                <w:rFonts w:ascii="Work Sans" w:eastAsia="Times New Roman" w:hAnsi="Work Sans" w:cs="Times New Roman"/>
                <w:sz w:val="24"/>
                <w:szCs w:val="20"/>
                <w:lang w:eastAsia="en-AU"/>
              </w:rPr>
              <w:t>Lower growth in private sector wages results in less pressure on public sector wage costs and associated delivery of services. This</w:t>
            </w:r>
            <w:r>
              <w:rPr>
                <w:rFonts w:ascii="Work Sans" w:eastAsia="Times New Roman" w:hAnsi="Work Sans" w:cs="Times New Roman"/>
                <w:sz w:val="24"/>
                <w:szCs w:val="20"/>
                <w:lang w:eastAsia="en-AU"/>
              </w:rPr>
              <w:t xml:space="preserve"> </w:t>
            </w:r>
            <w:r w:rsidRPr="00430C20">
              <w:rPr>
                <w:rFonts w:ascii="Work Sans" w:eastAsia="Times New Roman" w:hAnsi="Work Sans" w:cs="Times New Roman"/>
                <w:sz w:val="24"/>
                <w:szCs w:val="20"/>
                <w:lang w:eastAsia="en-AU"/>
              </w:rPr>
              <w:t>reduced GST needs for Victoria, Queensland, the ACT and the Northern Territory. Higher</w:t>
            </w:r>
            <w:r w:rsidR="00806788">
              <w:rPr>
                <w:rFonts w:ascii="Work Sans" w:eastAsia="Times New Roman" w:hAnsi="Work Sans" w:cs="Times New Roman"/>
                <w:sz w:val="24"/>
                <w:szCs w:val="20"/>
                <w:lang w:eastAsia="en-AU"/>
              </w:rPr>
              <w:t> </w:t>
            </w:r>
            <w:r w:rsidRPr="00430C20">
              <w:rPr>
                <w:rFonts w:ascii="Work Sans" w:eastAsia="Times New Roman" w:hAnsi="Work Sans" w:cs="Times New Roman"/>
                <w:sz w:val="24"/>
                <w:szCs w:val="20"/>
                <w:lang w:eastAsia="en-AU"/>
              </w:rPr>
              <w:t>wage growth increased the GST needs of New South Wales, Western Australia and South Australia.</w:t>
            </w:r>
          </w:p>
          <w:p w14:paraId="2AD194D5" w14:textId="77777777" w:rsidR="00875B27" w:rsidRPr="00141E0D" w:rsidRDefault="00875B27" w:rsidP="00875B27">
            <w:pPr>
              <w:tabs>
                <w:tab w:val="clear" w:pos="567"/>
              </w:tabs>
              <w:spacing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 xml:space="preserve">Victoria’s relative capacity to raise stamp duty on conveyances declined, increasing its GST needs, while decreasing the needs of the other states. </w:t>
            </w:r>
          </w:p>
          <w:p w14:paraId="43DE479F" w14:textId="3DEF154D" w:rsidR="00A84664" w:rsidRPr="00C330CA" w:rsidRDefault="00875B27" w:rsidP="00AC657C">
            <w:pPr>
              <w:tabs>
                <w:tab w:val="clear" w:pos="567"/>
              </w:tabs>
              <w:spacing w:after="240"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Nationally, spending on urban transport infrastructure increased. This increased the relative needs of New South Wales and Victoria, which have higher than average needs in this area. It reduced the relative GST needs of other states, particularly Tasmania and the Northern Territory.</w:t>
            </w:r>
          </w:p>
        </w:tc>
      </w:tr>
      <w:tr w:rsidR="00AF2FD0" w:rsidRPr="00141E0D" w14:paraId="26BF0FF5" w14:textId="77777777" w:rsidTr="00BB4EFA">
        <w:trPr>
          <w:trHeight w:val="1361"/>
        </w:trPr>
        <w:tc>
          <w:tcPr>
            <w:tcW w:w="9064" w:type="dxa"/>
            <w:gridSpan w:val="2"/>
            <w:shd w:val="clear" w:color="auto" w:fill="EBF3F5"/>
          </w:tcPr>
          <w:p w14:paraId="6D926E07" w14:textId="77777777" w:rsidR="00AC657C" w:rsidRDefault="00AC657C" w:rsidP="007D32D8">
            <w:pPr>
              <w:tabs>
                <w:tab w:val="clear" w:pos="567"/>
              </w:tabs>
              <w:spacing w:before="240" w:after="240" w:line="300" w:lineRule="atLeast"/>
              <w:rPr>
                <w:rFonts w:ascii="Work Sans" w:eastAsia="Times New Roman" w:hAnsi="Work Sans" w:cs="Times New Roman"/>
                <w:sz w:val="24"/>
                <w:szCs w:val="20"/>
                <w:lang w:eastAsia="en-AU"/>
              </w:rPr>
            </w:pPr>
            <w:r w:rsidRPr="003F1241">
              <w:rPr>
                <w:rFonts w:ascii="Work Sans" w:eastAsia="Times New Roman" w:hAnsi="Work Sans" w:cs="Times New Roman"/>
                <w:sz w:val="24"/>
                <w:szCs w:val="20"/>
                <w:lang w:eastAsia="en-AU"/>
              </w:rPr>
              <w:t>Victoria and Queensland’s shares of Commonwealth payments increased, reducing their need for GST compared with 2021</w:t>
            </w:r>
            <w:r>
              <w:rPr>
                <w:rFonts w:ascii="Work Sans" w:eastAsia="Times New Roman" w:hAnsi="Work Sans" w:cs="Times New Roman"/>
                <w:sz w:val="24"/>
                <w:szCs w:val="20"/>
                <w:lang w:eastAsia="en-AU"/>
              </w:rPr>
              <w:t>–</w:t>
            </w:r>
            <w:r w:rsidRPr="003F1241">
              <w:rPr>
                <w:rFonts w:ascii="Work Sans" w:eastAsia="Times New Roman" w:hAnsi="Work Sans" w:cs="Times New Roman"/>
                <w:sz w:val="24"/>
                <w:szCs w:val="20"/>
                <w:lang w:eastAsia="en-AU"/>
              </w:rPr>
              <w:t>22.</w:t>
            </w:r>
          </w:p>
          <w:p w14:paraId="25940598" w14:textId="77777777" w:rsidR="00AC657C" w:rsidRPr="00727032" w:rsidRDefault="00AC657C" w:rsidP="00AC657C">
            <w:pPr>
              <w:pStyle w:val="Caption"/>
              <w:widowControl w:val="0"/>
              <w:ind w:left="0" w:firstLine="0"/>
              <w:rPr>
                <w:sz w:val="18"/>
                <w:szCs w:val="18"/>
              </w:rPr>
            </w:pPr>
            <w:r w:rsidRPr="00727032">
              <w:rPr>
                <w:sz w:val="18"/>
                <w:szCs w:val="18"/>
              </w:rPr>
              <w:t>Major d</w:t>
            </w:r>
            <w:r w:rsidRPr="00141E0D">
              <w:rPr>
                <w:rFonts w:eastAsia="Times New Roman" w:cs="Times New Roman"/>
                <w:noProof/>
                <w:sz w:val="24"/>
                <w:lang w:eastAsia="en-AU"/>
              </w:rPr>
              <w:drawing>
                <wp:anchor distT="0" distB="0" distL="114300" distR="114300" simplePos="0" relativeHeight="251658304" behindDoc="1" locked="1" layoutInCell="1" allowOverlap="1" wp14:anchorId="6B414AB6" wp14:editId="67E78B0F">
                  <wp:simplePos x="0" y="0"/>
                  <wp:positionH relativeFrom="page">
                    <wp:posOffset>-905510</wp:posOffset>
                  </wp:positionH>
                  <wp:positionV relativeFrom="page">
                    <wp:posOffset>-793750</wp:posOffset>
                  </wp:positionV>
                  <wp:extent cx="7563485" cy="10691495"/>
                  <wp:effectExtent l="0" t="0" r="0" b="0"/>
                  <wp:wrapNone/>
                  <wp:docPr id="45" name="Picture 4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727032">
              <w:rPr>
                <w:sz w:val="18"/>
                <w:szCs w:val="18"/>
              </w:rPr>
              <w:t>rivers of change in GST distribution, 2021</w:t>
            </w:r>
            <w:r>
              <w:rPr>
                <w:sz w:val="18"/>
                <w:szCs w:val="18"/>
              </w:rPr>
              <w:t>–</w:t>
            </w:r>
            <w:r w:rsidRPr="00727032">
              <w:rPr>
                <w:sz w:val="18"/>
                <w:szCs w:val="18"/>
              </w:rPr>
              <w:t>22 to 2022</w:t>
            </w:r>
            <w:r>
              <w:rPr>
                <w:sz w:val="18"/>
                <w:szCs w:val="18"/>
              </w:rPr>
              <w:t>–</w:t>
            </w:r>
            <w:r w:rsidRPr="00727032">
              <w:rPr>
                <w:sz w:val="18"/>
                <w:szCs w:val="18"/>
              </w:rPr>
              <w:t>23, excluding no worse off payments</w:t>
            </w:r>
          </w:p>
          <w:tbl>
            <w:tblPr>
              <w:tblW w:w="8900" w:type="dxa"/>
              <w:tblLook w:val="04A0" w:firstRow="1" w:lastRow="0" w:firstColumn="1" w:lastColumn="0" w:noHBand="0" w:noVBand="1"/>
            </w:tblPr>
            <w:tblGrid>
              <w:gridCol w:w="3280"/>
              <w:gridCol w:w="700"/>
              <w:gridCol w:w="700"/>
              <w:gridCol w:w="580"/>
              <w:gridCol w:w="720"/>
              <w:gridCol w:w="580"/>
              <w:gridCol w:w="520"/>
              <w:gridCol w:w="560"/>
              <w:gridCol w:w="520"/>
              <w:gridCol w:w="740"/>
            </w:tblGrid>
            <w:tr w:rsidR="00AC657C" w:rsidRPr="00B72D67" w14:paraId="6BD37B71" w14:textId="77777777" w:rsidTr="00637CA5">
              <w:trPr>
                <w:trHeight w:val="379"/>
              </w:trPr>
              <w:tc>
                <w:tcPr>
                  <w:tcW w:w="3280" w:type="dxa"/>
                  <w:tcBorders>
                    <w:top w:val="nil"/>
                    <w:left w:val="nil"/>
                    <w:bottom w:val="nil"/>
                    <w:right w:val="nil"/>
                  </w:tcBorders>
                  <w:shd w:val="clear" w:color="000000" w:fill="006991"/>
                  <w:vAlign w:val="bottom"/>
                  <w:hideMark/>
                </w:tcPr>
                <w:p w14:paraId="3AA76638" w14:textId="77777777" w:rsidR="00AC657C" w:rsidRPr="00B72D67" w:rsidRDefault="00AC657C" w:rsidP="00AC657C">
                  <w:pPr>
                    <w:tabs>
                      <w:tab w:val="clear" w:pos="567"/>
                    </w:tabs>
                    <w:spacing w:before="0" w:line="240" w:lineRule="auto"/>
                    <w:rPr>
                      <w:rFonts w:ascii="Open Sans Semibold" w:eastAsia="Times New Roman" w:hAnsi="Open Sans Semibold" w:cs="Open Sans Semibold"/>
                      <w:color w:val="FFFFFF"/>
                      <w:sz w:val="16"/>
                      <w:szCs w:val="16"/>
                      <w:lang w:eastAsia="en-AU"/>
                    </w:rPr>
                  </w:pPr>
                  <w:r w:rsidRPr="00B72D67">
                    <w:rPr>
                      <w:rFonts w:ascii="Open Sans Semibold" w:eastAsia="Times New Roman" w:hAnsi="Open Sans Semibold" w:cs="Open Sans Semibold"/>
                      <w:color w:val="FFFFFF"/>
                      <w:sz w:val="16"/>
                      <w:szCs w:val="16"/>
                      <w:lang w:eastAsia="en-AU"/>
                    </w:rPr>
                    <w:t> </w:t>
                  </w:r>
                </w:p>
              </w:tc>
              <w:tc>
                <w:tcPr>
                  <w:tcW w:w="700" w:type="dxa"/>
                  <w:tcBorders>
                    <w:top w:val="nil"/>
                    <w:left w:val="nil"/>
                    <w:bottom w:val="nil"/>
                    <w:right w:val="nil"/>
                  </w:tcBorders>
                  <w:shd w:val="clear" w:color="000000" w:fill="006991"/>
                  <w:vAlign w:val="center"/>
                  <w:hideMark/>
                </w:tcPr>
                <w:p w14:paraId="43094F8E"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2D67">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573DD2ED"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2D67">
                    <w:rPr>
                      <w:rFonts w:ascii="Open Sans Semibold" w:eastAsia="Times New Roman" w:hAnsi="Open Sans Semibold" w:cs="Open Sans Semibold"/>
                      <w:color w:val="FFFFFF"/>
                      <w:sz w:val="16"/>
                      <w:szCs w:val="16"/>
                      <w:lang w:eastAsia="en-AU"/>
                    </w:rPr>
                    <w:t>Vic</w:t>
                  </w:r>
                </w:p>
              </w:tc>
              <w:tc>
                <w:tcPr>
                  <w:tcW w:w="580" w:type="dxa"/>
                  <w:tcBorders>
                    <w:top w:val="nil"/>
                    <w:left w:val="nil"/>
                    <w:bottom w:val="nil"/>
                    <w:right w:val="nil"/>
                  </w:tcBorders>
                  <w:shd w:val="clear" w:color="000000" w:fill="006991"/>
                  <w:vAlign w:val="center"/>
                  <w:hideMark/>
                </w:tcPr>
                <w:p w14:paraId="79D1ADDA"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2D67">
                    <w:rPr>
                      <w:rFonts w:ascii="Open Sans Semibold" w:eastAsia="Times New Roman" w:hAnsi="Open Sans Semibold" w:cs="Open Sans Semibold"/>
                      <w:color w:val="FFFFFF"/>
                      <w:sz w:val="16"/>
                      <w:szCs w:val="16"/>
                      <w:lang w:eastAsia="en-AU"/>
                    </w:rPr>
                    <w:t>Qld</w:t>
                  </w:r>
                </w:p>
              </w:tc>
              <w:tc>
                <w:tcPr>
                  <w:tcW w:w="720" w:type="dxa"/>
                  <w:tcBorders>
                    <w:top w:val="nil"/>
                    <w:left w:val="nil"/>
                    <w:bottom w:val="nil"/>
                    <w:right w:val="nil"/>
                  </w:tcBorders>
                  <w:shd w:val="clear" w:color="000000" w:fill="006991"/>
                  <w:vAlign w:val="center"/>
                  <w:hideMark/>
                </w:tcPr>
                <w:p w14:paraId="7C0789A4"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2D67">
                    <w:rPr>
                      <w:rFonts w:ascii="Open Sans Semibold" w:eastAsia="Times New Roman" w:hAnsi="Open Sans Semibold" w:cs="Open Sans Semibold"/>
                      <w:color w:val="FFFFFF"/>
                      <w:sz w:val="16"/>
                      <w:szCs w:val="16"/>
                      <w:lang w:eastAsia="en-AU"/>
                    </w:rPr>
                    <w:t>WA</w:t>
                  </w:r>
                </w:p>
              </w:tc>
              <w:tc>
                <w:tcPr>
                  <w:tcW w:w="580" w:type="dxa"/>
                  <w:tcBorders>
                    <w:top w:val="nil"/>
                    <w:left w:val="nil"/>
                    <w:bottom w:val="nil"/>
                    <w:right w:val="nil"/>
                  </w:tcBorders>
                  <w:shd w:val="clear" w:color="000000" w:fill="006991"/>
                  <w:vAlign w:val="center"/>
                  <w:hideMark/>
                </w:tcPr>
                <w:p w14:paraId="483845C0"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2D67">
                    <w:rPr>
                      <w:rFonts w:ascii="Open Sans Semibold" w:eastAsia="Times New Roman" w:hAnsi="Open Sans Semibold" w:cs="Open Sans Semibold"/>
                      <w:color w:val="FFFFFF"/>
                      <w:sz w:val="16"/>
                      <w:szCs w:val="16"/>
                      <w:lang w:eastAsia="en-AU"/>
                    </w:rPr>
                    <w:t>SA</w:t>
                  </w:r>
                </w:p>
              </w:tc>
              <w:tc>
                <w:tcPr>
                  <w:tcW w:w="520" w:type="dxa"/>
                  <w:tcBorders>
                    <w:top w:val="nil"/>
                    <w:left w:val="nil"/>
                    <w:bottom w:val="nil"/>
                    <w:right w:val="nil"/>
                  </w:tcBorders>
                  <w:shd w:val="clear" w:color="000000" w:fill="006991"/>
                  <w:vAlign w:val="center"/>
                  <w:hideMark/>
                </w:tcPr>
                <w:p w14:paraId="31D8A341"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2D67">
                    <w:rPr>
                      <w:rFonts w:ascii="Open Sans Semibold" w:eastAsia="Times New Roman" w:hAnsi="Open Sans Semibold" w:cs="Open Sans Semibold"/>
                      <w:color w:val="FFFFFF"/>
                      <w:sz w:val="16"/>
                      <w:szCs w:val="16"/>
                      <w:lang w:eastAsia="en-AU"/>
                    </w:rPr>
                    <w:t>Tas</w:t>
                  </w:r>
                </w:p>
              </w:tc>
              <w:tc>
                <w:tcPr>
                  <w:tcW w:w="560" w:type="dxa"/>
                  <w:tcBorders>
                    <w:top w:val="nil"/>
                    <w:left w:val="nil"/>
                    <w:bottom w:val="nil"/>
                    <w:right w:val="nil"/>
                  </w:tcBorders>
                  <w:shd w:val="clear" w:color="000000" w:fill="006991"/>
                  <w:vAlign w:val="center"/>
                  <w:hideMark/>
                </w:tcPr>
                <w:p w14:paraId="5EFBB98C"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2D67">
                    <w:rPr>
                      <w:rFonts w:ascii="Open Sans Semibold" w:eastAsia="Times New Roman" w:hAnsi="Open Sans Semibold" w:cs="Open Sans Semibold"/>
                      <w:color w:val="FFFFFF"/>
                      <w:sz w:val="16"/>
                      <w:szCs w:val="16"/>
                      <w:lang w:eastAsia="en-AU"/>
                    </w:rPr>
                    <w:t>ACT</w:t>
                  </w:r>
                </w:p>
              </w:tc>
              <w:tc>
                <w:tcPr>
                  <w:tcW w:w="520" w:type="dxa"/>
                  <w:tcBorders>
                    <w:top w:val="nil"/>
                    <w:left w:val="nil"/>
                    <w:bottom w:val="nil"/>
                    <w:right w:val="nil"/>
                  </w:tcBorders>
                  <w:shd w:val="clear" w:color="000000" w:fill="006991"/>
                  <w:vAlign w:val="center"/>
                  <w:hideMark/>
                </w:tcPr>
                <w:p w14:paraId="7A0A0DE4"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2D67">
                    <w:rPr>
                      <w:rFonts w:ascii="Open Sans Semibold" w:eastAsia="Times New Roman" w:hAnsi="Open Sans Semibold" w:cs="Open Sans Semibold"/>
                      <w:color w:val="FFFFFF"/>
                      <w:sz w:val="16"/>
                      <w:szCs w:val="16"/>
                      <w:lang w:eastAsia="en-AU"/>
                    </w:rPr>
                    <w:t>NT</w:t>
                  </w:r>
                </w:p>
              </w:tc>
              <w:tc>
                <w:tcPr>
                  <w:tcW w:w="740" w:type="dxa"/>
                  <w:tcBorders>
                    <w:top w:val="nil"/>
                    <w:left w:val="nil"/>
                    <w:bottom w:val="nil"/>
                    <w:right w:val="nil"/>
                  </w:tcBorders>
                  <w:shd w:val="clear" w:color="000000" w:fill="006991"/>
                  <w:vAlign w:val="center"/>
                  <w:hideMark/>
                </w:tcPr>
                <w:p w14:paraId="6EC3E274"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2D67">
                    <w:rPr>
                      <w:rFonts w:ascii="Open Sans Semibold" w:eastAsia="Times New Roman" w:hAnsi="Open Sans Semibold" w:cs="Open Sans Semibold"/>
                      <w:color w:val="FFFFFF"/>
                      <w:sz w:val="16"/>
                      <w:szCs w:val="16"/>
                      <w:lang w:eastAsia="en-AU"/>
                    </w:rPr>
                    <w:t>Redist</w:t>
                  </w:r>
                </w:p>
              </w:tc>
            </w:tr>
            <w:tr w:rsidR="00AC657C" w:rsidRPr="00B72D67" w14:paraId="7B28398C" w14:textId="77777777" w:rsidTr="00637CA5">
              <w:trPr>
                <w:trHeight w:val="259"/>
              </w:trPr>
              <w:tc>
                <w:tcPr>
                  <w:tcW w:w="3280" w:type="dxa"/>
                  <w:tcBorders>
                    <w:top w:val="single" w:sz="4" w:space="0" w:color="ADD6EA"/>
                    <w:left w:val="nil"/>
                    <w:bottom w:val="nil"/>
                    <w:right w:val="nil"/>
                  </w:tcBorders>
                  <w:shd w:val="clear" w:color="000000" w:fill="B6D5E4"/>
                  <w:vAlign w:val="bottom"/>
                  <w:hideMark/>
                </w:tcPr>
                <w:p w14:paraId="2B338F45" w14:textId="77777777" w:rsidR="00AC657C" w:rsidRPr="00B72D67" w:rsidRDefault="00AC657C" w:rsidP="00AC657C">
                  <w:pPr>
                    <w:tabs>
                      <w:tab w:val="clear" w:pos="567"/>
                    </w:tabs>
                    <w:spacing w:before="0" w:line="240" w:lineRule="auto"/>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 </w:t>
                  </w:r>
                </w:p>
              </w:tc>
              <w:tc>
                <w:tcPr>
                  <w:tcW w:w="700" w:type="dxa"/>
                  <w:tcBorders>
                    <w:top w:val="single" w:sz="4" w:space="0" w:color="ADD6EA"/>
                    <w:left w:val="nil"/>
                    <w:bottom w:val="nil"/>
                    <w:right w:val="nil"/>
                  </w:tcBorders>
                  <w:shd w:val="clear" w:color="000000" w:fill="B6D5E4"/>
                  <w:noWrap/>
                  <w:vAlign w:val="bottom"/>
                  <w:hideMark/>
                </w:tcPr>
                <w:p w14:paraId="740C0F39"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0DB0F0A7"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$m</w:t>
                  </w:r>
                </w:p>
              </w:tc>
              <w:tc>
                <w:tcPr>
                  <w:tcW w:w="580" w:type="dxa"/>
                  <w:tcBorders>
                    <w:top w:val="single" w:sz="4" w:space="0" w:color="ADD6EA"/>
                    <w:left w:val="nil"/>
                    <w:bottom w:val="nil"/>
                    <w:right w:val="nil"/>
                  </w:tcBorders>
                  <w:shd w:val="clear" w:color="000000" w:fill="B6D5E4"/>
                  <w:noWrap/>
                  <w:vAlign w:val="bottom"/>
                  <w:hideMark/>
                </w:tcPr>
                <w:p w14:paraId="580CDC5B"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$m</w:t>
                  </w:r>
                </w:p>
              </w:tc>
              <w:tc>
                <w:tcPr>
                  <w:tcW w:w="720" w:type="dxa"/>
                  <w:tcBorders>
                    <w:top w:val="single" w:sz="4" w:space="0" w:color="ADD6EA"/>
                    <w:left w:val="nil"/>
                    <w:bottom w:val="nil"/>
                    <w:right w:val="nil"/>
                  </w:tcBorders>
                  <w:shd w:val="clear" w:color="000000" w:fill="B6D5E4"/>
                  <w:noWrap/>
                  <w:vAlign w:val="bottom"/>
                  <w:hideMark/>
                </w:tcPr>
                <w:p w14:paraId="006E76EA"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$m</w:t>
                  </w:r>
                </w:p>
              </w:tc>
              <w:tc>
                <w:tcPr>
                  <w:tcW w:w="580" w:type="dxa"/>
                  <w:tcBorders>
                    <w:top w:val="single" w:sz="4" w:space="0" w:color="ADD6EA"/>
                    <w:left w:val="nil"/>
                    <w:bottom w:val="nil"/>
                    <w:right w:val="nil"/>
                  </w:tcBorders>
                  <w:shd w:val="clear" w:color="000000" w:fill="B6D5E4"/>
                  <w:noWrap/>
                  <w:vAlign w:val="bottom"/>
                  <w:hideMark/>
                </w:tcPr>
                <w:p w14:paraId="28D4990B"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$m</w:t>
                  </w:r>
                </w:p>
              </w:tc>
              <w:tc>
                <w:tcPr>
                  <w:tcW w:w="520" w:type="dxa"/>
                  <w:tcBorders>
                    <w:top w:val="single" w:sz="4" w:space="0" w:color="ADD6EA"/>
                    <w:left w:val="nil"/>
                    <w:bottom w:val="nil"/>
                    <w:right w:val="nil"/>
                  </w:tcBorders>
                  <w:shd w:val="clear" w:color="000000" w:fill="B6D5E4"/>
                  <w:noWrap/>
                  <w:vAlign w:val="bottom"/>
                  <w:hideMark/>
                </w:tcPr>
                <w:p w14:paraId="7F001103"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$m</w:t>
                  </w:r>
                </w:p>
              </w:tc>
              <w:tc>
                <w:tcPr>
                  <w:tcW w:w="560" w:type="dxa"/>
                  <w:tcBorders>
                    <w:top w:val="single" w:sz="4" w:space="0" w:color="ADD6EA"/>
                    <w:left w:val="nil"/>
                    <w:bottom w:val="nil"/>
                    <w:right w:val="nil"/>
                  </w:tcBorders>
                  <w:shd w:val="clear" w:color="000000" w:fill="B6D5E4"/>
                  <w:noWrap/>
                  <w:vAlign w:val="bottom"/>
                  <w:hideMark/>
                </w:tcPr>
                <w:p w14:paraId="40999983"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$m</w:t>
                  </w:r>
                </w:p>
              </w:tc>
              <w:tc>
                <w:tcPr>
                  <w:tcW w:w="520" w:type="dxa"/>
                  <w:tcBorders>
                    <w:top w:val="single" w:sz="4" w:space="0" w:color="ADD6EA"/>
                    <w:left w:val="nil"/>
                    <w:bottom w:val="nil"/>
                    <w:right w:val="nil"/>
                  </w:tcBorders>
                  <w:shd w:val="clear" w:color="000000" w:fill="B6D5E4"/>
                  <w:noWrap/>
                  <w:vAlign w:val="bottom"/>
                  <w:hideMark/>
                </w:tcPr>
                <w:p w14:paraId="5FA30ABC"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$m</w:t>
                  </w:r>
                </w:p>
              </w:tc>
              <w:tc>
                <w:tcPr>
                  <w:tcW w:w="740" w:type="dxa"/>
                  <w:tcBorders>
                    <w:top w:val="single" w:sz="4" w:space="0" w:color="ADD6EA"/>
                    <w:left w:val="nil"/>
                    <w:bottom w:val="nil"/>
                    <w:right w:val="nil"/>
                  </w:tcBorders>
                  <w:shd w:val="clear" w:color="000000" w:fill="B6D5E4"/>
                  <w:noWrap/>
                  <w:vAlign w:val="bottom"/>
                  <w:hideMark/>
                </w:tcPr>
                <w:p w14:paraId="0CDFA777"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$m</w:t>
                  </w:r>
                </w:p>
              </w:tc>
            </w:tr>
            <w:tr w:rsidR="00AC657C" w:rsidRPr="00B72D67" w14:paraId="38610C2E" w14:textId="77777777" w:rsidTr="00637CA5">
              <w:trPr>
                <w:trHeight w:val="315"/>
              </w:trPr>
              <w:tc>
                <w:tcPr>
                  <w:tcW w:w="3280" w:type="dxa"/>
                  <w:tcBorders>
                    <w:top w:val="single" w:sz="4" w:space="0" w:color="ADD6EA"/>
                    <w:left w:val="nil"/>
                    <w:bottom w:val="nil"/>
                    <w:right w:val="nil"/>
                  </w:tcBorders>
                  <w:shd w:val="clear" w:color="auto" w:fill="auto"/>
                  <w:vAlign w:val="bottom"/>
                  <w:hideMark/>
                </w:tcPr>
                <w:p w14:paraId="5134AE56" w14:textId="77777777" w:rsidR="00AC657C" w:rsidRPr="00B72D67" w:rsidRDefault="00AC657C" w:rsidP="00AC657C">
                  <w:pPr>
                    <w:tabs>
                      <w:tab w:val="clear" w:pos="567"/>
                    </w:tabs>
                    <w:spacing w:before="0" w:line="240" w:lineRule="auto"/>
                    <w:rPr>
                      <w:rFonts w:eastAsia="Times New Roman" w:cs="Open Sans Light"/>
                      <w:color w:val="000000"/>
                      <w:sz w:val="16"/>
                      <w:szCs w:val="16"/>
                      <w:lang w:eastAsia="en-AU"/>
                    </w:rPr>
                  </w:pPr>
                  <w:r w:rsidRPr="00B72D67">
                    <w:rPr>
                      <w:rFonts w:eastAsia="Times New Roman" w:cs="Open Sans Light"/>
                      <w:color w:val="000000"/>
                      <w:sz w:val="16"/>
                      <w:szCs w:val="16"/>
                      <w:lang w:eastAsia="en-AU"/>
                    </w:rPr>
                    <w:t>Changes in fiscal capacities</w:t>
                  </w:r>
                </w:p>
              </w:tc>
              <w:tc>
                <w:tcPr>
                  <w:tcW w:w="700" w:type="dxa"/>
                  <w:tcBorders>
                    <w:top w:val="single" w:sz="4" w:space="0" w:color="ADD6EA"/>
                    <w:left w:val="nil"/>
                    <w:bottom w:val="nil"/>
                    <w:right w:val="nil"/>
                  </w:tcBorders>
                  <w:shd w:val="clear" w:color="auto" w:fill="auto"/>
                  <w:vAlign w:val="bottom"/>
                  <w:hideMark/>
                </w:tcPr>
                <w:p w14:paraId="6D110A75"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 xml:space="preserve"> </w:t>
                  </w:r>
                </w:p>
              </w:tc>
              <w:tc>
                <w:tcPr>
                  <w:tcW w:w="700" w:type="dxa"/>
                  <w:tcBorders>
                    <w:top w:val="single" w:sz="4" w:space="0" w:color="ADD6EA"/>
                    <w:left w:val="nil"/>
                    <w:bottom w:val="nil"/>
                    <w:right w:val="nil"/>
                  </w:tcBorders>
                  <w:shd w:val="clear" w:color="auto" w:fill="auto"/>
                  <w:vAlign w:val="bottom"/>
                  <w:hideMark/>
                </w:tcPr>
                <w:p w14:paraId="41CB15F4"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 xml:space="preserve"> </w:t>
                  </w:r>
                </w:p>
              </w:tc>
              <w:tc>
                <w:tcPr>
                  <w:tcW w:w="580" w:type="dxa"/>
                  <w:tcBorders>
                    <w:top w:val="single" w:sz="4" w:space="0" w:color="ADD6EA"/>
                    <w:left w:val="nil"/>
                    <w:bottom w:val="nil"/>
                    <w:right w:val="nil"/>
                  </w:tcBorders>
                  <w:shd w:val="clear" w:color="auto" w:fill="auto"/>
                  <w:vAlign w:val="bottom"/>
                  <w:hideMark/>
                </w:tcPr>
                <w:p w14:paraId="2715F767"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 xml:space="preserve"> </w:t>
                  </w:r>
                </w:p>
              </w:tc>
              <w:tc>
                <w:tcPr>
                  <w:tcW w:w="720" w:type="dxa"/>
                  <w:tcBorders>
                    <w:top w:val="single" w:sz="4" w:space="0" w:color="ADD6EA"/>
                    <w:left w:val="nil"/>
                    <w:bottom w:val="nil"/>
                    <w:right w:val="nil"/>
                  </w:tcBorders>
                  <w:shd w:val="clear" w:color="auto" w:fill="auto"/>
                  <w:vAlign w:val="bottom"/>
                  <w:hideMark/>
                </w:tcPr>
                <w:p w14:paraId="10C0E205"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 xml:space="preserve"> </w:t>
                  </w:r>
                </w:p>
              </w:tc>
              <w:tc>
                <w:tcPr>
                  <w:tcW w:w="580" w:type="dxa"/>
                  <w:tcBorders>
                    <w:top w:val="single" w:sz="4" w:space="0" w:color="ADD6EA"/>
                    <w:left w:val="nil"/>
                    <w:bottom w:val="nil"/>
                    <w:right w:val="nil"/>
                  </w:tcBorders>
                  <w:shd w:val="clear" w:color="auto" w:fill="auto"/>
                  <w:vAlign w:val="bottom"/>
                  <w:hideMark/>
                </w:tcPr>
                <w:p w14:paraId="52AB84C0"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 xml:space="preserve"> </w:t>
                  </w:r>
                </w:p>
              </w:tc>
              <w:tc>
                <w:tcPr>
                  <w:tcW w:w="520" w:type="dxa"/>
                  <w:tcBorders>
                    <w:top w:val="single" w:sz="4" w:space="0" w:color="ADD6EA"/>
                    <w:left w:val="nil"/>
                    <w:bottom w:val="nil"/>
                    <w:right w:val="nil"/>
                  </w:tcBorders>
                  <w:shd w:val="clear" w:color="auto" w:fill="auto"/>
                  <w:vAlign w:val="bottom"/>
                  <w:hideMark/>
                </w:tcPr>
                <w:p w14:paraId="191096AA"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 xml:space="preserve"> </w:t>
                  </w:r>
                </w:p>
              </w:tc>
              <w:tc>
                <w:tcPr>
                  <w:tcW w:w="560" w:type="dxa"/>
                  <w:tcBorders>
                    <w:top w:val="single" w:sz="4" w:space="0" w:color="ADD6EA"/>
                    <w:left w:val="nil"/>
                    <w:bottom w:val="nil"/>
                    <w:right w:val="nil"/>
                  </w:tcBorders>
                  <w:shd w:val="clear" w:color="auto" w:fill="auto"/>
                  <w:vAlign w:val="bottom"/>
                  <w:hideMark/>
                </w:tcPr>
                <w:p w14:paraId="2C70B43A"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 xml:space="preserve"> </w:t>
                  </w:r>
                </w:p>
              </w:tc>
              <w:tc>
                <w:tcPr>
                  <w:tcW w:w="520" w:type="dxa"/>
                  <w:tcBorders>
                    <w:top w:val="single" w:sz="4" w:space="0" w:color="ADD6EA"/>
                    <w:left w:val="nil"/>
                    <w:bottom w:val="nil"/>
                    <w:right w:val="nil"/>
                  </w:tcBorders>
                  <w:shd w:val="clear" w:color="auto" w:fill="auto"/>
                  <w:vAlign w:val="bottom"/>
                  <w:hideMark/>
                </w:tcPr>
                <w:p w14:paraId="7ABEDEF2"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 xml:space="preserve"> </w:t>
                  </w:r>
                </w:p>
              </w:tc>
              <w:tc>
                <w:tcPr>
                  <w:tcW w:w="740" w:type="dxa"/>
                  <w:tcBorders>
                    <w:top w:val="single" w:sz="4" w:space="0" w:color="ADD6EA"/>
                    <w:left w:val="nil"/>
                    <w:bottom w:val="nil"/>
                    <w:right w:val="nil"/>
                  </w:tcBorders>
                  <w:shd w:val="clear" w:color="auto" w:fill="auto"/>
                  <w:vAlign w:val="bottom"/>
                  <w:hideMark/>
                </w:tcPr>
                <w:p w14:paraId="077BEDDE"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 xml:space="preserve"> </w:t>
                  </w:r>
                </w:p>
              </w:tc>
            </w:tr>
            <w:tr w:rsidR="00AC657C" w:rsidRPr="00B72D67" w14:paraId="18331BD6" w14:textId="77777777" w:rsidTr="00637CA5">
              <w:trPr>
                <w:trHeight w:val="315"/>
              </w:trPr>
              <w:tc>
                <w:tcPr>
                  <w:tcW w:w="3280" w:type="dxa"/>
                  <w:tcBorders>
                    <w:top w:val="single" w:sz="4" w:space="0" w:color="ADD6EA"/>
                    <w:left w:val="nil"/>
                    <w:bottom w:val="nil"/>
                    <w:right w:val="nil"/>
                  </w:tcBorders>
                  <w:shd w:val="clear" w:color="auto" w:fill="auto"/>
                  <w:vAlign w:val="bottom"/>
                  <w:hideMark/>
                </w:tcPr>
                <w:p w14:paraId="7E1D12D4" w14:textId="77777777" w:rsidR="00AC657C" w:rsidRPr="00B72D67" w:rsidRDefault="00AC657C" w:rsidP="00AC657C">
                  <w:pPr>
                    <w:tabs>
                      <w:tab w:val="clear" w:pos="567"/>
                    </w:tabs>
                    <w:spacing w:before="0" w:line="240" w:lineRule="auto"/>
                    <w:ind w:firstLineChars="100" w:firstLine="160"/>
                    <w:rPr>
                      <w:rFonts w:eastAsia="Times New Roman" w:cs="Open Sans Light"/>
                      <w:color w:val="000000"/>
                      <w:sz w:val="16"/>
                      <w:szCs w:val="16"/>
                      <w:lang w:eastAsia="en-AU"/>
                    </w:rPr>
                  </w:pPr>
                  <w:r w:rsidRPr="00B72D67">
                    <w:rPr>
                      <w:rFonts w:eastAsia="Times New Roman" w:cs="Open Sans Light"/>
                      <w:color w:val="000000"/>
                      <w:sz w:val="16"/>
                      <w:szCs w:val="16"/>
                      <w:lang w:eastAsia="en-AU"/>
                    </w:rPr>
                    <w:t>Changes in Mining production</w:t>
                  </w:r>
                </w:p>
              </w:tc>
              <w:tc>
                <w:tcPr>
                  <w:tcW w:w="700" w:type="dxa"/>
                  <w:tcBorders>
                    <w:top w:val="single" w:sz="4" w:space="0" w:color="ADD6EA"/>
                    <w:left w:val="nil"/>
                    <w:bottom w:val="nil"/>
                    <w:right w:val="nil"/>
                  </w:tcBorders>
                  <w:shd w:val="clear" w:color="auto" w:fill="auto"/>
                  <w:vAlign w:val="bottom"/>
                  <w:hideMark/>
                </w:tcPr>
                <w:p w14:paraId="3C685237"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644</w:t>
                  </w:r>
                </w:p>
              </w:tc>
              <w:tc>
                <w:tcPr>
                  <w:tcW w:w="700" w:type="dxa"/>
                  <w:tcBorders>
                    <w:top w:val="single" w:sz="4" w:space="0" w:color="ADD6EA"/>
                    <w:left w:val="nil"/>
                    <w:bottom w:val="nil"/>
                    <w:right w:val="nil"/>
                  </w:tcBorders>
                  <w:shd w:val="clear" w:color="auto" w:fill="auto"/>
                  <w:vAlign w:val="bottom"/>
                  <w:hideMark/>
                </w:tcPr>
                <w:p w14:paraId="0926E3EC"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253</w:t>
                  </w:r>
                </w:p>
              </w:tc>
              <w:tc>
                <w:tcPr>
                  <w:tcW w:w="580" w:type="dxa"/>
                  <w:tcBorders>
                    <w:top w:val="single" w:sz="4" w:space="0" w:color="ADD6EA"/>
                    <w:left w:val="nil"/>
                    <w:bottom w:val="nil"/>
                    <w:right w:val="nil"/>
                  </w:tcBorders>
                  <w:shd w:val="clear" w:color="auto" w:fill="auto"/>
                  <w:vAlign w:val="bottom"/>
                  <w:hideMark/>
                </w:tcPr>
                <w:p w14:paraId="34028357"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956</w:t>
                  </w:r>
                </w:p>
              </w:tc>
              <w:tc>
                <w:tcPr>
                  <w:tcW w:w="720" w:type="dxa"/>
                  <w:tcBorders>
                    <w:top w:val="single" w:sz="4" w:space="0" w:color="ADD6EA"/>
                    <w:left w:val="nil"/>
                    <w:bottom w:val="nil"/>
                    <w:right w:val="nil"/>
                  </w:tcBorders>
                  <w:shd w:val="clear" w:color="auto" w:fill="auto"/>
                  <w:vAlign w:val="bottom"/>
                  <w:hideMark/>
                </w:tcPr>
                <w:p w14:paraId="5F7579B2"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-1,941</w:t>
                  </w:r>
                </w:p>
              </w:tc>
              <w:tc>
                <w:tcPr>
                  <w:tcW w:w="580" w:type="dxa"/>
                  <w:tcBorders>
                    <w:top w:val="single" w:sz="4" w:space="0" w:color="ADD6EA"/>
                    <w:left w:val="nil"/>
                    <w:bottom w:val="nil"/>
                    <w:right w:val="nil"/>
                  </w:tcBorders>
                  <w:shd w:val="clear" w:color="auto" w:fill="auto"/>
                  <w:vAlign w:val="bottom"/>
                  <w:hideMark/>
                </w:tcPr>
                <w:p w14:paraId="38CA7A61"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35</w:t>
                  </w:r>
                </w:p>
              </w:tc>
              <w:tc>
                <w:tcPr>
                  <w:tcW w:w="520" w:type="dxa"/>
                  <w:tcBorders>
                    <w:top w:val="single" w:sz="4" w:space="0" w:color="ADD6EA"/>
                    <w:left w:val="nil"/>
                    <w:bottom w:val="nil"/>
                    <w:right w:val="nil"/>
                  </w:tcBorders>
                  <w:shd w:val="clear" w:color="auto" w:fill="auto"/>
                  <w:vAlign w:val="bottom"/>
                  <w:hideMark/>
                </w:tcPr>
                <w:p w14:paraId="4AC5B77A"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21</w:t>
                  </w:r>
                </w:p>
              </w:tc>
              <w:tc>
                <w:tcPr>
                  <w:tcW w:w="560" w:type="dxa"/>
                  <w:tcBorders>
                    <w:top w:val="single" w:sz="4" w:space="0" w:color="ADD6EA"/>
                    <w:left w:val="nil"/>
                    <w:bottom w:val="nil"/>
                    <w:right w:val="nil"/>
                  </w:tcBorders>
                  <w:shd w:val="clear" w:color="auto" w:fill="auto"/>
                  <w:vAlign w:val="bottom"/>
                  <w:hideMark/>
                </w:tcPr>
                <w:p w14:paraId="1E1C8DCD"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16</w:t>
                  </w:r>
                </w:p>
              </w:tc>
              <w:tc>
                <w:tcPr>
                  <w:tcW w:w="520" w:type="dxa"/>
                  <w:tcBorders>
                    <w:top w:val="single" w:sz="4" w:space="0" w:color="ADD6EA"/>
                    <w:left w:val="nil"/>
                    <w:bottom w:val="nil"/>
                    <w:right w:val="nil"/>
                  </w:tcBorders>
                  <w:shd w:val="clear" w:color="auto" w:fill="auto"/>
                  <w:vAlign w:val="bottom"/>
                  <w:hideMark/>
                </w:tcPr>
                <w:p w14:paraId="4878BA14"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16</w:t>
                  </w:r>
                </w:p>
              </w:tc>
              <w:tc>
                <w:tcPr>
                  <w:tcW w:w="740" w:type="dxa"/>
                  <w:tcBorders>
                    <w:top w:val="single" w:sz="4" w:space="0" w:color="ADD6EA"/>
                    <w:left w:val="nil"/>
                    <w:bottom w:val="nil"/>
                    <w:right w:val="nil"/>
                  </w:tcBorders>
                  <w:shd w:val="clear" w:color="auto" w:fill="auto"/>
                  <w:vAlign w:val="bottom"/>
                  <w:hideMark/>
                </w:tcPr>
                <w:p w14:paraId="5A876B7A"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1,941</w:t>
                  </w:r>
                </w:p>
              </w:tc>
            </w:tr>
            <w:tr w:rsidR="00AC657C" w:rsidRPr="00B72D67" w14:paraId="12BCE371" w14:textId="77777777" w:rsidTr="00637CA5">
              <w:trPr>
                <w:trHeight w:val="315"/>
              </w:trPr>
              <w:tc>
                <w:tcPr>
                  <w:tcW w:w="3280" w:type="dxa"/>
                  <w:tcBorders>
                    <w:top w:val="single" w:sz="4" w:space="0" w:color="ADD6EA"/>
                    <w:left w:val="nil"/>
                    <w:bottom w:val="nil"/>
                    <w:right w:val="nil"/>
                  </w:tcBorders>
                  <w:shd w:val="clear" w:color="auto" w:fill="auto"/>
                  <w:vAlign w:val="bottom"/>
                  <w:hideMark/>
                </w:tcPr>
                <w:p w14:paraId="7BBFA586" w14:textId="77777777" w:rsidR="00AC657C" w:rsidRPr="00B72D67" w:rsidRDefault="00AC657C" w:rsidP="00AC657C">
                  <w:pPr>
                    <w:tabs>
                      <w:tab w:val="clear" w:pos="567"/>
                    </w:tabs>
                    <w:spacing w:before="0" w:line="240" w:lineRule="auto"/>
                    <w:ind w:firstLineChars="100" w:firstLine="160"/>
                    <w:rPr>
                      <w:rFonts w:eastAsia="Times New Roman" w:cs="Open Sans Light"/>
                      <w:color w:val="000000"/>
                      <w:sz w:val="16"/>
                      <w:szCs w:val="16"/>
                      <w:lang w:eastAsia="en-AU"/>
                    </w:rPr>
                  </w:pPr>
                  <w:r w:rsidRPr="00B72D67">
                    <w:rPr>
                      <w:rFonts w:eastAsia="Times New Roman" w:cs="Open Sans Light"/>
                      <w:color w:val="000000"/>
                      <w:sz w:val="16"/>
                      <w:szCs w:val="16"/>
                      <w:lang w:eastAsia="en-AU"/>
                    </w:rPr>
                    <w:t>Changes in Population growth</w:t>
                  </w:r>
                </w:p>
              </w:tc>
              <w:tc>
                <w:tcPr>
                  <w:tcW w:w="700" w:type="dxa"/>
                  <w:tcBorders>
                    <w:top w:val="single" w:sz="4" w:space="0" w:color="ADD6EA"/>
                    <w:left w:val="nil"/>
                    <w:bottom w:val="nil"/>
                    <w:right w:val="nil"/>
                  </w:tcBorders>
                  <w:shd w:val="clear" w:color="auto" w:fill="auto"/>
                  <w:vAlign w:val="bottom"/>
                  <w:hideMark/>
                </w:tcPr>
                <w:p w14:paraId="023DFC25"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-29</w:t>
                  </w:r>
                </w:p>
              </w:tc>
              <w:tc>
                <w:tcPr>
                  <w:tcW w:w="700" w:type="dxa"/>
                  <w:tcBorders>
                    <w:top w:val="single" w:sz="4" w:space="0" w:color="ADD6EA"/>
                    <w:left w:val="nil"/>
                    <w:bottom w:val="nil"/>
                    <w:right w:val="nil"/>
                  </w:tcBorders>
                  <w:shd w:val="clear" w:color="auto" w:fill="auto"/>
                  <w:vAlign w:val="bottom"/>
                  <w:hideMark/>
                </w:tcPr>
                <w:p w14:paraId="1EFED1AA"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-672</w:t>
                  </w:r>
                </w:p>
              </w:tc>
              <w:tc>
                <w:tcPr>
                  <w:tcW w:w="580" w:type="dxa"/>
                  <w:tcBorders>
                    <w:top w:val="single" w:sz="4" w:space="0" w:color="ADD6EA"/>
                    <w:left w:val="nil"/>
                    <w:bottom w:val="nil"/>
                    <w:right w:val="nil"/>
                  </w:tcBorders>
                  <w:shd w:val="clear" w:color="auto" w:fill="auto"/>
                  <w:vAlign w:val="bottom"/>
                  <w:hideMark/>
                </w:tcPr>
                <w:p w14:paraId="30BE1F68"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250</w:t>
                  </w:r>
                </w:p>
              </w:tc>
              <w:tc>
                <w:tcPr>
                  <w:tcW w:w="720" w:type="dxa"/>
                  <w:tcBorders>
                    <w:top w:val="single" w:sz="4" w:space="0" w:color="ADD6EA"/>
                    <w:left w:val="nil"/>
                    <w:bottom w:val="nil"/>
                    <w:right w:val="nil"/>
                  </w:tcBorders>
                  <w:shd w:val="clear" w:color="auto" w:fill="auto"/>
                  <w:vAlign w:val="bottom"/>
                  <w:hideMark/>
                </w:tcPr>
                <w:p w14:paraId="08C7AF8D"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289</w:t>
                  </w:r>
                </w:p>
              </w:tc>
              <w:tc>
                <w:tcPr>
                  <w:tcW w:w="580" w:type="dxa"/>
                  <w:tcBorders>
                    <w:top w:val="single" w:sz="4" w:space="0" w:color="ADD6EA"/>
                    <w:left w:val="nil"/>
                    <w:bottom w:val="nil"/>
                    <w:right w:val="nil"/>
                  </w:tcBorders>
                  <w:shd w:val="clear" w:color="auto" w:fill="auto"/>
                  <w:vAlign w:val="bottom"/>
                  <w:hideMark/>
                </w:tcPr>
                <w:p w14:paraId="6FA674BC"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123</w:t>
                  </w:r>
                </w:p>
              </w:tc>
              <w:tc>
                <w:tcPr>
                  <w:tcW w:w="520" w:type="dxa"/>
                  <w:tcBorders>
                    <w:top w:val="single" w:sz="4" w:space="0" w:color="ADD6EA"/>
                    <w:left w:val="nil"/>
                    <w:bottom w:val="nil"/>
                    <w:right w:val="nil"/>
                  </w:tcBorders>
                  <w:shd w:val="clear" w:color="auto" w:fill="auto"/>
                  <w:vAlign w:val="bottom"/>
                  <w:hideMark/>
                </w:tcPr>
                <w:p w14:paraId="5FD93932"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8</w:t>
                  </w:r>
                </w:p>
              </w:tc>
              <w:tc>
                <w:tcPr>
                  <w:tcW w:w="560" w:type="dxa"/>
                  <w:tcBorders>
                    <w:top w:val="single" w:sz="4" w:space="0" w:color="ADD6EA"/>
                    <w:left w:val="nil"/>
                    <w:bottom w:val="nil"/>
                    <w:right w:val="nil"/>
                  </w:tcBorders>
                  <w:shd w:val="clear" w:color="auto" w:fill="auto"/>
                  <w:vAlign w:val="bottom"/>
                  <w:hideMark/>
                </w:tcPr>
                <w:p w14:paraId="2B741865"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14</w:t>
                  </w:r>
                </w:p>
              </w:tc>
              <w:tc>
                <w:tcPr>
                  <w:tcW w:w="520" w:type="dxa"/>
                  <w:tcBorders>
                    <w:top w:val="single" w:sz="4" w:space="0" w:color="ADD6EA"/>
                    <w:left w:val="nil"/>
                    <w:bottom w:val="nil"/>
                    <w:right w:val="nil"/>
                  </w:tcBorders>
                  <w:shd w:val="clear" w:color="auto" w:fill="auto"/>
                  <w:vAlign w:val="bottom"/>
                  <w:hideMark/>
                </w:tcPr>
                <w:p w14:paraId="1FD89D61"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17</w:t>
                  </w:r>
                </w:p>
              </w:tc>
              <w:tc>
                <w:tcPr>
                  <w:tcW w:w="740" w:type="dxa"/>
                  <w:tcBorders>
                    <w:top w:val="single" w:sz="4" w:space="0" w:color="ADD6EA"/>
                    <w:left w:val="nil"/>
                    <w:bottom w:val="nil"/>
                    <w:right w:val="nil"/>
                  </w:tcBorders>
                  <w:shd w:val="clear" w:color="auto" w:fill="auto"/>
                  <w:vAlign w:val="bottom"/>
                  <w:hideMark/>
                </w:tcPr>
                <w:p w14:paraId="541A5F0A"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701</w:t>
                  </w:r>
                </w:p>
              </w:tc>
            </w:tr>
            <w:tr w:rsidR="00AC657C" w:rsidRPr="00B72D67" w14:paraId="231BF4D9" w14:textId="77777777" w:rsidTr="00637CA5">
              <w:trPr>
                <w:trHeight w:val="315"/>
              </w:trPr>
              <w:tc>
                <w:tcPr>
                  <w:tcW w:w="3280" w:type="dxa"/>
                  <w:tcBorders>
                    <w:top w:val="single" w:sz="4" w:space="0" w:color="ADD6EA"/>
                    <w:left w:val="nil"/>
                    <w:bottom w:val="nil"/>
                    <w:right w:val="nil"/>
                  </w:tcBorders>
                  <w:shd w:val="clear" w:color="auto" w:fill="auto"/>
                  <w:vAlign w:val="bottom"/>
                  <w:hideMark/>
                </w:tcPr>
                <w:p w14:paraId="736E3399" w14:textId="77777777" w:rsidR="00AC657C" w:rsidRPr="00B72D67" w:rsidRDefault="00AC657C" w:rsidP="00AC657C">
                  <w:pPr>
                    <w:tabs>
                      <w:tab w:val="clear" w:pos="567"/>
                    </w:tabs>
                    <w:spacing w:before="0" w:line="240" w:lineRule="auto"/>
                    <w:ind w:firstLineChars="100" w:firstLine="160"/>
                    <w:rPr>
                      <w:rFonts w:eastAsia="Times New Roman" w:cs="Open Sans Light"/>
                      <w:color w:val="000000"/>
                      <w:sz w:val="16"/>
                      <w:szCs w:val="16"/>
                      <w:lang w:eastAsia="en-AU"/>
                    </w:rPr>
                  </w:pPr>
                  <w:r w:rsidRPr="00B72D67">
                    <w:rPr>
                      <w:rFonts w:eastAsia="Times New Roman" w:cs="Open Sans Light"/>
                      <w:color w:val="000000"/>
                      <w:sz w:val="16"/>
                      <w:szCs w:val="16"/>
                      <w:lang w:eastAsia="en-AU"/>
                    </w:rPr>
                    <w:t>Changes in Wage costs</w:t>
                  </w:r>
                </w:p>
              </w:tc>
              <w:tc>
                <w:tcPr>
                  <w:tcW w:w="700" w:type="dxa"/>
                  <w:tcBorders>
                    <w:top w:val="single" w:sz="4" w:space="0" w:color="ADD6EA"/>
                    <w:left w:val="nil"/>
                    <w:bottom w:val="nil"/>
                    <w:right w:val="nil"/>
                  </w:tcBorders>
                  <w:shd w:val="clear" w:color="auto" w:fill="auto"/>
                  <w:noWrap/>
                  <w:vAlign w:val="bottom"/>
                  <w:hideMark/>
                </w:tcPr>
                <w:p w14:paraId="65BE74B5"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103</w:t>
                  </w:r>
                </w:p>
              </w:tc>
              <w:tc>
                <w:tcPr>
                  <w:tcW w:w="700" w:type="dxa"/>
                  <w:tcBorders>
                    <w:top w:val="single" w:sz="4" w:space="0" w:color="ADD6EA"/>
                    <w:left w:val="nil"/>
                    <w:bottom w:val="nil"/>
                    <w:right w:val="nil"/>
                  </w:tcBorders>
                  <w:shd w:val="clear" w:color="auto" w:fill="auto"/>
                  <w:noWrap/>
                  <w:vAlign w:val="bottom"/>
                  <w:hideMark/>
                </w:tcPr>
                <w:p w14:paraId="569034F8"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-88</w:t>
                  </w:r>
                </w:p>
              </w:tc>
              <w:tc>
                <w:tcPr>
                  <w:tcW w:w="580" w:type="dxa"/>
                  <w:tcBorders>
                    <w:top w:val="single" w:sz="4" w:space="0" w:color="ADD6EA"/>
                    <w:left w:val="nil"/>
                    <w:bottom w:val="nil"/>
                    <w:right w:val="nil"/>
                  </w:tcBorders>
                  <w:shd w:val="clear" w:color="auto" w:fill="auto"/>
                  <w:noWrap/>
                  <w:vAlign w:val="bottom"/>
                  <w:hideMark/>
                </w:tcPr>
                <w:p w14:paraId="754CF98A"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-322</w:t>
                  </w:r>
                </w:p>
              </w:tc>
              <w:tc>
                <w:tcPr>
                  <w:tcW w:w="720" w:type="dxa"/>
                  <w:tcBorders>
                    <w:top w:val="single" w:sz="4" w:space="0" w:color="ADD6EA"/>
                    <w:left w:val="nil"/>
                    <w:bottom w:val="nil"/>
                    <w:right w:val="nil"/>
                  </w:tcBorders>
                  <w:shd w:val="clear" w:color="auto" w:fill="auto"/>
                  <w:noWrap/>
                  <w:vAlign w:val="bottom"/>
                  <w:hideMark/>
                </w:tcPr>
                <w:p w14:paraId="250E0F1B"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321</w:t>
                  </w:r>
                </w:p>
              </w:tc>
              <w:tc>
                <w:tcPr>
                  <w:tcW w:w="580" w:type="dxa"/>
                  <w:tcBorders>
                    <w:top w:val="single" w:sz="4" w:space="0" w:color="ADD6EA"/>
                    <w:left w:val="nil"/>
                    <w:bottom w:val="nil"/>
                    <w:right w:val="nil"/>
                  </w:tcBorders>
                  <w:shd w:val="clear" w:color="auto" w:fill="auto"/>
                  <w:noWrap/>
                  <w:vAlign w:val="bottom"/>
                  <w:hideMark/>
                </w:tcPr>
                <w:p w14:paraId="27664EE9"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32</w:t>
                  </w:r>
                </w:p>
              </w:tc>
              <w:tc>
                <w:tcPr>
                  <w:tcW w:w="520" w:type="dxa"/>
                  <w:tcBorders>
                    <w:top w:val="single" w:sz="4" w:space="0" w:color="ADD6EA"/>
                    <w:left w:val="nil"/>
                    <w:bottom w:val="nil"/>
                    <w:right w:val="nil"/>
                  </w:tcBorders>
                  <w:shd w:val="clear" w:color="auto" w:fill="auto"/>
                  <w:noWrap/>
                  <w:vAlign w:val="bottom"/>
                  <w:hideMark/>
                </w:tcPr>
                <w:p w14:paraId="1AEDFACB"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-2</w:t>
                  </w:r>
                </w:p>
              </w:tc>
              <w:tc>
                <w:tcPr>
                  <w:tcW w:w="560" w:type="dxa"/>
                  <w:tcBorders>
                    <w:top w:val="single" w:sz="4" w:space="0" w:color="ADD6EA"/>
                    <w:left w:val="nil"/>
                    <w:bottom w:val="nil"/>
                    <w:right w:val="nil"/>
                  </w:tcBorders>
                  <w:shd w:val="clear" w:color="auto" w:fill="auto"/>
                  <w:noWrap/>
                  <w:vAlign w:val="bottom"/>
                  <w:hideMark/>
                </w:tcPr>
                <w:p w14:paraId="36BAEF6D"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-18</w:t>
                  </w:r>
                </w:p>
              </w:tc>
              <w:tc>
                <w:tcPr>
                  <w:tcW w:w="520" w:type="dxa"/>
                  <w:tcBorders>
                    <w:top w:val="single" w:sz="4" w:space="0" w:color="ADD6EA"/>
                    <w:left w:val="nil"/>
                    <w:bottom w:val="nil"/>
                    <w:right w:val="nil"/>
                  </w:tcBorders>
                  <w:shd w:val="clear" w:color="auto" w:fill="auto"/>
                  <w:noWrap/>
                  <w:vAlign w:val="bottom"/>
                  <w:hideMark/>
                </w:tcPr>
                <w:p w14:paraId="3C7FEC7C"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-27</w:t>
                  </w:r>
                </w:p>
              </w:tc>
              <w:tc>
                <w:tcPr>
                  <w:tcW w:w="740" w:type="dxa"/>
                  <w:tcBorders>
                    <w:top w:val="single" w:sz="4" w:space="0" w:color="ADD6EA"/>
                    <w:left w:val="nil"/>
                    <w:bottom w:val="nil"/>
                    <w:right w:val="nil"/>
                  </w:tcBorders>
                  <w:shd w:val="clear" w:color="auto" w:fill="auto"/>
                  <w:noWrap/>
                  <w:vAlign w:val="bottom"/>
                  <w:hideMark/>
                </w:tcPr>
                <w:p w14:paraId="12A01A41"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456</w:t>
                  </w:r>
                </w:p>
              </w:tc>
            </w:tr>
            <w:tr w:rsidR="00AC657C" w:rsidRPr="00B72D67" w14:paraId="76884A8E" w14:textId="77777777" w:rsidTr="00637CA5">
              <w:trPr>
                <w:trHeight w:val="315"/>
              </w:trPr>
              <w:tc>
                <w:tcPr>
                  <w:tcW w:w="3280" w:type="dxa"/>
                  <w:tcBorders>
                    <w:top w:val="single" w:sz="4" w:space="0" w:color="ADD6EA"/>
                    <w:left w:val="nil"/>
                    <w:bottom w:val="nil"/>
                    <w:right w:val="nil"/>
                  </w:tcBorders>
                  <w:shd w:val="clear" w:color="auto" w:fill="auto"/>
                  <w:vAlign w:val="bottom"/>
                  <w:hideMark/>
                </w:tcPr>
                <w:p w14:paraId="028CFC62" w14:textId="77777777" w:rsidR="00AC657C" w:rsidRPr="00B72D67" w:rsidRDefault="00AC657C" w:rsidP="00AC657C">
                  <w:pPr>
                    <w:tabs>
                      <w:tab w:val="clear" w:pos="567"/>
                    </w:tabs>
                    <w:spacing w:before="0" w:line="240" w:lineRule="auto"/>
                    <w:ind w:firstLineChars="100" w:firstLine="160"/>
                    <w:rPr>
                      <w:rFonts w:eastAsia="Times New Roman" w:cs="Open Sans Light"/>
                      <w:color w:val="000000"/>
                      <w:sz w:val="16"/>
                      <w:szCs w:val="16"/>
                      <w:lang w:eastAsia="en-AU"/>
                    </w:rPr>
                  </w:pPr>
                  <w:r w:rsidRPr="00B72D67">
                    <w:rPr>
                      <w:rFonts w:eastAsia="Times New Roman" w:cs="Open Sans Light"/>
                      <w:color w:val="000000"/>
                      <w:sz w:val="16"/>
                      <w:szCs w:val="16"/>
                      <w:lang w:eastAsia="en-AU"/>
                    </w:rPr>
                    <w:t>Changes in Property sales</w:t>
                  </w:r>
                </w:p>
              </w:tc>
              <w:tc>
                <w:tcPr>
                  <w:tcW w:w="700" w:type="dxa"/>
                  <w:tcBorders>
                    <w:top w:val="single" w:sz="4" w:space="0" w:color="ADD6EA"/>
                    <w:left w:val="nil"/>
                    <w:bottom w:val="nil"/>
                    <w:right w:val="nil"/>
                  </w:tcBorders>
                  <w:shd w:val="clear" w:color="auto" w:fill="auto"/>
                  <w:vAlign w:val="bottom"/>
                  <w:hideMark/>
                </w:tcPr>
                <w:p w14:paraId="75BADD04"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-72</w:t>
                  </w:r>
                </w:p>
              </w:tc>
              <w:tc>
                <w:tcPr>
                  <w:tcW w:w="700" w:type="dxa"/>
                  <w:tcBorders>
                    <w:top w:val="single" w:sz="4" w:space="0" w:color="ADD6EA"/>
                    <w:left w:val="nil"/>
                    <w:bottom w:val="nil"/>
                    <w:right w:val="nil"/>
                  </w:tcBorders>
                  <w:shd w:val="clear" w:color="auto" w:fill="auto"/>
                  <w:vAlign w:val="bottom"/>
                  <w:hideMark/>
                </w:tcPr>
                <w:p w14:paraId="1CBDE31C"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429</w:t>
                  </w:r>
                </w:p>
              </w:tc>
              <w:tc>
                <w:tcPr>
                  <w:tcW w:w="580" w:type="dxa"/>
                  <w:tcBorders>
                    <w:top w:val="single" w:sz="4" w:space="0" w:color="ADD6EA"/>
                    <w:left w:val="nil"/>
                    <w:bottom w:val="nil"/>
                    <w:right w:val="nil"/>
                  </w:tcBorders>
                  <w:shd w:val="clear" w:color="auto" w:fill="auto"/>
                  <w:vAlign w:val="bottom"/>
                  <w:hideMark/>
                </w:tcPr>
                <w:p w14:paraId="3BBE6EEE"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-139</w:t>
                  </w:r>
                </w:p>
              </w:tc>
              <w:tc>
                <w:tcPr>
                  <w:tcW w:w="720" w:type="dxa"/>
                  <w:tcBorders>
                    <w:top w:val="single" w:sz="4" w:space="0" w:color="ADD6EA"/>
                    <w:left w:val="nil"/>
                    <w:bottom w:val="nil"/>
                    <w:right w:val="nil"/>
                  </w:tcBorders>
                  <w:shd w:val="clear" w:color="auto" w:fill="auto"/>
                  <w:vAlign w:val="bottom"/>
                  <w:hideMark/>
                </w:tcPr>
                <w:p w14:paraId="13B27E6D"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-130</w:t>
                  </w:r>
                </w:p>
              </w:tc>
              <w:tc>
                <w:tcPr>
                  <w:tcW w:w="580" w:type="dxa"/>
                  <w:tcBorders>
                    <w:top w:val="single" w:sz="4" w:space="0" w:color="ADD6EA"/>
                    <w:left w:val="nil"/>
                    <w:bottom w:val="nil"/>
                    <w:right w:val="nil"/>
                  </w:tcBorders>
                  <w:shd w:val="clear" w:color="auto" w:fill="auto"/>
                  <w:vAlign w:val="bottom"/>
                  <w:hideMark/>
                </w:tcPr>
                <w:p w14:paraId="41A8C688"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-51</w:t>
                  </w:r>
                </w:p>
              </w:tc>
              <w:tc>
                <w:tcPr>
                  <w:tcW w:w="520" w:type="dxa"/>
                  <w:tcBorders>
                    <w:top w:val="single" w:sz="4" w:space="0" w:color="ADD6EA"/>
                    <w:left w:val="nil"/>
                    <w:bottom w:val="nil"/>
                    <w:right w:val="nil"/>
                  </w:tcBorders>
                  <w:shd w:val="clear" w:color="auto" w:fill="auto"/>
                  <w:vAlign w:val="bottom"/>
                  <w:hideMark/>
                </w:tcPr>
                <w:p w14:paraId="02D52C52"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-17</w:t>
                  </w:r>
                </w:p>
              </w:tc>
              <w:tc>
                <w:tcPr>
                  <w:tcW w:w="560" w:type="dxa"/>
                  <w:tcBorders>
                    <w:top w:val="single" w:sz="4" w:space="0" w:color="ADD6EA"/>
                    <w:left w:val="nil"/>
                    <w:bottom w:val="nil"/>
                    <w:right w:val="nil"/>
                  </w:tcBorders>
                  <w:shd w:val="clear" w:color="auto" w:fill="auto"/>
                  <w:vAlign w:val="bottom"/>
                  <w:hideMark/>
                </w:tcPr>
                <w:p w14:paraId="47120242"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-13</w:t>
                  </w:r>
                </w:p>
              </w:tc>
              <w:tc>
                <w:tcPr>
                  <w:tcW w:w="520" w:type="dxa"/>
                  <w:tcBorders>
                    <w:top w:val="single" w:sz="4" w:space="0" w:color="ADD6EA"/>
                    <w:left w:val="nil"/>
                    <w:bottom w:val="nil"/>
                    <w:right w:val="nil"/>
                  </w:tcBorders>
                  <w:shd w:val="clear" w:color="auto" w:fill="auto"/>
                  <w:vAlign w:val="bottom"/>
                  <w:hideMark/>
                </w:tcPr>
                <w:p w14:paraId="18ED67DC"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-8</w:t>
                  </w:r>
                </w:p>
              </w:tc>
              <w:tc>
                <w:tcPr>
                  <w:tcW w:w="740" w:type="dxa"/>
                  <w:tcBorders>
                    <w:top w:val="single" w:sz="4" w:space="0" w:color="ADD6EA"/>
                    <w:left w:val="nil"/>
                    <w:bottom w:val="nil"/>
                    <w:right w:val="nil"/>
                  </w:tcBorders>
                  <w:shd w:val="clear" w:color="auto" w:fill="auto"/>
                  <w:vAlign w:val="bottom"/>
                  <w:hideMark/>
                </w:tcPr>
                <w:p w14:paraId="66B63125"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429</w:t>
                  </w:r>
                </w:p>
              </w:tc>
            </w:tr>
            <w:tr w:rsidR="00AC657C" w:rsidRPr="00B72D67" w14:paraId="46198D17" w14:textId="77777777" w:rsidTr="00637CA5">
              <w:trPr>
                <w:trHeight w:val="315"/>
              </w:trPr>
              <w:tc>
                <w:tcPr>
                  <w:tcW w:w="3280" w:type="dxa"/>
                  <w:tcBorders>
                    <w:top w:val="single" w:sz="4" w:space="0" w:color="ADD6EA"/>
                    <w:left w:val="nil"/>
                    <w:bottom w:val="nil"/>
                    <w:right w:val="nil"/>
                  </w:tcBorders>
                  <w:shd w:val="clear" w:color="auto" w:fill="auto"/>
                  <w:vAlign w:val="bottom"/>
                  <w:hideMark/>
                </w:tcPr>
                <w:p w14:paraId="65A11BED" w14:textId="77777777" w:rsidR="00AC657C" w:rsidRPr="00B72D67" w:rsidRDefault="00AC657C" w:rsidP="00AC657C">
                  <w:pPr>
                    <w:tabs>
                      <w:tab w:val="clear" w:pos="567"/>
                    </w:tabs>
                    <w:spacing w:before="0" w:line="240" w:lineRule="auto"/>
                    <w:ind w:firstLineChars="100" w:firstLine="160"/>
                    <w:rPr>
                      <w:rFonts w:eastAsia="Times New Roman" w:cs="Open Sans Light"/>
                      <w:color w:val="000000"/>
                      <w:sz w:val="16"/>
                      <w:szCs w:val="16"/>
                      <w:lang w:eastAsia="en-AU"/>
                    </w:rPr>
                  </w:pPr>
                  <w:r w:rsidRPr="00B72D67">
                    <w:rPr>
                      <w:rFonts w:eastAsia="Times New Roman" w:cs="Open Sans Light"/>
                      <w:color w:val="000000"/>
                      <w:sz w:val="16"/>
                      <w:szCs w:val="16"/>
                      <w:lang w:eastAsia="en-AU"/>
                    </w:rPr>
                    <w:t>Changes in Capital improvements</w:t>
                  </w:r>
                </w:p>
              </w:tc>
              <w:tc>
                <w:tcPr>
                  <w:tcW w:w="700" w:type="dxa"/>
                  <w:tcBorders>
                    <w:top w:val="single" w:sz="4" w:space="0" w:color="ADD6EA"/>
                    <w:left w:val="nil"/>
                    <w:bottom w:val="nil"/>
                    <w:right w:val="nil"/>
                  </w:tcBorders>
                  <w:shd w:val="clear" w:color="auto" w:fill="auto"/>
                  <w:vAlign w:val="bottom"/>
                  <w:hideMark/>
                </w:tcPr>
                <w:p w14:paraId="70B93421"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173</w:t>
                  </w:r>
                </w:p>
              </w:tc>
              <w:tc>
                <w:tcPr>
                  <w:tcW w:w="700" w:type="dxa"/>
                  <w:tcBorders>
                    <w:top w:val="single" w:sz="4" w:space="0" w:color="ADD6EA"/>
                    <w:left w:val="nil"/>
                    <w:bottom w:val="nil"/>
                    <w:right w:val="nil"/>
                  </w:tcBorders>
                  <w:shd w:val="clear" w:color="auto" w:fill="auto"/>
                  <w:vAlign w:val="bottom"/>
                  <w:hideMark/>
                </w:tcPr>
                <w:p w14:paraId="0C11B873"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122</w:t>
                  </w:r>
                </w:p>
              </w:tc>
              <w:tc>
                <w:tcPr>
                  <w:tcW w:w="580" w:type="dxa"/>
                  <w:tcBorders>
                    <w:top w:val="single" w:sz="4" w:space="0" w:color="ADD6EA"/>
                    <w:left w:val="nil"/>
                    <w:bottom w:val="nil"/>
                    <w:right w:val="nil"/>
                  </w:tcBorders>
                  <w:shd w:val="clear" w:color="auto" w:fill="auto"/>
                  <w:vAlign w:val="bottom"/>
                  <w:hideMark/>
                </w:tcPr>
                <w:p w14:paraId="1EDDBAF8"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-112</w:t>
                  </w:r>
                </w:p>
              </w:tc>
              <w:tc>
                <w:tcPr>
                  <w:tcW w:w="720" w:type="dxa"/>
                  <w:tcBorders>
                    <w:top w:val="single" w:sz="4" w:space="0" w:color="ADD6EA"/>
                    <w:left w:val="nil"/>
                    <w:bottom w:val="nil"/>
                    <w:right w:val="nil"/>
                  </w:tcBorders>
                  <w:shd w:val="clear" w:color="auto" w:fill="auto"/>
                  <w:vAlign w:val="bottom"/>
                  <w:hideMark/>
                </w:tcPr>
                <w:p w14:paraId="3B5A6F7F"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-58</w:t>
                  </w:r>
                </w:p>
              </w:tc>
              <w:tc>
                <w:tcPr>
                  <w:tcW w:w="580" w:type="dxa"/>
                  <w:tcBorders>
                    <w:top w:val="single" w:sz="4" w:space="0" w:color="ADD6EA"/>
                    <w:left w:val="nil"/>
                    <w:bottom w:val="nil"/>
                    <w:right w:val="nil"/>
                  </w:tcBorders>
                  <w:shd w:val="clear" w:color="auto" w:fill="auto"/>
                  <w:vAlign w:val="bottom"/>
                  <w:hideMark/>
                </w:tcPr>
                <w:p w14:paraId="177425D8"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-71</w:t>
                  </w:r>
                </w:p>
              </w:tc>
              <w:tc>
                <w:tcPr>
                  <w:tcW w:w="520" w:type="dxa"/>
                  <w:tcBorders>
                    <w:top w:val="single" w:sz="4" w:space="0" w:color="ADD6EA"/>
                    <w:left w:val="nil"/>
                    <w:bottom w:val="nil"/>
                    <w:right w:val="nil"/>
                  </w:tcBorders>
                  <w:shd w:val="clear" w:color="auto" w:fill="auto"/>
                  <w:vAlign w:val="bottom"/>
                  <w:hideMark/>
                </w:tcPr>
                <w:p w14:paraId="5DDC869D"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-32</w:t>
                  </w:r>
                </w:p>
              </w:tc>
              <w:tc>
                <w:tcPr>
                  <w:tcW w:w="560" w:type="dxa"/>
                  <w:tcBorders>
                    <w:top w:val="single" w:sz="4" w:space="0" w:color="ADD6EA"/>
                    <w:left w:val="nil"/>
                    <w:bottom w:val="nil"/>
                    <w:right w:val="nil"/>
                  </w:tcBorders>
                  <w:shd w:val="clear" w:color="auto" w:fill="auto"/>
                  <w:vAlign w:val="bottom"/>
                  <w:hideMark/>
                </w:tcPr>
                <w:p w14:paraId="7025293F"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-7</w:t>
                  </w:r>
                </w:p>
              </w:tc>
              <w:tc>
                <w:tcPr>
                  <w:tcW w:w="520" w:type="dxa"/>
                  <w:tcBorders>
                    <w:top w:val="single" w:sz="4" w:space="0" w:color="ADD6EA"/>
                    <w:left w:val="nil"/>
                    <w:bottom w:val="nil"/>
                    <w:right w:val="nil"/>
                  </w:tcBorders>
                  <w:shd w:val="clear" w:color="auto" w:fill="auto"/>
                  <w:vAlign w:val="bottom"/>
                  <w:hideMark/>
                </w:tcPr>
                <w:p w14:paraId="5CAC4B86"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-15</w:t>
                  </w:r>
                </w:p>
              </w:tc>
              <w:tc>
                <w:tcPr>
                  <w:tcW w:w="740" w:type="dxa"/>
                  <w:tcBorders>
                    <w:top w:val="single" w:sz="4" w:space="0" w:color="ADD6EA"/>
                    <w:left w:val="nil"/>
                    <w:bottom w:val="nil"/>
                    <w:right w:val="nil"/>
                  </w:tcBorders>
                  <w:shd w:val="clear" w:color="auto" w:fill="auto"/>
                  <w:vAlign w:val="bottom"/>
                  <w:hideMark/>
                </w:tcPr>
                <w:p w14:paraId="58DA3469"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295</w:t>
                  </w:r>
                </w:p>
              </w:tc>
            </w:tr>
            <w:tr w:rsidR="00AC657C" w:rsidRPr="00B72D67" w14:paraId="7C7FFD2B" w14:textId="77777777" w:rsidTr="00637CA5">
              <w:trPr>
                <w:trHeight w:val="315"/>
              </w:trPr>
              <w:tc>
                <w:tcPr>
                  <w:tcW w:w="3280" w:type="dxa"/>
                  <w:tcBorders>
                    <w:top w:val="single" w:sz="4" w:space="0" w:color="ADD6EA"/>
                    <w:left w:val="nil"/>
                    <w:bottom w:val="nil"/>
                    <w:right w:val="nil"/>
                  </w:tcBorders>
                  <w:shd w:val="clear" w:color="auto" w:fill="auto"/>
                  <w:vAlign w:val="bottom"/>
                  <w:hideMark/>
                </w:tcPr>
                <w:p w14:paraId="5D46893D" w14:textId="77777777" w:rsidR="00AC657C" w:rsidRPr="00B72D67" w:rsidRDefault="00AC657C" w:rsidP="00AC657C">
                  <w:pPr>
                    <w:tabs>
                      <w:tab w:val="clear" w:pos="567"/>
                    </w:tabs>
                    <w:spacing w:before="0" w:line="240" w:lineRule="auto"/>
                    <w:ind w:firstLineChars="100" w:firstLine="160"/>
                    <w:rPr>
                      <w:rFonts w:eastAsia="Times New Roman" w:cs="Open Sans Light"/>
                      <w:color w:val="000000"/>
                      <w:sz w:val="16"/>
                      <w:szCs w:val="16"/>
                      <w:lang w:eastAsia="en-AU"/>
                    </w:rPr>
                  </w:pPr>
                  <w:r w:rsidRPr="00B72D67">
                    <w:rPr>
                      <w:rFonts w:eastAsia="Times New Roman" w:cs="Open Sans Light"/>
                      <w:color w:val="000000"/>
                      <w:sz w:val="16"/>
                      <w:szCs w:val="16"/>
                      <w:lang w:eastAsia="en-AU"/>
                    </w:rPr>
                    <w:t>Changes in Commonwealth payments</w:t>
                  </w:r>
                </w:p>
              </w:tc>
              <w:tc>
                <w:tcPr>
                  <w:tcW w:w="700" w:type="dxa"/>
                  <w:tcBorders>
                    <w:top w:val="single" w:sz="4" w:space="0" w:color="ADD6EA"/>
                    <w:left w:val="nil"/>
                    <w:bottom w:val="nil"/>
                    <w:right w:val="nil"/>
                  </w:tcBorders>
                  <w:shd w:val="clear" w:color="auto" w:fill="auto"/>
                  <w:vAlign w:val="bottom"/>
                  <w:hideMark/>
                </w:tcPr>
                <w:p w14:paraId="760BD9D9"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68</w:t>
                  </w:r>
                </w:p>
              </w:tc>
              <w:tc>
                <w:tcPr>
                  <w:tcW w:w="700" w:type="dxa"/>
                  <w:tcBorders>
                    <w:top w:val="single" w:sz="4" w:space="0" w:color="ADD6EA"/>
                    <w:left w:val="nil"/>
                    <w:bottom w:val="nil"/>
                    <w:right w:val="nil"/>
                  </w:tcBorders>
                  <w:shd w:val="clear" w:color="auto" w:fill="auto"/>
                  <w:vAlign w:val="bottom"/>
                  <w:hideMark/>
                </w:tcPr>
                <w:p w14:paraId="3FB1613A"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-40</w:t>
                  </w:r>
                </w:p>
              </w:tc>
              <w:tc>
                <w:tcPr>
                  <w:tcW w:w="580" w:type="dxa"/>
                  <w:tcBorders>
                    <w:top w:val="single" w:sz="4" w:space="0" w:color="ADD6EA"/>
                    <w:left w:val="nil"/>
                    <w:bottom w:val="nil"/>
                    <w:right w:val="nil"/>
                  </w:tcBorders>
                  <w:shd w:val="clear" w:color="auto" w:fill="auto"/>
                  <w:vAlign w:val="bottom"/>
                  <w:hideMark/>
                </w:tcPr>
                <w:p w14:paraId="12EBD09B"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-140</w:t>
                  </w:r>
                </w:p>
              </w:tc>
              <w:tc>
                <w:tcPr>
                  <w:tcW w:w="720" w:type="dxa"/>
                  <w:tcBorders>
                    <w:top w:val="single" w:sz="4" w:space="0" w:color="ADD6EA"/>
                    <w:left w:val="nil"/>
                    <w:bottom w:val="nil"/>
                    <w:right w:val="nil"/>
                  </w:tcBorders>
                  <w:shd w:val="clear" w:color="auto" w:fill="auto"/>
                  <w:vAlign w:val="bottom"/>
                  <w:hideMark/>
                </w:tcPr>
                <w:p w14:paraId="7BAE7850"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-12</w:t>
                  </w:r>
                </w:p>
              </w:tc>
              <w:tc>
                <w:tcPr>
                  <w:tcW w:w="580" w:type="dxa"/>
                  <w:tcBorders>
                    <w:top w:val="single" w:sz="4" w:space="0" w:color="ADD6EA"/>
                    <w:left w:val="nil"/>
                    <w:bottom w:val="nil"/>
                    <w:right w:val="nil"/>
                  </w:tcBorders>
                  <w:shd w:val="clear" w:color="auto" w:fill="auto"/>
                  <w:vAlign w:val="bottom"/>
                  <w:hideMark/>
                </w:tcPr>
                <w:p w14:paraId="6F4A8321"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89</w:t>
                  </w:r>
                </w:p>
              </w:tc>
              <w:tc>
                <w:tcPr>
                  <w:tcW w:w="520" w:type="dxa"/>
                  <w:tcBorders>
                    <w:top w:val="single" w:sz="4" w:space="0" w:color="ADD6EA"/>
                    <w:left w:val="nil"/>
                    <w:bottom w:val="nil"/>
                    <w:right w:val="nil"/>
                  </w:tcBorders>
                  <w:shd w:val="clear" w:color="auto" w:fill="auto"/>
                  <w:vAlign w:val="bottom"/>
                  <w:hideMark/>
                </w:tcPr>
                <w:p w14:paraId="189582C0"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10</w:t>
                  </w:r>
                </w:p>
              </w:tc>
              <w:tc>
                <w:tcPr>
                  <w:tcW w:w="560" w:type="dxa"/>
                  <w:tcBorders>
                    <w:top w:val="single" w:sz="4" w:space="0" w:color="ADD6EA"/>
                    <w:left w:val="nil"/>
                    <w:bottom w:val="nil"/>
                    <w:right w:val="nil"/>
                  </w:tcBorders>
                  <w:shd w:val="clear" w:color="auto" w:fill="auto"/>
                  <w:vAlign w:val="bottom"/>
                  <w:hideMark/>
                </w:tcPr>
                <w:p w14:paraId="3AC5B9AC"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10</w:t>
                  </w:r>
                </w:p>
              </w:tc>
              <w:tc>
                <w:tcPr>
                  <w:tcW w:w="520" w:type="dxa"/>
                  <w:tcBorders>
                    <w:top w:val="single" w:sz="4" w:space="0" w:color="ADD6EA"/>
                    <w:left w:val="nil"/>
                    <w:bottom w:val="nil"/>
                    <w:right w:val="nil"/>
                  </w:tcBorders>
                  <w:shd w:val="clear" w:color="auto" w:fill="auto"/>
                  <w:vAlign w:val="bottom"/>
                  <w:hideMark/>
                </w:tcPr>
                <w:p w14:paraId="4E70BE9F"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14</w:t>
                  </w:r>
                </w:p>
              </w:tc>
              <w:tc>
                <w:tcPr>
                  <w:tcW w:w="740" w:type="dxa"/>
                  <w:tcBorders>
                    <w:top w:val="single" w:sz="4" w:space="0" w:color="ADD6EA"/>
                    <w:left w:val="nil"/>
                    <w:bottom w:val="nil"/>
                    <w:right w:val="nil"/>
                  </w:tcBorders>
                  <w:shd w:val="clear" w:color="auto" w:fill="auto"/>
                  <w:vAlign w:val="bottom"/>
                  <w:hideMark/>
                </w:tcPr>
                <w:p w14:paraId="564DAA02"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192</w:t>
                  </w:r>
                </w:p>
              </w:tc>
            </w:tr>
            <w:tr w:rsidR="00AC657C" w:rsidRPr="00B72D67" w14:paraId="4CA87412" w14:textId="77777777" w:rsidTr="00637CA5">
              <w:trPr>
                <w:trHeight w:val="315"/>
              </w:trPr>
              <w:tc>
                <w:tcPr>
                  <w:tcW w:w="3280" w:type="dxa"/>
                  <w:tcBorders>
                    <w:top w:val="single" w:sz="4" w:space="0" w:color="ADD6EA"/>
                    <w:left w:val="nil"/>
                    <w:bottom w:val="nil"/>
                    <w:right w:val="nil"/>
                  </w:tcBorders>
                  <w:shd w:val="clear" w:color="auto" w:fill="auto"/>
                  <w:vAlign w:val="bottom"/>
                  <w:hideMark/>
                </w:tcPr>
                <w:p w14:paraId="552050C8" w14:textId="77777777" w:rsidR="00AC657C" w:rsidRPr="00B72D67" w:rsidRDefault="00AC657C" w:rsidP="00AC657C">
                  <w:pPr>
                    <w:tabs>
                      <w:tab w:val="clear" w:pos="567"/>
                    </w:tabs>
                    <w:spacing w:before="0" w:line="240" w:lineRule="auto"/>
                    <w:ind w:firstLineChars="100" w:firstLine="160"/>
                    <w:rPr>
                      <w:rFonts w:eastAsia="Times New Roman" w:cs="Open Sans Light"/>
                      <w:color w:val="000000"/>
                      <w:sz w:val="16"/>
                      <w:szCs w:val="16"/>
                      <w:lang w:eastAsia="en-AU"/>
                    </w:rPr>
                  </w:pPr>
                  <w:r w:rsidRPr="00B72D67">
                    <w:rPr>
                      <w:rFonts w:eastAsia="Times New Roman" w:cs="Open Sans Light"/>
                      <w:color w:val="000000"/>
                      <w:sz w:val="16"/>
                      <w:szCs w:val="16"/>
                      <w:lang w:eastAsia="en-AU"/>
                    </w:rPr>
                    <w:t>Other revenue effects (a)</w:t>
                  </w:r>
                </w:p>
              </w:tc>
              <w:tc>
                <w:tcPr>
                  <w:tcW w:w="700" w:type="dxa"/>
                  <w:tcBorders>
                    <w:top w:val="single" w:sz="4" w:space="0" w:color="ADD6EA"/>
                    <w:left w:val="nil"/>
                    <w:bottom w:val="nil"/>
                    <w:right w:val="nil"/>
                  </w:tcBorders>
                  <w:shd w:val="clear" w:color="auto" w:fill="auto"/>
                  <w:vAlign w:val="bottom"/>
                  <w:hideMark/>
                </w:tcPr>
                <w:p w14:paraId="53C7F3BA"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131</w:t>
                  </w:r>
                </w:p>
              </w:tc>
              <w:tc>
                <w:tcPr>
                  <w:tcW w:w="700" w:type="dxa"/>
                  <w:tcBorders>
                    <w:top w:val="single" w:sz="4" w:space="0" w:color="ADD6EA"/>
                    <w:left w:val="nil"/>
                    <w:bottom w:val="nil"/>
                    <w:right w:val="nil"/>
                  </w:tcBorders>
                  <w:shd w:val="clear" w:color="auto" w:fill="auto"/>
                  <w:vAlign w:val="bottom"/>
                  <w:hideMark/>
                </w:tcPr>
                <w:p w14:paraId="38DE1610"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-151</w:t>
                  </w:r>
                </w:p>
              </w:tc>
              <w:tc>
                <w:tcPr>
                  <w:tcW w:w="580" w:type="dxa"/>
                  <w:tcBorders>
                    <w:top w:val="single" w:sz="4" w:space="0" w:color="ADD6EA"/>
                    <w:left w:val="nil"/>
                    <w:bottom w:val="nil"/>
                    <w:right w:val="nil"/>
                  </w:tcBorders>
                  <w:shd w:val="clear" w:color="auto" w:fill="auto"/>
                  <w:vAlign w:val="bottom"/>
                  <w:hideMark/>
                </w:tcPr>
                <w:p w14:paraId="3B014871"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88</w:t>
                  </w:r>
                </w:p>
              </w:tc>
              <w:tc>
                <w:tcPr>
                  <w:tcW w:w="720" w:type="dxa"/>
                  <w:tcBorders>
                    <w:top w:val="single" w:sz="4" w:space="0" w:color="ADD6EA"/>
                    <w:left w:val="nil"/>
                    <w:bottom w:val="nil"/>
                    <w:right w:val="nil"/>
                  </w:tcBorders>
                  <w:shd w:val="clear" w:color="auto" w:fill="auto"/>
                  <w:vAlign w:val="bottom"/>
                  <w:hideMark/>
                </w:tcPr>
                <w:p w14:paraId="3B44EEB8"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8</w:t>
                  </w:r>
                </w:p>
              </w:tc>
              <w:tc>
                <w:tcPr>
                  <w:tcW w:w="580" w:type="dxa"/>
                  <w:tcBorders>
                    <w:top w:val="single" w:sz="4" w:space="0" w:color="ADD6EA"/>
                    <w:left w:val="nil"/>
                    <w:bottom w:val="nil"/>
                    <w:right w:val="nil"/>
                  </w:tcBorders>
                  <w:shd w:val="clear" w:color="auto" w:fill="auto"/>
                  <w:vAlign w:val="bottom"/>
                  <w:hideMark/>
                </w:tcPr>
                <w:p w14:paraId="5E86D040"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-111</w:t>
                  </w:r>
                </w:p>
              </w:tc>
              <w:tc>
                <w:tcPr>
                  <w:tcW w:w="520" w:type="dxa"/>
                  <w:tcBorders>
                    <w:top w:val="single" w:sz="4" w:space="0" w:color="ADD6EA"/>
                    <w:left w:val="nil"/>
                    <w:bottom w:val="nil"/>
                    <w:right w:val="nil"/>
                  </w:tcBorders>
                  <w:shd w:val="clear" w:color="auto" w:fill="auto"/>
                  <w:vAlign w:val="bottom"/>
                  <w:hideMark/>
                </w:tcPr>
                <w:p w14:paraId="74F0050F"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-13</w:t>
                  </w:r>
                </w:p>
              </w:tc>
              <w:tc>
                <w:tcPr>
                  <w:tcW w:w="560" w:type="dxa"/>
                  <w:tcBorders>
                    <w:top w:val="single" w:sz="4" w:space="0" w:color="ADD6EA"/>
                    <w:left w:val="nil"/>
                    <w:bottom w:val="nil"/>
                    <w:right w:val="nil"/>
                  </w:tcBorders>
                  <w:shd w:val="clear" w:color="auto" w:fill="auto"/>
                  <w:vAlign w:val="bottom"/>
                  <w:hideMark/>
                </w:tcPr>
                <w:p w14:paraId="36FEFA2D"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2</w:t>
                  </w:r>
                </w:p>
              </w:tc>
              <w:tc>
                <w:tcPr>
                  <w:tcW w:w="520" w:type="dxa"/>
                  <w:tcBorders>
                    <w:top w:val="single" w:sz="4" w:space="0" w:color="ADD6EA"/>
                    <w:left w:val="nil"/>
                    <w:bottom w:val="nil"/>
                    <w:right w:val="nil"/>
                  </w:tcBorders>
                  <w:shd w:val="clear" w:color="auto" w:fill="auto"/>
                  <w:vAlign w:val="bottom"/>
                  <w:hideMark/>
                </w:tcPr>
                <w:p w14:paraId="6ED04F36"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45</w:t>
                  </w:r>
                </w:p>
              </w:tc>
              <w:tc>
                <w:tcPr>
                  <w:tcW w:w="740" w:type="dxa"/>
                  <w:tcBorders>
                    <w:top w:val="single" w:sz="4" w:space="0" w:color="ADD6EA"/>
                    <w:left w:val="nil"/>
                    <w:bottom w:val="nil"/>
                    <w:right w:val="nil"/>
                  </w:tcBorders>
                  <w:shd w:val="clear" w:color="auto" w:fill="auto"/>
                  <w:vAlign w:val="bottom"/>
                  <w:hideMark/>
                </w:tcPr>
                <w:p w14:paraId="487BB3AB"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275</w:t>
                  </w:r>
                </w:p>
              </w:tc>
            </w:tr>
            <w:tr w:rsidR="00AC657C" w:rsidRPr="00B72D67" w14:paraId="7D254ADE" w14:textId="77777777" w:rsidTr="00637CA5">
              <w:trPr>
                <w:trHeight w:val="315"/>
              </w:trPr>
              <w:tc>
                <w:tcPr>
                  <w:tcW w:w="3280" w:type="dxa"/>
                  <w:tcBorders>
                    <w:top w:val="single" w:sz="4" w:space="0" w:color="ADD6EA"/>
                    <w:left w:val="nil"/>
                    <w:bottom w:val="nil"/>
                    <w:right w:val="nil"/>
                  </w:tcBorders>
                  <w:shd w:val="clear" w:color="auto" w:fill="auto"/>
                  <w:vAlign w:val="bottom"/>
                  <w:hideMark/>
                </w:tcPr>
                <w:p w14:paraId="7579C548" w14:textId="77777777" w:rsidR="00AC657C" w:rsidRPr="00B72D67" w:rsidRDefault="00AC657C" w:rsidP="00AC657C">
                  <w:pPr>
                    <w:tabs>
                      <w:tab w:val="clear" w:pos="567"/>
                    </w:tabs>
                    <w:spacing w:before="0" w:line="240" w:lineRule="auto"/>
                    <w:ind w:firstLineChars="100" w:firstLine="160"/>
                    <w:rPr>
                      <w:rFonts w:eastAsia="Times New Roman" w:cs="Open Sans Light"/>
                      <w:color w:val="000000"/>
                      <w:sz w:val="16"/>
                      <w:szCs w:val="16"/>
                      <w:lang w:eastAsia="en-AU"/>
                    </w:rPr>
                  </w:pPr>
                  <w:r w:rsidRPr="00B72D67">
                    <w:rPr>
                      <w:rFonts w:eastAsia="Times New Roman" w:cs="Open Sans Light"/>
                      <w:color w:val="000000"/>
                      <w:sz w:val="16"/>
                      <w:szCs w:val="16"/>
                      <w:lang w:eastAsia="en-AU"/>
                    </w:rPr>
                    <w:t>Other expense effects (a)</w:t>
                  </w:r>
                </w:p>
              </w:tc>
              <w:tc>
                <w:tcPr>
                  <w:tcW w:w="700" w:type="dxa"/>
                  <w:tcBorders>
                    <w:top w:val="single" w:sz="4" w:space="0" w:color="ADD6EA"/>
                    <w:left w:val="nil"/>
                    <w:bottom w:val="nil"/>
                    <w:right w:val="nil"/>
                  </w:tcBorders>
                  <w:shd w:val="clear" w:color="auto" w:fill="auto"/>
                  <w:vAlign w:val="bottom"/>
                  <w:hideMark/>
                </w:tcPr>
                <w:p w14:paraId="5B9246D4"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176</w:t>
                  </w:r>
                </w:p>
              </w:tc>
              <w:tc>
                <w:tcPr>
                  <w:tcW w:w="700" w:type="dxa"/>
                  <w:tcBorders>
                    <w:top w:val="single" w:sz="4" w:space="0" w:color="ADD6EA"/>
                    <w:left w:val="nil"/>
                    <w:bottom w:val="nil"/>
                    <w:right w:val="nil"/>
                  </w:tcBorders>
                  <w:shd w:val="clear" w:color="auto" w:fill="auto"/>
                  <w:vAlign w:val="bottom"/>
                  <w:hideMark/>
                </w:tcPr>
                <w:p w14:paraId="15B40D9B"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-59</w:t>
                  </w:r>
                </w:p>
              </w:tc>
              <w:tc>
                <w:tcPr>
                  <w:tcW w:w="580" w:type="dxa"/>
                  <w:tcBorders>
                    <w:top w:val="single" w:sz="4" w:space="0" w:color="ADD6EA"/>
                    <w:left w:val="nil"/>
                    <w:bottom w:val="nil"/>
                    <w:right w:val="nil"/>
                  </w:tcBorders>
                  <w:shd w:val="clear" w:color="auto" w:fill="auto"/>
                  <w:vAlign w:val="bottom"/>
                  <w:hideMark/>
                </w:tcPr>
                <w:p w14:paraId="377ABDF0"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-121</w:t>
                  </w:r>
                </w:p>
              </w:tc>
              <w:tc>
                <w:tcPr>
                  <w:tcW w:w="720" w:type="dxa"/>
                  <w:tcBorders>
                    <w:top w:val="single" w:sz="4" w:space="0" w:color="ADD6EA"/>
                    <w:left w:val="nil"/>
                    <w:bottom w:val="nil"/>
                    <w:right w:val="nil"/>
                  </w:tcBorders>
                  <w:shd w:val="clear" w:color="auto" w:fill="auto"/>
                  <w:vAlign w:val="bottom"/>
                  <w:hideMark/>
                </w:tcPr>
                <w:p w14:paraId="7AD576BA"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137</w:t>
                  </w:r>
                </w:p>
              </w:tc>
              <w:tc>
                <w:tcPr>
                  <w:tcW w:w="580" w:type="dxa"/>
                  <w:tcBorders>
                    <w:top w:val="single" w:sz="4" w:space="0" w:color="ADD6EA"/>
                    <w:left w:val="nil"/>
                    <w:bottom w:val="nil"/>
                    <w:right w:val="nil"/>
                  </w:tcBorders>
                  <w:shd w:val="clear" w:color="auto" w:fill="auto"/>
                  <w:vAlign w:val="bottom"/>
                  <w:hideMark/>
                </w:tcPr>
                <w:p w14:paraId="6A38B5E7"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-92</w:t>
                  </w:r>
                </w:p>
              </w:tc>
              <w:tc>
                <w:tcPr>
                  <w:tcW w:w="520" w:type="dxa"/>
                  <w:tcBorders>
                    <w:top w:val="single" w:sz="4" w:space="0" w:color="ADD6EA"/>
                    <w:left w:val="nil"/>
                    <w:bottom w:val="nil"/>
                    <w:right w:val="nil"/>
                  </w:tcBorders>
                  <w:shd w:val="clear" w:color="auto" w:fill="auto"/>
                  <w:vAlign w:val="bottom"/>
                  <w:hideMark/>
                </w:tcPr>
                <w:p w14:paraId="1CA75455"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-63</w:t>
                  </w:r>
                </w:p>
              </w:tc>
              <w:tc>
                <w:tcPr>
                  <w:tcW w:w="560" w:type="dxa"/>
                  <w:tcBorders>
                    <w:top w:val="single" w:sz="4" w:space="0" w:color="ADD6EA"/>
                    <w:left w:val="nil"/>
                    <w:bottom w:val="nil"/>
                    <w:right w:val="nil"/>
                  </w:tcBorders>
                  <w:shd w:val="clear" w:color="auto" w:fill="auto"/>
                  <w:vAlign w:val="bottom"/>
                  <w:hideMark/>
                </w:tcPr>
                <w:p w14:paraId="5A5B0C8E"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-25</w:t>
                  </w:r>
                </w:p>
              </w:tc>
              <w:tc>
                <w:tcPr>
                  <w:tcW w:w="520" w:type="dxa"/>
                  <w:tcBorders>
                    <w:top w:val="single" w:sz="4" w:space="0" w:color="ADD6EA"/>
                    <w:left w:val="nil"/>
                    <w:bottom w:val="nil"/>
                    <w:right w:val="nil"/>
                  </w:tcBorders>
                  <w:shd w:val="clear" w:color="auto" w:fill="auto"/>
                  <w:vAlign w:val="bottom"/>
                  <w:hideMark/>
                </w:tcPr>
                <w:p w14:paraId="71FD8EF5"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49</w:t>
                  </w:r>
                </w:p>
              </w:tc>
              <w:tc>
                <w:tcPr>
                  <w:tcW w:w="740" w:type="dxa"/>
                  <w:tcBorders>
                    <w:top w:val="single" w:sz="4" w:space="0" w:color="ADD6EA"/>
                    <w:left w:val="nil"/>
                    <w:bottom w:val="nil"/>
                    <w:right w:val="nil"/>
                  </w:tcBorders>
                  <w:shd w:val="clear" w:color="auto" w:fill="auto"/>
                  <w:vAlign w:val="bottom"/>
                  <w:hideMark/>
                </w:tcPr>
                <w:p w14:paraId="27623202"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361</w:t>
                  </w:r>
                </w:p>
              </w:tc>
            </w:tr>
            <w:tr w:rsidR="00AC657C" w:rsidRPr="00B72D67" w14:paraId="74DA0A09" w14:textId="77777777" w:rsidTr="00637CA5">
              <w:trPr>
                <w:trHeight w:val="315"/>
              </w:trPr>
              <w:tc>
                <w:tcPr>
                  <w:tcW w:w="3280" w:type="dxa"/>
                  <w:tcBorders>
                    <w:top w:val="single" w:sz="4" w:space="0" w:color="ADD6EA"/>
                    <w:left w:val="nil"/>
                    <w:bottom w:val="single" w:sz="4" w:space="0" w:color="ADD6EA"/>
                    <w:right w:val="nil"/>
                  </w:tcBorders>
                  <w:shd w:val="clear" w:color="000000" w:fill="B6D5E4"/>
                  <w:vAlign w:val="bottom"/>
                  <w:hideMark/>
                </w:tcPr>
                <w:p w14:paraId="1AB6262E" w14:textId="77777777" w:rsidR="00AC657C" w:rsidRPr="00B72D67" w:rsidRDefault="00AC657C" w:rsidP="00AC657C">
                  <w:pPr>
                    <w:tabs>
                      <w:tab w:val="clear" w:pos="567"/>
                    </w:tabs>
                    <w:spacing w:before="0" w:line="240" w:lineRule="auto"/>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Total change in fiscal capacities</w:t>
                  </w:r>
                </w:p>
              </w:tc>
              <w:tc>
                <w:tcPr>
                  <w:tcW w:w="700" w:type="dxa"/>
                  <w:tcBorders>
                    <w:top w:val="single" w:sz="4" w:space="0" w:color="ADD6EA"/>
                    <w:left w:val="nil"/>
                    <w:bottom w:val="single" w:sz="4" w:space="0" w:color="ADD6EA"/>
                    <w:right w:val="nil"/>
                  </w:tcBorders>
                  <w:shd w:val="clear" w:color="000000" w:fill="B6D5E4"/>
                  <w:noWrap/>
                  <w:vAlign w:val="bottom"/>
                  <w:hideMark/>
                </w:tcPr>
                <w:p w14:paraId="58E36C2E"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1,195</w:t>
                  </w:r>
                </w:p>
              </w:tc>
              <w:tc>
                <w:tcPr>
                  <w:tcW w:w="700" w:type="dxa"/>
                  <w:tcBorders>
                    <w:top w:val="single" w:sz="4" w:space="0" w:color="ADD6EA"/>
                    <w:left w:val="nil"/>
                    <w:bottom w:val="single" w:sz="4" w:space="0" w:color="ADD6EA"/>
                    <w:right w:val="nil"/>
                  </w:tcBorders>
                  <w:shd w:val="clear" w:color="000000" w:fill="B6D5E4"/>
                  <w:noWrap/>
                  <w:vAlign w:val="bottom"/>
                  <w:hideMark/>
                </w:tcPr>
                <w:p w14:paraId="27BA06C4"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-206</w:t>
                  </w:r>
                </w:p>
              </w:tc>
              <w:tc>
                <w:tcPr>
                  <w:tcW w:w="580" w:type="dxa"/>
                  <w:tcBorders>
                    <w:top w:val="single" w:sz="4" w:space="0" w:color="ADD6EA"/>
                    <w:left w:val="nil"/>
                    <w:bottom w:val="single" w:sz="4" w:space="0" w:color="ADD6EA"/>
                    <w:right w:val="nil"/>
                  </w:tcBorders>
                  <w:shd w:val="clear" w:color="000000" w:fill="B6D5E4"/>
                  <w:noWrap/>
                  <w:vAlign w:val="bottom"/>
                  <w:hideMark/>
                </w:tcPr>
                <w:p w14:paraId="26A24FD1"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459</w:t>
                  </w:r>
                </w:p>
              </w:tc>
              <w:tc>
                <w:tcPr>
                  <w:tcW w:w="720" w:type="dxa"/>
                  <w:tcBorders>
                    <w:top w:val="single" w:sz="4" w:space="0" w:color="ADD6EA"/>
                    <w:left w:val="nil"/>
                    <w:bottom w:val="single" w:sz="4" w:space="0" w:color="ADD6EA"/>
                    <w:right w:val="nil"/>
                  </w:tcBorders>
                  <w:shd w:val="clear" w:color="000000" w:fill="B6D5E4"/>
                  <w:noWrap/>
                  <w:vAlign w:val="bottom"/>
                  <w:hideMark/>
                </w:tcPr>
                <w:p w14:paraId="3BDCCAC2"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-1,387</w:t>
                  </w:r>
                </w:p>
              </w:tc>
              <w:tc>
                <w:tcPr>
                  <w:tcW w:w="580" w:type="dxa"/>
                  <w:tcBorders>
                    <w:top w:val="single" w:sz="4" w:space="0" w:color="ADD6EA"/>
                    <w:left w:val="nil"/>
                    <w:bottom w:val="single" w:sz="4" w:space="0" w:color="ADD6EA"/>
                    <w:right w:val="nil"/>
                  </w:tcBorders>
                  <w:shd w:val="clear" w:color="000000" w:fill="B6D5E4"/>
                  <w:noWrap/>
                  <w:vAlign w:val="bottom"/>
                  <w:hideMark/>
                </w:tcPr>
                <w:p w14:paraId="205B5968"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-47</w:t>
                  </w:r>
                </w:p>
              </w:tc>
              <w:tc>
                <w:tcPr>
                  <w:tcW w:w="520" w:type="dxa"/>
                  <w:tcBorders>
                    <w:top w:val="single" w:sz="4" w:space="0" w:color="ADD6EA"/>
                    <w:left w:val="nil"/>
                    <w:bottom w:val="single" w:sz="4" w:space="0" w:color="ADD6EA"/>
                    <w:right w:val="nil"/>
                  </w:tcBorders>
                  <w:shd w:val="clear" w:color="000000" w:fill="B6D5E4"/>
                  <w:noWrap/>
                  <w:vAlign w:val="bottom"/>
                  <w:hideMark/>
                </w:tcPr>
                <w:p w14:paraId="6B81B7F4"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-87</w:t>
                  </w:r>
                </w:p>
              </w:tc>
              <w:tc>
                <w:tcPr>
                  <w:tcW w:w="560" w:type="dxa"/>
                  <w:tcBorders>
                    <w:top w:val="single" w:sz="4" w:space="0" w:color="ADD6EA"/>
                    <w:left w:val="nil"/>
                    <w:bottom w:val="single" w:sz="4" w:space="0" w:color="ADD6EA"/>
                    <w:right w:val="nil"/>
                  </w:tcBorders>
                  <w:shd w:val="clear" w:color="000000" w:fill="B6D5E4"/>
                  <w:noWrap/>
                  <w:vAlign w:val="bottom"/>
                  <w:hideMark/>
                </w:tcPr>
                <w:p w14:paraId="6A7B0F4A"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-21</w:t>
                  </w:r>
                </w:p>
              </w:tc>
              <w:tc>
                <w:tcPr>
                  <w:tcW w:w="520" w:type="dxa"/>
                  <w:tcBorders>
                    <w:top w:val="single" w:sz="4" w:space="0" w:color="ADD6EA"/>
                    <w:left w:val="nil"/>
                    <w:bottom w:val="single" w:sz="4" w:space="0" w:color="ADD6EA"/>
                    <w:right w:val="nil"/>
                  </w:tcBorders>
                  <w:shd w:val="clear" w:color="000000" w:fill="B6D5E4"/>
                  <w:noWrap/>
                  <w:vAlign w:val="bottom"/>
                  <w:hideMark/>
                </w:tcPr>
                <w:p w14:paraId="0E066945"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92</w:t>
                  </w:r>
                </w:p>
              </w:tc>
              <w:tc>
                <w:tcPr>
                  <w:tcW w:w="740" w:type="dxa"/>
                  <w:tcBorders>
                    <w:top w:val="single" w:sz="4" w:space="0" w:color="ADD6EA"/>
                    <w:left w:val="nil"/>
                    <w:bottom w:val="single" w:sz="4" w:space="0" w:color="ADD6EA"/>
                    <w:right w:val="nil"/>
                  </w:tcBorders>
                  <w:shd w:val="clear" w:color="000000" w:fill="B6D5E4"/>
                  <w:noWrap/>
                  <w:vAlign w:val="bottom"/>
                  <w:hideMark/>
                </w:tcPr>
                <w:p w14:paraId="27013850"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1,747</w:t>
                  </w:r>
                </w:p>
              </w:tc>
            </w:tr>
            <w:tr w:rsidR="00AC657C" w:rsidRPr="00B72D67" w14:paraId="7E6F8663" w14:textId="77777777" w:rsidTr="00637CA5">
              <w:trPr>
                <w:trHeight w:val="315"/>
              </w:trPr>
              <w:tc>
                <w:tcPr>
                  <w:tcW w:w="3280" w:type="dxa"/>
                  <w:tcBorders>
                    <w:top w:val="nil"/>
                    <w:left w:val="nil"/>
                    <w:bottom w:val="nil"/>
                    <w:right w:val="nil"/>
                  </w:tcBorders>
                  <w:shd w:val="clear" w:color="auto" w:fill="auto"/>
                  <w:vAlign w:val="bottom"/>
                  <w:hideMark/>
                </w:tcPr>
                <w:p w14:paraId="6BBFE537" w14:textId="77777777" w:rsidR="00AC657C" w:rsidRPr="00B72D67" w:rsidRDefault="00AC657C" w:rsidP="00AC657C">
                  <w:pPr>
                    <w:tabs>
                      <w:tab w:val="clear" w:pos="567"/>
                    </w:tabs>
                    <w:spacing w:before="0" w:line="240" w:lineRule="auto"/>
                    <w:rPr>
                      <w:rFonts w:eastAsia="Times New Roman" w:cs="Open Sans Light"/>
                      <w:color w:val="000000"/>
                      <w:sz w:val="16"/>
                      <w:szCs w:val="16"/>
                      <w:lang w:eastAsia="en-AU"/>
                    </w:rPr>
                  </w:pPr>
                  <w:r w:rsidRPr="00B72D67">
                    <w:rPr>
                      <w:rFonts w:eastAsia="Times New Roman" w:cs="Open Sans Light"/>
                      <w:color w:val="000000"/>
                      <w:sz w:val="16"/>
                      <w:szCs w:val="16"/>
                      <w:lang w:eastAsia="en-AU"/>
                    </w:rPr>
                    <w:t>Effect of GST floor and blended relativities</w:t>
                  </w:r>
                </w:p>
              </w:tc>
              <w:tc>
                <w:tcPr>
                  <w:tcW w:w="700" w:type="dxa"/>
                  <w:tcBorders>
                    <w:top w:val="nil"/>
                    <w:left w:val="nil"/>
                    <w:bottom w:val="nil"/>
                    <w:right w:val="nil"/>
                  </w:tcBorders>
                  <w:shd w:val="clear" w:color="auto" w:fill="auto"/>
                  <w:vAlign w:val="bottom"/>
                  <w:hideMark/>
                </w:tcPr>
                <w:p w14:paraId="3BC96930"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-1,298</w:t>
                  </w:r>
                </w:p>
              </w:tc>
              <w:tc>
                <w:tcPr>
                  <w:tcW w:w="700" w:type="dxa"/>
                  <w:tcBorders>
                    <w:top w:val="nil"/>
                    <w:left w:val="nil"/>
                    <w:bottom w:val="nil"/>
                    <w:right w:val="nil"/>
                  </w:tcBorders>
                  <w:shd w:val="clear" w:color="auto" w:fill="auto"/>
                  <w:vAlign w:val="bottom"/>
                  <w:hideMark/>
                </w:tcPr>
                <w:p w14:paraId="38D53A2B"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-1,063</w:t>
                  </w:r>
                </w:p>
              </w:tc>
              <w:tc>
                <w:tcPr>
                  <w:tcW w:w="580" w:type="dxa"/>
                  <w:tcBorders>
                    <w:top w:val="nil"/>
                    <w:left w:val="nil"/>
                    <w:bottom w:val="nil"/>
                    <w:right w:val="nil"/>
                  </w:tcBorders>
                  <w:shd w:val="clear" w:color="auto" w:fill="auto"/>
                  <w:vAlign w:val="bottom"/>
                  <w:hideMark/>
                </w:tcPr>
                <w:p w14:paraId="67255464"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-839</w:t>
                  </w:r>
                </w:p>
              </w:tc>
              <w:tc>
                <w:tcPr>
                  <w:tcW w:w="720" w:type="dxa"/>
                  <w:tcBorders>
                    <w:top w:val="nil"/>
                    <w:left w:val="nil"/>
                    <w:bottom w:val="nil"/>
                    <w:right w:val="nil"/>
                  </w:tcBorders>
                  <w:shd w:val="clear" w:color="auto" w:fill="auto"/>
                  <w:vAlign w:val="bottom"/>
                  <w:hideMark/>
                </w:tcPr>
                <w:p w14:paraId="1E237931"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3,667</w:t>
                  </w:r>
                </w:p>
              </w:tc>
              <w:tc>
                <w:tcPr>
                  <w:tcW w:w="580" w:type="dxa"/>
                  <w:tcBorders>
                    <w:top w:val="nil"/>
                    <w:left w:val="nil"/>
                    <w:bottom w:val="nil"/>
                    <w:right w:val="nil"/>
                  </w:tcBorders>
                  <w:shd w:val="clear" w:color="auto" w:fill="auto"/>
                  <w:vAlign w:val="bottom"/>
                  <w:hideMark/>
                </w:tcPr>
                <w:p w14:paraId="51ECFFC0"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-280</w:t>
                  </w:r>
                </w:p>
              </w:tc>
              <w:tc>
                <w:tcPr>
                  <w:tcW w:w="520" w:type="dxa"/>
                  <w:tcBorders>
                    <w:top w:val="nil"/>
                    <w:left w:val="nil"/>
                    <w:bottom w:val="nil"/>
                    <w:right w:val="nil"/>
                  </w:tcBorders>
                  <w:shd w:val="clear" w:color="auto" w:fill="auto"/>
                  <w:vAlign w:val="bottom"/>
                  <w:hideMark/>
                </w:tcPr>
                <w:p w14:paraId="0C1C5660"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-84</w:t>
                  </w:r>
                </w:p>
              </w:tc>
              <w:tc>
                <w:tcPr>
                  <w:tcW w:w="560" w:type="dxa"/>
                  <w:tcBorders>
                    <w:top w:val="nil"/>
                    <w:left w:val="nil"/>
                    <w:bottom w:val="nil"/>
                    <w:right w:val="nil"/>
                  </w:tcBorders>
                  <w:shd w:val="clear" w:color="auto" w:fill="auto"/>
                  <w:vAlign w:val="bottom"/>
                  <w:hideMark/>
                </w:tcPr>
                <w:p w14:paraId="362A4A63"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-69</w:t>
                  </w:r>
                </w:p>
              </w:tc>
              <w:tc>
                <w:tcPr>
                  <w:tcW w:w="520" w:type="dxa"/>
                  <w:tcBorders>
                    <w:top w:val="nil"/>
                    <w:left w:val="nil"/>
                    <w:bottom w:val="nil"/>
                    <w:right w:val="nil"/>
                  </w:tcBorders>
                  <w:shd w:val="clear" w:color="auto" w:fill="auto"/>
                  <w:vAlign w:val="bottom"/>
                  <w:hideMark/>
                </w:tcPr>
                <w:p w14:paraId="0F748392"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-35</w:t>
                  </w:r>
                </w:p>
              </w:tc>
              <w:tc>
                <w:tcPr>
                  <w:tcW w:w="740" w:type="dxa"/>
                  <w:tcBorders>
                    <w:top w:val="nil"/>
                    <w:left w:val="nil"/>
                    <w:bottom w:val="nil"/>
                    <w:right w:val="nil"/>
                  </w:tcBorders>
                  <w:shd w:val="clear" w:color="auto" w:fill="auto"/>
                  <w:vAlign w:val="bottom"/>
                  <w:hideMark/>
                </w:tcPr>
                <w:p w14:paraId="03E83615"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3,667</w:t>
                  </w:r>
                </w:p>
              </w:tc>
            </w:tr>
            <w:tr w:rsidR="00AC657C" w:rsidRPr="00B72D67" w14:paraId="6A1E8114" w14:textId="77777777" w:rsidTr="00637CA5">
              <w:trPr>
                <w:trHeight w:val="315"/>
              </w:trPr>
              <w:tc>
                <w:tcPr>
                  <w:tcW w:w="3280" w:type="dxa"/>
                  <w:tcBorders>
                    <w:top w:val="single" w:sz="4" w:space="0" w:color="ADD6EA"/>
                    <w:left w:val="nil"/>
                    <w:bottom w:val="nil"/>
                    <w:right w:val="nil"/>
                  </w:tcBorders>
                  <w:shd w:val="clear" w:color="auto" w:fill="auto"/>
                  <w:vAlign w:val="bottom"/>
                  <w:hideMark/>
                </w:tcPr>
                <w:p w14:paraId="17837E1A" w14:textId="77777777" w:rsidR="00AC657C" w:rsidRPr="00B72D67" w:rsidRDefault="00AC657C" w:rsidP="00AC657C">
                  <w:pPr>
                    <w:tabs>
                      <w:tab w:val="clear" w:pos="567"/>
                    </w:tabs>
                    <w:spacing w:before="0" w:line="240" w:lineRule="auto"/>
                    <w:rPr>
                      <w:rFonts w:eastAsia="Times New Roman" w:cs="Open Sans Light"/>
                      <w:color w:val="000000"/>
                      <w:sz w:val="16"/>
                      <w:szCs w:val="16"/>
                      <w:lang w:eastAsia="en-AU"/>
                    </w:rPr>
                  </w:pPr>
                  <w:r w:rsidRPr="00B72D67">
                    <w:rPr>
                      <w:rFonts w:eastAsia="Times New Roman" w:cs="Open Sans Light"/>
                      <w:color w:val="000000"/>
                      <w:sz w:val="16"/>
                      <w:szCs w:val="16"/>
                      <w:lang w:eastAsia="en-AU"/>
                    </w:rPr>
                    <w:t>Change in population</w:t>
                  </w:r>
                </w:p>
              </w:tc>
              <w:tc>
                <w:tcPr>
                  <w:tcW w:w="700" w:type="dxa"/>
                  <w:tcBorders>
                    <w:top w:val="single" w:sz="4" w:space="0" w:color="ADD6EA"/>
                    <w:left w:val="nil"/>
                    <w:bottom w:val="nil"/>
                    <w:right w:val="nil"/>
                  </w:tcBorders>
                  <w:shd w:val="clear" w:color="auto" w:fill="auto"/>
                  <w:noWrap/>
                  <w:vAlign w:val="bottom"/>
                  <w:hideMark/>
                </w:tcPr>
                <w:p w14:paraId="2A8961EB"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-95</w:t>
                  </w:r>
                </w:p>
              </w:tc>
              <w:tc>
                <w:tcPr>
                  <w:tcW w:w="700" w:type="dxa"/>
                  <w:tcBorders>
                    <w:top w:val="single" w:sz="4" w:space="0" w:color="ADD6EA"/>
                    <w:left w:val="nil"/>
                    <w:bottom w:val="nil"/>
                    <w:right w:val="nil"/>
                  </w:tcBorders>
                  <w:shd w:val="clear" w:color="auto" w:fill="auto"/>
                  <w:noWrap/>
                  <w:vAlign w:val="bottom"/>
                  <w:hideMark/>
                </w:tcPr>
                <w:p w14:paraId="737E503B"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-10</w:t>
                  </w:r>
                </w:p>
              </w:tc>
              <w:tc>
                <w:tcPr>
                  <w:tcW w:w="580" w:type="dxa"/>
                  <w:tcBorders>
                    <w:top w:val="single" w:sz="4" w:space="0" w:color="ADD6EA"/>
                    <w:left w:val="nil"/>
                    <w:bottom w:val="nil"/>
                    <w:right w:val="nil"/>
                  </w:tcBorders>
                  <w:shd w:val="clear" w:color="auto" w:fill="auto"/>
                  <w:noWrap/>
                  <w:vAlign w:val="bottom"/>
                  <w:hideMark/>
                </w:tcPr>
                <w:p w14:paraId="4FD8DBCC"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83</w:t>
                  </w:r>
                </w:p>
              </w:tc>
              <w:tc>
                <w:tcPr>
                  <w:tcW w:w="720" w:type="dxa"/>
                  <w:tcBorders>
                    <w:top w:val="single" w:sz="4" w:space="0" w:color="ADD6EA"/>
                    <w:left w:val="nil"/>
                    <w:bottom w:val="nil"/>
                    <w:right w:val="nil"/>
                  </w:tcBorders>
                  <w:shd w:val="clear" w:color="auto" w:fill="auto"/>
                  <w:noWrap/>
                  <w:vAlign w:val="bottom"/>
                  <w:hideMark/>
                </w:tcPr>
                <w:p w14:paraId="4D74FE65"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12</w:t>
                  </w:r>
                </w:p>
              </w:tc>
              <w:tc>
                <w:tcPr>
                  <w:tcW w:w="580" w:type="dxa"/>
                  <w:tcBorders>
                    <w:top w:val="single" w:sz="4" w:space="0" w:color="ADD6EA"/>
                    <w:left w:val="nil"/>
                    <w:bottom w:val="nil"/>
                    <w:right w:val="nil"/>
                  </w:tcBorders>
                  <w:shd w:val="clear" w:color="auto" w:fill="auto"/>
                  <w:noWrap/>
                  <w:vAlign w:val="bottom"/>
                  <w:hideMark/>
                </w:tcPr>
                <w:p w14:paraId="1C504801"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3</w:t>
                  </w:r>
                </w:p>
              </w:tc>
              <w:tc>
                <w:tcPr>
                  <w:tcW w:w="520" w:type="dxa"/>
                  <w:tcBorders>
                    <w:top w:val="single" w:sz="4" w:space="0" w:color="ADD6EA"/>
                    <w:left w:val="nil"/>
                    <w:bottom w:val="nil"/>
                    <w:right w:val="nil"/>
                  </w:tcBorders>
                  <w:shd w:val="clear" w:color="auto" w:fill="auto"/>
                  <w:noWrap/>
                  <w:vAlign w:val="bottom"/>
                  <w:hideMark/>
                </w:tcPr>
                <w:p w14:paraId="4EE703A3"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2</w:t>
                  </w:r>
                </w:p>
              </w:tc>
              <w:tc>
                <w:tcPr>
                  <w:tcW w:w="560" w:type="dxa"/>
                  <w:tcBorders>
                    <w:top w:val="single" w:sz="4" w:space="0" w:color="ADD6EA"/>
                    <w:left w:val="nil"/>
                    <w:bottom w:val="nil"/>
                    <w:right w:val="nil"/>
                  </w:tcBorders>
                  <w:shd w:val="clear" w:color="auto" w:fill="auto"/>
                  <w:noWrap/>
                  <w:vAlign w:val="bottom"/>
                  <w:hideMark/>
                </w:tcPr>
                <w:p w14:paraId="0F8363AD"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w:t>
                  </w:r>
                </w:p>
              </w:tc>
              <w:tc>
                <w:tcPr>
                  <w:tcW w:w="520" w:type="dxa"/>
                  <w:tcBorders>
                    <w:top w:val="single" w:sz="4" w:space="0" w:color="ADD6EA"/>
                    <w:left w:val="nil"/>
                    <w:bottom w:val="nil"/>
                    <w:right w:val="nil"/>
                  </w:tcBorders>
                  <w:shd w:val="clear" w:color="auto" w:fill="auto"/>
                  <w:noWrap/>
                  <w:vAlign w:val="bottom"/>
                  <w:hideMark/>
                </w:tcPr>
                <w:p w14:paraId="3E93A70F"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6</w:t>
                  </w:r>
                </w:p>
              </w:tc>
              <w:tc>
                <w:tcPr>
                  <w:tcW w:w="740" w:type="dxa"/>
                  <w:tcBorders>
                    <w:top w:val="single" w:sz="4" w:space="0" w:color="ADD6EA"/>
                    <w:left w:val="nil"/>
                    <w:bottom w:val="nil"/>
                    <w:right w:val="nil"/>
                  </w:tcBorders>
                  <w:shd w:val="clear" w:color="auto" w:fill="auto"/>
                  <w:noWrap/>
                  <w:vAlign w:val="bottom"/>
                  <w:hideMark/>
                </w:tcPr>
                <w:p w14:paraId="417CC1AA"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106</w:t>
                  </w:r>
                </w:p>
              </w:tc>
            </w:tr>
            <w:tr w:rsidR="00AC657C" w:rsidRPr="00B72D67" w14:paraId="541AA642" w14:textId="77777777" w:rsidTr="00637CA5">
              <w:trPr>
                <w:trHeight w:val="315"/>
              </w:trPr>
              <w:tc>
                <w:tcPr>
                  <w:tcW w:w="3280" w:type="dxa"/>
                  <w:tcBorders>
                    <w:top w:val="single" w:sz="4" w:space="0" w:color="ADD6EA"/>
                    <w:left w:val="nil"/>
                    <w:bottom w:val="nil"/>
                    <w:right w:val="nil"/>
                  </w:tcBorders>
                  <w:shd w:val="clear" w:color="auto" w:fill="auto"/>
                  <w:vAlign w:val="bottom"/>
                  <w:hideMark/>
                </w:tcPr>
                <w:p w14:paraId="2F4AD2CE" w14:textId="77777777" w:rsidR="00AC657C" w:rsidRPr="00B72D67" w:rsidRDefault="00AC657C" w:rsidP="00AC657C">
                  <w:pPr>
                    <w:tabs>
                      <w:tab w:val="clear" w:pos="567"/>
                    </w:tabs>
                    <w:spacing w:before="0" w:line="240" w:lineRule="auto"/>
                    <w:rPr>
                      <w:rFonts w:eastAsia="Times New Roman" w:cs="Open Sans Light"/>
                      <w:color w:val="000000"/>
                      <w:sz w:val="16"/>
                      <w:szCs w:val="16"/>
                      <w:lang w:eastAsia="en-AU"/>
                    </w:rPr>
                  </w:pPr>
                  <w:r w:rsidRPr="00B72D67">
                    <w:rPr>
                      <w:rFonts w:eastAsia="Times New Roman" w:cs="Open Sans Light"/>
                      <w:color w:val="000000"/>
                      <w:sz w:val="16"/>
                      <w:szCs w:val="16"/>
                      <w:lang w:eastAsia="en-AU"/>
                    </w:rPr>
                    <w:t>Change in pool (b)</w:t>
                  </w:r>
                </w:p>
              </w:tc>
              <w:tc>
                <w:tcPr>
                  <w:tcW w:w="700" w:type="dxa"/>
                  <w:tcBorders>
                    <w:top w:val="single" w:sz="4" w:space="0" w:color="ADD6EA"/>
                    <w:left w:val="nil"/>
                    <w:bottom w:val="nil"/>
                    <w:right w:val="nil"/>
                  </w:tcBorders>
                  <w:shd w:val="clear" w:color="auto" w:fill="auto"/>
                  <w:noWrap/>
                  <w:vAlign w:val="bottom"/>
                  <w:hideMark/>
                </w:tcPr>
                <w:p w14:paraId="6485E9F2"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1,309</w:t>
                  </w:r>
                </w:p>
              </w:tc>
              <w:tc>
                <w:tcPr>
                  <w:tcW w:w="700" w:type="dxa"/>
                  <w:tcBorders>
                    <w:top w:val="single" w:sz="4" w:space="0" w:color="ADD6EA"/>
                    <w:left w:val="nil"/>
                    <w:bottom w:val="nil"/>
                    <w:right w:val="nil"/>
                  </w:tcBorders>
                  <w:shd w:val="clear" w:color="auto" w:fill="auto"/>
                  <w:noWrap/>
                  <w:vAlign w:val="bottom"/>
                  <w:hideMark/>
                </w:tcPr>
                <w:p w14:paraId="006CE334"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1,035</w:t>
                  </w:r>
                </w:p>
              </w:tc>
              <w:tc>
                <w:tcPr>
                  <w:tcW w:w="580" w:type="dxa"/>
                  <w:tcBorders>
                    <w:top w:val="single" w:sz="4" w:space="0" w:color="ADD6EA"/>
                    <w:left w:val="nil"/>
                    <w:bottom w:val="nil"/>
                    <w:right w:val="nil"/>
                  </w:tcBorders>
                  <w:shd w:val="clear" w:color="auto" w:fill="auto"/>
                  <w:noWrap/>
                  <w:vAlign w:val="bottom"/>
                  <w:hideMark/>
                </w:tcPr>
                <w:p w14:paraId="6C54DFC9"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941</w:t>
                  </w:r>
                </w:p>
              </w:tc>
              <w:tc>
                <w:tcPr>
                  <w:tcW w:w="720" w:type="dxa"/>
                  <w:tcBorders>
                    <w:top w:val="single" w:sz="4" w:space="0" w:color="ADD6EA"/>
                    <w:left w:val="nil"/>
                    <w:bottom w:val="nil"/>
                    <w:right w:val="nil"/>
                  </w:tcBorders>
                  <w:shd w:val="clear" w:color="auto" w:fill="auto"/>
                  <w:noWrap/>
                  <w:vAlign w:val="bottom"/>
                  <w:hideMark/>
                </w:tcPr>
                <w:p w14:paraId="0F1A0E12"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191</w:t>
                  </w:r>
                </w:p>
              </w:tc>
              <w:tc>
                <w:tcPr>
                  <w:tcW w:w="580" w:type="dxa"/>
                  <w:tcBorders>
                    <w:top w:val="single" w:sz="4" w:space="0" w:color="ADD6EA"/>
                    <w:left w:val="nil"/>
                    <w:bottom w:val="nil"/>
                    <w:right w:val="nil"/>
                  </w:tcBorders>
                  <w:shd w:val="clear" w:color="auto" w:fill="auto"/>
                  <w:noWrap/>
                  <w:vAlign w:val="bottom"/>
                  <w:hideMark/>
                </w:tcPr>
                <w:p w14:paraId="759A84B4"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404</w:t>
                  </w:r>
                </w:p>
              </w:tc>
              <w:tc>
                <w:tcPr>
                  <w:tcW w:w="520" w:type="dxa"/>
                  <w:tcBorders>
                    <w:top w:val="single" w:sz="4" w:space="0" w:color="ADD6EA"/>
                    <w:left w:val="nil"/>
                    <w:bottom w:val="nil"/>
                    <w:right w:val="nil"/>
                  </w:tcBorders>
                  <w:shd w:val="clear" w:color="auto" w:fill="auto"/>
                  <w:noWrap/>
                  <w:vAlign w:val="bottom"/>
                  <w:hideMark/>
                </w:tcPr>
                <w:p w14:paraId="43E1E820"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180</w:t>
                  </w:r>
                </w:p>
              </w:tc>
              <w:tc>
                <w:tcPr>
                  <w:tcW w:w="560" w:type="dxa"/>
                  <w:tcBorders>
                    <w:top w:val="single" w:sz="4" w:space="0" w:color="ADD6EA"/>
                    <w:left w:val="nil"/>
                    <w:bottom w:val="nil"/>
                    <w:right w:val="nil"/>
                  </w:tcBorders>
                  <w:shd w:val="clear" w:color="auto" w:fill="auto"/>
                  <w:noWrap/>
                  <w:vAlign w:val="bottom"/>
                  <w:hideMark/>
                </w:tcPr>
                <w:p w14:paraId="4C92DB7B"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85</w:t>
                  </w:r>
                </w:p>
              </w:tc>
              <w:tc>
                <w:tcPr>
                  <w:tcW w:w="520" w:type="dxa"/>
                  <w:tcBorders>
                    <w:top w:val="single" w:sz="4" w:space="0" w:color="ADD6EA"/>
                    <w:left w:val="nil"/>
                    <w:bottom w:val="nil"/>
                    <w:right w:val="nil"/>
                  </w:tcBorders>
                  <w:shd w:val="clear" w:color="auto" w:fill="auto"/>
                  <w:noWrap/>
                  <w:vAlign w:val="bottom"/>
                  <w:hideMark/>
                </w:tcPr>
                <w:p w14:paraId="38FADEF1"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sidRPr="00B72D67">
                    <w:rPr>
                      <w:rFonts w:eastAsia="Times New Roman" w:cs="Open Sans Light"/>
                      <w:color w:val="000000"/>
                      <w:sz w:val="16"/>
                      <w:szCs w:val="16"/>
                      <w:lang w:eastAsia="en-AU"/>
                    </w:rPr>
                    <w:t>201</w:t>
                  </w:r>
                </w:p>
              </w:tc>
              <w:tc>
                <w:tcPr>
                  <w:tcW w:w="740" w:type="dxa"/>
                  <w:tcBorders>
                    <w:top w:val="single" w:sz="4" w:space="0" w:color="ADD6EA"/>
                    <w:left w:val="nil"/>
                    <w:bottom w:val="nil"/>
                    <w:right w:val="nil"/>
                  </w:tcBorders>
                  <w:shd w:val="clear" w:color="auto" w:fill="auto"/>
                  <w:noWrap/>
                  <w:vAlign w:val="bottom"/>
                  <w:hideMark/>
                </w:tcPr>
                <w:p w14:paraId="0B47948D" w14:textId="77777777" w:rsidR="00AC657C" w:rsidRPr="00B72D67" w:rsidRDefault="00AC657C" w:rsidP="00AC657C">
                  <w:pPr>
                    <w:tabs>
                      <w:tab w:val="clear" w:pos="567"/>
                    </w:tabs>
                    <w:spacing w:before="0" w:line="240" w:lineRule="auto"/>
                    <w:jc w:val="right"/>
                    <w:rPr>
                      <w:rFonts w:eastAsia="Times New Roman" w:cs="Open Sans Light"/>
                      <w:color w:val="000000"/>
                      <w:sz w:val="16"/>
                      <w:szCs w:val="16"/>
                      <w:lang w:eastAsia="en-AU"/>
                    </w:rPr>
                  </w:pPr>
                  <w:r>
                    <w:rPr>
                      <w:rFonts w:eastAsia="Times New Roman" w:cs="Open Sans Light"/>
                      <w:color w:val="000000"/>
                      <w:sz w:val="16"/>
                      <w:szCs w:val="16"/>
                      <w:lang w:eastAsia="en-AU"/>
                    </w:rPr>
                    <w:t>4</w:t>
                  </w:r>
                  <w:r w:rsidRPr="00B72D67">
                    <w:rPr>
                      <w:rFonts w:eastAsia="Times New Roman" w:cs="Open Sans Light"/>
                      <w:color w:val="000000"/>
                      <w:sz w:val="16"/>
                      <w:szCs w:val="16"/>
                      <w:lang w:eastAsia="en-AU"/>
                    </w:rPr>
                    <w:t>,</w:t>
                  </w:r>
                  <w:r>
                    <w:rPr>
                      <w:rFonts w:eastAsia="Times New Roman" w:cs="Open Sans Light"/>
                      <w:color w:val="000000"/>
                      <w:sz w:val="16"/>
                      <w:szCs w:val="16"/>
                      <w:lang w:eastAsia="en-AU"/>
                    </w:rPr>
                    <w:t>346</w:t>
                  </w:r>
                </w:p>
              </w:tc>
            </w:tr>
            <w:tr w:rsidR="00AC657C" w:rsidRPr="00B72D67" w14:paraId="21870CDA" w14:textId="77777777" w:rsidTr="00637CA5">
              <w:trPr>
                <w:trHeight w:val="315"/>
              </w:trPr>
              <w:tc>
                <w:tcPr>
                  <w:tcW w:w="3280" w:type="dxa"/>
                  <w:tcBorders>
                    <w:top w:val="single" w:sz="4" w:space="0" w:color="ADD6EA"/>
                    <w:left w:val="nil"/>
                    <w:bottom w:val="single" w:sz="4" w:space="0" w:color="ADD6EA"/>
                    <w:right w:val="nil"/>
                  </w:tcBorders>
                  <w:shd w:val="clear" w:color="000000" w:fill="B6D5E4"/>
                  <w:vAlign w:val="bottom"/>
                  <w:hideMark/>
                </w:tcPr>
                <w:p w14:paraId="1D69254B" w14:textId="77777777" w:rsidR="00AC657C" w:rsidRPr="00B72D67" w:rsidRDefault="00AC657C" w:rsidP="00AC657C">
                  <w:pPr>
                    <w:tabs>
                      <w:tab w:val="clear" w:pos="567"/>
                    </w:tabs>
                    <w:spacing w:before="0" w:line="240" w:lineRule="auto"/>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Total change in GST</w:t>
                  </w:r>
                </w:p>
              </w:tc>
              <w:tc>
                <w:tcPr>
                  <w:tcW w:w="700" w:type="dxa"/>
                  <w:tcBorders>
                    <w:top w:val="single" w:sz="4" w:space="0" w:color="ADD6EA"/>
                    <w:left w:val="nil"/>
                    <w:bottom w:val="single" w:sz="4" w:space="0" w:color="ADD6EA"/>
                    <w:right w:val="nil"/>
                  </w:tcBorders>
                  <w:shd w:val="clear" w:color="000000" w:fill="B6D5E4"/>
                  <w:noWrap/>
                  <w:vAlign w:val="bottom"/>
                  <w:hideMark/>
                </w:tcPr>
                <w:p w14:paraId="65C876A0"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1,111</w:t>
                  </w:r>
                </w:p>
              </w:tc>
              <w:tc>
                <w:tcPr>
                  <w:tcW w:w="700" w:type="dxa"/>
                  <w:tcBorders>
                    <w:top w:val="single" w:sz="4" w:space="0" w:color="ADD6EA"/>
                    <w:left w:val="nil"/>
                    <w:bottom w:val="single" w:sz="4" w:space="0" w:color="ADD6EA"/>
                    <w:right w:val="nil"/>
                  </w:tcBorders>
                  <w:shd w:val="clear" w:color="000000" w:fill="B6D5E4"/>
                  <w:noWrap/>
                  <w:vAlign w:val="bottom"/>
                  <w:hideMark/>
                </w:tcPr>
                <w:p w14:paraId="567BC3CC"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-244</w:t>
                  </w:r>
                </w:p>
              </w:tc>
              <w:tc>
                <w:tcPr>
                  <w:tcW w:w="580" w:type="dxa"/>
                  <w:tcBorders>
                    <w:top w:val="single" w:sz="4" w:space="0" w:color="ADD6EA"/>
                    <w:left w:val="nil"/>
                    <w:bottom w:val="single" w:sz="4" w:space="0" w:color="ADD6EA"/>
                    <w:right w:val="nil"/>
                  </w:tcBorders>
                  <w:shd w:val="clear" w:color="000000" w:fill="B6D5E4"/>
                  <w:noWrap/>
                  <w:vAlign w:val="bottom"/>
                  <w:hideMark/>
                </w:tcPr>
                <w:p w14:paraId="6513439F"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645</w:t>
                  </w:r>
                </w:p>
              </w:tc>
              <w:tc>
                <w:tcPr>
                  <w:tcW w:w="720" w:type="dxa"/>
                  <w:tcBorders>
                    <w:top w:val="single" w:sz="4" w:space="0" w:color="ADD6EA"/>
                    <w:left w:val="nil"/>
                    <w:bottom w:val="single" w:sz="4" w:space="0" w:color="ADD6EA"/>
                    <w:right w:val="nil"/>
                  </w:tcBorders>
                  <w:shd w:val="clear" w:color="000000" w:fill="B6D5E4"/>
                  <w:noWrap/>
                  <w:vAlign w:val="bottom"/>
                  <w:hideMark/>
                </w:tcPr>
                <w:p w14:paraId="2F1614C9"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2,483</w:t>
                  </w:r>
                </w:p>
              </w:tc>
              <w:tc>
                <w:tcPr>
                  <w:tcW w:w="580" w:type="dxa"/>
                  <w:tcBorders>
                    <w:top w:val="single" w:sz="4" w:space="0" w:color="ADD6EA"/>
                    <w:left w:val="nil"/>
                    <w:bottom w:val="single" w:sz="4" w:space="0" w:color="ADD6EA"/>
                    <w:right w:val="nil"/>
                  </w:tcBorders>
                  <w:shd w:val="clear" w:color="000000" w:fill="B6D5E4"/>
                  <w:noWrap/>
                  <w:vAlign w:val="bottom"/>
                  <w:hideMark/>
                </w:tcPr>
                <w:p w14:paraId="7D283DAE"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80</w:t>
                  </w:r>
                </w:p>
              </w:tc>
              <w:tc>
                <w:tcPr>
                  <w:tcW w:w="520" w:type="dxa"/>
                  <w:tcBorders>
                    <w:top w:val="single" w:sz="4" w:space="0" w:color="ADD6EA"/>
                    <w:left w:val="nil"/>
                    <w:bottom w:val="single" w:sz="4" w:space="0" w:color="ADD6EA"/>
                    <w:right w:val="nil"/>
                  </w:tcBorders>
                  <w:shd w:val="clear" w:color="000000" w:fill="B6D5E4"/>
                  <w:noWrap/>
                  <w:vAlign w:val="bottom"/>
                  <w:hideMark/>
                </w:tcPr>
                <w:p w14:paraId="0BD3342D"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11</w:t>
                  </w:r>
                </w:p>
              </w:tc>
              <w:tc>
                <w:tcPr>
                  <w:tcW w:w="560" w:type="dxa"/>
                  <w:tcBorders>
                    <w:top w:val="single" w:sz="4" w:space="0" w:color="ADD6EA"/>
                    <w:left w:val="nil"/>
                    <w:bottom w:val="single" w:sz="4" w:space="0" w:color="ADD6EA"/>
                    <w:right w:val="nil"/>
                  </w:tcBorders>
                  <w:shd w:val="clear" w:color="000000" w:fill="B6D5E4"/>
                  <w:noWrap/>
                  <w:vAlign w:val="bottom"/>
                  <w:hideMark/>
                </w:tcPr>
                <w:p w14:paraId="40854E7B"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-5</w:t>
                  </w:r>
                </w:p>
              </w:tc>
              <w:tc>
                <w:tcPr>
                  <w:tcW w:w="520" w:type="dxa"/>
                  <w:tcBorders>
                    <w:top w:val="single" w:sz="4" w:space="0" w:color="ADD6EA"/>
                    <w:left w:val="nil"/>
                    <w:bottom w:val="single" w:sz="4" w:space="0" w:color="ADD6EA"/>
                    <w:right w:val="nil"/>
                  </w:tcBorders>
                  <w:shd w:val="clear" w:color="000000" w:fill="B6D5E4"/>
                  <w:noWrap/>
                  <w:vAlign w:val="bottom"/>
                  <w:hideMark/>
                </w:tcPr>
                <w:p w14:paraId="55209DFF"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265</w:t>
                  </w:r>
                </w:p>
              </w:tc>
              <w:tc>
                <w:tcPr>
                  <w:tcW w:w="740" w:type="dxa"/>
                  <w:tcBorders>
                    <w:top w:val="single" w:sz="4" w:space="0" w:color="ADD6EA"/>
                    <w:left w:val="nil"/>
                    <w:bottom w:val="single" w:sz="4" w:space="0" w:color="ADD6EA"/>
                    <w:right w:val="nil"/>
                  </w:tcBorders>
                  <w:shd w:val="clear" w:color="000000" w:fill="B6D5E4"/>
                  <w:noWrap/>
                  <w:vAlign w:val="bottom"/>
                  <w:hideMark/>
                </w:tcPr>
                <w:p w14:paraId="5F5A2D41" w14:textId="77777777" w:rsidR="00AC657C" w:rsidRPr="00B72D67" w:rsidRDefault="00AC657C" w:rsidP="00AC657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2D67">
                    <w:rPr>
                      <w:rFonts w:ascii="Open Sans Semibold" w:eastAsia="Times New Roman" w:hAnsi="Open Sans Semibold" w:cs="Open Sans Semibold"/>
                      <w:color w:val="000000"/>
                      <w:sz w:val="16"/>
                      <w:szCs w:val="16"/>
                      <w:lang w:eastAsia="en-AU"/>
                    </w:rPr>
                    <w:t>4,346</w:t>
                  </w:r>
                </w:p>
              </w:tc>
            </w:tr>
          </w:tbl>
          <w:p w14:paraId="5504D2CC" w14:textId="77777777" w:rsidR="00AC657C" w:rsidRPr="00727032" w:rsidRDefault="00AC657C" w:rsidP="00AC657C">
            <w:pPr>
              <w:pStyle w:val="CGCTablenote"/>
            </w:pPr>
            <w:r w:rsidRPr="00727032">
              <w:t>(a)</w:t>
            </w:r>
            <w:r>
              <w:tab/>
              <w:t>I</w:t>
            </w:r>
            <w:r w:rsidRPr="00727032">
              <w:t>ncludes other changes in state circumstances and revisions to data.</w:t>
            </w:r>
          </w:p>
          <w:p w14:paraId="19E2A420" w14:textId="3517C084" w:rsidR="00AF2FD0" w:rsidRPr="00C330CA" w:rsidRDefault="00AC657C" w:rsidP="0027015C">
            <w:pPr>
              <w:pStyle w:val="CGCTablenote"/>
              <w:spacing w:after="240"/>
              <w:rPr>
                <w:rFonts w:eastAsia="Times New Roman" w:cs="Times New Roman"/>
                <w:noProof/>
                <w:sz w:val="24"/>
                <w:szCs w:val="20"/>
                <w:lang w:eastAsia="en-AU"/>
              </w:rPr>
            </w:pPr>
            <w:r w:rsidRPr="00727032">
              <w:t>(b)</w:t>
            </w:r>
            <w:r>
              <w:tab/>
            </w:r>
            <w:r w:rsidRPr="00727032">
              <w:t>Total increase in GST and top</w:t>
            </w:r>
            <w:r>
              <w:noBreakHyphen/>
            </w:r>
            <w:r w:rsidRPr="00727032">
              <w:t>up payment pool.</w:t>
            </w:r>
          </w:p>
        </w:tc>
      </w:tr>
    </w:tbl>
    <w:p w14:paraId="695368CA" w14:textId="77777777" w:rsidR="00E47193" w:rsidRDefault="00E47193" w:rsidP="00141E0D">
      <w:pPr>
        <w:tabs>
          <w:tab w:val="clear" w:pos="567"/>
        </w:tabs>
        <w:spacing w:before="360" w:after="200" w:line="276" w:lineRule="auto"/>
        <w:outlineLvl w:val="0"/>
        <w:rPr>
          <w:rFonts w:ascii="Work Sans" w:eastAsiaTheme="majorEastAsia" w:hAnsi="Work Sans" w:cs="Open Sans"/>
          <w:b/>
          <w:bCs/>
          <w:color w:val="006991"/>
          <w:sz w:val="40"/>
          <w:szCs w:val="40"/>
        </w:rPr>
        <w:sectPr w:rsidR="00E47193" w:rsidSect="008E2BFE">
          <w:pgSz w:w="11900" w:h="16840"/>
          <w:pgMar w:top="1247" w:right="1418" w:bottom="1134" w:left="1418" w:header="709" w:footer="284" w:gutter="0"/>
          <w:pgNumType w:fmt="lowerRoman"/>
          <w:cols w:space="708"/>
          <w:docGrid w:linePitch="360"/>
        </w:sectPr>
      </w:pPr>
    </w:p>
    <w:p w14:paraId="3FF5C263" w14:textId="658AF86F" w:rsidR="00141E0D" w:rsidRPr="00141E0D" w:rsidRDefault="00141E0D" w:rsidP="00E47193">
      <w:pPr>
        <w:pStyle w:val="Heading1"/>
      </w:pPr>
      <w:bookmarkStart w:id="11" w:name="_Toc96074914"/>
      <w:r w:rsidRPr="00141E0D">
        <w:rPr>
          <w:noProof/>
        </w:rPr>
        <w:drawing>
          <wp:anchor distT="0" distB="0" distL="114300" distR="114300" simplePos="0" relativeHeight="251658248" behindDoc="1" locked="1" layoutInCell="1" allowOverlap="1" wp14:anchorId="4B697B63" wp14:editId="1F69A074">
            <wp:simplePos x="0" y="0"/>
            <wp:positionH relativeFrom="page">
              <wp:align>left</wp:align>
            </wp:positionH>
            <wp:positionV relativeFrom="page">
              <wp:align>bottom</wp:align>
            </wp:positionV>
            <wp:extent cx="7563485" cy="10691495"/>
            <wp:effectExtent l="0" t="0" r="0" b="0"/>
            <wp:wrapNone/>
            <wp:docPr id="18" name="Picture 1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141E0D">
        <w:t>Introduction</w:t>
      </w:r>
      <w:bookmarkEnd w:id="11"/>
    </w:p>
    <w:p w14:paraId="522F2A54" w14:textId="5B46B395" w:rsidR="00141E0D" w:rsidRPr="00141E0D" w:rsidRDefault="00141E0D" w:rsidP="00575EF9">
      <w:pPr>
        <w:tabs>
          <w:tab w:val="clear" w:pos="567"/>
        </w:tabs>
        <w:spacing w:before="240"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The Commission has been asked to advise how Goods and Services Tax (GST) revenue should be distributed among the states and territories (states) in 2022</w:t>
      </w:r>
      <w:r w:rsidR="00A94E83">
        <w:rPr>
          <w:rFonts w:ascii="Work Sans" w:eastAsia="Times New Roman" w:hAnsi="Work Sans" w:cs="Times New Roman"/>
          <w:sz w:val="24"/>
          <w:szCs w:val="20"/>
          <w:lang w:eastAsia="en-AU"/>
        </w:rPr>
        <w:t>–</w:t>
      </w:r>
      <w:r w:rsidRPr="00141E0D">
        <w:rPr>
          <w:rFonts w:ascii="Work Sans" w:eastAsia="Times New Roman" w:hAnsi="Work Sans" w:cs="Times New Roman"/>
          <w:sz w:val="24"/>
          <w:szCs w:val="20"/>
          <w:lang w:eastAsia="en-AU"/>
        </w:rPr>
        <w:t>23, in accordance with terms of reference provided by the Treasurer.</w:t>
      </w:r>
    </w:p>
    <w:p w14:paraId="7677B499" w14:textId="77777777" w:rsidR="00141E0D" w:rsidRPr="00141E0D" w:rsidRDefault="00141E0D" w:rsidP="00575EF9">
      <w:pPr>
        <w:tabs>
          <w:tab w:val="clear" w:pos="567"/>
        </w:tabs>
        <w:spacing w:before="240"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The distribution of GST revenue seeks to reduce disparities in the fiscal capacities of states. It takes account of states’ different abilities to raise revenue and their different costs in providing services.</w:t>
      </w:r>
    </w:p>
    <w:p w14:paraId="69585AD9" w14:textId="77777777" w:rsidR="00141E0D" w:rsidRPr="00141E0D" w:rsidRDefault="00141E0D" w:rsidP="00575EF9">
      <w:pPr>
        <w:tabs>
          <w:tab w:val="clear" w:pos="567"/>
        </w:tabs>
        <w:spacing w:before="240"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 xml:space="preserve">Drivers of differences in revenue capacity include the value of mining production, land values and the value of property transactions, and taxable payrolls. States also receive different levels of Commonwealth payments. Costs can vary by state for a range of reasons, including socio-demographic characteristics, wage pressures, population dispersion or density, and rates of population growth. </w:t>
      </w:r>
    </w:p>
    <w:p w14:paraId="7DA22E0A" w14:textId="6E5DB30F" w:rsidR="00141E0D" w:rsidRPr="00141E0D" w:rsidRDefault="00141E0D" w:rsidP="00575EF9">
      <w:pPr>
        <w:tabs>
          <w:tab w:val="clear" w:pos="567"/>
        </w:tabs>
        <w:spacing w:before="240"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 xml:space="preserve">Changes in states’ relative GST </w:t>
      </w:r>
      <w:r w:rsidR="000B6654">
        <w:rPr>
          <w:rFonts w:ascii="Work Sans" w:eastAsia="Times New Roman" w:hAnsi="Work Sans" w:cs="Times New Roman"/>
          <w:sz w:val="24"/>
          <w:szCs w:val="20"/>
          <w:lang w:eastAsia="en-AU"/>
        </w:rPr>
        <w:t>needs</w:t>
      </w:r>
      <w:r w:rsidRPr="00141E0D">
        <w:rPr>
          <w:rFonts w:ascii="Work Sans" w:eastAsia="Times New Roman" w:hAnsi="Work Sans" w:cs="Times New Roman"/>
          <w:sz w:val="24"/>
          <w:szCs w:val="20"/>
          <w:lang w:eastAsia="en-AU"/>
        </w:rPr>
        <w:t xml:space="preserve"> can be driven by changes in their circumstances (such as increased </w:t>
      </w:r>
      <w:r w:rsidR="004500EF" w:rsidRPr="00616613">
        <w:rPr>
          <w:rFonts w:ascii="Work Sans" w:eastAsia="Times New Roman" w:hAnsi="Work Sans" w:cs="Times New Roman"/>
          <w:sz w:val="24"/>
          <w:szCs w:val="20"/>
          <w:lang w:eastAsia="en-AU"/>
        </w:rPr>
        <w:t xml:space="preserve">value </w:t>
      </w:r>
      <w:r w:rsidR="00C51FFC" w:rsidRPr="00616613">
        <w:rPr>
          <w:rFonts w:ascii="Work Sans" w:eastAsia="Times New Roman" w:hAnsi="Work Sans" w:cs="Times New Roman"/>
          <w:sz w:val="24"/>
          <w:szCs w:val="20"/>
          <w:lang w:eastAsia="en-AU"/>
        </w:rPr>
        <w:t>of</w:t>
      </w:r>
      <w:r w:rsidR="004500EF">
        <w:rPr>
          <w:rFonts w:ascii="Work Sans" w:eastAsia="Times New Roman" w:hAnsi="Work Sans" w:cs="Times New Roman"/>
          <w:sz w:val="24"/>
          <w:szCs w:val="20"/>
          <w:lang w:eastAsia="en-AU"/>
        </w:rPr>
        <w:t xml:space="preserve"> </w:t>
      </w:r>
      <w:r w:rsidRPr="00141E0D">
        <w:rPr>
          <w:rFonts w:ascii="Work Sans" w:eastAsia="Times New Roman" w:hAnsi="Work Sans" w:cs="Times New Roman"/>
          <w:sz w:val="24"/>
          <w:szCs w:val="20"/>
          <w:lang w:eastAsia="en-AU"/>
        </w:rPr>
        <w:t xml:space="preserve">iron ore </w:t>
      </w:r>
      <w:r w:rsidRPr="004500EF">
        <w:rPr>
          <w:rFonts w:ascii="Work Sans" w:eastAsia="Times New Roman" w:hAnsi="Work Sans" w:cs="Times New Roman"/>
          <w:sz w:val="24"/>
          <w:szCs w:val="20"/>
          <w:lang w:eastAsia="en-AU"/>
        </w:rPr>
        <w:t>production</w:t>
      </w:r>
      <w:r w:rsidRPr="00141E0D">
        <w:rPr>
          <w:rFonts w:ascii="Work Sans" w:eastAsia="Times New Roman" w:hAnsi="Work Sans" w:cs="Times New Roman"/>
          <w:sz w:val="24"/>
          <w:szCs w:val="20"/>
          <w:lang w:eastAsia="en-AU"/>
        </w:rPr>
        <w:t>, increased value of property transfers, and growth in a state’s share of Commonwealth payments)</w:t>
      </w:r>
      <w:r w:rsidR="00B509FB">
        <w:rPr>
          <w:rFonts w:ascii="Work Sans" w:eastAsia="Times New Roman" w:hAnsi="Work Sans" w:cs="Times New Roman"/>
          <w:sz w:val="24"/>
          <w:szCs w:val="20"/>
          <w:lang w:eastAsia="en-AU"/>
        </w:rPr>
        <w:t>,</w:t>
      </w:r>
      <w:r w:rsidRPr="00141E0D">
        <w:rPr>
          <w:rFonts w:ascii="Work Sans" w:eastAsia="Times New Roman" w:hAnsi="Work Sans" w:cs="Times New Roman"/>
          <w:sz w:val="24"/>
          <w:szCs w:val="20"/>
          <w:lang w:eastAsia="en-AU"/>
        </w:rPr>
        <w:t xml:space="preserve"> or data revisions (such as </w:t>
      </w:r>
      <w:r w:rsidR="004C2293">
        <w:rPr>
          <w:rFonts w:ascii="Work Sans" w:eastAsia="Times New Roman" w:hAnsi="Work Sans" w:cs="Times New Roman"/>
          <w:sz w:val="24"/>
          <w:szCs w:val="20"/>
          <w:lang w:eastAsia="en-AU"/>
        </w:rPr>
        <w:t xml:space="preserve">updated </w:t>
      </w:r>
      <w:r w:rsidRPr="00141E0D">
        <w:rPr>
          <w:rFonts w:ascii="Work Sans" w:eastAsia="Times New Roman" w:hAnsi="Work Sans" w:cs="Times New Roman"/>
          <w:sz w:val="24"/>
          <w:szCs w:val="20"/>
          <w:lang w:eastAsia="en-AU"/>
        </w:rPr>
        <w:t>data on the value of taxable payrolls).</w:t>
      </w:r>
    </w:p>
    <w:p w14:paraId="51CD3576" w14:textId="05A31DB0" w:rsidR="00141E0D" w:rsidRPr="00141E0D" w:rsidRDefault="00141E0D" w:rsidP="00575EF9">
      <w:pPr>
        <w:tabs>
          <w:tab w:val="clear" w:pos="567"/>
        </w:tabs>
        <w:spacing w:before="240"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Under the 2018</w:t>
      </w:r>
      <w:r w:rsidR="004A7C47">
        <w:rPr>
          <w:rFonts w:ascii="Work Sans" w:eastAsia="Times New Roman" w:hAnsi="Work Sans" w:cs="Times New Roman"/>
          <w:sz w:val="24"/>
          <w:szCs w:val="20"/>
          <w:lang w:eastAsia="en-AU"/>
        </w:rPr>
        <w:t> </w:t>
      </w:r>
      <w:r w:rsidRPr="00141E0D">
        <w:rPr>
          <w:rFonts w:ascii="Work Sans" w:eastAsia="Times New Roman" w:hAnsi="Work Sans" w:cs="Times New Roman"/>
          <w:sz w:val="24"/>
          <w:szCs w:val="20"/>
          <w:lang w:eastAsia="en-AU"/>
        </w:rPr>
        <w:t>legislated changes to GST distribution arrangements, 2022</w:t>
      </w:r>
      <w:r w:rsidR="004C717E">
        <w:rPr>
          <w:rFonts w:ascii="Work Sans" w:eastAsia="Times New Roman" w:hAnsi="Work Sans" w:cs="Times New Roman"/>
          <w:sz w:val="24"/>
          <w:szCs w:val="20"/>
          <w:lang w:eastAsia="en-AU"/>
        </w:rPr>
        <w:noBreakHyphen/>
      </w:r>
      <w:r w:rsidRPr="00141E0D">
        <w:rPr>
          <w:rFonts w:ascii="Work Sans" w:eastAsia="Times New Roman" w:hAnsi="Work Sans" w:cs="Times New Roman"/>
          <w:sz w:val="24"/>
          <w:szCs w:val="20"/>
          <w:lang w:eastAsia="en-AU"/>
        </w:rPr>
        <w:t xml:space="preserve">23 is the second year in a </w:t>
      </w:r>
      <w:r w:rsidR="002E4E1B">
        <w:rPr>
          <w:rFonts w:ascii="Work Sans" w:eastAsia="Times New Roman" w:hAnsi="Work Sans" w:cs="Times New Roman"/>
          <w:sz w:val="24"/>
          <w:szCs w:val="20"/>
          <w:lang w:eastAsia="en-AU"/>
        </w:rPr>
        <w:t>6</w:t>
      </w:r>
      <w:r w:rsidRPr="00141E0D">
        <w:rPr>
          <w:rFonts w:ascii="Work Sans" w:eastAsia="Times New Roman" w:hAnsi="Work Sans" w:cs="Times New Roman"/>
          <w:sz w:val="24"/>
          <w:szCs w:val="20"/>
          <w:lang w:eastAsia="en-AU"/>
        </w:rPr>
        <w:t xml:space="preserve">-year transition away from distributing the GST pool based solely on the Commission’s assessment of states’ relative fiscal capacities. </w:t>
      </w:r>
      <w:r w:rsidR="000F61AE">
        <w:rPr>
          <w:rFonts w:ascii="Work Sans" w:eastAsia="Times New Roman" w:hAnsi="Work Sans" w:cs="Times New Roman"/>
          <w:sz w:val="24"/>
          <w:szCs w:val="20"/>
          <w:lang w:eastAsia="en-AU"/>
        </w:rPr>
        <w:t>At the end of</w:t>
      </w:r>
      <w:r w:rsidRPr="00141E0D">
        <w:rPr>
          <w:rFonts w:ascii="Work Sans" w:eastAsia="Times New Roman" w:hAnsi="Work Sans" w:cs="Times New Roman"/>
          <w:sz w:val="24"/>
          <w:szCs w:val="20"/>
          <w:lang w:eastAsia="en-AU"/>
        </w:rPr>
        <w:t xml:space="preserve"> these </w:t>
      </w:r>
      <w:r w:rsidR="00947DFD">
        <w:rPr>
          <w:rFonts w:ascii="Work Sans" w:eastAsia="Times New Roman" w:hAnsi="Work Sans" w:cs="Times New Roman"/>
          <w:sz w:val="24"/>
          <w:szCs w:val="20"/>
          <w:lang w:eastAsia="en-AU"/>
        </w:rPr>
        <w:t>six</w:t>
      </w:r>
      <w:r w:rsidR="005467F0">
        <w:rPr>
          <w:rFonts w:ascii="Work Sans" w:eastAsia="Times New Roman" w:hAnsi="Work Sans" w:cs="Times New Roman"/>
          <w:sz w:val="24"/>
          <w:szCs w:val="20"/>
          <w:lang w:eastAsia="en-AU"/>
        </w:rPr>
        <w:t> </w:t>
      </w:r>
      <w:r w:rsidRPr="00141E0D">
        <w:rPr>
          <w:rFonts w:ascii="Work Sans" w:eastAsia="Times New Roman" w:hAnsi="Work Sans" w:cs="Times New Roman"/>
          <w:sz w:val="24"/>
          <w:szCs w:val="20"/>
          <w:lang w:eastAsia="en-AU"/>
        </w:rPr>
        <w:t xml:space="preserve">years, </w:t>
      </w:r>
      <w:r w:rsidRPr="004D4A52">
        <w:rPr>
          <w:rFonts w:ascii="Work Sans" w:eastAsia="Times New Roman" w:hAnsi="Work Sans" w:cs="Times New Roman"/>
          <w:sz w:val="24"/>
          <w:szCs w:val="20"/>
          <w:lang w:eastAsia="en-AU"/>
        </w:rPr>
        <w:t>the Commission’s assessment will be adjusted so that</w:t>
      </w:r>
      <w:r w:rsidRPr="00141E0D">
        <w:rPr>
          <w:rFonts w:ascii="Work Sans" w:eastAsia="Times New Roman" w:hAnsi="Work Sans" w:cs="Times New Roman"/>
          <w:sz w:val="24"/>
          <w:szCs w:val="20"/>
          <w:lang w:eastAsia="en-AU"/>
        </w:rPr>
        <w:t xml:space="preserve"> no state will have a per capita GST share lower than the fiscally stronger of New South Wales or Victoria (the</w:t>
      </w:r>
      <w:r w:rsidR="00AA44EE">
        <w:rPr>
          <w:rFonts w:ascii="Work Sans" w:eastAsia="Times New Roman" w:hAnsi="Work Sans" w:cs="Times New Roman"/>
          <w:sz w:val="24"/>
          <w:szCs w:val="20"/>
          <w:lang w:eastAsia="en-AU"/>
        </w:rPr>
        <w:t> </w:t>
      </w:r>
      <w:r w:rsidRPr="00141E0D">
        <w:rPr>
          <w:rFonts w:ascii="Work Sans" w:eastAsia="Times New Roman" w:hAnsi="Work Sans" w:cs="Times New Roman"/>
          <w:sz w:val="24"/>
          <w:szCs w:val="20"/>
          <w:lang w:eastAsia="en-AU"/>
        </w:rPr>
        <w:t>standard state). In the 2022 Update, Victoria is the standard state. For</w:t>
      </w:r>
      <w:r w:rsidR="0034144D">
        <w:rPr>
          <w:rFonts w:ascii="Work Sans" w:eastAsia="Times New Roman" w:hAnsi="Work Sans" w:cs="Times New Roman"/>
          <w:sz w:val="24"/>
          <w:szCs w:val="20"/>
          <w:lang w:eastAsia="en-AU"/>
        </w:rPr>
        <w:t> </w:t>
      </w:r>
      <w:r w:rsidRPr="00141E0D">
        <w:rPr>
          <w:rFonts w:ascii="Work Sans" w:eastAsia="Times New Roman" w:hAnsi="Work Sans" w:cs="Times New Roman"/>
          <w:sz w:val="24"/>
          <w:szCs w:val="20"/>
          <w:lang w:eastAsia="en-AU"/>
        </w:rPr>
        <w:t>2022</w:t>
      </w:r>
      <w:bookmarkStart w:id="12" w:name="_Hlk97622976"/>
      <w:r w:rsidR="005903F9">
        <w:rPr>
          <w:rFonts w:ascii="Work Sans" w:eastAsia="Times New Roman" w:hAnsi="Work Sans" w:cs="Times New Roman"/>
          <w:sz w:val="24"/>
          <w:szCs w:val="20"/>
          <w:lang w:eastAsia="en-AU"/>
        </w:rPr>
        <w:t>–</w:t>
      </w:r>
      <w:bookmarkEnd w:id="12"/>
      <w:r w:rsidRPr="00141E0D">
        <w:rPr>
          <w:rFonts w:ascii="Work Sans" w:eastAsia="Times New Roman" w:hAnsi="Work Sans" w:cs="Times New Roman"/>
          <w:sz w:val="24"/>
          <w:szCs w:val="20"/>
          <w:lang w:eastAsia="en-AU"/>
        </w:rPr>
        <w:t>23, the GST relativities are a wei</w:t>
      </w:r>
      <w:r w:rsidRPr="00141E0D">
        <w:rPr>
          <w:rFonts w:ascii="Work Sans" w:eastAsia="Times New Roman" w:hAnsi="Work Sans" w:cs="Times New Roman"/>
          <w:noProof/>
          <w:sz w:val="24"/>
          <w:szCs w:val="20"/>
          <w:lang w:eastAsia="en-AU"/>
        </w:rPr>
        <w:drawing>
          <wp:anchor distT="0" distB="0" distL="114300" distR="114300" simplePos="0" relativeHeight="251658249" behindDoc="1" locked="1" layoutInCell="1" allowOverlap="1" wp14:anchorId="6AA3F8B4" wp14:editId="1B484EAF">
            <wp:simplePos x="0" y="0"/>
            <wp:positionH relativeFrom="page">
              <wp:posOffset>0</wp:posOffset>
            </wp:positionH>
            <wp:positionV relativeFrom="page">
              <wp:posOffset>8255</wp:posOffset>
            </wp:positionV>
            <wp:extent cx="7563485" cy="10691495"/>
            <wp:effectExtent l="0" t="0" r="0" b="0"/>
            <wp:wrapNone/>
            <wp:docPr id="23" name="Picture 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141E0D">
        <w:rPr>
          <w:rFonts w:ascii="Work Sans" w:eastAsia="Times New Roman" w:hAnsi="Work Sans" w:cs="Times New Roman"/>
          <w:sz w:val="24"/>
          <w:szCs w:val="20"/>
          <w:lang w:eastAsia="en-AU"/>
        </w:rPr>
        <w:t>ghted average of the previous approach (two</w:t>
      </w:r>
      <w:r w:rsidRPr="00141E0D">
        <w:rPr>
          <w:rFonts w:ascii="Work Sans" w:eastAsia="Times New Roman" w:hAnsi="Work Sans" w:cs="Times New Roman"/>
          <w:sz w:val="24"/>
          <w:szCs w:val="20"/>
          <w:lang w:eastAsia="en-AU"/>
        </w:rPr>
        <w:noBreakHyphen/>
        <w:t>thirds) and the new approach (one</w:t>
      </w:r>
      <w:r w:rsidRPr="00141E0D">
        <w:rPr>
          <w:rFonts w:ascii="Work Sans" w:eastAsia="Times New Roman" w:hAnsi="Work Sans" w:cs="Times New Roman"/>
          <w:sz w:val="24"/>
          <w:szCs w:val="20"/>
          <w:lang w:eastAsia="en-AU"/>
        </w:rPr>
        <w:noBreakHyphen/>
        <w:t>third). The transition will be completed in 2026</w:t>
      </w:r>
      <w:r w:rsidR="005903F9">
        <w:rPr>
          <w:rFonts w:ascii="Work Sans" w:eastAsia="Times New Roman" w:hAnsi="Work Sans" w:cs="Times New Roman"/>
          <w:sz w:val="24"/>
          <w:szCs w:val="20"/>
          <w:lang w:eastAsia="en-AU"/>
        </w:rPr>
        <w:t>–</w:t>
      </w:r>
      <w:r w:rsidRPr="00141E0D">
        <w:rPr>
          <w:rFonts w:ascii="Work Sans" w:eastAsia="Times New Roman" w:hAnsi="Work Sans" w:cs="Times New Roman"/>
          <w:sz w:val="24"/>
          <w:szCs w:val="20"/>
          <w:lang w:eastAsia="en-AU"/>
        </w:rPr>
        <w:t xml:space="preserve">27. </w:t>
      </w:r>
    </w:p>
    <w:p w14:paraId="4888C536" w14:textId="6133E9A7" w:rsidR="00141E0D" w:rsidRPr="00141E0D" w:rsidRDefault="00141E0D" w:rsidP="00575EF9">
      <w:pPr>
        <w:tabs>
          <w:tab w:val="clear" w:pos="567"/>
        </w:tabs>
        <w:spacing w:before="240" w:line="300" w:lineRule="atLeast"/>
        <w:rPr>
          <w:rFonts w:ascii="Work Sans" w:eastAsia="Times New Roman" w:hAnsi="Work Sans" w:cs="Times New Roman"/>
          <w:sz w:val="24"/>
          <w:szCs w:val="20"/>
          <w:lang w:eastAsia="en-AU"/>
        </w:rPr>
      </w:pPr>
      <w:r w:rsidRPr="00141E0D">
        <w:rPr>
          <w:rFonts w:ascii="Work Sans" w:eastAsia="Times New Roman" w:hAnsi="Work Sans" w:cs="Times New Roman"/>
          <w:sz w:val="24"/>
          <w:szCs w:val="20"/>
          <w:lang w:eastAsia="en-AU"/>
        </w:rPr>
        <w:t>The 2018</w:t>
      </w:r>
      <w:r w:rsidR="004A7C47">
        <w:rPr>
          <w:rFonts w:ascii="Work Sans" w:eastAsia="Times New Roman" w:hAnsi="Work Sans" w:cs="Times New Roman"/>
          <w:sz w:val="24"/>
          <w:szCs w:val="20"/>
          <w:lang w:eastAsia="en-AU"/>
        </w:rPr>
        <w:t> </w:t>
      </w:r>
      <w:r w:rsidRPr="00141E0D">
        <w:rPr>
          <w:rFonts w:ascii="Work Sans" w:eastAsia="Times New Roman" w:hAnsi="Work Sans" w:cs="Times New Roman"/>
          <w:sz w:val="24"/>
          <w:szCs w:val="20"/>
          <w:lang w:eastAsia="en-AU"/>
        </w:rPr>
        <w:t xml:space="preserve">legislated arrangements also </w:t>
      </w:r>
      <w:r w:rsidR="00CD7A28">
        <w:rPr>
          <w:rFonts w:ascii="Work Sans" w:eastAsia="Times New Roman" w:hAnsi="Work Sans" w:cs="Times New Roman"/>
          <w:sz w:val="24"/>
          <w:szCs w:val="20"/>
          <w:lang w:eastAsia="en-AU"/>
        </w:rPr>
        <w:t>formalised</w:t>
      </w:r>
      <w:r w:rsidR="00CD7A28" w:rsidRPr="00141E0D">
        <w:rPr>
          <w:rFonts w:ascii="Work Sans" w:eastAsia="Times New Roman" w:hAnsi="Work Sans" w:cs="Times New Roman"/>
          <w:sz w:val="24"/>
          <w:szCs w:val="20"/>
          <w:lang w:eastAsia="en-AU"/>
        </w:rPr>
        <w:t xml:space="preserve"> </w:t>
      </w:r>
      <w:r w:rsidRPr="00141E0D">
        <w:rPr>
          <w:rFonts w:ascii="Work Sans" w:eastAsia="Times New Roman" w:hAnsi="Work Sans" w:cs="Times New Roman"/>
          <w:sz w:val="24"/>
          <w:szCs w:val="20"/>
          <w:lang w:eastAsia="en-AU"/>
        </w:rPr>
        <w:t xml:space="preserve">a </w:t>
      </w:r>
      <w:r w:rsidR="00952A0B">
        <w:rPr>
          <w:rFonts w:ascii="Work Sans" w:eastAsia="Times New Roman" w:hAnsi="Work Sans" w:cs="Times New Roman"/>
          <w:sz w:val="24"/>
          <w:szCs w:val="20"/>
          <w:lang w:eastAsia="en-AU"/>
        </w:rPr>
        <w:t xml:space="preserve">GST relativity </w:t>
      </w:r>
      <w:r w:rsidRPr="00141E0D">
        <w:rPr>
          <w:rFonts w:ascii="Work Sans" w:eastAsia="Times New Roman" w:hAnsi="Work Sans" w:cs="Times New Roman"/>
          <w:sz w:val="24"/>
          <w:szCs w:val="20"/>
          <w:lang w:eastAsia="en-AU"/>
        </w:rPr>
        <w:t>floor of 0.70, rising to 0.75 in 2024</w:t>
      </w:r>
      <w:r w:rsidR="005903F9">
        <w:rPr>
          <w:rFonts w:ascii="Work Sans" w:eastAsia="Times New Roman" w:hAnsi="Work Sans" w:cs="Times New Roman"/>
          <w:sz w:val="24"/>
          <w:szCs w:val="20"/>
          <w:lang w:eastAsia="en-AU"/>
        </w:rPr>
        <w:t>–</w:t>
      </w:r>
      <w:r w:rsidRPr="00141E0D">
        <w:rPr>
          <w:rFonts w:ascii="Work Sans" w:eastAsia="Times New Roman" w:hAnsi="Work Sans" w:cs="Times New Roman"/>
          <w:sz w:val="24"/>
          <w:szCs w:val="20"/>
          <w:lang w:eastAsia="en-AU"/>
        </w:rPr>
        <w:t>25. For the first time, in 2022</w:t>
      </w:r>
      <w:r w:rsidR="005903F9">
        <w:rPr>
          <w:rFonts w:ascii="Work Sans" w:eastAsia="Times New Roman" w:hAnsi="Work Sans" w:cs="Times New Roman"/>
          <w:sz w:val="24"/>
          <w:szCs w:val="20"/>
          <w:lang w:eastAsia="en-AU"/>
        </w:rPr>
        <w:t>–</w:t>
      </w:r>
      <w:r w:rsidRPr="00141E0D">
        <w:rPr>
          <w:rFonts w:ascii="Work Sans" w:eastAsia="Times New Roman" w:hAnsi="Work Sans" w:cs="Times New Roman"/>
          <w:sz w:val="24"/>
          <w:szCs w:val="20"/>
          <w:lang w:eastAsia="en-AU"/>
        </w:rPr>
        <w:t xml:space="preserve">23 this floor </w:t>
      </w:r>
      <w:r w:rsidR="008C2D33">
        <w:rPr>
          <w:rFonts w:ascii="Work Sans" w:eastAsia="Times New Roman" w:hAnsi="Work Sans" w:cs="Times New Roman"/>
          <w:sz w:val="24"/>
          <w:szCs w:val="20"/>
          <w:lang w:eastAsia="en-AU"/>
        </w:rPr>
        <w:t xml:space="preserve">is </w:t>
      </w:r>
      <w:r w:rsidRPr="00141E0D">
        <w:rPr>
          <w:rFonts w:ascii="Work Sans" w:eastAsia="Times New Roman" w:hAnsi="Work Sans" w:cs="Times New Roman"/>
          <w:sz w:val="24"/>
          <w:szCs w:val="20"/>
          <w:lang w:eastAsia="en-AU"/>
        </w:rPr>
        <w:t>drawn from the GST pool. However, the impact on the payments distributed to the states in 2022</w:t>
      </w:r>
      <w:r w:rsidR="005903F9">
        <w:rPr>
          <w:rFonts w:ascii="Work Sans" w:eastAsia="Times New Roman" w:hAnsi="Work Sans" w:cs="Times New Roman"/>
          <w:sz w:val="24"/>
          <w:szCs w:val="20"/>
          <w:lang w:eastAsia="en-AU"/>
        </w:rPr>
        <w:t>–</w:t>
      </w:r>
      <w:r w:rsidRPr="00141E0D">
        <w:rPr>
          <w:rFonts w:ascii="Work Sans" w:eastAsia="Times New Roman" w:hAnsi="Work Sans" w:cs="Times New Roman"/>
          <w:sz w:val="24"/>
          <w:szCs w:val="20"/>
          <w:lang w:eastAsia="en-AU"/>
        </w:rPr>
        <w:t xml:space="preserve">23 will be ameliorated by the annual top-up to the GST </w:t>
      </w:r>
      <w:r w:rsidR="00F4529C">
        <w:rPr>
          <w:rFonts w:ascii="Work Sans" w:eastAsia="Times New Roman" w:hAnsi="Work Sans" w:cs="Times New Roman"/>
          <w:sz w:val="24"/>
          <w:szCs w:val="20"/>
          <w:lang w:eastAsia="en-AU"/>
        </w:rPr>
        <w:t xml:space="preserve">pool </w:t>
      </w:r>
      <w:r w:rsidRPr="00141E0D">
        <w:rPr>
          <w:rFonts w:ascii="Work Sans" w:eastAsia="Times New Roman" w:hAnsi="Work Sans" w:cs="Times New Roman"/>
          <w:sz w:val="24"/>
          <w:szCs w:val="20"/>
          <w:lang w:eastAsia="en-AU"/>
        </w:rPr>
        <w:t>by the Commonwealth and the no worse off guarantee.</w:t>
      </w:r>
    </w:p>
    <w:p w14:paraId="42027E2F" w14:textId="1F078193" w:rsidR="00141E0D" w:rsidRPr="00141E0D" w:rsidRDefault="00C52F47" w:rsidP="00575EF9">
      <w:pPr>
        <w:tabs>
          <w:tab w:val="clear" w:pos="567"/>
        </w:tabs>
        <w:spacing w:before="240" w:line="300" w:lineRule="atLeast"/>
        <w:rPr>
          <w:rFonts w:ascii="Work Sans" w:eastAsia="Times New Roman" w:hAnsi="Work Sans" w:cs="Times New Roman"/>
          <w:sz w:val="24"/>
          <w:szCs w:val="20"/>
          <w:lang w:eastAsia="en-AU"/>
        </w:rPr>
      </w:pPr>
      <w:r>
        <w:rPr>
          <w:rFonts w:ascii="Work Sans" w:hAnsi="Work Sans"/>
          <w:sz w:val="24"/>
          <w:szCs w:val="24"/>
        </w:rPr>
        <w:t xml:space="preserve">The transition to the legislated arrangements includes a guarantee </w:t>
      </w:r>
      <w:r w:rsidR="00B83359">
        <w:rPr>
          <w:rFonts w:ascii="Work Sans" w:hAnsi="Work Sans"/>
          <w:sz w:val="24"/>
          <w:szCs w:val="24"/>
        </w:rPr>
        <w:t xml:space="preserve">that </w:t>
      </w:r>
      <w:r>
        <w:rPr>
          <w:rFonts w:ascii="Work Sans" w:hAnsi="Work Sans"/>
          <w:sz w:val="24"/>
          <w:szCs w:val="24"/>
        </w:rPr>
        <w:t xml:space="preserve">no state will be worse off compared to the previous arrangements, </w:t>
      </w:r>
      <w:r w:rsidR="00773875">
        <w:rPr>
          <w:rFonts w:ascii="Work Sans" w:hAnsi="Work Sans"/>
          <w:sz w:val="24"/>
          <w:szCs w:val="24"/>
        </w:rPr>
        <w:t xml:space="preserve">which did not include </w:t>
      </w:r>
      <w:r>
        <w:rPr>
          <w:rFonts w:ascii="Work Sans" w:hAnsi="Work Sans"/>
          <w:sz w:val="24"/>
          <w:szCs w:val="24"/>
        </w:rPr>
        <w:t>GST pool top-up payments.</w:t>
      </w:r>
      <w:r w:rsidR="00773875">
        <w:rPr>
          <w:rFonts w:ascii="Work Sans" w:hAnsi="Work Sans"/>
          <w:sz w:val="24"/>
          <w:szCs w:val="24"/>
        </w:rPr>
        <w:t xml:space="preserve"> </w:t>
      </w:r>
      <w:r w:rsidR="00141E0D" w:rsidRPr="00141E0D">
        <w:rPr>
          <w:rFonts w:ascii="Work Sans" w:eastAsia="Times New Roman" w:hAnsi="Work Sans" w:cs="Times New Roman"/>
          <w:sz w:val="24"/>
          <w:szCs w:val="20"/>
          <w:lang w:eastAsia="en-AU"/>
        </w:rPr>
        <w:t xml:space="preserve">The guarantee, </w:t>
      </w:r>
      <w:r w:rsidR="00025E5A">
        <w:rPr>
          <w:rFonts w:ascii="Work Sans" w:eastAsia="Times New Roman" w:hAnsi="Work Sans" w:cs="Times New Roman"/>
          <w:sz w:val="24"/>
          <w:szCs w:val="20"/>
          <w:lang w:eastAsia="en-AU"/>
        </w:rPr>
        <w:t>legislated to apply from</w:t>
      </w:r>
      <w:r w:rsidR="00141E0D" w:rsidRPr="00141E0D">
        <w:rPr>
          <w:rFonts w:ascii="Work Sans" w:eastAsia="Times New Roman" w:hAnsi="Work Sans" w:cs="Times New Roman"/>
          <w:sz w:val="24"/>
          <w:szCs w:val="20"/>
          <w:lang w:eastAsia="en-AU"/>
        </w:rPr>
        <w:t xml:space="preserve"> 2021</w:t>
      </w:r>
      <w:r w:rsidR="005903F9">
        <w:rPr>
          <w:rFonts w:ascii="Work Sans" w:eastAsia="Times New Roman" w:hAnsi="Work Sans" w:cs="Times New Roman"/>
          <w:sz w:val="24"/>
          <w:szCs w:val="20"/>
          <w:lang w:eastAsia="en-AU"/>
        </w:rPr>
        <w:t>–</w:t>
      </w:r>
      <w:r w:rsidR="00141E0D" w:rsidRPr="00141E0D">
        <w:rPr>
          <w:rFonts w:ascii="Work Sans" w:eastAsia="Times New Roman" w:hAnsi="Work Sans" w:cs="Times New Roman"/>
          <w:sz w:val="24"/>
          <w:szCs w:val="20"/>
          <w:lang w:eastAsia="en-AU"/>
        </w:rPr>
        <w:t>22</w:t>
      </w:r>
      <w:r w:rsidR="000D04F3">
        <w:rPr>
          <w:rFonts w:ascii="Work Sans" w:eastAsia="Times New Roman" w:hAnsi="Work Sans" w:cs="Times New Roman"/>
          <w:sz w:val="24"/>
          <w:szCs w:val="20"/>
          <w:lang w:eastAsia="en-AU"/>
        </w:rPr>
        <w:t>,</w:t>
      </w:r>
      <w:r w:rsidR="00141E0D" w:rsidRPr="00141E0D">
        <w:rPr>
          <w:rFonts w:ascii="Work Sans" w:eastAsia="Times New Roman" w:hAnsi="Work Sans" w:cs="Times New Roman"/>
          <w:sz w:val="24"/>
          <w:szCs w:val="20"/>
          <w:lang w:eastAsia="en-AU"/>
        </w:rPr>
        <w:t xml:space="preserve"> will continue until 2026</w:t>
      </w:r>
      <w:r w:rsidR="005903F9">
        <w:rPr>
          <w:rFonts w:ascii="Work Sans" w:eastAsia="Times New Roman" w:hAnsi="Work Sans" w:cs="Times New Roman"/>
          <w:sz w:val="24"/>
          <w:szCs w:val="20"/>
          <w:lang w:eastAsia="en-AU"/>
        </w:rPr>
        <w:t>–</w:t>
      </w:r>
      <w:r w:rsidR="00141E0D" w:rsidRPr="00141E0D">
        <w:rPr>
          <w:rFonts w:ascii="Work Sans" w:eastAsia="Times New Roman" w:hAnsi="Work Sans" w:cs="Times New Roman"/>
          <w:sz w:val="24"/>
          <w:szCs w:val="20"/>
          <w:lang w:eastAsia="en-AU"/>
        </w:rPr>
        <w:t xml:space="preserve">27. Any no worse off amounts </w:t>
      </w:r>
      <w:r w:rsidR="00C9261A">
        <w:rPr>
          <w:rFonts w:ascii="Work Sans" w:eastAsia="Times New Roman" w:hAnsi="Work Sans" w:cs="Times New Roman"/>
          <w:sz w:val="24"/>
          <w:szCs w:val="20"/>
          <w:lang w:eastAsia="en-AU"/>
        </w:rPr>
        <w:t xml:space="preserve">are </w:t>
      </w:r>
      <w:r w:rsidR="00141E0D" w:rsidRPr="00141E0D">
        <w:rPr>
          <w:rFonts w:ascii="Work Sans" w:eastAsia="Times New Roman" w:hAnsi="Work Sans" w:cs="Times New Roman"/>
          <w:sz w:val="24"/>
          <w:szCs w:val="20"/>
          <w:lang w:eastAsia="en-AU"/>
        </w:rPr>
        <w:t>calculated in accordance with the legislation and provided directly by the Commonwealth.</w:t>
      </w:r>
    </w:p>
    <w:p w14:paraId="300A5751" w14:textId="69B870F0" w:rsidR="004E613D" w:rsidRPr="00B128E1" w:rsidRDefault="00141E0D" w:rsidP="00575EF9">
      <w:pPr>
        <w:tabs>
          <w:tab w:val="clear" w:pos="567"/>
        </w:tabs>
        <w:spacing w:before="240" w:line="300" w:lineRule="atLeast"/>
        <w:rPr>
          <w:rFonts w:ascii="Work Sans" w:eastAsia="Times New Roman" w:hAnsi="Work Sans" w:cs="Times New Roman"/>
          <w:i/>
          <w:sz w:val="24"/>
          <w:szCs w:val="24"/>
          <w:lang w:eastAsia="en-AU"/>
        </w:rPr>
        <w:sectPr w:rsidR="004E613D" w:rsidRPr="00B128E1" w:rsidSect="008E2BFE">
          <w:pgSz w:w="11900" w:h="16840"/>
          <w:pgMar w:top="1247" w:right="1418" w:bottom="1134" w:left="1418" w:header="709" w:footer="284" w:gutter="0"/>
          <w:pgNumType w:start="1"/>
          <w:cols w:space="708"/>
          <w:docGrid w:linePitch="360"/>
        </w:sectPr>
      </w:pPr>
      <w:r w:rsidRPr="00141E0D">
        <w:rPr>
          <w:rFonts w:ascii="Work Sans" w:eastAsia="Times New Roman" w:hAnsi="Work Sans" w:cs="Times New Roman"/>
          <w:sz w:val="24"/>
          <w:szCs w:val="24"/>
          <w:lang w:eastAsia="en-AU"/>
        </w:rPr>
        <w:t>Chapter</w:t>
      </w:r>
      <w:r w:rsidR="00D71EF3">
        <w:rPr>
          <w:rFonts w:ascii="Work Sans" w:eastAsia="Times New Roman" w:hAnsi="Work Sans" w:cs="Times New Roman"/>
          <w:sz w:val="24"/>
          <w:szCs w:val="24"/>
          <w:lang w:eastAsia="en-AU"/>
        </w:rPr>
        <w:t> </w:t>
      </w:r>
      <w:r w:rsidRPr="00141E0D">
        <w:rPr>
          <w:rFonts w:ascii="Work Sans" w:eastAsia="Times New Roman" w:hAnsi="Work Sans" w:cs="Times New Roman"/>
          <w:sz w:val="24"/>
          <w:szCs w:val="24"/>
          <w:lang w:eastAsia="en-AU"/>
        </w:rPr>
        <w:t>1 sets out the Commission’s recommended GST revenue distribution for 2022</w:t>
      </w:r>
      <w:r w:rsidR="005903F9">
        <w:rPr>
          <w:rFonts w:ascii="Work Sans" w:eastAsia="Times New Roman" w:hAnsi="Work Sans" w:cs="Times New Roman"/>
          <w:sz w:val="24"/>
          <w:szCs w:val="24"/>
          <w:lang w:eastAsia="en-AU"/>
        </w:rPr>
        <w:t>–</w:t>
      </w:r>
      <w:r w:rsidRPr="00141E0D">
        <w:rPr>
          <w:rFonts w:ascii="Work Sans" w:eastAsia="Times New Roman" w:hAnsi="Work Sans" w:cs="Times New Roman"/>
          <w:sz w:val="24"/>
          <w:szCs w:val="24"/>
          <w:lang w:eastAsia="en-AU"/>
        </w:rPr>
        <w:t>23. Chapter</w:t>
      </w:r>
      <w:r w:rsidR="00D71EF3">
        <w:rPr>
          <w:rFonts w:ascii="Work Sans" w:eastAsia="Times New Roman" w:hAnsi="Work Sans" w:cs="Times New Roman"/>
          <w:sz w:val="24"/>
          <w:szCs w:val="24"/>
          <w:lang w:eastAsia="en-AU"/>
        </w:rPr>
        <w:t> </w:t>
      </w:r>
      <w:r w:rsidRPr="00141E0D">
        <w:rPr>
          <w:rFonts w:ascii="Work Sans" w:eastAsia="Times New Roman" w:hAnsi="Work Sans" w:cs="Times New Roman"/>
          <w:sz w:val="24"/>
          <w:szCs w:val="24"/>
          <w:lang w:eastAsia="en-AU"/>
        </w:rPr>
        <w:t>2 explains how the Commission’s assessment of each state’s GST needs ha</w:t>
      </w:r>
      <w:r w:rsidR="00357CAA">
        <w:rPr>
          <w:rFonts w:ascii="Work Sans" w:eastAsia="Times New Roman" w:hAnsi="Work Sans" w:cs="Times New Roman"/>
          <w:sz w:val="24"/>
          <w:szCs w:val="24"/>
          <w:lang w:eastAsia="en-AU"/>
        </w:rPr>
        <w:t>s</w:t>
      </w:r>
      <w:r w:rsidRPr="00141E0D">
        <w:rPr>
          <w:rFonts w:ascii="Work Sans" w:eastAsia="Times New Roman" w:hAnsi="Work Sans" w:cs="Times New Roman"/>
          <w:sz w:val="24"/>
          <w:szCs w:val="24"/>
          <w:lang w:eastAsia="en-AU"/>
        </w:rPr>
        <w:t xml:space="preserve"> changed since the 2021 Update. Chapter 3 provides a snapshot of each state’s circumstances. Attachment A provides </w:t>
      </w:r>
      <w:r w:rsidR="00B12697" w:rsidRPr="00141E0D">
        <w:rPr>
          <w:rFonts w:ascii="Work Sans" w:eastAsia="Times New Roman" w:hAnsi="Work Sans" w:cs="Times New Roman"/>
          <w:noProof/>
          <w:sz w:val="24"/>
          <w:szCs w:val="20"/>
          <w:lang w:eastAsia="en-AU"/>
        </w:rPr>
        <w:drawing>
          <wp:anchor distT="0" distB="0" distL="114300" distR="114300" simplePos="0" relativeHeight="251658282" behindDoc="1" locked="1" layoutInCell="1" allowOverlap="1" wp14:anchorId="4E60AF3B" wp14:editId="148F3E7E">
            <wp:simplePos x="0" y="0"/>
            <wp:positionH relativeFrom="page">
              <wp:align>left</wp:align>
            </wp:positionH>
            <wp:positionV relativeFrom="page">
              <wp:align>bottom</wp:align>
            </wp:positionV>
            <wp:extent cx="7563485" cy="10691495"/>
            <wp:effectExtent l="0" t="0" r="0" b="0"/>
            <wp:wrapNone/>
            <wp:docPr id="34" name="Picture 3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141E0D">
        <w:rPr>
          <w:rFonts w:ascii="Work Sans" w:eastAsia="Times New Roman" w:hAnsi="Work Sans" w:cs="Times New Roman"/>
          <w:sz w:val="24"/>
          <w:szCs w:val="24"/>
          <w:lang w:eastAsia="en-AU"/>
        </w:rPr>
        <w:t xml:space="preserve">relativities </w:t>
      </w:r>
      <w:r w:rsidR="002B5609">
        <w:rPr>
          <w:rFonts w:ascii="Work Sans" w:eastAsia="Times New Roman" w:hAnsi="Work Sans" w:cs="Times New Roman"/>
          <w:sz w:val="24"/>
          <w:szCs w:val="24"/>
          <w:lang w:eastAsia="en-AU"/>
        </w:rPr>
        <w:t>for</w:t>
      </w:r>
      <w:r w:rsidRPr="00141E0D">
        <w:rPr>
          <w:rFonts w:ascii="Work Sans" w:eastAsia="Times New Roman" w:hAnsi="Work Sans" w:cs="Times New Roman"/>
          <w:sz w:val="24"/>
          <w:szCs w:val="24"/>
          <w:lang w:eastAsia="en-AU"/>
        </w:rPr>
        <w:t xml:space="preserve"> </w:t>
      </w:r>
      <w:r w:rsidR="00025E5A">
        <w:rPr>
          <w:rFonts w:ascii="Work Sans" w:eastAsia="Times New Roman" w:hAnsi="Work Sans" w:cs="Times New Roman"/>
          <w:sz w:val="24"/>
          <w:szCs w:val="24"/>
          <w:lang w:eastAsia="en-AU"/>
        </w:rPr>
        <w:t xml:space="preserve">the </w:t>
      </w:r>
      <w:r w:rsidR="006513F9">
        <w:rPr>
          <w:rFonts w:ascii="Work Sans" w:eastAsia="Times New Roman" w:hAnsi="Work Sans" w:cs="Times New Roman"/>
          <w:sz w:val="24"/>
          <w:szCs w:val="24"/>
          <w:lang w:eastAsia="en-AU"/>
        </w:rPr>
        <w:t>Commonwealth</w:t>
      </w:r>
      <w:r w:rsidRPr="00141E0D" w:rsidDel="000D50E4">
        <w:rPr>
          <w:rFonts w:ascii="Work Sans" w:eastAsia="Times New Roman" w:hAnsi="Work Sans" w:cs="Times New Roman"/>
          <w:sz w:val="24"/>
          <w:szCs w:val="24"/>
          <w:lang w:eastAsia="en-AU"/>
        </w:rPr>
        <w:t xml:space="preserve"> </w:t>
      </w:r>
      <w:r w:rsidR="00533206">
        <w:rPr>
          <w:rFonts w:ascii="Work Sans" w:eastAsia="Times New Roman" w:hAnsi="Work Sans" w:cs="Times New Roman"/>
          <w:sz w:val="24"/>
          <w:szCs w:val="24"/>
          <w:lang w:eastAsia="en-AU"/>
        </w:rPr>
        <w:t>Treasurer</w:t>
      </w:r>
      <w:r w:rsidRPr="00141E0D" w:rsidDel="000D50E4">
        <w:rPr>
          <w:rFonts w:ascii="Work Sans" w:eastAsia="Times New Roman" w:hAnsi="Work Sans" w:cs="Times New Roman"/>
          <w:sz w:val="24"/>
          <w:szCs w:val="24"/>
          <w:lang w:eastAsia="en-AU"/>
        </w:rPr>
        <w:t xml:space="preserve"> </w:t>
      </w:r>
      <w:r w:rsidRPr="00141E0D">
        <w:rPr>
          <w:rFonts w:ascii="Work Sans" w:eastAsia="Times New Roman" w:hAnsi="Work Sans" w:cs="Times New Roman"/>
          <w:sz w:val="24"/>
          <w:szCs w:val="24"/>
          <w:lang w:eastAsia="en-AU"/>
        </w:rPr>
        <w:t xml:space="preserve">to use </w:t>
      </w:r>
      <w:r w:rsidR="00303B17">
        <w:rPr>
          <w:rFonts w:ascii="Work Sans" w:eastAsia="Times New Roman" w:hAnsi="Work Sans" w:cs="Times New Roman"/>
          <w:sz w:val="24"/>
          <w:szCs w:val="24"/>
          <w:lang w:eastAsia="en-AU"/>
        </w:rPr>
        <w:t xml:space="preserve">in </w:t>
      </w:r>
      <w:r w:rsidRPr="00141E0D">
        <w:rPr>
          <w:rFonts w:ascii="Work Sans" w:eastAsia="Times New Roman" w:hAnsi="Work Sans" w:cs="Times New Roman"/>
          <w:sz w:val="24"/>
          <w:szCs w:val="24"/>
          <w:lang w:eastAsia="en-AU"/>
        </w:rPr>
        <w:t>calculat</w:t>
      </w:r>
      <w:r w:rsidR="00303B17">
        <w:rPr>
          <w:rFonts w:ascii="Work Sans" w:eastAsia="Times New Roman" w:hAnsi="Work Sans" w:cs="Times New Roman"/>
          <w:sz w:val="24"/>
          <w:szCs w:val="24"/>
          <w:lang w:eastAsia="en-AU"/>
        </w:rPr>
        <w:t>ing</w:t>
      </w:r>
      <w:r w:rsidRPr="00141E0D">
        <w:rPr>
          <w:rFonts w:ascii="Work Sans" w:eastAsia="Times New Roman" w:hAnsi="Work Sans" w:cs="Times New Roman"/>
          <w:sz w:val="24"/>
          <w:szCs w:val="24"/>
          <w:lang w:eastAsia="en-AU"/>
        </w:rPr>
        <w:t xml:space="preserve"> payments under the no worse off guarantee</w:t>
      </w:r>
      <w:r w:rsidR="0093434D">
        <w:rPr>
          <w:rFonts w:ascii="Work Sans" w:eastAsia="Times New Roman" w:hAnsi="Work Sans" w:cs="Times New Roman"/>
          <w:sz w:val="24"/>
          <w:szCs w:val="24"/>
          <w:lang w:eastAsia="en-AU"/>
        </w:rPr>
        <w:t>,</w:t>
      </w:r>
      <w:r w:rsidRPr="00141E0D">
        <w:rPr>
          <w:rFonts w:ascii="Work Sans" w:eastAsia="Times New Roman" w:hAnsi="Work Sans" w:cs="Times New Roman"/>
          <w:sz w:val="24"/>
          <w:szCs w:val="24"/>
          <w:lang w:eastAsia="en-AU"/>
        </w:rPr>
        <w:t xml:space="preserve"> and explains how these are calculated. Attachment B explains the Commission’s quality assurance process. The Commission consulted with states on new issues arising in this update</w:t>
      </w:r>
      <w:r w:rsidR="00EA5D88">
        <w:rPr>
          <w:rFonts w:ascii="Work Sans" w:eastAsia="Times New Roman" w:hAnsi="Work Sans" w:cs="Times New Roman"/>
          <w:sz w:val="24"/>
          <w:szCs w:val="24"/>
          <w:lang w:eastAsia="en-AU"/>
        </w:rPr>
        <w:t xml:space="preserve">. </w:t>
      </w:r>
      <w:r w:rsidR="00D57F59">
        <w:rPr>
          <w:rFonts w:ascii="Work Sans" w:eastAsia="Times New Roman" w:hAnsi="Work Sans" w:cs="Times New Roman"/>
          <w:sz w:val="24"/>
          <w:szCs w:val="24"/>
          <w:lang w:eastAsia="en-AU"/>
        </w:rPr>
        <w:t>S</w:t>
      </w:r>
      <w:r w:rsidRPr="00141E0D">
        <w:rPr>
          <w:rFonts w:ascii="Work Sans" w:eastAsia="Times New Roman" w:hAnsi="Work Sans" w:cs="Times New Roman"/>
          <w:sz w:val="24"/>
          <w:szCs w:val="24"/>
          <w:lang w:eastAsia="en-AU"/>
        </w:rPr>
        <w:t>tate views and Commission response</w:t>
      </w:r>
      <w:r w:rsidR="00D57F59">
        <w:rPr>
          <w:rFonts w:ascii="Work Sans" w:eastAsia="Times New Roman" w:hAnsi="Work Sans" w:cs="Times New Roman"/>
          <w:sz w:val="24"/>
          <w:szCs w:val="24"/>
          <w:lang w:eastAsia="en-AU"/>
        </w:rPr>
        <w:t>s</w:t>
      </w:r>
      <w:r w:rsidRPr="00141E0D">
        <w:rPr>
          <w:rFonts w:ascii="Work Sans" w:eastAsia="Times New Roman" w:hAnsi="Work Sans" w:cs="Times New Roman"/>
          <w:sz w:val="24"/>
          <w:szCs w:val="24"/>
          <w:lang w:eastAsia="en-AU"/>
        </w:rPr>
        <w:t xml:space="preserve"> are outlined in </w:t>
      </w:r>
      <w:hyperlink r:id="rId35" w:history="1">
        <w:r w:rsidRPr="00DB17B5">
          <w:rPr>
            <w:rStyle w:val="Hyperlink"/>
            <w:rFonts w:ascii="Work Sans" w:eastAsia="Times New Roman" w:hAnsi="Work Sans" w:cs="Times New Roman"/>
            <w:i/>
            <w:sz w:val="24"/>
            <w:szCs w:val="24"/>
            <w:lang w:eastAsia="en-AU"/>
          </w:rPr>
          <w:t>New</w:t>
        </w:r>
        <w:r w:rsidR="00A00608" w:rsidRPr="00DB17B5">
          <w:rPr>
            <w:rStyle w:val="Hyperlink"/>
            <w:rFonts w:ascii="Work Sans" w:eastAsia="Times New Roman" w:hAnsi="Work Sans" w:cs="Times New Roman"/>
            <w:i/>
            <w:sz w:val="24"/>
            <w:szCs w:val="24"/>
            <w:lang w:eastAsia="en-AU"/>
          </w:rPr>
          <w:t> </w:t>
        </w:r>
        <w:r w:rsidRPr="00DB17B5">
          <w:rPr>
            <w:rStyle w:val="Hyperlink"/>
            <w:rFonts w:ascii="Work Sans" w:eastAsia="Times New Roman" w:hAnsi="Work Sans" w:cs="Times New Roman"/>
            <w:i/>
            <w:sz w:val="24"/>
            <w:szCs w:val="24"/>
            <w:lang w:eastAsia="en-AU"/>
          </w:rPr>
          <w:t>issues in the 2022 Update</w:t>
        </w:r>
      </w:hyperlink>
      <w:r w:rsidR="00B128E1" w:rsidRPr="7D39331A">
        <w:rPr>
          <w:rFonts w:ascii="Work Sans" w:eastAsia="Times New Roman" w:hAnsi="Work Sans" w:cs="Times New Roman"/>
          <w:i/>
          <w:sz w:val="24"/>
          <w:szCs w:val="24"/>
          <w:lang w:eastAsia="en-AU"/>
        </w:rPr>
        <w:t>.</w:t>
      </w:r>
    </w:p>
    <w:p w14:paraId="0D9922C4" w14:textId="78125E29" w:rsidR="00A80FDD" w:rsidRPr="00B31D16" w:rsidRDefault="00A80FDD" w:rsidP="00382645">
      <w:pPr>
        <w:pStyle w:val="Heading1"/>
        <w:numPr>
          <w:ilvl w:val="0"/>
          <w:numId w:val="25"/>
        </w:numPr>
        <w:rPr>
          <w:bCs w:val="0"/>
        </w:rPr>
      </w:pPr>
      <w:bookmarkStart w:id="13" w:name="_Toc96074915"/>
      <w:r w:rsidRPr="00B31D16">
        <w:rPr>
          <w:bCs w:val="0"/>
          <w:noProof/>
        </w:rPr>
        <w:drawing>
          <wp:anchor distT="0" distB="0" distL="114300" distR="114300" simplePos="0" relativeHeight="251658283" behindDoc="1" locked="1" layoutInCell="1" allowOverlap="1" wp14:anchorId="2C725507" wp14:editId="0564A784">
            <wp:simplePos x="0" y="0"/>
            <wp:positionH relativeFrom="margin">
              <wp:posOffset>-920115</wp:posOffset>
            </wp:positionH>
            <wp:positionV relativeFrom="page">
              <wp:posOffset>0</wp:posOffset>
            </wp:positionV>
            <wp:extent cx="7563485" cy="10691495"/>
            <wp:effectExtent l="0" t="0" r="0" b="0"/>
            <wp:wrapNone/>
            <wp:docPr id="30" name="Picture 3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B31D16">
        <w:rPr>
          <w:bCs w:val="0"/>
        </w:rPr>
        <w:t>Recommended GST relativities</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9064"/>
      </w:tblGrid>
      <w:tr w:rsidR="00A80FDD" w:rsidRPr="00A80FDD" w14:paraId="5BFECE2D" w14:textId="77777777" w:rsidTr="00C95FB6">
        <w:trPr>
          <w:trHeight w:val="6489"/>
        </w:trPr>
        <w:tc>
          <w:tcPr>
            <w:tcW w:w="9064" w:type="dxa"/>
            <w:shd w:val="clear" w:color="auto" w:fill="EBF3F5"/>
          </w:tcPr>
          <w:p w14:paraId="46D773DF" w14:textId="77777777" w:rsidR="00A80FDD" w:rsidRPr="002560F0" w:rsidRDefault="00A80FDD" w:rsidP="00801A1B">
            <w:pPr>
              <w:pStyle w:val="Heading3"/>
              <w:spacing w:before="240"/>
            </w:pPr>
            <w:bookmarkStart w:id="14" w:name="_Hlk90899140"/>
            <w:r w:rsidRPr="000648E9">
              <w:t xml:space="preserve">Key </w:t>
            </w:r>
            <w:r w:rsidRPr="002560F0">
              <w:t>points</w:t>
            </w:r>
          </w:p>
          <w:p w14:paraId="52851477" w14:textId="556667B5" w:rsidR="00A80FDD" w:rsidRPr="00A80FDD" w:rsidRDefault="00A80FDD" w:rsidP="00A80FDD">
            <w:pPr>
              <w:pStyle w:val="BodyText"/>
            </w:pPr>
            <w:r w:rsidRPr="00A80FDD">
              <w:t>The GST relativity floor of 0.7 under the 2018</w:t>
            </w:r>
            <w:r w:rsidR="004A7C47">
              <w:t> </w:t>
            </w:r>
            <w:r w:rsidRPr="00A80FDD">
              <w:t>legislated arrangements is operating within the GST pool in 2022</w:t>
            </w:r>
            <w:r w:rsidR="005903F9">
              <w:t>–</w:t>
            </w:r>
            <w:r w:rsidRPr="00A80FDD">
              <w:t>23 for the first time</w:t>
            </w:r>
            <w:r w:rsidR="003452C3">
              <w:t>.</w:t>
            </w:r>
            <w:r w:rsidRPr="00A80FDD">
              <w:t xml:space="preserve"> This has a significant effect on the relativities and shares of the GST pool for all states in 2022</w:t>
            </w:r>
            <w:r w:rsidR="005903F9">
              <w:t>–</w:t>
            </w:r>
            <w:r w:rsidRPr="00A80FDD">
              <w:t xml:space="preserve">23. However, this effect on payments to the states </w:t>
            </w:r>
            <w:r w:rsidR="00367330">
              <w:t>is</w:t>
            </w:r>
            <w:r w:rsidRPr="00A80FDD">
              <w:t xml:space="preserve"> ameliorated by the annual top-up to the GST pool by the Commonwealth and the no worse off guarantee</w:t>
            </w:r>
            <w:r w:rsidR="00C76480">
              <w:t xml:space="preserve"> that applies from 202</w:t>
            </w:r>
            <w:r w:rsidR="00BB46B6">
              <w:t>1</w:t>
            </w:r>
            <w:r w:rsidR="008E09BF">
              <w:t>–</w:t>
            </w:r>
            <w:r w:rsidR="00C76480">
              <w:t>2</w:t>
            </w:r>
            <w:r w:rsidR="00BB46B6">
              <w:t>2</w:t>
            </w:r>
            <w:r w:rsidRPr="00A80FDD">
              <w:t xml:space="preserve"> under the 2018</w:t>
            </w:r>
            <w:r w:rsidR="004A7C47">
              <w:t> </w:t>
            </w:r>
            <w:r w:rsidRPr="00A80FDD">
              <w:t>legislated GST arrangements.</w:t>
            </w:r>
          </w:p>
          <w:p w14:paraId="566F0CFE" w14:textId="19B0305D" w:rsidR="00A80FDD" w:rsidRPr="00A80FDD" w:rsidRDefault="00A80FDD" w:rsidP="00A80FDD">
            <w:pPr>
              <w:pStyle w:val="BodyText"/>
              <w:rPr>
                <w:szCs w:val="20"/>
              </w:rPr>
            </w:pPr>
            <w:r w:rsidRPr="00A80FDD">
              <w:rPr>
                <w:szCs w:val="20"/>
              </w:rPr>
              <w:t xml:space="preserve">Western Australia and the Northern Territory </w:t>
            </w:r>
            <w:r w:rsidR="007C0C4C">
              <w:rPr>
                <w:szCs w:val="20"/>
              </w:rPr>
              <w:t xml:space="preserve">would </w:t>
            </w:r>
            <w:r w:rsidRPr="00A80FDD">
              <w:rPr>
                <w:szCs w:val="20"/>
              </w:rPr>
              <w:t>receive an increased share of the GST pool in 2022</w:t>
            </w:r>
            <w:r w:rsidR="005903F9">
              <w:rPr>
                <w:szCs w:val="20"/>
              </w:rPr>
              <w:t>–</w:t>
            </w:r>
            <w:r w:rsidRPr="00A80FDD">
              <w:rPr>
                <w:szCs w:val="20"/>
              </w:rPr>
              <w:t>23 compared to 2021</w:t>
            </w:r>
            <w:r w:rsidR="005903F9">
              <w:rPr>
                <w:szCs w:val="20"/>
              </w:rPr>
              <w:t>–</w:t>
            </w:r>
            <w:r w:rsidRPr="00A80FDD">
              <w:rPr>
                <w:szCs w:val="20"/>
              </w:rPr>
              <w:t>22</w:t>
            </w:r>
            <w:r w:rsidRPr="00A80FDD" w:rsidDel="006E14BF">
              <w:rPr>
                <w:szCs w:val="20"/>
              </w:rPr>
              <w:t>.</w:t>
            </w:r>
            <w:bookmarkStart w:id="15" w:name="x__GoBack"/>
            <w:bookmarkEnd w:id="15"/>
          </w:p>
          <w:p w14:paraId="7D525E76" w14:textId="42089B44" w:rsidR="00A80FDD" w:rsidRPr="00A80FDD" w:rsidRDefault="00A80FDD" w:rsidP="00E704AA">
            <w:pPr>
              <w:pStyle w:val="BodyText"/>
              <w:spacing w:after="240"/>
              <w:ind w:left="714" w:hanging="357"/>
              <w:rPr>
                <w:szCs w:val="20"/>
              </w:rPr>
            </w:pPr>
            <w:r w:rsidRPr="00A80FDD">
              <w:rPr>
                <w:szCs w:val="20"/>
              </w:rPr>
              <w:t xml:space="preserve">The GST pool (which </w:t>
            </w:r>
            <w:r w:rsidR="00972866">
              <w:rPr>
                <w:szCs w:val="20"/>
              </w:rPr>
              <w:t>includes pool top</w:t>
            </w:r>
            <w:r w:rsidR="00972866">
              <w:rPr>
                <w:szCs w:val="20"/>
              </w:rPr>
              <w:noBreakHyphen/>
              <w:t>up payments but</w:t>
            </w:r>
            <w:r w:rsidRPr="00A80FDD">
              <w:rPr>
                <w:szCs w:val="20"/>
              </w:rPr>
              <w:t xml:space="preserve"> </w:t>
            </w:r>
            <w:r w:rsidR="0069220B">
              <w:rPr>
                <w:szCs w:val="20"/>
              </w:rPr>
              <w:t xml:space="preserve">excludes </w:t>
            </w:r>
            <w:r w:rsidRPr="00A80FDD">
              <w:rPr>
                <w:szCs w:val="20"/>
              </w:rPr>
              <w:t>no</w:t>
            </w:r>
            <w:r w:rsidR="002560F0">
              <w:rPr>
                <w:szCs w:val="20"/>
              </w:rPr>
              <w:t> </w:t>
            </w:r>
            <w:r w:rsidRPr="00A80FDD">
              <w:rPr>
                <w:szCs w:val="20"/>
              </w:rPr>
              <w:t>worse off payments) is estimated to grow by more than $4 billion. Consequently, several states would receive more GST in 2022</w:t>
            </w:r>
            <w:r w:rsidR="005903F9">
              <w:rPr>
                <w:szCs w:val="20"/>
              </w:rPr>
              <w:t>–</w:t>
            </w:r>
            <w:r w:rsidRPr="00A80FDD">
              <w:rPr>
                <w:szCs w:val="20"/>
              </w:rPr>
              <w:t xml:space="preserve">23, despite having a smaller </w:t>
            </w:r>
            <w:r w:rsidR="0084758B">
              <w:rPr>
                <w:szCs w:val="20"/>
              </w:rPr>
              <w:t xml:space="preserve">GST </w:t>
            </w:r>
            <w:r w:rsidRPr="00A80FDD">
              <w:rPr>
                <w:szCs w:val="20"/>
              </w:rPr>
              <w:t>relativity. Victoria is expected to receive less revenue from the GST pool in 2022</w:t>
            </w:r>
            <w:r w:rsidR="005903F9">
              <w:rPr>
                <w:szCs w:val="20"/>
              </w:rPr>
              <w:t>–</w:t>
            </w:r>
            <w:r w:rsidRPr="00A80FDD">
              <w:rPr>
                <w:szCs w:val="20"/>
              </w:rPr>
              <w:t>23 than it received in 2021</w:t>
            </w:r>
            <w:r w:rsidR="005903F9">
              <w:rPr>
                <w:szCs w:val="20"/>
              </w:rPr>
              <w:t>–</w:t>
            </w:r>
            <w:r w:rsidRPr="00A80FDD">
              <w:rPr>
                <w:szCs w:val="20"/>
              </w:rPr>
              <w:t xml:space="preserve">22 </w:t>
            </w:r>
            <w:r w:rsidRPr="00156A31">
              <w:rPr>
                <w:szCs w:val="20"/>
              </w:rPr>
              <w:t>and the ACT around the same</w:t>
            </w:r>
            <w:r w:rsidRPr="00A80FDD">
              <w:rPr>
                <w:szCs w:val="20"/>
              </w:rPr>
              <w:t>. However,</w:t>
            </w:r>
            <w:r w:rsidR="0034144D">
              <w:rPr>
                <w:szCs w:val="20"/>
              </w:rPr>
              <w:t> </w:t>
            </w:r>
            <w:r w:rsidRPr="00A80FDD">
              <w:rPr>
                <w:szCs w:val="20"/>
              </w:rPr>
              <w:t>like the other states, they will receive higher overall payments under the 2018</w:t>
            </w:r>
            <w:r w:rsidR="004A7C47">
              <w:rPr>
                <w:szCs w:val="20"/>
              </w:rPr>
              <w:t> </w:t>
            </w:r>
            <w:r w:rsidRPr="00A80FDD">
              <w:rPr>
                <w:szCs w:val="20"/>
              </w:rPr>
              <w:t>legislated arrangements, which include no worse off payments by the Commonwealth during the transition period.</w:t>
            </w:r>
          </w:p>
        </w:tc>
      </w:tr>
    </w:tbl>
    <w:bookmarkEnd w:id="14"/>
    <w:p w14:paraId="5938712F" w14:textId="77777777" w:rsidR="00A80FDD" w:rsidRPr="00A80FDD" w:rsidRDefault="00A80FDD" w:rsidP="000D6032">
      <w:pPr>
        <w:pStyle w:val="Heading2"/>
        <w:rPr>
          <w:b w:val="0"/>
        </w:rPr>
      </w:pPr>
      <w:r w:rsidRPr="000D6032">
        <w:t>Recommended GST relativities and estimated GST pool distribution</w:t>
      </w:r>
    </w:p>
    <w:p w14:paraId="655AF3EF" w14:textId="5E5D2210" w:rsidR="00A80FDD" w:rsidRPr="00A80FDD" w:rsidRDefault="00A80FDD" w:rsidP="0004064D">
      <w:pPr>
        <w:pStyle w:val="CGCBodyCopy"/>
      </w:pPr>
      <w:r w:rsidRPr="003B28C8">
        <w:t>The Commission’s recommended GST relativities for 2022</w:t>
      </w:r>
      <w:r w:rsidR="005903F9">
        <w:t>–</w:t>
      </w:r>
      <w:r w:rsidRPr="003B28C8">
        <w:t xml:space="preserve">23 are </w:t>
      </w:r>
      <w:r w:rsidR="0069220B">
        <w:t xml:space="preserve">presented </w:t>
      </w:r>
      <w:r w:rsidRPr="003B28C8">
        <w:t>in</w:t>
      </w:r>
      <w:r w:rsidR="00EF2917" w:rsidRPr="003B28C8">
        <w:t xml:space="preserve"> </w:t>
      </w:r>
      <w:r w:rsidR="00517FB9" w:rsidRPr="003B28C8">
        <w:fldChar w:fldCharType="begin"/>
      </w:r>
      <w:r w:rsidR="00517FB9" w:rsidRPr="003B28C8">
        <w:instrText xml:space="preserve"> REF _Ref95826520 \h </w:instrText>
      </w:r>
      <w:r w:rsidR="003B28C8" w:rsidRPr="003B28C8">
        <w:instrText xml:space="preserve"> \* MERGEFORMAT </w:instrText>
      </w:r>
      <w:r w:rsidR="00517FB9" w:rsidRPr="003B28C8">
        <w:fldChar w:fldCharType="separate"/>
      </w:r>
      <w:r w:rsidR="00FE4664" w:rsidRPr="00FE4664">
        <w:rPr>
          <w:szCs w:val="20"/>
        </w:rPr>
        <w:t>Table 1</w:t>
      </w:r>
      <w:r w:rsidR="00FE4664" w:rsidRPr="00FE4664">
        <w:rPr>
          <w:szCs w:val="20"/>
        </w:rPr>
        <w:noBreakHyphen/>
        <w:t>1</w:t>
      </w:r>
      <w:r w:rsidR="00517FB9" w:rsidRPr="003B28C8">
        <w:fldChar w:fldCharType="end"/>
      </w:r>
      <w:r w:rsidRPr="00A80FDD">
        <w:t>. The table also includes the state shares of the GST pool and the estimated</w:t>
      </w:r>
      <w:r w:rsidRPr="00A80FDD">
        <w:rPr>
          <w:vertAlign w:val="superscript"/>
        </w:rPr>
        <w:footnoteReference w:id="2"/>
      </w:r>
      <w:r w:rsidRPr="00A80FDD">
        <w:t xml:space="preserve"> GST pool distribution implied by those relativities, and comparisons with 2021</w:t>
      </w:r>
      <w:r w:rsidR="005903F9">
        <w:t>–</w:t>
      </w:r>
      <w:r w:rsidRPr="00A80FDD">
        <w:t xml:space="preserve">22. </w:t>
      </w:r>
      <w:r w:rsidR="000D63CC">
        <w:t xml:space="preserve">It does not include </w:t>
      </w:r>
      <w:r w:rsidR="00377EF1">
        <w:t>no worse off payments.</w:t>
      </w:r>
    </w:p>
    <w:p w14:paraId="6D4D0C2F" w14:textId="35A30160" w:rsidR="00A80FDD" w:rsidRPr="00A80FDD" w:rsidRDefault="00A80FDD" w:rsidP="0004064D">
      <w:pPr>
        <w:pStyle w:val="CGCBodyCopy"/>
      </w:pPr>
      <w:r w:rsidRPr="00A80FDD">
        <w:t xml:space="preserve">Western Australia </w:t>
      </w:r>
      <w:r w:rsidR="008C177E">
        <w:t xml:space="preserve">would have </w:t>
      </w:r>
      <w:r w:rsidRPr="00A80FDD">
        <w:t xml:space="preserve">the largest increase in GST relativities and </w:t>
      </w:r>
      <w:r w:rsidR="00A27B96">
        <w:t xml:space="preserve">increased </w:t>
      </w:r>
      <w:r w:rsidRPr="00A80FDD">
        <w:t>share of the GST pool in 2022</w:t>
      </w:r>
      <w:r w:rsidR="005903F9">
        <w:t>–</w:t>
      </w:r>
      <w:r w:rsidRPr="00A80FDD">
        <w:t>23 compared to 2021</w:t>
      </w:r>
      <w:r w:rsidR="005903F9">
        <w:t>–</w:t>
      </w:r>
      <w:r w:rsidRPr="00A80FDD">
        <w:t>22. The</w:t>
      </w:r>
      <w:r w:rsidR="0034144D">
        <w:t> </w:t>
      </w:r>
      <w:r w:rsidRPr="00A80FDD">
        <w:t>Northern</w:t>
      </w:r>
      <w:r w:rsidR="00222599">
        <w:t> </w:t>
      </w:r>
      <w:r w:rsidRPr="00A80FDD">
        <w:t xml:space="preserve">Territory’s GST relativity and share of the pool </w:t>
      </w:r>
      <w:r w:rsidR="008C177E">
        <w:t>would</w:t>
      </w:r>
      <w:r w:rsidRPr="00A80FDD">
        <w:t xml:space="preserve"> </w:t>
      </w:r>
      <w:r w:rsidRPr="004D4A52">
        <w:t>also increas</w:t>
      </w:r>
      <w:r w:rsidR="004D4A52" w:rsidRPr="004D4A52">
        <w:t>e</w:t>
      </w:r>
      <w:r w:rsidRPr="00A80FDD">
        <w:t xml:space="preserve">. All other states </w:t>
      </w:r>
      <w:r w:rsidR="0026625C">
        <w:t xml:space="preserve">would </w:t>
      </w:r>
      <w:r w:rsidRPr="00A80FDD">
        <w:t>receive a smaller share of the GST pool in 2022</w:t>
      </w:r>
      <w:r w:rsidR="009B5B0A">
        <w:t>–</w:t>
      </w:r>
      <w:r w:rsidRPr="00A80FDD">
        <w:t>23 compared to 2021</w:t>
      </w:r>
      <w:r w:rsidR="005903F9">
        <w:t>–</w:t>
      </w:r>
      <w:r w:rsidRPr="00A80FDD">
        <w:t>22 (excluding no worse off payments).</w:t>
      </w:r>
    </w:p>
    <w:p w14:paraId="543C89DB" w14:textId="44EE805E" w:rsidR="00517FB9" w:rsidRPr="0042793F" w:rsidRDefault="00A80FDD" w:rsidP="0042793F">
      <w:pPr>
        <w:pStyle w:val="Caption"/>
      </w:pPr>
      <w:bookmarkStart w:id="16" w:name="_Ref95826520"/>
      <w:r w:rsidRPr="00A01A90">
        <w:rPr>
          <w:noProof/>
        </w:rPr>
        <w:drawing>
          <wp:anchor distT="0" distB="0" distL="114300" distR="114300" simplePos="0" relativeHeight="251658271" behindDoc="1" locked="1" layoutInCell="1" allowOverlap="1" wp14:anchorId="372E2AA8" wp14:editId="30FB3803">
            <wp:simplePos x="0" y="0"/>
            <wp:positionH relativeFrom="margin">
              <wp:posOffset>-894715</wp:posOffset>
            </wp:positionH>
            <wp:positionV relativeFrom="margin">
              <wp:posOffset>-792480</wp:posOffset>
            </wp:positionV>
            <wp:extent cx="7563485" cy="10691495"/>
            <wp:effectExtent l="0" t="0" r="0" b="0"/>
            <wp:wrapNone/>
            <wp:docPr id="31" name="Picture 3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A01A90">
        <w:t>Table</w:t>
      </w:r>
      <w:r w:rsidR="00A23785" w:rsidRPr="00A01A90">
        <w:t> </w:t>
      </w:r>
      <w:r w:rsidR="00B364D5">
        <w:t>1</w:t>
      </w:r>
      <w:r w:rsidRPr="00A01A90">
        <w:noBreakHyphen/>
      </w:r>
      <w:r w:rsidRPr="00A01A90">
        <w:fldChar w:fldCharType="begin"/>
      </w:r>
      <w:r w:rsidRPr="00A01A90">
        <w:instrText>SEQ Table \* ARABIC \s 1</w:instrText>
      </w:r>
      <w:r w:rsidRPr="00A01A90">
        <w:fldChar w:fldCharType="separate"/>
      </w:r>
      <w:r w:rsidR="00FE4664">
        <w:rPr>
          <w:noProof/>
        </w:rPr>
        <w:t>1</w:t>
      </w:r>
      <w:r w:rsidRPr="00A01A90">
        <w:fldChar w:fldCharType="end"/>
      </w:r>
      <w:bookmarkEnd w:id="16"/>
      <w:r w:rsidRPr="00A01A90">
        <w:tab/>
        <w:t xml:space="preserve">GST </w:t>
      </w:r>
      <w:r w:rsidR="006B5B8A">
        <w:t>r</w:t>
      </w:r>
      <w:r w:rsidRPr="00A01A90">
        <w:t>elativities, shares and estimated GST distribution, 2021</w:t>
      </w:r>
      <w:r w:rsidR="005903F9">
        <w:t>–</w:t>
      </w:r>
      <w:r w:rsidRPr="00A01A90">
        <w:t>22 and 2022</w:t>
      </w:r>
      <w:r w:rsidR="005903F9">
        <w:t>–</w:t>
      </w:r>
      <w:r w:rsidRPr="00A01A90">
        <w:t>23 (excludes no worse off payments</w:t>
      </w:r>
      <w:r w:rsidRPr="009A06CE">
        <w:t>(a</w:t>
      </w:r>
      <w:r w:rsidR="00847927" w:rsidRPr="009A06CE">
        <w:t>)</w:t>
      </w:r>
      <w:r w:rsidRPr="00A01A90">
        <w:t>)</w:t>
      </w:r>
    </w:p>
    <w:tbl>
      <w:tblPr>
        <w:tblW w:w="8920" w:type="dxa"/>
        <w:tblLook w:val="04A0" w:firstRow="1" w:lastRow="0" w:firstColumn="1" w:lastColumn="0" w:noHBand="0" w:noVBand="1"/>
      </w:tblPr>
      <w:tblGrid>
        <w:gridCol w:w="2680"/>
        <w:gridCol w:w="1040"/>
        <w:gridCol w:w="1040"/>
        <w:gridCol w:w="1040"/>
        <w:gridCol w:w="1040"/>
        <w:gridCol w:w="1040"/>
        <w:gridCol w:w="1040"/>
      </w:tblGrid>
      <w:tr w:rsidR="00DF288F" w:rsidRPr="00DF288F" w14:paraId="30AAABFC" w14:textId="77777777" w:rsidTr="00DF288F">
        <w:trPr>
          <w:trHeight w:val="315"/>
        </w:trPr>
        <w:tc>
          <w:tcPr>
            <w:tcW w:w="2680" w:type="dxa"/>
            <w:tcBorders>
              <w:top w:val="nil"/>
              <w:left w:val="nil"/>
              <w:bottom w:val="single" w:sz="4" w:space="0" w:color="ADD6EA"/>
              <w:right w:val="nil"/>
            </w:tcBorders>
            <w:shd w:val="clear" w:color="000000" w:fill="006991"/>
            <w:noWrap/>
            <w:vAlign w:val="center"/>
            <w:hideMark/>
          </w:tcPr>
          <w:p w14:paraId="66875F90" w14:textId="77777777" w:rsidR="00DF288F" w:rsidRPr="00DF288F" w:rsidRDefault="00DF288F" w:rsidP="00DF288F">
            <w:pPr>
              <w:tabs>
                <w:tab w:val="clear" w:pos="567"/>
              </w:tabs>
              <w:spacing w:before="0" w:line="240" w:lineRule="auto"/>
              <w:rPr>
                <w:rFonts w:ascii="Open Sans Semibold" w:eastAsia="Times New Roman" w:hAnsi="Open Sans Semibold" w:cs="Open Sans Semibold"/>
                <w:color w:val="FFFFFF"/>
                <w:sz w:val="16"/>
                <w:szCs w:val="16"/>
                <w:lang w:eastAsia="en-AU"/>
              </w:rPr>
            </w:pPr>
            <w:r w:rsidRPr="00DF288F">
              <w:rPr>
                <w:rFonts w:ascii="Open Sans Semibold" w:eastAsia="Times New Roman" w:hAnsi="Open Sans Semibold" w:cs="Open Sans Semibold"/>
                <w:color w:val="FFFFFF"/>
                <w:sz w:val="16"/>
                <w:szCs w:val="16"/>
                <w:lang w:eastAsia="en-AU"/>
              </w:rPr>
              <w:t> </w:t>
            </w:r>
          </w:p>
        </w:tc>
        <w:tc>
          <w:tcPr>
            <w:tcW w:w="2080" w:type="dxa"/>
            <w:gridSpan w:val="2"/>
            <w:tcBorders>
              <w:top w:val="nil"/>
              <w:left w:val="nil"/>
              <w:bottom w:val="single" w:sz="4" w:space="0" w:color="ADD6EA"/>
              <w:right w:val="nil"/>
            </w:tcBorders>
            <w:shd w:val="clear" w:color="000000" w:fill="006991"/>
            <w:noWrap/>
            <w:vAlign w:val="center"/>
            <w:hideMark/>
          </w:tcPr>
          <w:p w14:paraId="726A1590" w14:textId="77777777" w:rsidR="00DF288F" w:rsidRPr="00DF288F" w:rsidRDefault="00DF288F" w:rsidP="00DF288F">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DF288F">
              <w:rPr>
                <w:rFonts w:ascii="Open Sans Semibold" w:eastAsia="Times New Roman" w:hAnsi="Open Sans Semibold" w:cs="Open Sans Semibold"/>
                <w:color w:val="FFFFFF"/>
                <w:sz w:val="16"/>
                <w:szCs w:val="16"/>
                <w:lang w:eastAsia="en-AU"/>
              </w:rPr>
              <w:t>GST relativities</w:t>
            </w:r>
          </w:p>
        </w:tc>
        <w:tc>
          <w:tcPr>
            <w:tcW w:w="2080" w:type="dxa"/>
            <w:gridSpan w:val="2"/>
            <w:tcBorders>
              <w:top w:val="nil"/>
              <w:left w:val="nil"/>
              <w:bottom w:val="single" w:sz="4" w:space="0" w:color="ADD6EA"/>
              <w:right w:val="nil"/>
            </w:tcBorders>
            <w:shd w:val="clear" w:color="000000" w:fill="006991"/>
            <w:noWrap/>
            <w:vAlign w:val="center"/>
            <w:hideMark/>
          </w:tcPr>
          <w:p w14:paraId="6ACA37FC" w14:textId="77777777" w:rsidR="00DF288F" w:rsidRPr="00DF288F" w:rsidRDefault="00DF288F" w:rsidP="00DF288F">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DF288F">
              <w:rPr>
                <w:rFonts w:ascii="Open Sans Semibold" w:eastAsia="Times New Roman" w:hAnsi="Open Sans Semibold" w:cs="Open Sans Semibold"/>
                <w:color w:val="FFFFFF"/>
                <w:sz w:val="16"/>
                <w:szCs w:val="16"/>
                <w:lang w:eastAsia="en-AU"/>
              </w:rPr>
              <w:t>GST shares</w:t>
            </w:r>
          </w:p>
        </w:tc>
        <w:tc>
          <w:tcPr>
            <w:tcW w:w="2080" w:type="dxa"/>
            <w:gridSpan w:val="2"/>
            <w:tcBorders>
              <w:top w:val="nil"/>
              <w:left w:val="nil"/>
              <w:bottom w:val="single" w:sz="4" w:space="0" w:color="ADD6EA"/>
              <w:right w:val="nil"/>
            </w:tcBorders>
            <w:shd w:val="clear" w:color="000000" w:fill="006991"/>
            <w:noWrap/>
            <w:vAlign w:val="center"/>
            <w:hideMark/>
          </w:tcPr>
          <w:p w14:paraId="6AD2B65B" w14:textId="77777777" w:rsidR="00DF288F" w:rsidRPr="00DF288F" w:rsidRDefault="00DF288F" w:rsidP="00DF288F">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DF288F">
              <w:rPr>
                <w:rFonts w:ascii="Open Sans Semibold" w:eastAsia="Times New Roman" w:hAnsi="Open Sans Semibold" w:cs="Open Sans Semibold"/>
                <w:color w:val="FFFFFF"/>
                <w:sz w:val="16"/>
                <w:szCs w:val="16"/>
                <w:lang w:eastAsia="en-AU"/>
              </w:rPr>
              <w:t>GST distribution</w:t>
            </w:r>
          </w:p>
        </w:tc>
      </w:tr>
      <w:tr w:rsidR="00DF288F" w:rsidRPr="00DF288F" w14:paraId="2DCA95E7" w14:textId="77777777" w:rsidTr="00DF288F">
        <w:trPr>
          <w:trHeight w:val="315"/>
        </w:trPr>
        <w:tc>
          <w:tcPr>
            <w:tcW w:w="2680" w:type="dxa"/>
            <w:tcBorders>
              <w:top w:val="nil"/>
              <w:left w:val="nil"/>
              <w:bottom w:val="single" w:sz="4" w:space="0" w:color="ADD6EA"/>
              <w:right w:val="nil"/>
            </w:tcBorders>
            <w:shd w:val="clear" w:color="000000" w:fill="006991"/>
            <w:noWrap/>
            <w:vAlign w:val="center"/>
            <w:hideMark/>
          </w:tcPr>
          <w:p w14:paraId="1E949DD1" w14:textId="77777777" w:rsidR="00DF288F" w:rsidRPr="00DF288F" w:rsidRDefault="00DF288F" w:rsidP="00DF288F">
            <w:pPr>
              <w:tabs>
                <w:tab w:val="clear" w:pos="567"/>
              </w:tabs>
              <w:spacing w:before="0" w:line="240" w:lineRule="auto"/>
              <w:rPr>
                <w:rFonts w:ascii="Open Sans Semibold" w:eastAsia="Times New Roman" w:hAnsi="Open Sans Semibold" w:cs="Open Sans Semibold"/>
                <w:color w:val="FFFFFF"/>
                <w:sz w:val="16"/>
                <w:szCs w:val="16"/>
                <w:lang w:eastAsia="en-AU"/>
              </w:rPr>
            </w:pPr>
            <w:r w:rsidRPr="00DF288F">
              <w:rPr>
                <w:rFonts w:ascii="Open Sans Semibold" w:eastAsia="Times New Roman" w:hAnsi="Open Sans Semibold" w:cs="Open Sans Semibold"/>
                <w:color w:val="FFFFFF"/>
                <w:sz w:val="16"/>
                <w:szCs w:val="16"/>
                <w:lang w:eastAsia="en-AU"/>
              </w:rPr>
              <w:t> </w:t>
            </w:r>
          </w:p>
        </w:tc>
        <w:tc>
          <w:tcPr>
            <w:tcW w:w="1040" w:type="dxa"/>
            <w:tcBorders>
              <w:top w:val="nil"/>
              <w:left w:val="nil"/>
              <w:bottom w:val="single" w:sz="4" w:space="0" w:color="ADD6EA"/>
              <w:right w:val="nil"/>
            </w:tcBorders>
            <w:shd w:val="clear" w:color="000000" w:fill="006991"/>
            <w:noWrap/>
            <w:vAlign w:val="center"/>
            <w:hideMark/>
          </w:tcPr>
          <w:p w14:paraId="46772867" w14:textId="5E104616" w:rsidR="00DF288F" w:rsidRPr="00DF288F" w:rsidRDefault="00DF288F" w:rsidP="00DF288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F288F">
              <w:rPr>
                <w:rFonts w:ascii="Open Sans Semibold" w:eastAsia="Times New Roman" w:hAnsi="Open Sans Semibold" w:cs="Open Sans Semibold"/>
                <w:color w:val="FFFFFF"/>
                <w:sz w:val="16"/>
                <w:szCs w:val="16"/>
                <w:lang w:eastAsia="en-AU"/>
              </w:rPr>
              <w:t>2021</w:t>
            </w:r>
            <w:r>
              <w:rPr>
                <w:rFonts w:ascii="Open Sans Semibold" w:eastAsia="Times New Roman" w:hAnsi="Open Sans Semibold" w:cs="Open Sans Semibold"/>
                <w:color w:val="FFFFFF"/>
                <w:sz w:val="16"/>
                <w:szCs w:val="16"/>
                <w:lang w:eastAsia="en-AU"/>
              </w:rPr>
              <w:t>–</w:t>
            </w:r>
            <w:r w:rsidRPr="00DF288F">
              <w:rPr>
                <w:rFonts w:ascii="Open Sans Semibold" w:eastAsia="Times New Roman" w:hAnsi="Open Sans Semibold" w:cs="Open Sans Semibold"/>
                <w:color w:val="FFFFFF"/>
                <w:sz w:val="16"/>
                <w:szCs w:val="16"/>
                <w:lang w:eastAsia="en-AU"/>
              </w:rPr>
              <w:t>22</w:t>
            </w:r>
          </w:p>
        </w:tc>
        <w:tc>
          <w:tcPr>
            <w:tcW w:w="1040" w:type="dxa"/>
            <w:tcBorders>
              <w:top w:val="nil"/>
              <w:left w:val="nil"/>
              <w:bottom w:val="single" w:sz="4" w:space="0" w:color="ADD6EA"/>
              <w:right w:val="nil"/>
            </w:tcBorders>
            <w:shd w:val="clear" w:color="000000" w:fill="006991"/>
            <w:noWrap/>
            <w:vAlign w:val="center"/>
            <w:hideMark/>
          </w:tcPr>
          <w:p w14:paraId="6455CA36" w14:textId="70EE422A" w:rsidR="00DF288F" w:rsidRPr="00DF288F" w:rsidRDefault="00DF288F" w:rsidP="00DF288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F288F">
              <w:rPr>
                <w:rFonts w:ascii="Open Sans Semibold" w:eastAsia="Times New Roman" w:hAnsi="Open Sans Semibold" w:cs="Open Sans Semibold"/>
                <w:color w:val="FFFFFF"/>
                <w:sz w:val="16"/>
                <w:szCs w:val="16"/>
                <w:lang w:eastAsia="en-AU"/>
              </w:rPr>
              <w:t>2022</w:t>
            </w:r>
            <w:r>
              <w:rPr>
                <w:rFonts w:ascii="Open Sans Semibold" w:eastAsia="Times New Roman" w:hAnsi="Open Sans Semibold" w:cs="Open Sans Semibold"/>
                <w:color w:val="FFFFFF"/>
                <w:sz w:val="16"/>
                <w:szCs w:val="16"/>
                <w:lang w:eastAsia="en-AU"/>
              </w:rPr>
              <w:t>–</w:t>
            </w:r>
            <w:r w:rsidRPr="00DF288F">
              <w:rPr>
                <w:rFonts w:ascii="Open Sans Semibold" w:eastAsia="Times New Roman" w:hAnsi="Open Sans Semibold" w:cs="Open Sans Semibold"/>
                <w:color w:val="FFFFFF"/>
                <w:sz w:val="16"/>
                <w:szCs w:val="16"/>
                <w:lang w:eastAsia="en-AU"/>
              </w:rPr>
              <w:t>23</w:t>
            </w:r>
          </w:p>
        </w:tc>
        <w:tc>
          <w:tcPr>
            <w:tcW w:w="1040" w:type="dxa"/>
            <w:tcBorders>
              <w:top w:val="nil"/>
              <w:left w:val="nil"/>
              <w:bottom w:val="single" w:sz="4" w:space="0" w:color="ADD6EA"/>
              <w:right w:val="nil"/>
            </w:tcBorders>
            <w:shd w:val="clear" w:color="000000" w:fill="006991"/>
            <w:noWrap/>
            <w:vAlign w:val="center"/>
            <w:hideMark/>
          </w:tcPr>
          <w:p w14:paraId="4A3B6ECE" w14:textId="1D289BF6" w:rsidR="00DF288F" w:rsidRPr="00DF288F" w:rsidRDefault="00DF288F" w:rsidP="00DF288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F288F">
              <w:rPr>
                <w:rFonts w:ascii="Open Sans Semibold" w:eastAsia="Times New Roman" w:hAnsi="Open Sans Semibold" w:cs="Open Sans Semibold"/>
                <w:color w:val="FFFFFF"/>
                <w:sz w:val="16"/>
                <w:szCs w:val="16"/>
                <w:lang w:eastAsia="en-AU"/>
              </w:rPr>
              <w:t>2021</w:t>
            </w:r>
            <w:r>
              <w:rPr>
                <w:rFonts w:ascii="Open Sans Semibold" w:eastAsia="Times New Roman" w:hAnsi="Open Sans Semibold" w:cs="Open Sans Semibold"/>
                <w:color w:val="FFFFFF"/>
                <w:sz w:val="16"/>
                <w:szCs w:val="16"/>
                <w:lang w:eastAsia="en-AU"/>
              </w:rPr>
              <w:t>–</w:t>
            </w:r>
            <w:r w:rsidRPr="00DF288F">
              <w:rPr>
                <w:rFonts w:ascii="Open Sans Semibold" w:eastAsia="Times New Roman" w:hAnsi="Open Sans Semibold" w:cs="Open Sans Semibold"/>
                <w:color w:val="FFFFFF"/>
                <w:sz w:val="16"/>
                <w:szCs w:val="16"/>
                <w:lang w:eastAsia="en-AU"/>
              </w:rPr>
              <w:t>22</w:t>
            </w:r>
          </w:p>
        </w:tc>
        <w:tc>
          <w:tcPr>
            <w:tcW w:w="1040" w:type="dxa"/>
            <w:tcBorders>
              <w:top w:val="nil"/>
              <w:left w:val="nil"/>
              <w:bottom w:val="single" w:sz="4" w:space="0" w:color="ADD6EA"/>
              <w:right w:val="nil"/>
            </w:tcBorders>
            <w:shd w:val="clear" w:color="000000" w:fill="006991"/>
            <w:noWrap/>
            <w:vAlign w:val="center"/>
            <w:hideMark/>
          </w:tcPr>
          <w:p w14:paraId="6516B1F8" w14:textId="60460071" w:rsidR="00DF288F" w:rsidRPr="00DF288F" w:rsidRDefault="00DF288F" w:rsidP="00DF288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F288F">
              <w:rPr>
                <w:rFonts w:ascii="Open Sans Semibold" w:eastAsia="Times New Roman" w:hAnsi="Open Sans Semibold" w:cs="Open Sans Semibold"/>
                <w:color w:val="FFFFFF"/>
                <w:sz w:val="16"/>
                <w:szCs w:val="16"/>
                <w:lang w:eastAsia="en-AU"/>
              </w:rPr>
              <w:t>2022</w:t>
            </w:r>
            <w:r>
              <w:rPr>
                <w:rFonts w:ascii="Open Sans Semibold" w:eastAsia="Times New Roman" w:hAnsi="Open Sans Semibold" w:cs="Open Sans Semibold"/>
                <w:color w:val="FFFFFF"/>
                <w:sz w:val="16"/>
                <w:szCs w:val="16"/>
                <w:lang w:eastAsia="en-AU"/>
              </w:rPr>
              <w:t>–</w:t>
            </w:r>
            <w:r w:rsidRPr="00DF288F">
              <w:rPr>
                <w:rFonts w:ascii="Open Sans Semibold" w:eastAsia="Times New Roman" w:hAnsi="Open Sans Semibold" w:cs="Open Sans Semibold"/>
                <w:color w:val="FFFFFF"/>
                <w:sz w:val="16"/>
                <w:szCs w:val="16"/>
                <w:lang w:eastAsia="en-AU"/>
              </w:rPr>
              <w:t>23</w:t>
            </w:r>
          </w:p>
        </w:tc>
        <w:tc>
          <w:tcPr>
            <w:tcW w:w="1040" w:type="dxa"/>
            <w:tcBorders>
              <w:top w:val="nil"/>
              <w:left w:val="nil"/>
              <w:bottom w:val="single" w:sz="4" w:space="0" w:color="ADD6EA"/>
              <w:right w:val="nil"/>
            </w:tcBorders>
            <w:shd w:val="clear" w:color="000000" w:fill="006991"/>
            <w:noWrap/>
            <w:vAlign w:val="center"/>
            <w:hideMark/>
          </w:tcPr>
          <w:p w14:paraId="32B66ED5" w14:textId="2AB42A4E" w:rsidR="00DF288F" w:rsidRPr="00DF288F" w:rsidRDefault="00DF288F" w:rsidP="00DF288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F288F">
              <w:rPr>
                <w:rFonts w:ascii="Open Sans Semibold" w:eastAsia="Times New Roman" w:hAnsi="Open Sans Semibold" w:cs="Open Sans Semibold"/>
                <w:color w:val="FFFFFF"/>
                <w:sz w:val="16"/>
                <w:szCs w:val="16"/>
                <w:lang w:eastAsia="en-AU"/>
              </w:rPr>
              <w:t>2021</w:t>
            </w:r>
            <w:r>
              <w:rPr>
                <w:rFonts w:ascii="Open Sans Semibold" w:eastAsia="Times New Roman" w:hAnsi="Open Sans Semibold" w:cs="Open Sans Semibold"/>
                <w:color w:val="FFFFFF"/>
                <w:sz w:val="16"/>
                <w:szCs w:val="16"/>
                <w:lang w:eastAsia="en-AU"/>
              </w:rPr>
              <w:t>–</w:t>
            </w:r>
            <w:r w:rsidRPr="00DF288F">
              <w:rPr>
                <w:rFonts w:ascii="Open Sans Semibold" w:eastAsia="Times New Roman" w:hAnsi="Open Sans Semibold" w:cs="Open Sans Semibold"/>
                <w:color w:val="FFFFFF"/>
                <w:sz w:val="16"/>
                <w:szCs w:val="16"/>
                <w:lang w:eastAsia="en-AU"/>
              </w:rPr>
              <w:t>22</w:t>
            </w:r>
          </w:p>
        </w:tc>
        <w:tc>
          <w:tcPr>
            <w:tcW w:w="1040" w:type="dxa"/>
            <w:tcBorders>
              <w:top w:val="nil"/>
              <w:left w:val="nil"/>
              <w:bottom w:val="single" w:sz="4" w:space="0" w:color="ADD6EA"/>
              <w:right w:val="nil"/>
            </w:tcBorders>
            <w:shd w:val="clear" w:color="000000" w:fill="006991"/>
            <w:noWrap/>
            <w:vAlign w:val="center"/>
            <w:hideMark/>
          </w:tcPr>
          <w:p w14:paraId="1BC69EE6" w14:textId="75EB434C" w:rsidR="00DF288F" w:rsidRPr="00DF288F" w:rsidRDefault="00DF288F" w:rsidP="00DF288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F288F">
              <w:rPr>
                <w:rFonts w:ascii="Open Sans Semibold" w:eastAsia="Times New Roman" w:hAnsi="Open Sans Semibold" w:cs="Open Sans Semibold"/>
                <w:color w:val="FFFFFF"/>
                <w:sz w:val="16"/>
                <w:szCs w:val="16"/>
                <w:lang w:eastAsia="en-AU"/>
              </w:rPr>
              <w:t>2022</w:t>
            </w:r>
            <w:r>
              <w:rPr>
                <w:rFonts w:ascii="Open Sans Semibold" w:eastAsia="Times New Roman" w:hAnsi="Open Sans Semibold" w:cs="Open Sans Semibold"/>
                <w:color w:val="FFFFFF"/>
                <w:sz w:val="16"/>
                <w:szCs w:val="16"/>
                <w:lang w:eastAsia="en-AU"/>
              </w:rPr>
              <w:t>–</w:t>
            </w:r>
            <w:r w:rsidRPr="00DF288F">
              <w:rPr>
                <w:rFonts w:ascii="Open Sans Semibold" w:eastAsia="Times New Roman" w:hAnsi="Open Sans Semibold" w:cs="Open Sans Semibold"/>
                <w:color w:val="FFFFFF"/>
                <w:sz w:val="16"/>
                <w:szCs w:val="16"/>
                <w:lang w:eastAsia="en-AU"/>
              </w:rPr>
              <w:t>23</w:t>
            </w:r>
          </w:p>
        </w:tc>
      </w:tr>
      <w:tr w:rsidR="00DF288F" w:rsidRPr="00DF288F" w14:paraId="382D2A51" w14:textId="77777777" w:rsidTr="00DF288F">
        <w:trPr>
          <w:trHeight w:val="259"/>
        </w:trPr>
        <w:tc>
          <w:tcPr>
            <w:tcW w:w="2680" w:type="dxa"/>
            <w:tcBorders>
              <w:top w:val="nil"/>
              <w:left w:val="nil"/>
              <w:bottom w:val="single" w:sz="4" w:space="0" w:color="ADD6EA"/>
              <w:right w:val="nil"/>
            </w:tcBorders>
            <w:shd w:val="clear" w:color="000000" w:fill="B6D5E4"/>
            <w:noWrap/>
            <w:vAlign w:val="center"/>
            <w:hideMark/>
          </w:tcPr>
          <w:p w14:paraId="4FE5892C" w14:textId="77777777" w:rsidR="00DF288F" w:rsidRPr="00DF288F" w:rsidRDefault="00DF288F" w:rsidP="00DF288F">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r w:rsidRPr="00DF288F">
              <w:rPr>
                <w:rFonts w:ascii="Open Sans Semibold" w:eastAsia="Times New Roman" w:hAnsi="Open Sans Semibold" w:cs="Open Sans Semibold"/>
                <w:color w:val="000000"/>
                <w:sz w:val="16"/>
                <w:szCs w:val="16"/>
                <w:lang w:eastAsia="en-AU"/>
              </w:rPr>
              <w:t> </w:t>
            </w:r>
          </w:p>
        </w:tc>
        <w:tc>
          <w:tcPr>
            <w:tcW w:w="1040" w:type="dxa"/>
            <w:tcBorders>
              <w:top w:val="nil"/>
              <w:left w:val="nil"/>
              <w:bottom w:val="single" w:sz="4" w:space="0" w:color="ADD6EA"/>
              <w:right w:val="nil"/>
            </w:tcBorders>
            <w:shd w:val="clear" w:color="000000" w:fill="B6D5E4"/>
            <w:noWrap/>
            <w:vAlign w:val="center"/>
            <w:hideMark/>
          </w:tcPr>
          <w:p w14:paraId="33CC370D" w14:textId="77777777" w:rsidR="00DF288F" w:rsidRPr="00DF288F" w:rsidRDefault="00DF288F" w:rsidP="00DF288F">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r w:rsidRPr="00DF288F">
              <w:rPr>
                <w:rFonts w:ascii="Open Sans Semibold" w:eastAsia="Times New Roman" w:hAnsi="Open Sans Semibold" w:cs="Open Sans Semibold"/>
                <w:color w:val="000000"/>
                <w:sz w:val="16"/>
                <w:szCs w:val="16"/>
                <w:lang w:eastAsia="en-AU"/>
              </w:rPr>
              <w:t> </w:t>
            </w:r>
          </w:p>
        </w:tc>
        <w:tc>
          <w:tcPr>
            <w:tcW w:w="1040" w:type="dxa"/>
            <w:tcBorders>
              <w:top w:val="nil"/>
              <w:left w:val="nil"/>
              <w:bottom w:val="single" w:sz="4" w:space="0" w:color="ADD6EA"/>
              <w:right w:val="nil"/>
            </w:tcBorders>
            <w:shd w:val="clear" w:color="000000" w:fill="B6D5E4"/>
            <w:noWrap/>
            <w:vAlign w:val="center"/>
            <w:hideMark/>
          </w:tcPr>
          <w:p w14:paraId="3C68ADF0" w14:textId="77777777" w:rsidR="00DF288F" w:rsidRPr="00DF288F" w:rsidRDefault="00DF288F" w:rsidP="00DF288F">
            <w:pPr>
              <w:tabs>
                <w:tab w:val="clear" w:pos="567"/>
              </w:tabs>
              <w:spacing w:before="0" w:line="240" w:lineRule="auto"/>
              <w:jc w:val="center"/>
              <w:rPr>
                <w:rFonts w:ascii="Open Sans Semibold" w:eastAsia="Times New Roman" w:hAnsi="Open Sans Semibold" w:cs="Open Sans Semibold"/>
                <w:color w:val="000000"/>
                <w:sz w:val="16"/>
                <w:szCs w:val="16"/>
                <w:lang w:eastAsia="en-AU"/>
              </w:rPr>
            </w:pPr>
            <w:r w:rsidRPr="00DF288F">
              <w:rPr>
                <w:rFonts w:ascii="Open Sans Semibold" w:eastAsia="Times New Roman" w:hAnsi="Open Sans Semibold" w:cs="Open Sans Semibold"/>
                <w:color w:val="000000"/>
                <w:sz w:val="16"/>
                <w:szCs w:val="16"/>
                <w:lang w:eastAsia="en-AU"/>
              </w:rPr>
              <w:t> </w:t>
            </w:r>
          </w:p>
        </w:tc>
        <w:tc>
          <w:tcPr>
            <w:tcW w:w="1040" w:type="dxa"/>
            <w:tcBorders>
              <w:top w:val="nil"/>
              <w:left w:val="nil"/>
              <w:bottom w:val="single" w:sz="4" w:space="0" w:color="ADD6EA"/>
              <w:right w:val="nil"/>
            </w:tcBorders>
            <w:shd w:val="clear" w:color="000000" w:fill="B6D5E4"/>
            <w:noWrap/>
            <w:vAlign w:val="center"/>
            <w:hideMark/>
          </w:tcPr>
          <w:p w14:paraId="16E59D37" w14:textId="77777777" w:rsidR="00DF288F" w:rsidRPr="00DF288F" w:rsidRDefault="00DF288F" w:rsidP="00DF288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F288F">
              <w:rPr>
                <w:rFonts w:ascii="Open Sans Semibold" w:eastAsia="Times New Roman" w:hAnsi="Open Sans Semibold" w:cs="Open Sans Semibold"/>
                <w:color w:val="000000"/>
                <w:sz w:val="16"/>
                <w:szCs w:val="16"/>
                <w:lang w:eastAsia="en-AU"/>
              </w:rPr>
              <w:t>%</w:t>
            </w:r>
          </w:p>
        </w:tc>
        <w:tc>
          <w:tcPr>
            <w:tcW w:w="1040" w:type="dxa"/>
            <w:tcBorders>
              <w:top w:val="nil"/>
              <w:left w:val="nil"/>
              <w:bottom w:val="single" w:sz="4" w:space="0" w:color="ADD6EA"/>
              <w:right w:val="nil"/>
            </w:tcBorders>
            <w:shd w:val="clear" w:color="000000" w:fill="B6D5E4"/>
            <w:noWrap/>
            <w:vAlign w:val="center"/>
            <w:hideMark/>
          </w:tcPr>
          <w:p w14:paraId="01CD1655" w14:textId="77777777" w:rsidR="00DF288F" w:rsidRPr="00DF288F" w:rsidRDefault="00DF288F" w:rsidP="00DF288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F288F">
              <w:rPr>
                <w:rFonts w:ascii="Open Sans Semibold" w:eastAsia="Times New Roman" w:hAnsi="Open Sans Semibold" w:cs="Open Sans Semibold"/>
                <w:color w:val="000000"/>
                <w:sz w:val="16"/>
                <w:szCs w:val="16"/>
                <w:lang w:eastAsia="en-AU"/>
              </w:rPr>
              <w:t>%</w:t>
            </w:r>
          </w:p>
        </w:tc>
        <w:tc>
          <w:tcPr>
            <w:tcW w:w="1040" w:type="dxa"/>
            <w:tcBorders>
              <w:top w:val="nil"/>
              <w:left w:val="nil"/>
              <w:bottom w:val="single" w:sz="4" w:space="0" w:color="ADD6EA"/>
              <w:right w:val="nil"/>
            </w:tcBorders>
            <w:shd w:val="clear" w:color="000000" w:fill="B6D5E4"/>
            <w:noWrap/>
            <w:vAlign w:val="center"/>
            <w:hideMark/>
          </w:tcPr>
          <w:p w14:paraId="33DE7C11" w14:textId="77777777" w:rsidR="00DF288F" w:rsidRPr="00DF288F" w:rsidRDefault="00DF288F" w:rsidP="00DF288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F288F">
              <w:rPr>
                <w:rFonts w:ascii="Open Sans Semibold" w:eastAsia="Times New Roman" w:hAnsi="Open Sans Semibold" w:cs="Open Sans Semibold"/>
                <w:color w:val="000000"/>
                <w:sz w:val="16"/>
                <w:szCs w:val="16"/>
                <w:lang w:eastAsia="en-AU"/>
              </w:rPr>
              <w:t>$m</w:t>
            </w:r>
          </w:p>
        </w:tc>
        <w:tc>
          <w:tcPr>
            <w:tcW w:w="1040" w:type="dxa"/>
            <w:tcBorders>
              <w:top w:val="nil"/>
              <w:left w:val="nil"/>
              <w:bottom w:val="single" w:sz="4" w:space="0" w:color="ADD6EA"/>
              <w:right w:val="nil"/>
            </w:tcBorders>
            <w:shd w:val="clear" w:color="000000" w:fill="B6D5E4"/>
            <w:noWrap/>
            <w:vAlign w:val="center"/>
            <w:hideMark/>
          </w:tcPr>
          <w:p w14:paraId="794A7310" w14:textId="77777777" w:rsidR="00DF288F" w:rsidRPr="00DF288F" w:rsidRDefault="00DF288F" w:rsidP="00DF288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F288F">
              <w:rPr>
                <w:rFonts w:ascii="Open Sans Semibold" w:eastAsia="Times New Roman" w:hAnsi="Open Sans Semibold" w:cs="Open Sans Semibold"/>
                <w:color w:val="000000"/>
                <w:sz w:val="16"/>
                <w:szCs w:val="16"/>
                <w:lang w:eastAsia="en-AU"/>
              </w:rPr>
              <w:t>$m</w:t>
            </w:r>
          </w:p>
        </w:tc>
      </w:tr>
      <w:tr w:rsidR="00DF288F" w:rsidRPr="00DF288F" w14:paraId="6AC0032D" w14:textId="77777777" w:rsidTr="00DF288F">
        <w:trPr>
          <w:trHeight w:val="315"/>
        </w:trPr>
        <w:tc>
          <w:tcPr>
            <w:tcW w:w="2680" w:type="dxa"/>
            <w:tcBorders>
              <w:top w:val="nil"/>
              <w:left w:val="nil"/>
              <w:bottom w:val="single" w:sz="4" w:space="0" w:color="ADD6EA"/>
              <w:right w:val="nil"/>
            </w:tcBorders>
            <w:shd w:val="clear" w:color="auto" w:fill="auto"/>
            <w:vAlign w:val="bottom"/>
            <w:hideMark/>
          </w:tcPr>
          <w:p w14:paraId="37BD48DB" w14:textId="77777777" w:rsidR="00DF288F" w:rsidRPr="00DF288F" w:rsidRDefault="00DF288F" w:rsidP="00DF288F">
            <w:pPr>
              <w:tabs>
                <w:tab w:val="clear" w:pos="567"/>
              </w:tabs>
              <w:spacing w:before="0" w:line="240" w:lineRule="auto"/>
              <w:rPr>
                <w:rFonts w:eastAsia="Times New Roman" w:cs="Open Sans Light"/>
                <w:sz w:val="16"/>
                <w:szCs w:val="16"/>
                <w:lang w:eastAsia="en-AU"/>
              </w:rPr>
            </w:pPr>
            <w:r w:rsidRPr="00DF288F">
              <w:rPr>
                <w:rFonts w:eastAsia="Times New Roman" w:cs="Open Sans Light"/>
                <w:sz w:val="16"/>
                <w:szCs w:val="16"/>
                <w:lang w:eastAsia="en-AU"/>
              </w:rPr>
              <w:t>New South Wales</w:t>
            </w:r>
          </w:p>
        </w:tc>
        <w:tc>
          <w:tcPr>
            <w:tcW w:w="1040" w:type="dxa"/>
            <w:tcBorders>
              <w:top w:val="nil"/>
              <w:left w:val="nil"/>
              <w:bottom w:val="single" w:sz="4" w:space="0" w:color="ADD6EA"/>
              <w:right w:val="nil"/>
            </w:tcBorders>
            <w:shd w:val="clear" w:color="auto" w:fill="auto"/>
            <w:vAlign w:val="bottom"/>
            <w:hideMark/>
          </w:tcPr>
          <w:p w14:paraId="73A0D4D2"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0.95617</w:t>
            </w:r>
          </w:p>
        </w:tc>
        <w:tc>
          <w:tcPr>
            <w:tcW w:w="1040" w:type="dxa"/>
            <w:tcBorders>
              <w:top w:val="nil"/>
              <w:left w:val="nil"/>
              <w:bottom w:val="single" w:sz="4" w:space="0" w:color="ADD6EA"/>
              <w:right w:val="nil"/>
            </w:tcBorders>
            <w:shd w:val="clear" w:color="000000" w:fill="D6E7F0"/>
            <w:vAlign w:val="bottom"/>
            <w:hideMark/>
          </w:tcPr>
          <w:p w14:paraId="7C115F44"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0.95065</w:t>
            </w:r>
          </w:p>
        </w:tc>
        <w:tc>
          <w:tcPr>
            <w:tcW w:w="1040" w:type="dxa"/>
            <w:tcBorders>
              <w:top w:val="nil"/>
              <w:left w:val="nil"/>
              <w:bottom w:val="single" w:sz="4" w:space="0" w:color="ADD6EA"/>
              <w:right w:val="nil"/>
            </w:tcBorders>
            <w:shd w:val="clear" w:color="auto" w:fill="auto"/>
            <w:vAlign w:val="bottom"/>
            <w:hideMark/>
          </w:tcPr>
          <w:p w14:paraId="4180B1F5"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30.3</w:t>
            </w:r>
          </w:p>
        </w:tc>
        <w:tc>
          <w:tcPr>
            <w:tcW w:w="1040" w:type="dxa"/>
            <w:tcBorders>
              <w:top w:val="nil"/>
              <w:left w:val="nil"/>
              <w:bottom w:val="single" w:sz="4" w:space="0" w:color="ADD6EA"/>
              <w:right w:val="nil"/>
            </w:tcBorders>
            <w:shd w:val="clear" w:color="000000" w:fill="D6E7F0"/>
            <w:vAlign w:val="bottom"/>
            <w:hideMark/>
          </w:tcPr>
          <w:p w14:paraId="0137E065"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30.0</w:t>
            </w:r>
          </w:p>
        </w:tc>
        <w:tc>
          <w:tcPr>
            <w:tcW w:w="1040" w:type="dxa"/>
            <w:tcBorders>
              <w:top w:val="nil"/>
              <w:left w:val="nil"/>
              <w:bottom w:val="single" w:sz="4" w:space="0" w:color="ADD6EA"/>
              <w:right w:val="nil"/>
            </w:tcBorders>
            <w:shd w:val="clear" w:color="auto" w:fill="auto"/>
            <w:vAlign w:val="bottom"/>
            <w:hideMark/>
          </w:tcPr>
          <w:p w14:paraId="57A834BE"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22,107</w:t>
            </w:r>
          </w:p>
        </w:tc>
        <w:tc>
          <w:tcPr>
            <w:tcW w:w="1040" w:type="dxa"/>
            <w:tcBorders>
              <w:top w:val="nil"/>
              <w:left w:val="nil"/>
              <w:bottom w:val="single" w:sz="4" w:space="0" w:color="ADD6EA"/>
              <w:right w:val="nil"/>
            </w:tcBorders>
            <w:shd w:val="clear" w:color="000000" w:fill="D6E7F0"/>
            <w:vAlign w:val="bottom"/>
            <w:hideMark/>
          </w:tcPr>
          <w:p w14:paraId="6AFC43C0"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23,218</w:t>
            </w:r>
          </w:p>
        </w:tc>
      </w:tr>
      <w:tr w:rsidR="00DF288F" w:rsidRPr="00DF288F" w14:paraId="5459BC59" w14:textId="77777777" w:rsidTr="00DF288F">
        <w:trPr>
          <w:trHeight w:val="315"/>
        </w:trPr>
        <w:tc>
          <w:tcPr>
            <w:tcW w:w="2680" w:type="dxa"/>
            <w:tcBorders>
              <w:top w:val="nil"/>
              <w:left w:val="nil"/>
              <w:bottom w:val="single" w:sz="4" w:space="0" w:color="ADD6EA"/>
              <w:right w:val="nil"/>
            </w:tcBorders>
            <w:shd w:val="clear" w:color="auto" w:fill="auto"/>
            <w:vAlign w:val="bottom"/>
            <w:hideMark/>
          </w:tcPr>
          <w:p w14:paraId="6346BAE0" w14:textId="77777777" w:rsidR="00DF288F" w:rsidRPr="00DF288F" w:rsidRDefault="00DF288F" w:rsidP="00DF288F">
            <w:pPr>
              <w:tabs>
                <w:tab w:val="clear" w:pos="567"/>
              </w:tabs>
              <w:spacing w:before="0" w:line="240" w:lineRule="auto"/>
              <w:rPr>
                <w:rFonts w:eastAsia="Times New Roman" w:cs="Open Sans Light"/>
                <w:sz w:val="16"/>
                <w:szCs w:val="16"/>
                <w:lang w:eastAsia="en-AU"/>
              </w:rPr>
            </w:pPr>
            <w:r w:rsidRPr="00DF288F">
              <w:rPr>
                <w:rFonts w:eastAsia="Times New Roman" w:cs="Open Sans Light"/>
                <w:sz w:val="16"/>
                <w:szCs w:val="16"/>
                <w:lang w:eastAsia="en-AU"/>
              </w:rPr>
              <w:t>Victoria</w:t>
            </w:r>
          </w:p>
        </w:tc>
        <w:tc>
          <w:tcPr>
            <w:tcW w:w="1040" w:type="dxa"/>
            <w:tcBorders>
              <w:top w:val="nil"/>
              <w:left w:val="nil"/>
              <w:bottom w:val="single" w:sz="4" w:space="0" w:color="ADD6EA"/>
              <w:right w:val="nil"/>
            </w:tcBorders>
            <w:shd w:val="clear" w:color="auto" w:fill="auto"/>
            <w:vAlign w:val="bottom"/>
            <w:hideMark/>
          </w:tcPr>
          <w:p w14:paraId="2B7C01F0"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0.92335</w:t>
            </w:r>
          </w:p>
        </w:tc>
        <w:tc>
          <w:tcPr>
            <w:tcW w:w="1040" w:type="dxa"/>
            <w:tcBorders>
              <w:top w:val="nil"/>
              <w:left w:val="nil"/>
              <w:bottom w:val="single" w:sz="4" w:space="0" w:color="ADD6EA"/>
              <w:right w:val="nil"/>
            </w:tcBorders>
            <w:shd w:val="clear" w:color="000000" w:fill="D6E7F0"/>
            <w:vAlign w:val="bottom"/>
            <w:hideMark/>
          </w:tcPr>
          <w:p w14:paraId="4F631081"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0.85861</w:t>
            </w:r>
          </w:p>
        </w:tc>
        <w:tc>
          <w:tcPr>
            <w:tcW w:w="1040" w:type="dxa"/>
            <w:tcBorders>
              <w:top w:val="nil"/>
              <w:left w:val="nil"/>
              <w:bottom w:val="single" w:sz="4" w:space="0" w:color="ADD6EA"/>
              <w:right w:val="nil"/>
            </w:tcBorders>
            <w:shd w:val="clear" w:color="auto" w:fill="auto"/>
            <w:vAlign w:val="bottom"/>
            <w:hideMark/>
          </w:tcPr>
          <w:p w14:paraId="267D072C"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23.8</w:t>
            </w:r>
          </w:p>
        </w:tc>
        <w:tc>
          <w:tcPr>
            <w:tcW w:w="1040" w:type="dxa"/>
            <w:tcBorders>
              <w:top w:val="nil"/>
              <w:left w:val="nil"/>
              <w:bottom w:val="single" w:sz="4" w:space="0" w:color="ADD6EA"/>
              <w:right w:val="nil"/>
            </w:tcBorders>
            <w:shd w:val="clear" w:color="000000" w:fill="D6E7F0"/>
            <w:vAlign w:val="bottom"/>
            <w:hideMark/>
          </w:tcPr>
          <w:p w14:paraId="2588E273"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22.2</w:t>
            </w:r>
          </w:p>
        </w:tc>
        <w:tc>
          <w:tcPr>
            <w:tcW w:w="1040" w:type="dxa"/>
            <w:tcBorders>
              <w:top w:val="nil"/>
              <w:left w:val="nil"/>
              <w:bottom w:val="single" w:sz="4" w:space="0" w:color="ADD6EA"/>
              <w:right w:val="nil"/>
            </w:tcBorders>
            <w:shd w:val="clear" w:color="auto" w:fill="auto"/>
            <w:vAlign w:val="bottom"/>
            <w:hideMark/>
          </w:tcPr>
          <w:p w14:paraId="0F6429DA"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17,411</w:t>
            </w:r>
          </w:p>
        </w:tc>
        <w:tc>
          <w:tcPr>
            <w:tcW w:w="1040" w:type="dxa"/>
            <w:tcBorders>
              <w:top w:val="nil"/>
              <w:left w:val="nil"/>
              <w:bottom w:val="single" w:sz="4" w:space="0" w:color="ADD6EA"/>
              <w:right w:val="nil"/>
            </w:tcBorders>
            <w:shd w:val="clear" w:color="000000" w:fill="D6E7F0"/>
            <w:vAlign w:val="bottom"/>
            <w:hideMark/>
          </w:tcPr>
          <w:p w14:paraId="10A63C08"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17,167</w:t>
            </w:r>
          </w:p>
        </w:tc>
      </w:tr>
      <w:tr w:rsidR="00DF288F" w:rsidRPr="00DF288F" w14:paraId="334C072C" w14:textId="77777777" w:rsidTr="00DF288F">
        <w:trPr>
          <w:trHeight w:val="315"/>
        </w:trPr>
        <w:tc>
          <w:tcPr>
            <w:tcW w:w="2680" w:type="dxa"/>
            <w:tcBorders>
              <w:top w:val="nil"/>
              <w:left w:val="nil"/>
              <w:bottom w:val="single" w:sz="4" w:space="0" w:color="ADD6EA"/>
              <w:right w:val="nil"/>
            </w:tcBorders>
            <w:shd w:val="clear" w:color="auto" w:fill="auto"/>
            <w:vAlign w:val="bottom"/>
            <w:hideMark/>
          </w:tcPr>
          <w:p w14:paraId="119B7A14" w14:textId="77777777" w:rsidR="00DF288F" w:rsidRPr="00DF288F" w:rsidRDefault="00DF288F" w:rsidP="00DF288F">
            <w:pPr>
              <w:tabs>
                <w:tab w:val="clear" w:pos="567"/>
              </w:tabs>
              <w:spacing w:before="0" w:line="240" w:lineRule="auto"/>
              <w:rPr>
                <w:rFonts w:eastAsia="Times New Roman" w:cs="Open Sans Light"/>
                <w:sz w:val="16"/>
                <w:szCs w:val="16"/>
                <w:lang w:eastAsia="en-AU"/>
              </w:rPr>
            </w:pPr>
            <w:r w:rsidRPr="00DF288F">
              <w:rPr>
                <w:rFonts w:eastAsia="Times New Roman" w:cs="Open Sans Light"/>
                <w:sz w:val="16"/>
                <w:szCs w:val="16"/>
                <w:lang w:eastAsia="en-AU"/>
              </w:rPr>
              <w:t>Queensland</w:t>
            </w:r>
          </w:p>
        </w:tc>
        <w:tc>
          <w:tcPr>
            <w:tcW w:w="1040" w:type="dxa"/>
            <w:tcBorders>
              <w:top w:val="nil"/>
              <w:left w:val="nil"/>
              <w:bottom w:val="single" w:sz="4" w:space="0" w:color="ADD6EA"/>
              <w:right w:val="nil"/>
            </w:tcBorders>
            <w:shd w:val="clear" w:color="auto" w:fill="auto"/>
            <w:vAlign w:val="bottom"/>
            <w:hideMark/>
          </w:tcPr>
          <w:p w14:paraId="14A6F948"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1.05918</w:t>
            </w:r>
          </w:p>
        </w:tc>
        <w:tc>
          <w:tcPr>
            <w:tcW w:w="1040" w:type="dxa"/>
            <w:tcBorders>
              <w:top w:val="nil"/>
              <w:left w:val="nil"/>
              <w:bottom w:val="single" w:sz="4" w:space="0" w:color="ADD6EA"/>
              <w:right w:val="nil"/>
            </w:tcBorders>
            <w:shd w:val="clear" w:color="000000" w:fill="D6E7F0"/>
            <w:vAlign w:val="bottom"/>
            <w:hideMark/>
          </w:tcPr>
          <w:p w14:paraId="64B5F27B"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1.03377</w:t>
            </w:r>
          </w:p>
        </w:tc>
        <w:tc>
          <w:tcPr>
            <w:tcW w:w="1040" w:type="dxa"/>
            <w:tcBorders>
              <w:top w:val="nil"/>
              <w:left w:val="nil"/>
              <w:bottom w:val="single" w:sz="4" w:space="0" w:color="ADD6EA"/>
              <w:right w:val="nil"/>
            </w:tcBorders>
            <w:shd w:val="clear" w:color="auto" w:fill="auto"/>
            <w:vAlign w:val="bottom"/>
            <w:hideMark/>
          </w:tcPr>
          <w:p w14:paraId="332442C8"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21.5</w:t>
            </w:r>
          </w:p>
        </w:tc>
        <w:tc>
          <w:tcPr>
            <w:tcW w:w="1040" w:type="dxa"/>
            <w:tcBorders>
              <w:top w:val="nil"/>
              <w:left w:val="nil"/>
              <w:bottom w:val="single" w:sz="4" w:space="0" w:color="ADD6EA"/>
              <w:right w:val="nil"/>
            </w:tcBorders>
            <w:shd w:val="clear" w:color="000000" w:fill="D6E7F0"/>
            <w:vAlign w:val="bottom"/>
            <w:hideMark/>
          </w:tcPr>
          <w:p w14:paraId="1122D44A"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21.2</w:t>
            </w:r>
          </w:p>
        </w:tc>
        <w:tc>
          <w:tcPr>
            <w:tcW w:w="1040" w:type="dxa"/>
            <w:tcBorders>
              <w:top w:val="nil"/>
              <w:left w:val="nil"/>
              <w:bottom w:val="single" w:sz="4" w:space="0" w:color="ADD6EA"/>
              <w:right w:val="nil"/>
            </w:tcBorders>
            <w:shd w:val="clear" w:color="auto" w:fill="auto"/>
            <w:vAlign w:val="bottom"/>
            <w:hideMark/>
          </w:tcPr>
          <w:p w14:paraId="0036E85D"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15,739</w:t>
            </w:r>
          </w:p>
        </w:tc>
        <w:tc>
          <w:tcPr>
            <w:tcW w:w="1040" w:type="dxa"/>
            <w:tcBorders>
              <w:top w:val="nil"/>
              <w:left w:val="nil"/>
              <w:bottom w:val="single" w:sz="4" w:space="0" w:color="ADD6EA"/>
              <w:right w:val="nil"/>
            </w:tcBorders>
            <w:shd w:val="clear" w:color="000000" w:fill="D6E7F0"/>
            <w:vAlign w:val="bottom"/>
            <w:hideMark/>
          </w:tcPr>
          <w:p w14:paraId="557CE437"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16,384</w:t>
            </w:r>
          </w:p>
        </w:tc>
      </w:tr>
      <w:tr w:rsidR="00DF288F" w:rsidRPr="00DF288F" w14:paraId="389B7075" w14:textId="77777777" w:rsidTr="00DF288F">
        <w:trPr>
          <w:trHeight w:val="315"/>
        </w:trPr>
        <w:tc>
          <w:tcPr>
            <w:tcW w:w="2680" w:type="dxa"/>
            <w:tcBorders>
              <w:top w:val="nil"/>
              <w:left w:val="nil"/>
              <w:bottom w:val="single" w:sz="4" w:space="0" w:color="ADD6EA"/>
              <w:right w:val="nil"/>
            </w:tcBorders>
            <w:shd w:val="clear" w:color="auto" w:fill="auto"/>
            <w:vAlign w:val="bottom"/>
            <w:hideMark/>
          </w:tcPr>
          <w:p w14:paraId="06BBE826" w14:textId="77777777" w:rsidR="00DF288F" w:rsidRPr="00DF288F" w:rsidRDefault="00DF288F" w:rsidP="00DF288F">
            <w:pPr>
              <w:tabs>
                <w:tab w:val="clear" w:pos="567"/>
              </w:tabs>
              <w:spacing w:before="0" w:line="240" w:lineRule="auto"/>
              <w:rPr>
                <w:rFonts w:eastAsia="Times New Roman" w:cs="Open Sans Light"/>
                <w:sz w:val="16"/>
                <w:szCs w:val="16"/>
                <w:lang w:eastAsia="en-AU"/>
              </w:rPr>
            </w:pPr>
            <w:r w:rsidRPr="00DF288F">
              <w:rPr>
                <w:rFonts w:eastAsia="Times New Roman" w:cs="Open Sans Light"/>
                <w:sz w:val="16"/>
                <w:szCs w:val="16"/>
                <w:lang w:eastAsia="en-AU"/>
              </w:rPr>
              <w:t>Western Australia</w:t>
            </w:r>
          </w:p>
        </w:tc>
        <w:tc>
          <w:tcPr>
            <w:tcW w:w="1040" w:type="dxa"/>
            <w:tcBorders>
              <w:top w:val="nil"/>
              <w:left w:val="nil"/>
              <w:bottom w:val="single" w:sz="4" w:space="0" w:color="ADD6EA"/>
              <w:right w:val="nil"/>
            </w:tcBorders>
            <w:shd w:val="clear" w:color="auto" w:fill="auto"/>
            <w:vAlign w:val="bottom"/>
            <w:hideMark/>
          </w:tcPr>
          <w:p w14:paraId="71C5A004"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0.41967</w:t>
            </w:r>
          </w:p>
        </w:tc>
        <w:tc>
          <w:tcPr>
            <w:tcW w:w="1040" w:type="dxa"/>
            <w:tcBorders>
              <w:top w:val="nil"/>
              <w:left w:val="nil"/>
              <w:bottom w:val="single" w:sz="4" w:space="0" w:color="ADD6EA"/>
              <w:right w:val="nil"/>
            </w:tcBorders>
            <w:shd w:val="clear" w:color="000000" w:fill="D6E7F0"/>
            <w:vAlign w:val="bottom"/>
            <w:hideMark/>
          </w:tcPr>
          <w:p w14:paraId="4598ABB8"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0.70000</w:t>
            </w:r>
          </w:p>
        </w:tc>
        <w:tc>
          <w:tcPr>
            <w:tcW w:w="1040" w:type="dxa"/>
            <w:tcBorders>
              <w:top w:val="nil"/>
              <w:left w:val="nil"/>
              <w:bottom w:val="single" w:sz="4" w:space="0" w:color="ADD6EA"/>
              <w:right w:val="nil"/>
            </w:tcBorders>
            <w:shd w:val="clear" w:color="auto" w:fill="auto"/>
            <w:vAlign w:val="bottom"/>
            <w:hideMark/>
          </w:tcPr>
          <w:p w14:paraId="0D008BD6"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4.4</w:t>
            </w:r>
          </w:p>
        </w:tc>
        <w:tc>
          <w:tcPr>
            <w:tcW w:w="1040" w:type="dxa"/>
            <w:tcBorders>
              <w:top w:val="nil"/>
              <w:left w:val="nil"/>
              <w:bottom w:val="single" w:sz="4" w:space="0" w:color="ADD6EA"/>
              <w:right w:val="nil"/>
            </w:tcBorders>
            <w:shd w:val="clear" w:color="000000" w:fill="D6E7F0"/>
            <w:vAlign w:val="bottom"/>
            <w:hideMark/>
          </w:tcPr>
          <w:p w14:paraId="690149FC"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7.3</w:t>
            </w:r>
          </w:p>
        </w:tc>
        <w:tc>
          <w:tcPr>
            <w:tcW w:w="1040" w:type="dxa"/>
            <w:tcBorders>
              <w:top w:val="nil"/>
              <w:left w:val="nil"/>
              <w:bottom w:val="single" w:sz="4" w:space="0" w:color="ADD6EA"/>
              <w:right w:val="nil"/>
            </w:tcBorders>
            <w:shd w:val="clear" w:color="auto" w:fill="auto"/>
            <w:vAlign w:val="bottom"/>
            <w:hideMark/>
          </w:tcPr>
          <w:p w14:paraId="7180400E"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3,199</w:t>
            </w:r>
          </w:p>
        </w:tc>
        <w:tc>
          <w:tcPr>
            <w:tcW w:w="1040" w:type="dxa"/>
            <w:tcBorders>
              <w:top w:val="nil"/>
              <w:left w:val="nil"/>
              <w:bottom w:val="single" w:sz="4" w:space="0" w:color="ADD6EA"/>
              <w:right w:val="nil"/>
            </w:tcBorders>
            <w:shd w:val="clear" w:color="000000" w:fill="D6E7F0"/>
            <w:vAlign w:val="bottom"/>
            <w:hideMark/>
          </w:tcPr>
          <w:p w14:paraId="60264E6C"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5,682</w:t>
            </w:r>
          </w:p>
        </w:tc>
      </w:tr>
      <w:tr w:rsidR="00DF288F" w:rsidRPr="00DF288F" w14:paraId="0EC7B858" w14:textId="77777777" w:rsidTr="00DF288F">
        <w:trPr>
          <w:trHeight w:val="315"/>
        </w:trPr>
        <w:tc>
          <w:tcPr>
            <w:tcW w:w="2680" w:type="dxa"/>
            <w:tcBorders>
              <w:top w:val="nil"/>
              <w:left w:val="nil"/>
              <w:bottom w:val="single" w:sz="4" w:space="0" w:color="ADD6EA"/>
              <w:right w:val="nil"/>
            </w:tcBorders>
            <w:shd w:val="clear" w:color="auto" w:fill="auto"/>
            <w:vAlign w:val="bottom"/>
            <w:hideMark/>
          </w:tcPr>
          <w:p w14:paraId="3E360F92" w14:textId="77777777" w:rsidR="00DF288F" w:rsidRPr="00DF288F" w:rsidRDefault="00DF288F" w:rsidP="00DF288F">
            <w:pPr>
              <w:tabs>
                <w:tab w:val="clear" w:pos="567"/>
              </w:tabs>
              <w:spacing w:before="0" w:line="240" w:lineRule="auto"/>
              <w:rPr>
                <w:rFonts w:eastAsia="Times New Roman" w:cs="Open Sans Light"/>
                <w:sz w:val="16"/>
                <w:szCs w:val="16"/>
                <w:lang w:eastAsia="en-AU"/>
              </w:rPr>
            </w:pPr>
            <w:r w:rsidRPr="00DF288F">
              <w:rPr>
                <w:rFonts w:eastAsia="Times New Roman" w:cs="Open Sans Light"/>
                <w:sz w:val="16"/>
                <w:szCs w:val="16"/>
                <w:lang w:eastAsia="en-AU"/>
              </w:rPr>
              <w:t>South Australia</w:t>
            </w:r>
          </w:p>
        </w:tc>
        <w:tc>
          <w:tcPr>
            <w:tcW w:w="1040" w:type="dxa"/>
            <w:tcBorders>
              <w:top w:val="nil"/>
              <w:left w:val="nil"/>
              <w:bottom w:val="single" w:sz="4" w:space="0" w:color="ADD6EA"/>
              <w:right w:val="nil"/>
            </w:tcBorders>
            <w:shd w:val="clear" w:color="auto" w:fill="auto"/>
            <w:vAlign w:val="bottom"/>
            <w:hideMark/>
          </w:tcPr>
          <w:p w14:paraId="3B00306D"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1.34719</w:t>
            </w:r>
          </w:p>
        </w:tc>
        <w:tc>
          <w:tcPr>
            <w:tcW w:w="1040" w:type="dxa"/>
            <w:tcBorders>
              <w:top w:val="nil"/>
              <w:left w:val="nil"/>
              <w:bottom w:val="single" w:sz="4" w:space="0" w:color="ADD6EA"/>
              <w:right w:val="nil"/>
            </w:tcBorders>
            <w:shd w:val="clear" w:color="000000" w:fill="D6E7F0"/>
            <w:vAlign w:val="bottom"/>
            <w:hideMark/>
          </w:tcPr>
          <w:p w14:paraId="114E9E04"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1.28411</w:t>
            </w:r>
          </w:p>
        </w:tc>
        <w:tc>
          <w:tcPr>
            <w:tcW w:w="1040" w:type="dxa"/>
            <w:tcBorders>
              <w:top w:val="nil"/>
              <w:left w:val="nil"/>
              <w:bottom w:val="single" w:sz="4" w:space="0" w:color="ADD6EA"/>
              <w:right w:val="nil"/>
            </w:tcBorders>
            <w:shd w:val="clear" w:color="auto" w:fill="auto"/>
            <w:vAlign w:val="bottom"/>
            <w:hideMark/>
          </w:tcPr>
          <w:p w14:paraId="1010BFD2"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9.3</w:t>
            </w:r>
          </w:p>
        </w:tc>
        <w:tc>
          <w:tcPr>
            <w:tcW w:w="1040" w:type="dxa"/>
            <w:tcBorders>
              <w:top w:val="nil"/>
              <w:left w:val="nil"/>
              <w:bottom w:val="single" w:sz="4" w:space="0" w:color="ADD6EA"/>
              <w:right w:val="nil"/>
            </w:tcBorders>
            <w:shd w:val="clear" w:color="000000" w:fill="D6E7F0"/>
            <w:vAlign w:val="bottom"/>
            <w:hideMark/>
          </w:tcPr>
          <w:p w14:paraId="6D9B8FE3"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8.9</w:t>
            </w:r>
          </w:p>
        </w:tc>
        <w:tc>
          <w:tcPr>
            <w:tcW w:w="1040" w:type="dxa"/>
            <w:tcBorders>
              <w:top w:val="nil"/>
              <w:left w:val="nil"/>
              <w:bottom w:val="single" w:sz="4" w:space="0" w:color="ADD6EA"/>
              <w:right w:val="nil"/>
            </w:tcBorders>
            <w:shd w:val="clear" w:color="auto" w:fill="auto"/>
            <w:vAlign w:val="bottom"/>
            <w:hideMark/>
          </w:tcPr>
          <w:p w14:paraId="03EBE4F0"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6,785</w:t>
            </w:r>
          </w:p>
        </w:tc>
        <w:tc>
          <w:tcPr>
            <w:tcW w:w="1040" w:type="dxa"/>
            <w:tcBorders>
              <w:top w:val="nil"/>
              <w:left w:val="nil"/>
              <w:bottom w:val="single" w:sz="4" w:space="0" w:color="ADD6EA"/>
              <w:right w:val="nil"/>
            </w:tcBorders>
            <w:shd w:val="clear" w:color="000000" w:fill="D6E7F0"/>
            <w:vAlign w:val="bottom"/>
            <w:hideMark/>
          </w:tcPr>
          <w:p w14:paraId="0BBA8D34"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6,865</w:t>
            </w:r>
          </w:p>
        </w:tc>
      </w:tr>
      <w:tr w:rsidR="00DF288F" w:rsidRPr="00DF288F" w14:paraId="1AC211EA" w14:textId="77777777" w:rsidTr="00DF288F">
        <w:trPr>
          <w:trHeight w:val="315"/>
        </w:trPr>
        <w:tc>
          <w:tcPr>
            <w:tcW w:w="2680" w:type="dxa"/>
            <w:tcBorders>
              <w:top w:val="nil"/>
              <w:left w:val="nil"/>
              <w:bottom w:val="single" w:sz="4" w:space="0" w:color="ADD6EA"/>
              <w:right w:val="nil"/>
            </w:tcBorders>
            <w:shd w:val="clear" w:color="auto" w:fill="auto"/>
            <w:vAlign w:val="bottom"/>
            <w:hideMark/>
          </w:tcPr>
          <w:p w14:paraId="1EF7C124" w14:textId="77777777" w:rsidR="00DF288F" w:rsidRPr="00DF288F" w:rsidRDefault="00DF288F" w:rsidP="00DF288F">
            <w:pPr>
              <w:tabs>
                <w:tab w:val="clear" w:pos="567"/>
              </w:tabs>
              <w:spacing w:before="0" w:line="240" w:lineRule="auto"/>
              <w:rPr>
                <w:rFonts w:eastAsia="Times New Roman" w:cs="Open Sans Light"/>
                <w:sz w:val="16"/>
                <w:szCs w:val="16"/>
                <w:lang w:eastAsia="en-AU"/>
              </w:rPr>
            </w:pPr>
            <w:r w:rsidRPr="00DF288F">
              <w:rPr>
                <w:rFonts w:eastAsia="Times New Roman" w:cs="Open Sans Light"/>
                <w:sz w:val="16"/>
                <w:szCs w:val="16"/>
                <w:lang w:eastAsia="en-AU"/>
              </w:rPr>
              <w:t>Tasmania</w:t>
            </w:r>
          </w:p>
        </w:tc>
        <w:tc>
          <w:tcPr>
            <w:tcW w:w="1040" w:type="dxa"/>
            <w:tcBorders>
              <w:top w:val="nil"/>
              <w:left w:val="nil"/>
              <w:bottom w:val="single" w:sz="4" w:space="0" w:color="ADD6EA"/>
              <w:right w:val="nil"/>
            </w:tcBorders>
            <w:shd w:val="clear" w:color="auto" w:fill="auto"/>
            <w:vAlign w:val="bottom"/>
            <w:hideMark/>
          </w:tcPr>
          <w:p w14:paraId="21B94C42"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1.96067</w:t>
            </w:r>
          </w:p>
        </w:tc>
        <w:tc>
          <w:tcPr>
            <w:tcW w:w="1040" w:type="dxa"/>
            <w:tcBorders>
              <w:top w:val="nil"/>
              <w:left w:val="nil"/>
              <w:bottom w:val="single" w:sz="4" w:space="0" w:color="ADD6EA"/>
              <w:right w:val="nil"/>
            </w:tcBorders>
            <w:shd w:val="clear" w:color="000000" w:fill="D6E7F0"/>
            <w:vAlign w:val="bottom"/>
            <w:hideMark/>
          </w:tcPr>
          <w:p w14:paraId="5CAF5312"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1.85360</w:t>
            </w:r>
          </w:p>
        </w:tc>
        <w:tc>
          <w:tcPr>
            <w:tcW w:w="1040" w:type="dxa"/>
            <w:tcBorders>
              <w:top w:val="nil"/>
              <w:left w:val="nil"/>
              <w:bottom w:val="single" w:sz="4" w:space="0" w:color="ADD6EA"/>
              <w:right w:val="nil"/>
            </w:tcBorders>
            <w:shd w:val="clear" w:color="auto" w:fill="auto"/>
            <w:vAlign w:val="bottom"/>
            <w:hideMark/>
          </w:tcPr>
          <w:p w14:paraId="4D12C43D"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4.1</w:t>
            </w:r>
          </w:p>
        </w:tc>
        <w:tc>
          <w:tcPr>
            <w:tcW w:w="1040" w:type="dxa"/>
            <w:tcBorders>
              <w:top w:val="nil"/>
              <w:left w:val="nil"/>
              <w:bottom w:val="single" w:sz="4" w:space="0" w:color="ADD6EA"/>
              <w:right w:val="nil"/>
            </w:tcBorders>
            <w:shd w:val="clear" w:color="000000" w:fill="D6E7F0"/>
            <w:vAlign w:val="bottom"/>
            <w:hideMark/>
          </w:tcPr>
          <w:p w14:paraId="63FF24CF"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3.9</w:t>
            </w:r>
          </w:p>
        </w:tc>
        <w:tc>
          <w:tcPr>
            <w:tcW w:w="1040" w:type="dxa"/>
            <w:tcBorders>
              <w:top w:val="nil"/>
              <w:left w:val="nil"/>
              <w:bottom w:val="single" w:sz="4" w:space="0" w:color="ADD6EA"/>
              <w:right w:val="nil"/>
            </w:tcBorders>
            <w:shd w:val="clear" w:color="auto" w:fill="auto"/>
            <w:vAlign w:val="bottom"/>
            <w:hideMark/>
          </w:tcPr>
          <w:p w14:paraId="4E34126F"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3,024</w:t>
            </w:r>
          </w:p>
        </w:tc>
        <w:tc>
          <w:tcPr>
            <w:tcW w:w="1040" w:type="dxa"/>
            <w:tcBorders>
              <w:top w:val="nil"/>
              <w:left w:val="nil"/>
              <w:bottom w:val="single" w:sz="4" w:space="0" w:color="ADD6EA"/>
              <w:right w:val="nil"/>
            </w:tcBorders>
            <w:shd w:val="clear" w:color="000000" w:fill="D6E7F0"/>
            <w:vAlign w:val="bottom"/>
            <w:hideMark/>
          </w:tcPr>
          <w:p w14:paraId="3EB4021E"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3,035</w:t>
            </w:r>
          </w:p>
        </w:tc>
      </w:tr>
      <w:tr w:rsidR="00DF288F" w:rsidRPr="00DF288F" w14:paraId="5C9F2583" w14:textId="77777777" w:rsidTr="00DF288F">
        <w:trPr>
          <w:trHeight w:val="315"/>
        </w:trPr>
        <w:tc>
          <w:tcPr>
            <w:tcW w:w="2680" w:type="dxa"/>
            <w:tcBorders>
              <w:top w:val="nil"/>
              <w:left w:val="nil"/>
              <w:bottom w:val="single" w:sz="4" w:space="0" w:color="ADD6EA"/>
              <w:right w:val="nil"/>
            </w:tcBorders>
            <w:shd w:val="clear" w:color="auto" w:fill="auto"/>
            <w:vAlign w:val="bottom"/>
            <w:hideMark/>
          </w:tcPr>
          <w:p w14:paraId="22360FC2" w14:textId="77777777" w:rsidR="00DF288F" w:rsidRPr="00DF288F" w:rsidRDefault="00DF288F" w:rsidP="00DF288F">
            <w:pPr>
              <w:tabs>
                <w:tab w:val="clear" w:pos="567"/>
              </w:tabs>
              <w:spacing w:before="0" w:line="240" w:lineRule="auto"/>
              <w:rPr>
                <w:rFonts w:eastAsia="Times New Roman" w:cs="Open Sans Light"/>
                <w:sz w:val="16"/>
                <w:szCs w:val="16"/>
                <w:lang w:eastAsia="en-AU"/>
              </w:rPr>
            </w:pPr>
            <w:r w:rsidRPr="00DF288F">
              <w:rPr>
                <w:rFonts w:eastAsia="Times New Roman" w:cs="Open Sans Light"/>
                <w:sz w:val="16"/>
                <w:szCs w:val="16"/>
                <w:lang w:eastAsia="en-AU"/>
              </w:rPr>
              <w:t>Australian Capital Territory</w:t>
            </w:r>
          </w:p>
        </w:tc>
        <w:tc>
          <w:tcPr>
            <w:tcW w:w="1040" w:type="dxa"/>
            <w:tcBorders>
              <w:top w:val="nil"/>
              <w:left w:val="nil"/>
              <w:bottom w:val="single" w:sz="4" w:space="0" w:color="ADD6EA"/>
              <w:right w:val="nil"/>
            </w:tcBorders>
            <w:shd w:val="clear" w:color="auto" w:fill="auto"/>
            <w:vAlign w:val="bottom"/>
            <w:hideMark/>
          </w:tcPr>
          <w:p w14:paraId="0F073F79"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1.16266</w:t>
            </w:r>
          </w:p>
        </w:tc>
        <w:tc>
          <w:tcPr>
            <w:tcW w:w="1040" w:type="dxa"/>
            <w:tcBorders>
              <w:top w:val="nil"/>
              <w:left w:val="nil"/>
              <w:bottom w:val="single" w:sz="4" w:space="0" w:color="ADD6EA"/>
              <w:right w:val="nil"/>
            </w:tcBorders>
            <w:shd w:val="clear" w:color="000000" w:fill="D6E7F0"/>
            <w:vAlign w:val="bottom"/>
            <w:hideMark/>
          </w:tcPr>
          <w:p w14:paraId="241ACF10"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1.09250</w:t>
            </w:r>
          </w:p>
        </w:tc>
        <w:tc>
          <w:tcPr>
            <w:tcW w:w="1040" w:type="dxa"/>
            <w:tcBorders>
              <w:top w:val="nil"/>
              <w:left w:val="nil"/>
              <w:bottom w:val="single" w:sz="4" w:space="0" w:color="ADD6EA"/>
              <w:right w:val="nil"/>
            </w:tcBorders>
            <w:shd w:val="clear" w:color="auto" w:fill="auto"/>
            <w:vAlign w:val="bottom"/>
            <w:hideMark/>
          </w:tcPr>
          <w:p w14:paraId="338664F1"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2.0</w:t>
            </w:r>
          </w:p>
        </w:tc>
        <w:tc>
          <w:tcPr>
            <w:tcW w:w="1040" w:type="dxa"/>
            <w:tcBorders>
              <w:top w:val="nil"/>
              <w:left w:val="nil"/>
              <w:bottom w:val="single" w:sz="4" w:space="0" w:color="ADD6EA"/>
              <w:right w:val="nil"/>
            </w:tcBorders>
            <w:shd w:val="clear" w:color="000000" w:fill="D6E7F0"/>
            <w:vAlign w:val="bottom"/>
            <w:hideMark/>
          </w:tcPr>
          <w:p w14:paraId="45DB3A02"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1.8</w:t>
            </w:r>
          </w:p>
        </w:tc>
        <w:tc>
          <w:tcPr>
            <w:tcW w:w="1040" w:type="dxa"/>
            <w:tcBorders>
              <w:top w:val="nil"/>
              <w:left w:val="nil"/>
              <w:bottom w:val="single" w:sz="4" w:space="0" w:color="ADD6EA"/>
              <w:right w:val="nil"/>
            </w:tcBorders>
            <w:shd w:val="clear" w:color="auto" w:fill="auto"/>
            <w:vAlign w:val="bottom"/>
            <w:hideMark/>
          </w:tcPr>
          <w:p w14:paraId="064D2B02"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1,426</w:t>
            </w:r>
          </w:p>
        </w:tc>
        <w:tc>
          <w:tcPr>
            <w:tcW w:w="1040" w:type="dxa"/>
            <w:tcBorders>
              <w:top w:val="nil"/>
              <w:left w:val="nil"/>
              <w:bottom w:val="single" w:sz="4" w:space="0" w:color="ADD6EA"/>
              <w:right w:val="nil"/>
            </w:tcBorders>
            <w:shd w:val="clear" w:color="000000" w:fill="D6E7F0"/>
            <w:vAlign w:val="bottom"/>
            <w:hideMark/>
          </w:tcPr>
          <w:p w14:paraId="59779BC1"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1,421</w:t>
            </w:r>
          </w:p>
        </w:tc>
      </w:tr>
      <w:tr w:rsidR="00DF288F" w:rsidRPr="00DF288F" w14:paraId="33119D17" w14:textId="77777777" w:rsidTr="00DF288F">
        <w:trPr>
          <w:trHeight w:val="315"/>
        </w:trPr>
        <w:tc>
          <w:tcPr>
            <w:tcW w:w="2680" w:type="dxa"/>
            <w:tcBorders>
              <w:top w:val="nil"/>
              <w:left w:val="nil"/>
              <w:bottom w:val="single" w:sz="4" w:space="0" w:color="ADD6EA"/>
              <w:right w:val="nil"/>
            </w:tcBorders>
            <w:shd w:val="clear" w:color="auto" w:fill="auto"/>
            <w:vAlign w:val="bottom"/>
            <w:hideMark/>
          </w:tcPr>
          <w:p w14:paraId="606EE9BB" w14:textId="77777777" w:rsidR="00DF288F" w:rsidRPr="00DF288F" w:rsidRDefault="00DF288F" w:rsidP="00DF288F">
            <w:pPr>
              <w:tabs>
                <w:tab w:val="clear" w:pos="567"/>
              </w:tabs>
              <w:spacing w:before="0" w:line="240" w:lineRule="auto"/>
              <w:rPr>
                <w:rFonts w:eastAsia="Times New Roman" w:cs="Open Sans Light"/>
                <w:sz w:val="16"/>
                <w:szCs w:val="16"/>
                <w:lang w:eastAsia="en-AU"/>
              </w:rPr>
            </w:pPr>
            <w:r w:rsidRPr="00DF288F">
              <w:rPr>
                <w:rFonts w:eastAsia="Times New Roman" w:cs="Open Sans Light"/>
                <w:sz w:val="16"/>
                <w:szCs w:val="16"/>
                <w:lang w:eastAsia="en-AU"/>
              </w:rPr>
              <w:t>Northern Territory</w:t>
            </w:r>
          </w:p>
        </w:tc>
        <w:tc>
          <w:tcPr>
            <w:tcW w:w="1040" w:type="dxa"/>
            <w:tcBorders>
              <w:top w:val="nil"/>
              <w:left w:val="nil"/>
              <w:bottom w:val="single" w:sz="4" w:space="0" w:color="ADD6EA"/>
              <w:right w:val="nil"/>
            </w:tcBorders>
            <w:shd w:val="clear" w:color="auto" w:fill="auto"/>
            <w:vAlign w:val="bottom"/>
            <w:hideMark/>
          </w:tcPr>
          <w:p w14:paraId="1A098E4B"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4.79985</w:t>
            </w:r>
          </w:p>
        </w:tc>
        <w:tc>
          <w:tcPr>
            <w:tcW w:w="1040" w:type="dxa"/>
            <w:tcBorders>
              <w:top w:val="nil"/>
              <w:left w:val="nil"/>
              <w:bottom w:val="single" w:sz="4" w:space="0" w:color="ADD6EA"/>
              <w:right w:val="nil"/>
            </w:tcBorders>
            <w:shd w:val="clear" w:color="000000" w:fill="D6E7F0"/>
            <w:vAlign w:val="bottom"/>
            <w:hideMark/>
          </w:tcPr>
          <w:p w14:paraId="7BA4812C"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4.86988</w:t>
            </w:r>
          </w:p>
        </w:tc>
        <w:tc>
          <w:tcPr>
            <w:tcW w:w="1040" w:type="dxa"/>
            <w:tcBorders>
              <w:top w:val="nil"/>
              <w:left w:val="nil"/>
              <w:bottom w:val="single" w:sz="4" w:space="0" w:color="ADD6EA"/>
              <w:right w:val="nil"/>
            </w:tcBorders>
            <w:shd w:val="clear" w:color="auto" w:fill="auto"/>
            <w:vAlign w:val="bottom"/>
            <w:hideMark/>
          </w:tcPr>
          <w:p w14:paraId="70FC8272"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4.6</w:t>
            </w:r>
          </w:p>
        </w:tc>
        <w:tc>
          <w:tcPr>
            <w:tcW w:w="1040" w:type="dxa"/>
            <w:tcBorders>
              <w:top w:val="nil"/>
              <w:left w:val="nil"/>
              <w:bottom w:val="single" w:sz="4" w:space="0" w:color="ADD6EA"/>
              <w:right w:val="nil"/>
            </w:tcBorders>
            <w:shd w:val="clear" w:color="000000" w:fill="D6E7F0"/>
            <w:vAlign w:val="bottom"/>
            <w:hideMark/>
          </w:tcPr>
          <w:p w14:paraId="22254D39"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4.7</w:t>
            </w:r>
          </w:p>
        </w:tc>
        <w:tc>
          <w:tcPr>
            <w:tcW w:w="1040" w:type="dxa"/>
            <w:tcBorders>
              <w:top w:val="nil"/>
              <w:left w:val="nil"/>
              <w:bottom w:val="single" w:sz="4" w:space="0" w:color="ADD6EA"/>
              <w:right w:val="nil"/>
            </w:tcBorders>
            <w:shd w:val="clear" w:color="auto" w:fill="auto"/>
            <w:vAlign w:val="bottom"/>
            <w:hideMark/>
          </w:tcPr>
          <w:p w14:paraId="0C10364A" w14:textId="77777777" w:rsidR="00DF288F" w:rsidRPr="00DF288F" w:rsidRDefault="00DF288F" w:rsidP="00DF288F">
            <w:pPr>
              <w:tabs>
                <w:tab w:val="clear" w:pos="567"/>
              </w:tabs>
              <w:spacing w:before="0" w:line="240" w:lineRule="auto"/>
              <w:jc w:val="right"/>
              <w:rPr>
                <w:rFonts w:eastAsia="Times New Roman" w:cs="Open Sans Light"/>
                <w:sz w:val="16"/>
                <w:szCs w:val="16"/>
                <w:lang w:eastAsia="en-AU"/>
              </w:rPr>
            </w:pPr>
            <w:r w:rsidRPr="00DF288F">
              <w:rPr>
                <w:rFonts w:eastAsia="Times New Roman" w:cs="Open Sans Light"/>
                <w:sz w:val="16"/>
                <w:szCs w:val="16"/>
                <w:lang w:eastAsia="en-AU"/>
              </w:rPr>
              <w:t>3,379</w:t>
            </w:r>
          </w:p>
        </w:tc>
        <w:tc>
          <w:tcPr>
            <w:tcW w:w="1040" w:type="dxa"/>
            <w:tcBorders>
              <w:top w:val="nil"/>
              <w:left w:val="nil"/>
              <w:bottom w:val="single" w:sz="4" w:space="0" w:color="ADD6EA"/>
              <w:right w:val="nil"/>
            </w:tcBorders>
            <w:shd w:val="clear" w:color="000000" w:fill="D6E7F0"/>
            <w:vAlign w:val="bottom"/>
            <w:hideMark/>
          </w:tcPr>
          <w:p w14:paraId="64FF594C" w14:textId="77777777" w:rsidR="00DF288F" w:rsidRPr="00DF288F" w:rsidRDefault="00DF288F" w:rsidP="00DF288F">
            <w:pPr>
              <w:tabs>
                <w:tab w:val="clear" w:pos="567"/>
              </w:tabs>
              <w:spacing w:before="0" w:line="240" w:lineRule="auto"/>
              <w:jc w:val="right"/>
              <w:rPr>
                <w:rFonts w:eastAsia="Times New Roman" w:cs="Open Sans Light"/>
                <w:color w:val="000000"/>
                <w:sz w:val="16"/>
                <w:szCs w:val="16"/>
                <w:lang w:eastAsia="en-AU"/>
              </w:rPr>
            </w:pPr>
            <w:r w:rsidRPr="00DF288F">
              <w:rPr>
                <w:rFonts w:eastAsia="Times New Roman" w:cs="Open Sans Light"/>
                <w:color w:val="000000"/>
                <w:sz w:val="16"/>
                <w:szCs w:val="16"/>
                <w:lang w:eastAsia="en-AU"/>
              </w:rPr>
              <w:t>3,644</w:t>
            </w:r>
          </w:p>
        </w:tc>
      </w:tr>
      <w:tr w:rsidR="00DF288F" w:rsidRPr="00DF288F" w14:paraId="3D77AE51" w14:textId="77777777" w:rsidTr="00DF288F">
        <w:trPr>
          <w:trHeight w:val="315"/>
        </w:trPr>
        <w:tc>
          <w:tcPr>
            <w:tcW w:w="2680" w:type="dxa"/>
            <w:tcBorders>
              <w:top w:val="nil"/>
              <w:left w:val="nil"/>
              <w:bottom w:val="single" w:sz="4" w:space="0" w:color="ADD6EA"/>
              <w:right w:val="nil"/>
            </w:tcBorders>
            <w:shd w:val="clear" w:color="auto" w:fill="auto"/>
            <w:vAlign w:val="bottom"/>
            <w:hideMark/>
          </w:tcPr>
          <w:p w14:paraId="45C44516" w14:textId="77777777" w:rsidR="00DF288F" w:rsidRPr="00DF288F" w:rsidRDefault="00DF288F" w:rsidP="00DF288F">
            <w:pPr>
              <w:tabs>
                <w:tab w:val="clear" w:pos="567"/>
              </w:tabs>
              <w:spacing w:before="0" w:line="240" w:lineRule="auto"/>
              <w:rPr>
                <w:rFonts w:ascii="Open Sans Semibold" w:eastAsia="Times New Roman" w:hAnsi="Open Sans Semibold" w:cs="Open Sans Semibold"/>
                <w:sz w:val="16"/>
                <w:szCs w:val="16"/>
                <w:lang w:eastAsia="en-AU"/>
              </w:rPr>
            </w:pPr>
            <w:r w:rsidRPr="00DF288F">
              <w:rPr>
                <w:rFonts w:ascii="Open Sans Semibold" w:eastAsia="Times New Roman" w:hAnsi="Open Sans Semibold" w:cs="Open Sans Semibold"/>
                <w:sz w:val="16"/>
                <w:szCs w:val="16"/>
                <w:lang w:eastAsia="en-AU"/>
              </w:rPr>
              <w:t>Total</w:t>
            </w:r>
          </w:p>
        </w:tc>
        <w:tc>
          <w:tcPr>
            <w:tcW w:w="1040" w:type="dxa"/>
            <w:tcBorders>
              <w:top w:val="nil"/>
              <w:left w:val="nil"/>
              <w:bottom w:val="single" w:sz="4" w:space="0" w:color="ADD6EA"/>
              <w:right w:val="nil"/>
            </w:tcBorders>
            <w:shd w:val="clear" w:color="auto" w:fill="auto"/>
            <w:vAlign w:val="bottom"/>
            <w:hideMark/>
          </w:tcPr>
          <w:p w14:paraId="159B2CA5" w14:textId="77777777" w:rsidR="00DF288F" w:rsidRPr="00DF288F" w:rsidRDefault="00DF288F" w:rsidP="00DF288F">
            <w:pPr>
              <w:tabs>
                <w:tab w:val="clear" w:pos="567"/>
              </w:tabs>
              <w:spacing w:before="0" w:line="240" w:lineRule="auto"/>
              <w:jc w:val="right"/>
              <w:rPr>
                <w:rFonts w:ascii="Open Sans Semibold" w:eastAsia="Times New Roman" w:hAnsi="Open Sans Semibold" w:cs="Open Sans Semibold"/>
                <w:sz w:val="16"/>
                <w:szCs w:val="16"/>
                <w:lang w:eastAsia="en-AU"/>
              </w:rPr>
            </w:pPr>
            <w:r w:rsidRPr="00DF288F">
              <w:rPr>
                <w:rFonts w:ascii="Open Sans Semibold" w:eastAsia="Times New Roman" w:hAnsi="Open Sans Semibold" w:cs="Open Sans Semibold"/>
                <w:sz w:val="16"/>
                <w:szCs w:val="16"/>
                <w:lang w:eastAsia="en-AU"/>
              </w:rPr>
              <w:t>1.00000</w:t>
            </w:r>
          </w:p>
        </w:tc>
        <w:tc>
          <w:tcPr>
            <w:tcW w:w="1040" w:type="dxa"/>
            <w:tcBorders>
              <w:top w:val="nil"/>
              <w:left w:val="nil"/>
              <w:bottom w:val="single" w:sz="4" w:space="0" w:color="ADD6EA"/>
              <w:right w:val="nil"/>
            </w:tcBorders>
            <w:shd w:val="clear" w:color="000000" w:fill="D6E7F0"/>
            <w:vAlign w:val="bottom"/>
            <w:hideMark/>
          </w:tcPr>
          <w:p w14:paraId="7D0C6CA3" w14:textId="77777777" w:rsidR="00DF288F" w:rsidRPr="00DF288F" w:rsidRDefault="00DF288F" w:rsidP="00DF288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F288F">
              <w:rPr>
                <w:rFonts w:ascii="Open Sans Semibold" w:eastAsia="Times New Roman" w:hAnsi="Open Sans Semibold" w:cs="Open Sans Semibold"/>
                <w:color w:val="000000"/>
                <w:sz w:val="16"/>
                <w:szCs w:val="16"/>
                <w:lang w:eastAsia="en-AU"/>
              </w:rPr>
              <w:t>1.00000</w:t>
            </w:r>
          </w:p>
        </w:tc>
        <w:tc>
          <w:tcPr>
            <w:tcW w:w="1040" w:type="dxa"/>
            <w:tcBorders>
              <w:top w:val="nil"/>
              <w:left w:val="nil"/>
              <w:bottom w:val="single" w:sz="4" w:space="0" w:color="ADD6EA"/>
              <w:right w:val="nil"/>
            </w:tcBorders>
            <w:shd w:val="clear" w:color="auto" w:fill="auto"/>
            <w:vAlign w:val="bottom"/>
            <w:hideMark/>
          </w:tcPr>
          <w:p w14:paraId="60B099FB" w14:textId="77777777" w:rsidR="00DF288F" w:rsidRPr="00DF288F" w:rsidRDefault="00DF288F" w:rsidP="00DF288F">
            <w:pPr>
              <w:tabs>
                <w:tab w:val="clear" w:pos="567"/>
              </w:tabs>
              <w:spacing w:before="0" w:line="240" w:lineRule="auto"/>
              <w:jc w:val="right"/>
              <w:rPr>
                <w:rFonts w:ascii="Open Sans Semibold" w:eastAsia="Times New Roman" w:hAnsi="Open Sans Semibold" w:cs="Open Sans Semibold"/>
                <w:sz w:val="16"/>
                <w:szCs w:val="16"/>
                <w:lang w:eastAsia="en-AU"/>
              </w:rPr>
            </w:pPr>
            <w:r w:rsidRPr="00DF288F">
              <w:rPr>
                <w:rFonts w:ascii="Open Sans Semibold" w:eastAsia="Times New Roman" w:hAnsi="Open Sans Semibold" w:cs="Open Sans Semibold"/>
                <w:sz w:val="16"/>
                <w:szCs w:val="16"/>
                <w:lang w:eastAsia="en-AU"/>
              </w:rPr>
              <w:t>100.0</w:t>
            </w:r>
          </w:p>
        </w:tc>
        <w:tc>
          <w:tcPr>
            <w:tcW w:w="1040" w:type="dxa"/>
            <w:tcBorders>
              <w:top w:val="nil"/>
              <w:left w:val="nil"/>
              <w:bottom w:val="single" w:sz="4" w:space="0" w:color="ADD6EA"/>
              <w:right w:val="nil"/>
            </w:tcBorders>
            <w:shd w:val="clear" w:color="000000" w:fill="D6E7F0"/>
            <w:vAlign w:val="bottom"/>
            <w:hideMark/>
          </w:tcPr>
          <w:p w14:paraId="72101A42" w14:textId="77777777" w:rsidR="00DF288F" w:rsidRPr="00DF288F" w:rsidRDefault="00DF288F" w:rsidP="00DF288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F288F">
              <w:rPr>
                <w:rFonts w:ascii="Open Sans Semibold" w:eastAsia="Times New Roman" w:hAnsi="Open Sans Semibold" w:cs="Open Sans Semibold"/>
                <w:color w:val="000000"/>
                <w:sz w:val="16"/>
                <w:szCs w:val="16"/>
                <w:lang w:eastAsia="en-AU"/>
              </w:rPr>
              <w:t>100.0</w:t>
            </w:r>
          </w:p>
        </w:tc>
        <w:tc>
          <w:tcPr>
            <w:tcW w:w="1040" w:type="dxa"/>
            <w:tcBorders>
              <w:top w:val="nil"/>
              <w:left w:val="nil"/>
              <w:bottom w:val="single" w:sz="4" w:space="0" w:color="ADD6EA"/>
              <w:right w:val="nil"/>
            </w:tcBorders>
            <w:shd w:val="clear" w:color="auto" w:fill="auto"/>
            <w:vAlign w:val="bottom"/>
            <w:hideMark/>
          </w:tcPr>
          <w:p w14:paraId="6ECC3B47" w14:textId="77777777" w:rsidR="00DF288F" w:rsidRPr="00DF288F" w:rsidRDefault="00DF288F" w:rsidP="00DF288F">
            <w:pPr>
              <w:tabs>
                <w:tab w:val="clear" w:pos="567"/>
              </w:tabs>
              <w:spacing w:before="0" w:line="240" w:lineRule="auto"/>
              <w:jc w:val="right"/>
              <w:rPr>
                <w:rFonts w:ascii="Open Sans Semibold" w:eastAsia="Times New Roman" w:hAnsi="Open Sans Semibold" w:cs="Open Sans Semibold"/>
                <w:sz w:val="16"/>
                <w:szCs w:val="16"/>
                <w:lang w:eastAsia="en-AU"/>
              </w:rPr>
            </w:pPr>
            <w:r w:rsidRPr="00DF288F">
              <w:rPr>
                <w:rFonts w:ascii="Open Sans Semibold" w:eastAsia="Times New Roman" w:hAnsi="Open Sans Semibold" w:cs="Open Sans Semibold"/>
                <w:sz w:val="16"/>
                <w:szCs w:val="16"/>
                <w:lang w:eastAsia="en-AU"/>
              </w:rPr>
              <w:t>73,070</w:t>
            </w:r>
          </w:p>
        </w:tc>
        <w:tc>
          <w:tcPr>
            <w:tcW w:w="1040" w:type="dxa"/>
            <w:tcBorders>
              <w:top w:val="nil"/>
              <w:left w:val="nil"/>
              <w:bottom w:val="single" w:sz="4" w:space="0" w:color="ADD6EA"/>
              <w:right w:val="nil"/>
            </w:tcBorders>
            <w:shd w:val="clear" w:color="000000" w:fill="D6E7F0"/>
            <w:vAlign w:val="bottom"/>
            <w:hideMark/>
          </w:tcPr>
          <w:p w14:paraId="2C0B02D0" w14:textId="77777777" w:rsidR="00DF288F" w:rsidRPr="00DF288F" w:rsidRDefault="00DF288F" w:rsidP="00DF288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F288F">
              <w:rPr>
                <w:rFonts w:ascii="Open Sans Semibold" w:eastAsia="Times New Roman" w:hAnsi="Open Sans Semibold" w:cs="Open Sans Semibold"/>
                <w:color w:val="000000"/>
                <w:sz w:val="16"/>
                <w:szCs w:val="16"/>
                <w:lang w:eastAsia="en-AU"/>
              </w:rPr>
              <w:t>77,416</w:t>
            </w:r>
          </w:p>
        </w:tc>
      </w:tr>
    </w:tbl>
    <w:p w14:paraId="03AF8336" w14:textId="1D630018" w:rsidR="00A80FDD" w:rsidRPr="00CE4B64" w:rsidRDefault="00A80FDD" w:rsidP="003651A5">
      <w:pPr>
        <w:pStyle w:val="CGCTablenote"/>
        <w:keepNext/>
        <w:keepLines/>
      </w:pPr>
      <w:r w:rsidRPr="00CE4B64">
        <w:t>Note:</w:t>
      </w:r>
      <w:r w:rsidRPr="00CE4B64">
        <w:tab/>
        <w:t>The estimated GST pool distribution for 2022</w:t>
      </w:r>
      <w:r w:rsidR="009257AC">
        <w:t>–</w:t>
      </w:r>
      <w:r w:rsidRPr="00CE4B64">
        <w:t>23 was calculated by applying 2022</w:t>
      </w:r>
      <w:r w:rsidR="00086ECF">
        <w:t> </w:t>
      </w:r>
      <w:r w:rsidRPr="00CE4B64">
        <w:t>Update relativities to estimated state populations (</w:t>
      </w:r>
      <w:r w:rsidR="00AB39D5">
        <w:t>at</w:t>
      </w:r>
      <w:r w:rsidRPr="00CE4B64">
        <w:t xml:space="preserve"> December 2022) and the estimated GST pool for 2022</w:t>
      </w:r>
      <w:r w:rsidR="009257AC">
        <w:t>–</w:t>
      </w:r>
      <w:r w:rsidRPr="00CE4B64">
        <w:t>23.</w:t>
      </w:r>
    </w:p>
    <w:p w14:paraId="7F496CA7" w14:textId="3175D6E3" w:rsidR="00A80FDD" w:rsidRPr="00CE4B64" w:rsidRDefault="005324DE" w:rsidP="00CE4B64">
      <w:pPr>
        <w:pStyle w:val="CGCTablenote"/>
      </w:pPr>
      <w:r w:rsidRPr="00CE4B64">
        <w:t>(a)</w:t>
      </w:r>
      <w:r w:rsidRPr="00CE4B64">
        <w:tab/>
      </w:r>
      <w:r w:rsidR="00A80FDD" w:rsidRPr="00CE4B64">
        <w:t>Since 2019</w:t>
      </w:r>
      <w:r w:rsidR="009257AC">
        <w:t>–</w:t>
      </w:r>
      <w:r w:rsidR="00A80FDD" w:rsidRPr="00CE4B64">
        <w:t xml:space="preserve">20, the Commonwealth has also made supplementary payments to deliver an outcome at least equivalent to a relativity of 0.7 to Western Australia. This </w:t>
      </w:r>
      <w:r w:rsidR="00FD7FC3" w:rsidRPr="00074DE9">
        <w:t>no longer applies</w:t>
      </w:r>
      <w:r w:rsidR="00A80FDD" w:rsidRPr="00074DE9">
        <w:t xml:space="preserve"> in 2022</w:t>
      </w:r>
      <w:r w:rsidR="009257AC">
        <w:t>–</w:t>
      </w:r>
      <w:r w:rsidR="00A80FDD" w:rsidRPr="00074DE9">
        <w:t>23</w:t>
      </w:r>
      <w:r w:rsidR="00A80FDD" w:rsidRPr="00CE4B64">
        <w:t xml:space="preserve">. </w:t>
      </w:r>
    </w:p>
    <w:p w14:paraId="3EDA5228" w14:textId="315EB733" w:rsidR="00A80FDD" w:rsidRPr="00CE4B64" w:rsidRDefault="00A80FDD" w:rsidP="00CE4B64">
      <w:pPr>
        <w:pStyle w:val="CGCTablenote"/>
      </w:pPr>
      <w:r w:rsidRPr="00CE4B64">
        <w:t>Source:</w:t>
      </w:r>
      <w:r w:rsidR="009B093B" w:rsidRPr="00CE4B64">
        <w:tab/>
      </w:r>
      <w:r w:rsidRPr="00CE4B64">
        <w:t>Commission calculation.</w:t>
      </w:r>
    </w:p>
    <w:p w14:paraId="588E9C60" w14:textId="34531E3B" w:rsidR="00A80FDD" w:rsidRPr="00A80FDD" w:rsidRDefault="00A80FDD" w:rsidP="0004064D">
      <w:pPr>
        <w:pStyle w:val="CGCBodyCopy"/>
      </w:pPr>
      <w:r w:rsidRPr="00A80FDD">
        <w:t>The Commonwealth is anticipating an increase in the GST pool from around $73 billion in 2021</w:t>
      </w:r>
      <w:r w:rsidR="00E10FCA">
        <w:t>–</w:t>
      </w:r>
      <w:r w:rsidRPr="00A80FDD">
        <w:t>22 to more than $77 billion in 2022</w:t>
      </w:r>
      <w:r w:rsidR="00E10FCA">
        <w:t>–</w:t>
      </w:r>
      <w:r w:rsidRPr="00A80FDD">
        <w:t>23</w:t>
      </w:r>
      <w:r w:rsidRPr="00A80FDD">
        <w:rPr>
          <w:vertAlign w:val="superscript"/>
        </w:rPr>
        <w:footnoteReference w:id="3"/>
      </w:r>
      <w:r w:rsidRPr="00A80FDD">
        <w:t xml:space="preserve">. Therefore, most states </w:t>
      </w:r>
      <w:r w:rsidR="008C177E">
        <w:t xml:space="preserve">would </w:t>
      </w:r>
      <w:r w:rsidRPr="00A80FDD">
        <w:t>receive a larger payment from the GST pool in 2022</w:t>
      </w:r>
      <w:r w:rsidR="00E10FCA">
        <w:t>–</w:t>
      </w:r>
      <w:r w:rsidRPr="00A80FDD">
        <w:t xml:space="preserve">23 than in the previous year. </w:t>
      </w:r>
      <w:r w:rsidRPr="00156A31">
        <w:t>The exceptions are Victoria and, to a lesser extent, the</w:t>
      </w:r>
      <w:r w:rsidR="007567DF" w:rsidRPr="00156A31">
        <w:t> </w:t>
      </w:r>
      <w:r w:rsidRPr="00156A31">
        <w:t>ACT</w:t>
      </w:r>
      <w:r w:rsidRPr="00A80FDD">
        <w:t xml:space="preserve">. For these states, the decline in their GST relativities </w:t>
      </w:r>
      <w:r w:rsidRPr="004D4A52">
        <w:t>would</w:t>
      </w:r>
      <w:r w:rsidRPr="00A80FDD">
        <w:t xml:space="preserve"> more than offset their share of the increase in the GST pool. However, like the other states, they </w:t>
      </w:r>
      <w:r w:rsidR="008C177E">
        <w:t xml:space="preserve">would </w:t>
      </w:r>
      <w:r w:rsidRPr="00A80FDD">
        <w:t>receive higher overall payments under the 2018</w:t>
      </w:r>
      <w:r w:rsidR="00EC6B93">
        <w:t> </w:t>
      </w:r>
      <w:r w:rsidRPr="00A80FDD">
        <w:t>legislated arrangements, which include the no worse off payments during the transition period.</w:t>
      </w:r>
    </w:p>
    <w:p w14:paraId="7211F287" w14:textId="77777777" w:rsidR="00A80FDD" w:rsidRPr="00A80FDD" w:rsidRDefault="00A80FDD" w:rsidP="0004064D">
      <w:pPr>
        <w:pStyle w:val="CGCBodyCopy"/>
      </w:pPr>
      <w:r w:rsidRPr="00A80FDD">
        <w:t xml:space="preserve">The Commonwealth has supplemented the GST revenue that is distributed to the states with other forms of general revenue assistance. </w:t>
      </w:r>
    </w:p>
    <w:p w14:paraId="35921536" w14:textId="5605204D" w:rsidR="00A80FDD" w:rsidRPr="00A80FDD" w:rsidRDefault="00A80FDD" w:rsidP="00015BED">
      <w:pPr>
        <w:pStyle w:val="BodyText"/>
      </w:pPr>
      <w:r w:rsidRPr="00A80FDD">
        <w:t>Since 2019</w:t>
      </w:r>
      <w:r w:rsidR="00E10FCA">
        <w:t>–</w:t>
      </w:r>
      <w:r w:rsidRPr="00A80FDD">
        <w:t>20, the Commonwealth has made supplementary payments to Western</w:t>
      </w:r>
      <w:r w:rsidR="00EC6B93">
        <w:t> </w:t>
      </w:r>
      <w:r w:rsidRPr="00A80FDD">
        <w:t xml:space="preserve">Australia so that it achieves an outcome at least equivalent to a </w:t>
      </w:r>
      <w:r w:rsidR="0045486A">
        <w:t xml:space="preserve">GST </w:t>
      </w:r>
      <w:r w:rsidRPr="00A80FDD">
        <w:t>relativity of 0.7</w:t>
      </w:r>
      <w:r w:rsidRPr="00A80FDD">
        <w:rPr>
          <w:vertAlign w:val="superscript"/>
        </w:rPr>
        <w:footnoteReference w:id="4"/>
      </w:r>
      <w:r w:rsidRPr="00A80FDD">
        <w:t xml:space="preserve">. This </w:t>
      </w:r>
      <w:r w:rsidR="003F2180" w:rsidRPr="003F2180">
        <w:t>no longer applies</w:t>
      </w:r>
      <w:r w:rsidRPr="00A80FDD">
        <w:t xml:space="preserve"> in 2022</w:t>
      </w:r>
      <w:r w:rsidR="00E10FCA">
        <w:t>–</w:t>
      </w:r>
      <w:r w:rsidRPr="00A80FDD">
        <w:t xml:space="preserve">23 and the impact of the 0.7 relativity floor </w:t>
      </w:r>
      <w:r w:rsidR="00B77DFE">
        <w:t xml:space="preserve">is </w:t>
      </w:r>
      <w:r w:rsidRPr="00A80FDD">
        <w:t xml:space="preserve">drawn from the GST pool. </w:t>
      </w:r>
    </w:p>
    <w:p w14:paraId="40448F4F" w14:textId="5A75B541" w:rsidR="00A80FDD" w:rsidRPr="00A80FDD" w:rsidRDefault="00A80FDD" w:rsidP="00015BED">
      <w:pPr>
        <w:pStyle w:val="BodyText"/>
      </w:pPr>
      <w:r w:rsidRPr="00A80FDD">
        <w:t>Since 2021</w:t>
      </w:r>
      <w:r w:rsidR="00BB399B">
        <w:t>–</w:t>
      </w:r>
      <w:r w:rsidRPr="00A80FDD">
        <w:t>22, the Commonwealth has provided a no worse off guarantee to ensure that, over the transition period, no state receive</w:t>
      </w:r>
      <w:r w:rsidR="00B77DFE">
        <w:t>s</w:t>
      </w:r>
      <w:r w:rsidRPr="00A80FDD">
        <w:t xml:space="preserve"> a lower cumulative amount of financial assistance under the GST arrangements than it would have received prior to the 2018</w:t>
      </w:r>
      <w:r w:rsidR="00EC6B93">
        <w:t> </w:t>
      </w:r>
      <w:r w:rsidRPr="00A80FDD">
        <w:t>legislated arrangements taking effect. Details o</w:t>
      </w:r>
      <w:r w:rsidR="00862384">
        <w:t>f</w:t>
      </w:r>
      <w:r w:rsidRPr="00A80FDD">
        <w:t xml:space="preserve"> how no worse off payments are calculated are in Attachment A.</w:t>
      </w:r>
    </w:p>
    <w:p w14:paraId="213AA99C" w14:textId="42D8A373" w:rsidR="00A80FDD" w:rsidRPr="00A80FDD" w:rsidRDefault="00A80FDD" w:rsidP="00484D3E">
      <w:pPr>
        <w:pStyle w:val="BodyText"/>
        <w:keepNext/>
        <w:keepLines/>
        <w:ind w:left="714" w:hanging="357"/>
      </w:pPr>
      <w:r w:rsidRPr="00A80FDD">
        <w:t>Since 2021</w:t>
      </w:r>
      <w:r w:rsidR="00BB399B">
        <w:t>–</w:t>
      </w:r>
      <w:r w:rsidRPr="00A80FDD">
        <w:t>22, the Commonwealth has topped</w:t>
      </w:r>
      <w:r w:rsidR="008B4825">
        <w:t>-</w:t>
      </w:r>
      <w:r w:rsidRPr="00A80FDD">
        <w:t>up the pool of GST revenue available for distribution to the states. The top</w:t>
      </w:r>
      <w:r w:rsidRPr="00A80FDD">
        <w:noBreakHyphen/>
        <w:t>up payment was $600 million in 2021</w:t>
      </w:r>
      <w:r w:rsidR="00BB399B">
        <w:t>–</w:t>
      </w:r>
      <w:r w:rsidRPr="00A80FDD">
        <w:t>22 and is estimated, after indexation, to be $636 million in 2022</w:t>
      </w:r>
      <w:r w:rsidR="00BB399B">
        <w:t>–</w:t>
      </w:r>
      <w:r w:rsidRPr="00A80FDD">
        <w:t>23.</w:t>
      </w:r>
    </w:p>
    <w:p w14:paraId="62898C54" w14:textId="77777777" w:rsidR="00A80FDD" w:rsidRPr="00A80FDD" w:rsidRDefault="00A80FDD" w:rsidP="00CB2F74">
      <w:pPr>
        <w:pStyle w:val="Heading2"/>
        <w:keepNext/>
        <w:rPr>
          <w:rFonts w:eastAsiaTheme="majorEastAsia"/>
          <w:b w:val="0"/>
        </w:rPr>
      </w:pPr>
      <w:r w:rsidRPr="00A80FDD">
        <w:rPr>
          <w:rFonts w:eastAsiaTheme="majorEastAsia"/>
        </w:rPr>
        <w:t>Assessed state budgets</w:t>
      </w:r>
    </w:p>
    <w:p w14:paraId="51D9575E" w14:textId="50179991" w:rsidR="00A80FDD" w:rsidRPr="00A80FDD" w:rsidRDefault="00A80FDD" w:rsidP="0004064D">
      <w:pPr>
        <w:pStyle w:val="CGCBodyCopy"/>
        <w:rPr>
          <w:vertAlign w:val="superscript"/>
        </w:rPr>
      </w:pPr>
      <w:r w:rsidRPr="00A80FDD">
        <w:fldChar w:fldCharType="begin"/>
      </w:r>
      <w:r w:rsidRPr="00A80FDD">
        <w:instrText xml:space="preserve"> REF _Ref92368741 \h  \* MERGEFORMAT </w:instrText>
      </w:r>
      <w:r w:rsidRPr="00A80FDD">
        <w:fldChar w:fldCharType="separate"/>
      </w:r>
      <w:r w:rsidR="00FE4664" w:rsidRPr="00A80FDD">
        <w:t xml:space="preserve">Figure </w:t>
      </w:r>
      <w:r w:rsidR="00FE4664">
        <w:t>1</w:t>
      </w:r>
      <w:r w:rsidR="00FE4664" w:rsidRPr="00A80FDD">
        <w:noBreakHyphen/>
      </w:r>
      <w:r w:rsidR="00FE4664">
        <w:t>1</w:t>
      </w:r>
      <w:r w:rsidRPr="00A80FDD">
        <w:fldChar w:fldCharType="end"/>
      </w:r>
      <w:r w:rsidRPr="00A80FDD">
        <w:t xml:space="preserve"> illustrates the assessed state budgets per capita for 2022</w:t>
      </w:r>
      <w:r w:rsidR="005C731B">
        <w:t>–</w:t>
      </w:r>
      <w:r w:rsidRPr="00A80FDD">
        <w:t>23. The blue bar on the left shows the total assessed expenditure (expenses and investment) for each state. The bar on the right shows the sum of: assessed own-source revenue; assessed net borrowing; Commonwealth payments; and revenue from the GST pool.</w:t>
      </w:r>
      <w:r w:rsidRPr="00A80FDD">
        <w:rPr>
          <w:vertAlign w:val="superscript"/>
        </w:rPr>
        <w:footnoteReference w:id="5"/>
      </w:r>
    </w:p>
    <w:p w14:paraId="19F99DB9" w14:textId="0DF57ACD" w:rsidR="00A80FDD" w:rsidRPr="00A80FDD" w:rsidRDefault="00A80FDD" w:rsidP="00532CF7">
      <w:pPr>
        <w:pStyle w:val="Caption"/>
      </w:pPr>
      <w:bookmarkStart w:id="17" w:name="_Ref92368741"/>
      <w:bookmarkStart w:id="18" w:name="_Toc62487163"/>
      <w:bookmarkStart w:id="19" w:name="_Toc62487319"/>
      <w:r w:rsidRPr="00A80FDD">
        <w:t xml:space="preserve">Figure </w:t>
      </w:r>
      <w:r w:rsidR="00B96CA2">
        <w:t>1</w:t>
      </w:r>
      <w:r w:rsidRPr="00A80FDD">
        <w:noBreakHyphen/>
      </w:r>
      <w:r w:rsidRPr="00A80FDD">
        <w:fldChar w:fldCharType="begin"/>
      </w:r>
      <w:r w:rsidRPr="00A80FDD">
        <w:instrText>SEQ Figure \* ARABIC \s 1</w:instrText>
      </w:r>
      <w:r w:rsidRPr="00A80FDD">
        <w:fldChar w:fldCharType="separate"/>
      </w:r>
      <w:r w:rsidR="00FE4664">
        <w:rPr>
          <w:noProof/>
        </w:rPr>
        <w:t>1</w:t>
      </w:r>
      <w:r w:rsidRPr="00A80FDD">
        <w:fldChar w:fldCharType="end"/>
      </w:r>
      <w:bookmarkEnd w:id="17"/>
      <w:r w:rsidRPr="00A80FDD">
        <w:tab/>
      </w:r>
      <w:r w:rsidRPr="00A80FDD">
        <w:rPr>
          <w:noProof/>
        </w:rPr>
        <w:drawing>
          <wp:anchor distT="0" distB="0" distL="114300" distR="114300" simplePos="0" relativeHeight="251658284" behindDoc="1" locked="1" layoutInCell="1" allowOverlap="1" wp14:anchorId="69B960E4" wp14:editId="3BCF8F42">
            <wp:simplePos x="0" y="0"/>
            <wp:positionH relativeFrom="page">
              <wp:posOffset>-1270</wp:posOffset>
            </wp:positionH>
            <wp:positionV relativeFrom="margin">
              <wp:posOffset>-793750</wp:posOffset>
            </wp:positionV>
            <wp:extent cx="7563485" cy="10691495"/>
            <wp:effectExtent l="0" t="0" r="0" b="0"/>
            <wp:wrapNone/>
            <wp:docPr id="33" name="Picture 3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A80FDD">
        <w:t>Assessed budgets per capita</w:t>
      </w:r>
      <w:bookmarkEnd w:id="18"/>
      <w:bookmarkEnd w:id="19"/>
      <w:r w:rsidRPr="00A80FDD">
        <w:t xml:space="preserve"> (excludes no</w:t>
      </w:r>
      <w:r w:rsidR="00AF16BF">
        <w:t> </w:t>
      </w:r>
      <w:r w:rsidRPr="00A80FDD">
        <w:t>worse</w:t>
      </w:r>
      <w:r w:rsidR="00AF16BF">
        <w:t> </w:t>
      </w:r>
      <w:r w:rsidRPr="00A80FDD">
        <w:t>off payments</w:t>
      </w:r>
      <w:r w:rsidRPr="00A86E32">
        <w:t>(</w:t>
      </w:r>
      <w:r w:rsidR="00720FEB" w:rsidRPr="00A86E32">
        <w:t>a</w:t>
      </w:r>
      <w:r w:rsidRPr="00A86E32">
        <w:t>)</w:t>
      </w:r>
      <w:r w:rsidRPr="00A80FDD">
        <w:t>)</w:t>
      </w:r>
    </w:p>
    <w:p w14:paraId="18247D41" w14:textId="12757132" w:rsidR="00A80FDD" w:rsidRPr="00A80FDD" w:rsidRDefault="00486E31" w:rsidP="00A80FDD">
      <w:r w:rsidRPr="00486E31">
        <w:rPr>
          <w:noProof/>
        </w:rPr>
        <w:drawing>
          <wp:inline distT="0" distB="0" distL="0" distR="0" wp14:anchorId="6B6F9B84" wp14:editId="79F40B7B">
            <wp:extent cx="5683250" cy="3575050"/>
            <wp:effectExtent l="0" t="0" r="0" b="6350"/>
            <wp:docPr id="24" name="Picture 24" descr="A column chart of states' assessed expenditure and revenue on a population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olumn chart of states' assessed expenditure and revenue on a population bas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3250" cy="3575050"/>
                    </a:xfrm>
                    <a:prstGeom prst="rect">
                      <a:avLst/>
                    </a:prstGeom>
                    <a:noFill/>
                    <a:ln>
                      <a:noFill/>
                    </a:ln>
                  </pic:spPr>
                </pic:pic>
              </a:graphicData>
            </a:graphic>
          </wp:inline>
        </w:drawing>
      </w:r>
    </w:p>
    <w:p w14:paraId="4AA743E7" w14:textId="1C794F7A" w:rsidR="005216DD" w:rsidRPr="00A80FDD" w:rsidRDefault="005216DD" w:rsidP="005216DD">
      <w:pPr>
        <w:pStyle w:val="CGCTablenote"/>
      </w:pPr>
      <w:r w:rsidRPr="00A80FDD">
        <w:t>(</w:t>
      </w:r>
      <w:r>
        <w:t>a</w:t>
      </w:r>
      <w:r w:rsidRPr="00A80FDD">
        <w:t>)</w:t>
      </w:r>
      <w:r w:rsidRPr="00A80FDD">
        <w:tab/>
        <w:t>Since 2019</w:t>
      </w:r>
      <w:r>
        <w:t>–</w:t>
      </w:r>
      <w:r w:rsidRPr="00A80FDD">
        <w:t xml:space="preserve">20, the Commonwealth has also made supplementary payments to deliver an outcome at least equivalent to a relativity of 0.7 to Western Australia. This </w:t>
      </w:r>
      <w:r w:rsidRPr="00574A32">
        <w:t>no longer applies in 2022</w:t>
      </w:r>
      <w:r>
        <w:t>–</w:t>
      </w:r>
      <w:r w:rsidRPr="00574A32">
        <w:t>23</w:t>
      </w:r>
      <w:r w:rsidRPr="00A80FDD">
        <w:t>.</w:t>
      </w:r>
    </w:p>
    <w:p w14:paraId="4AE5DF2F" w14:textId="26797AD7" w:rsidR="00A80FDD" w:rsidRPr="00A80FDD" w:rsidRDefault="00A80FDD" w:rsidP="00811D24">
      <w:pPr>
        <w:pStyle w:val="CGCTablenote"/>
      </w:pPr>
      <w:r w:rsidRPr="00A80FDD">
        <w:t>(</w:t>
      </w:r>
      <w:r w:rsidR="005216DD">
        <w:t>b</w:t>
      </w:r>
      <w:r w:rsidRPr="00A80FDD">
        <w:t>)</w:t>
      </w:r>
      <w:r w:rsidRPr="00A80FDD">
        <w:tab/>
        <w:t>Includes expenses and investment.</w:t>
      </w:r>
    </w:p>
    <w:p w14:paraId="4B2CE47F" w14:textId="77777777" w:rsidR="00A80FDD" w:rsidRPr="00A80FDD" w:rsidRDefault="00A80FDD" w:rsidP="00811D24">
      <w:pPr>
        <w:pStyle w:val="CGCTablenote"/>
      </w:pPr>
      <w:r w:rsidRPr="00A80FDD">
        <w:t>Source:</w:t>
      </w:r>
      <w:r w:rsidRPr="00A80FDD">
        <w:tab/>
        <w:t>Commission calculation.</w:t>
      </w:r>
    </w:p>
    <w:p w14:paraId="1446C3EA" w14:textId="56F80894" w:rsidR="00A80FDD" w:rsidRPr="00A80FDD" w:rsidRDefault="00A80FDD" w:rsidP="0004064D">
      <w:pPr>
        <w:pStyle w:val="CGCBodyCopy"/>
      </w:pPr>
      <w:r w:rsidRPr="00A80FDD">
        <w:t>Under the previous GST distribution arrangements, each state’s GST share was calculated so that its assessed revenue (including GST) equalled its assessed expenditure</w:t>
      </w:r>
      <w:r w:rsidR="00AF16BF">
        <w:t>.</w:t>
      </w:r>
    </w:p>
    <w:p w14:paraId="79D6B16F" w14:textId="436E9D92" w:rsidR="00A80FDD" w:rsidRPr="00A80FDD" w:rsidRDefault="00A80FDD" w:rsidP="00A80FDD">
      <w:pPr>
        <w:rPr>
          <w:rFonts w:ascii="Work Sans" w:hAnsi="Work Sans"/>
          <w:sz w:val="24"/>
          <w:szCs w:val="24"/>
        </w:rPr>
      </w:pPr>
      <w:r w:rsidRPr="00A80FDD">
        <w:rPr>
          <w:rFonts w:ascii="Work Sans" w:hAnsi="Work Sans"/>
          <w:sz w:val="24"/>
          <w:szCs w:val="24"/>
        </w:rPr>
        <w:t xml:space="preserve">After blending assessed and standard state relativities and applying the GST relativity floor of 0.7, Western Australia is now assessed to have revenue per capita greater than its assessed expenditure per capita. This can be seen by noting that, for Western Australia, the revenue bar on the right is taller than the expenditure bar on the left. All other states are assessed to have slightly less assessed revenue than </w:t>
      </w:r>
      <w:r w:rsidR="002933E5">
        <w:rPr>
          <w:rFonts w:ascii="Work Sans" w:hAnsi="Work Sans"/>
          <w:sz w:val="24"/>
          <w:szCs w:val="24"/>
        </w:rPr>
        <w:t xml:space="preserve">assessed </w:t>
      </w:r>
      <w:r w:rsidRPr="00A80FDD">
        <w:rPr>
          <w:rFonts w:ascii="Work Sans" w:hAnsi="Work Sans"/>
          <w:sz w:val="24"/>
          <w:szCs w:val="24"/>
        </w:rPr>
        <w:t>expenditure.</w:t>
      </w:r>
    </w:p>
    <w:p w14:paraId="3C61EFD4" w14:textId="77777777" w:rsidR="00A80FDD" w:rsidRPr="00A80FDD" w:rsidRDefault="00A80FDD" w:rsidP="000D6032">
      <w:pPr>
        <w:pStyle w:val="Heading2"/>
        <w:rPr>
          <w:rFonts w:eastAsiaTheme="majorEastAsia"/>
          <w:b w:val="0"/>
        </w:rPr>
      </w:pPr>
      <w:r w:rsidRPr="00A80FDD">
        <w:rPr>
          <w:rFonts w:eastAsiaTheme="majorEastAsia"/>
        </w:rPr>
        <w:t>Assessed, standard state, blended and GST relativities</w:t>
      </w:r>
    </w:p>
    <w:p w14:paraId="143A5F47" w14:textId="22221861" w:rsidR="00A80FDD" w:rsidRPr="00A80FDD" w:rsidRDefault="00A80FDD" w:rsidP="0004064D">
      <w:pPr>
        <w:pStyle w:val="CGCBodyCopy"/>
      </w:pPr>
      <w:r w:rsidRPr="00A80FDD">
        <w:fldChar w:fldCharType="begin"/>
      </w:r>
      <w:r w:rsidRPr="00A80FDD">
        <w:instrText xml:space="preserve"> REF _Ref92379152 \h  \* MERGEFORMAT </w:instrText>
      </w:r>
      <w:r w:rsidRPr="00A80FDD">
        <w:fldChar w:fldCharType="separate"/>
      </w:r>
      <w:r w:rsidR="00FE4664" w:rsidRPr="00A80FDD">
        <w:t xml:space="preserve">Table </w:t>
      </w:r>
      <w:r w:rsidR="00FE4664">
        <w:rPr>
          <w:noProof/>
        </w:rPr>
        <w:t>1</w:t>
      </w:r>
      <w:r w:rsidR="00FE4664" w:rsidRPr="00A80FDD">
        <w:rPr>
          <w:noProof/>
        </w:rPr>
        <w:noBreakHyphen/>
      </w:r>
      <w:r w:rsidR="00FE4664">
        <w:rPr>
          <w:noProof/>
        </w:rPr>
        <w:t>2</w:t>
      </w:r>
      <w:r w:rsidRPr="00A80FDD">
        <w:fldChar w:fldCharType="end"/>
      </w:r>
      <w:r w:rsidRPr="00A80FDD">
        <w:t xml:space="preserve"> shows how GST relativities were derived from assessed relativities</w:t>
      </w:r>
      <w:r w:rsidRPr="00A80FDD">
        <w:rPr>
          <w:vertAlign w:val="superscript"/>
        </w:rPr>
        <w:footnoteReference w:id="6"/>
      </w:r>
      <w:r w:rsidRPr="00A80FDD">
        <w:t xml:space="preserve"> and</w:t>
      </w:r>
      <w:r w:rsidR="00B96CA2">
        <w:t xml:space="preserve"> </w:t>
      </w:r>
      <w:r w:rsidR="00B96CA2">
        <w:fldChar w:fldCharType="begin"/>
      </w:r>
      <w:r w:rsidR="00B96CA2">
        <w:instrText xml:space="preserve"> REF _Ref95913186 \h </w:instrText>
      </w:r>
      <w:r w:rsidR="00B96CA2">
        <w:fldChar w:fldCharType="separate"/>
      </w:r>
      <w:r w:rsidR="00FE4664" w:rsidRPr="00A80FDD">
        <w:t xml:space="preserve">Table </w:t>
      </w:r>
      <w:r w:rsidR="00FE4664">
        <w:t>1</w:t>
      </w:r>
      <w:r w:rsidR="00FE4664" w:rsidRPr="00A80FDD">
        <w:noBreakHyphen/>
      </w:r>
      <w:r w:rsidR="00FE4664">
        <w:rPr>
          <w:noProof/>
        </w:rPr>
        <w:t>3</w:t>
      </w:r>
      <w:r w:rsidR="00B96CA2">
        <w:fldChar w:fldCharType="end"/>
      </w:r>
      <w:r w:rsidRPr="00A80FDD">
        <w:t xml:space="preserve"> shows the estimated distribution of the GST pool for each stage of the process. See </w:t>
      </w:r>
      <w:r w:rsidR="005F53A4">
        <w:t>box below</w:t>
      </w:r>
      <w:r w:rsidRPr="00A80FDD">
        <w:t xml:space="preserve"> for an explanation.</w:t>
      </w:r>
    </w:p>
    <w:p w14:paraId="1E65D04E" w14:textId="46446396" w:rsidR="00A80FDD" w:rsidRPr="00A80FDD" w:rsidRDefault="00A80FDD" w:rsidP="003A7850">
      <w:pPr>
        <w:pStyle w:val="Caption"/>
      </w:pPr>
      <w:bookmarkStart w:id="20" w:name="_Ref92379152"/>
      <w:r w:rsidRPr="00A80FDD">
        <w:t xml:space="preserve">Table </w:t>
      </w:r>
      <w:r w:rsidR="00B96CA2">
        <w:t>1</w:t>
      </w:r>
      <w:r w:rsidRPr="00A80FDD">
        <w:noBreakHyphen/>
      </w:r>
      <w:r w:rsidRPr="00A80FDD">
        <w:fldChar w:fldCharType="begin"/>
      </w:r>
      <w:r w:rsidRPr="00A80FDD">
        <w:instrText>SEQ Table \* ARABIC \s 1</w:instrText>
      </w:r>
      <w:r w:rsidRPr="00A80FDD">
        <w:fldChar w:fldCharType="separate"/>
      </w:r>
      <w:r w:rsidR="00FE4664">
        <w:rPr>
          <w:noProof/>
        </w:rPr>
        <w:t>2</w:t>
      </w:r>
      <w:r w:rsidRPr="00A80FDD">
        <w:fldChar w:fldCharType="end"/>
      </w:r>
      <w:bookmarkEnd w:id="20"/>
      <w:r w:rsidRPr="00A80FDD">
        <w:tab/>
        <w:t>Assessed relativities to GST relativities, 2022</w:t>
      </w:r>
      <w:r w:rsidR="00953C95">
        <w:t>–</w:t>
      </w:r>
      <w:r w:rsidRPr="00A80FDD">
        <w:t>23</w:t>
      </w:r>
    </w:p>
    <w:tbl>
      <w:tblPr>
        <w:tblW w:w="8880" w:type="dxa"/>
        <w:tblLook w:val="04A0" w:firstRow="1" w:lastRow="0" w:firstColumn="1" w:lastColumn="0" w:noHBand="0" w:noVBand="1"/>
      </w:tblPr>
      <w:tblGrid>
        <w:gridCol w:w="2620"/>
        <w:gridCol w:w="1560"/>
        <w:gridCol w:w="2020"/>
        <w:gridCol w:w="1520"/>
        <w:gridCol w:w="1160"/>
      </w:tblGrid>
      <w:tr w:rsidR="00505D46" w:rsidRPr="00505D46" w14:paraId="285BE493" w14:textId="77777777" w:rsidTr="00505D46">
        <w:trPr>
          <w:trHeight w:val="555"/>
        </w:trPr>
        <w:tc>
          <w:tcPr>
            <w:tcW w:w="2620" w:type="dxa"/>
            <w:tcBorders>
              <w:top w:val="nil"/>
              <w:left w:val="nil"/>
              <w:bottom w:val="single" w:sz="4" w:space="0" w:color="ADD6EA"/>
              <w:right w:val="nil"/>
            </w:tcBorders>
            <w:shd w:val="clear" w:color="000000" w:fill="006991"/>
            <w:noWrap/>
            <w:vAlign w:val="center"/>
            <w:hideMark/>
          </w:tcPr>
          <w:p w14:paraId="7F257EE6" w14:textId="77777777" w:rsidR="00505D46" w:rsidRPr="00505D46" w:rsidRDefault="00505D46" w:rsidP="00505D46">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21" w:name="RANGE!A4:E13"/>
            <w:r w:rsidRPr="00505D46">
              <w:rPr>
                <w:rFonts w:ascii="Open Sans Semibold" w:eastAsia="Times New Roman" w:hAnsi="Open Sans Semibold" w:cs="Open Sans Semibold"/>
                <w:color w:val="FFFFFF"/>
                <w:sz w:val="16"/>
                <w:szCs w:val="16"/>
                <w:lang w:eastAsia="en-AU"/>
              </w:rPr>
              <w:t> </w:t>
            </w:r>
            <w:bookmarkEnd w:id="21"/>
          </w:p>
        </w:tc>
        <w:tc>
          <w:tcPr>
            <w:tcW w:w="1560" w:type="dxa"/>
            <w:tcBorders>
              <w:top w:val="nil"/>
              <w:left w:val="nil"/>
              <w:bottom w:val="single" w:sz="4" w:space="0" w:color="ADD6EA"/>
              <w:right w:val="nil"/>
            </w:tcBorders>
            <w:shd w:val="clear" w:color="000000" w:fill="006991"/>
            <w:vAlign w:val="center"/>
            <w:hideMark/>
          </w:tcPr>
          <w:p w14:paraId="5C823D3B" w14:textId="77777777" w:rsidR="00505D46" w:rsidRPr="00505D46" w:rsidRDefault="00505D46" w:rsidP="00505D4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05D46">
              <w:rPr>
                <w:rFonts w:ascii="Open Sans Semibold" w:eastAsia="Times New Roman" w:hAnsi="Open Sans Semibold" w:cs="Open Sans Semibold"/>
                <w:color w:val="FFFFFF"/>
                <w:sz w:val="16"/>
                <w:szCs w:val="16"/>
                <w:lang w:eastAsia="en-AU"/>
              </w:rPr>
              <w:t>Assessed relativities</w:t>
            </w:r>
          </w:p>
        </w:tc>
        <w:tc>
          <w:tcPr>
            <w:tcW w:w="2020" w:type="dxa"/>
            <w:tcBorders>
              <w:top w:val="nil"/>
              <w:left w:val="nil"/>
              <w:bottom w:val="single" w:sz="4" w:space="0" w:color="ADD6EA"/>
              <w:right w:val="nil"/>
            </w:tcBorders>
            <w:shd w:val="clear" w:color="000000" w:fill="006991"/>
            <w:vAlign w:val="center"/>
            <w:hideMark/>
          </w:tcPr>
          <w:p w14:paraId="0B73EE0F" w14:textId="77777777" w:rsidR="00505D46" w:rsidRPr="00505D46" w:rsidRDefault="00505D46" w:rsidP="00505D4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05D46">
              <w:rPr>
                <w:rFonts w:ascii="Open Sans Semibold" w:eastAsia="Times New Roman" w:hAnsi="Open Sans Semibold" w:cs="Open Sans Semibold"/>
                <w:color w:val="FFFFFF"/>
                <w:sz w:val="16"/>
                <w:szCs w:val="16"/>
                <w:lang w:eastAsia="en-AU"/>
              </w:rPr>
              <w:t>Standard state relativities</w:t>
            </w:r>
          </w:p>
        </w:tc>
        <w:tc>
          <w:tcPr>
            <w:tcW w:w="1520" w:type="dxa"/>
            <w:tcBorders>
              <w:top w:val="nil"/>
              <w:left w:val="nil"/>
              <w:bottom w:val="single" w:sz="4" w:space="0" w:color="ADD6EA"/>
              <w:right w:val="nil"/>
            </w:tcBorders>
            <w:shd w:val="clear" w:color="000000" w:fill="006991"/>
            <w:vAlign w:val="center"/>
            <w:hideMark/>
          </w:tcPr>
          <w:p w14:paraId="79805EF5" w14:textId="77777777" w:rsidR="00505D46" w:rsidRPr="00505D46" w:rsidRDefault="00505D46" w:rsidP="00505D4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05D46">
              <w:rPr>
                <w:rFonts w:ascii="Open Sans Semibold" w:eastAsia="Times New Roman" w:hAnsi="Open Sans Semibold" w:cs="Open Sans Semibold"/>
                <w:color w:val="FFFFFF"/>
                <w:sz w:val="16"/>
                <w:szCs w:val="16"/>
                <w:lang w:eastAsia="en-AU"/>
              </w:rPr>
              <w:t>Blended relativities</w:t>
            </w:r>
          </w:p>
        </w:tc>
        <w:tc>
          <w:tcPr>
            <w:tcW w:w="1160" w:type="dxa"/>
            <w:tcBorders>
              <w:top w:val="nil"/>
              <w:left w:val="nil"/>
              <w:bottom w:val="single" w:sz="4" w:space="0" w:color="ADD6EA"/>
              <w:right w:val="nil"/>
            </w:tcBorders>
            <w:shd w:val="clear" w:color="000000" w:fill="006991"/>
            <w:vAlign w:val="center"/>
            <w:hideMark/>
          </w:tcPr>
          <w:p w14:paraId="4CC7CEF8" w14:textId="77777777" w:rsidR="00505D46" w:rsidRPr="00505D46" w:rsidRDefault="00505D46" w:rsidP="00505D4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05D46">
              <w:rPr>
                <w:rFonts w:ascii="Open Sans Semibold" w:eastAsia="Times New Roman" w:hAnsi="Open Sans Semibold" w:cs="Open Sans Semibold"/>
                <w:color w:val="FFFFFF"/>
                <w:sz w:val="16"/>
                <w:szCs w:val="16"/>
                <w:lang w:eastAsia="en-AU"/>
              </w:rPr>
              <w:t>GST relativities</w:t>
            </w:r>
          </w:p>
        </w:tc>
      </w:tr>
      <w:tr w:rsidR="00505D46" w:rsidRPr="00505D46" w14:paraId="308B1685" w14:textId="77777777" w:rsidTr="00505D46">
        <w:trPr>
          <w:trHeight w:val="315"/>
        </w:trPr>
        <w:tc>
          <w:tcPr>
            <w:tcW w:w="2620" w:type="dxa"/>
            <w:tcBorders>
              <w:top w:val="nil"/>
              <w:left w:val="nil"/>
              <w:bottom w:val="nil"/>
              <w:right w:val="nil"/>
            </w:tcBorders>
            <w:shd w:val="clear" w:color="auto" w:fill="auto"/>
            <w:vAlign w:val="bottom"/>
            <w:hideMark/>
          </w:tcPr>
          <w:p w14:paraId="685CA521" w14:textId="77777777" w:rsidR="00505D46" w:rsidRPr="00505D46" w:rsidRDefault="00505D46" w:rsidP="00505D46">
            <w:pPr>
              <w:tabs>
                <w:tab w:val="clear" w:pos="567"/>
              </w:tabs>
              <w:spacing w:before="0" w:line="240" w:lineRule="auto"/>
              <w:rPr>
                <w:rFonts w:eastAsia="Times New Roman" w:cs="Open Sans Light"/>
                <w:color w:val="000000"/>
                <w:sz w:val="16"/>
                <w:szCs w:val="16"/>
                <w:lang w:eastAsia="en-AU"/>
              </w:rPr>
            </w:pPr>
            <w:r w:rsidRPr="00505D46">
              <w:rPr>
                <w:rFonts w:eastAsia="Times New Roman" w:cs="Open Sans Light"/>
                <w:color w:val="000000"/>
                <w:sz w:val="16"/>
                <w:szCs w:val="16"/>
                <w:lang w:eastAsia="en-AU"/>
              </w:rPr>
              <w:t>New South Wales</w:t>
            </w:r>
          </w:p>
        </w:tc>
        <w:tc>
          <w:tcPr>
            <w:tcW w:w="1560" w:type="dxa"/>
            <w:tcBorders>
              <w:top w:val="nil"/>
              <w:left w:val="nil"/>
              <w:bottom w:val="nil"/>
              <w:right w:val="nil"/>
            </w:tcBorders>
            <w:shd w:val="clear" w:color="auto" w:fill="auto"/>
            <w:noWrap/>
            <w:vAlign w:val="bottom"/>
            <w:hideMark/>
          </w:tcPr>
          <w:p w14:paraId="4537D900"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1.01373</w:t>
            </w:r>
          </w:p>
        </w:tc>
        <w:tc>
          <w:tcPr>
            <w:tcW w:w="2020" w:type="dxa"/>
            <w:tcBorders>
              <w:top w:val="nil"/>
              <w:left w:val="nil"/>
              <w:bottom w:val="nil"/>
              <w:right w:val="nil"/>
            </w:tcBorders>
            <w:shd w:val="clear" w:color="auto" w:fill="auto"/>
            <w:noWrap/>
            <w:vAlign w:val="bottom"/>
            <w:hideMark/>
          </w:tcPr>
          <w:p w14:paraId="0A8CB211"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0.93448</w:t>
            </w:r>
          </w:p>
        </w:tc>
        <w:tc>
          <w:tcPr>
            <w:tcW w:w="1520" w:type="dxa"/>
            <w:tcBorders>
              <w:top w:val="nil"/>
              <w:left w:val="nil"/>
              <w:bottom w:val="nil"/>
              <w:right w:val="nil"/>
            </w:tcBorders>
            <w:shd w:val="clear" w:color="auto" w:fill="auto"/>
            <w:noWrap/>
            <w:vAlign w:val="bottom"/>
            <w:hideMark/>
          </w:tcPr>
          <w:p w14:paraId="5297DA37"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0.98742</w:t>
            </w:r>
          </w:p>
        </w:tc>
        <w:tc>
          <w:tcPr>
            <w:tcW w:w="1160" w:type="dxa"/>
            <w:tcBorders>
              <w:top w:val="nil"/>
              <w:left w:val="nil"/>
              <w:bottom w:val="nil"/>
              <w:right w:val="nil"/>
            </w:tcBorders>
            <w:shd w:val="clear" w:color="auto" w:fill="auto"/>
            <w:noWrap/>
            <w:vAlign w:val="bottom"/>
            <w:hideMark/>
          </w:tcPr>
          <w:p w14:paraId="269B57FC"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0.95065</w:t>
            </w:r>
          </w:p>
        </w:tc>
      </w:tr>
      <w:tr w:rsidR="00505D46" w:rsidRPr="00505D46" w14:paraId="6607B419" w14:textId="77777777" w:rsidTr="00505D46">
        <w:trPr>
          <w:trHeight w:val="315"/>
        </w:trPr>
        <w:tc>
          <w:tcPr>
            <w:tcW w:w="2620" w:type="dxa"/>
            <w:tcBorders>
              <w:top w:val="single" w:sz="4" w:space="0" w:color="ADD6EA"/>
              <w:left w:val="nil"/>
              <w:bottom w:val="nil"/>
              <w:right w:val="nil"/>
            </w:tcBorders>
            <w:shd w:val="clear" w:color="auto" w:fill="auto"/>
            <w:vAlign w:val="bottom"/>
            <w:hideMark/>
          </w:tcPr>
          <w:p w14:paraId="62EBBA17" w14:textId="77777777" w:rsidR="00505D46" w:rsidRPr="00505D46" w:rsidRDefault="00505D46" w:rsidP="00505D46">
            <w:pPr>
              <w:tabs>
                <w:tab w:val="clear" w:pos="567"/>
              </w:tabs>
              <w:spacing w:before="0" w:line="240" w:lineRule="auto"/>
              <w:rPr>
                <w:rFonts w:eastAsia="Times New Roman" w:cs="Open Sans Light"/>
                <w:color w:val="000000"/>
                <w:sz w:val="16"/>
                <w:szCs w:val="16"/>
                <w:lang w:eastAsia="en-AU"/>
              </w:rPr>
            </w:pPr>
            <w:r w:rsidRPr="00505D46">
              <w:rPr>
                <w:rFonts w:eastAsia="Times New Roman" w:cs="Open Sans Light"/>
                <w:color w:val="000000"/>
                <w:sz w:val="16"/>
                <w:szCs w:val="16"/>
                <w:lang w:eastAsia="en-AU"/>
              </w:rPr>
              <w:t>Victoria</w:t>
            </w:r>
          </w:p>
        </w:tc>
        <w:tc>
          <w:tcPr>
            <w:tcW w:w="1560" w:type="dxa"/>
            <w:tcBorders>
              <w:top w:val="single" w:sz="4" w:space="0" w:color="ADD6EA"/>
              <w:left w:val="nil"/>
              <w:bottom w:val="nil"/>
              <w:right w:val="nil"/>
            </w:tcBorders>
            <w:shd w:val="clear" w:color="auto" w:fill="auto"/>
            <w:noWrap/>
            <w:vAlign w:val="bottom"/>
            <w:hideMark/>
          </w:tcPr>
          <w:p w14:paraId="084EF307"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0.92170</w:t>
            </w:r>
          </w:p>
        </w:tc>
        <w:tc>
          <w:tcPr>
            <w:tcW w:w="2020" w:type="dxa"/>
            <w:tcBorders>
              <w:top w:val="single" w:sz="4" w:space="0" w:color="ADD6EA"/>
              <w:left w:val="nil"/>
              <w:bottom w:val="nil"/>
              <w:right w:val="nil"/>
            </w:tcBorders>
            <w:shd w:val="clear" w:color="auto" w:fill="auto"/>
            <w:noWrap/>
            <w:vAlign w:val="bottom"/>
            <w:hideMark/>
          </w:tcPr>
          <w:p w14:paraId="57CE11E2"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0.84245</w:t>
            </w:r>
          </w:p>
        </w:tc>
        <w:tc>
          <w:tcPr>
            <w:tcW w:w="1520" w:type="dxa"/>
            <w:tcBorders>
              <w:top w:val="single" w:sz="4" w:space="0" w:color="ADD6EA"/>
              <w:left w:val="nil"/>
              <w:bottom w:val="nil"/>
              <w:right w:val="nil"/>
            </w:tcBorders>
            <w:shd w:val="clear" w:color="auto" w:fill="auto"/>
            <w:noWrap/>
            <w:vAlign w:val="bottom"/>
            <w:hideMark/>
          </w:tcPr>
          <w:p w14:paraId="1790E9BD"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0.89538</w:t>
            </w:r>
          </w:p>
        </w:tc>
        <w:tc>
          <w:tcPr>
            <w:tcW w:w="1160" w:type="dxa"/>
            <w:tcBorders>
              <w:top w:val="single" w:sz="4" w:space="0" w:color="ADD6EA"/>
              <w:left w:val="nil"/>
              <w:bottom w:val="nil"/>
              <w:right w:val="nil"/>
            </w:tcBorders>
            <w:shd w:val="clear" w:color="auto" w:fill="auto"/>
            <w:noWrap/>
            <w:vAlign w:val="bottom"/>
            <w:hideMark/>
          </w:tcPr>
          <w:p w14:paraId="2D63BAF2"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0.85861</w:t>
            </w:r>
          </w:p>
        </w:tc>
      </w:tr>
      <w:tr w:rsidR="00505D46" w:rsidRPr="00505D46" w14:paraId="61161714" w14:textId="77777777" w:rsidTr="00505D46">
        <w:trPr>
          <w:trHeight w:val="315"/>
        </w:trPr>
        <w:tc>
          <w:tcPr>
            <w:tcW w:w="2620" w:type="dxa"/>
            <w:tcBorders>
              <w:top w:val="single" w:sz="4" w:space="0" w:color="ADD6EA"/>
              <w:left w:val="nil"/>
              <w:bottom w:val="nil"/>
              <w:right w:val="nil"/>
            </w:tcBorders>
            <w:shd w:val="clear" w:color="auto" w:fill="auto"/>
            <w:vAlign w:val="bottom"/>
            <w:hideMark/>
          </w:tcPr>
          <w:p w14:paraId="50950949" w14:textId="77777777" w:rsidR="00505D46" w:rsidRPr="00505D46" w:rsidRDefault="00505D46" w:rsidP="00505D46">
            <w:pPr>
              <w:tabs>
                <w:tab w:val="clear" w:pos="567"/>
              </w:tabs>
              <w:spacing w:before="0" w:line="240" w:lineRule="auto"/>
              <w:rPr>
                <w:rFonts w:eastAsia="Times New Roman" w:cs="Open Sans Light"/>
                <w:color w:val="000000"/>
                <w:sz w:val="16"/>
                <w:szCs w:val="16"/>
                <w:lang w:eastAsia="en-AU"/>
              </w:rPr>
            </w:pPr>
            <w:r w:rsidRPr="00505D46">
              <w:rPr>
                <w:rFonts w:eastAsia="Times New Roman" w:cs="Open Sans Light"/>
                <w:color w:val="000000"/>
                <w:sz w:val="16"/>
                <w:szCs w:val="16"/>
                <w:lang w:eastAsia="en-AU"/>
              </w:rPr>
              <w:t>Queensland</w:t>
            </w:r>
          </w:p>
        </w:tc>
        <w:tc>
          <w:tcPr>
            <w:tcW w:w="1560" w:type="dxa"/>
            <w:tcBorders>
              <w:top w:val="single" w:sz="4" w:space="0" w:color="ADD6EA"/>
              <w:left w:val="nil"/>
              <w:bottom w:val="nil"/>
              <w:right w:val="nil"/>
            </w:tcBorders>
            <w:shd w:val="clear" w:color="auto" w:fill="auto"/>
            <w:noWrap/>
            <w:vAlign w:val="bottom"/>
            <w:hideMark/>
          </w:tcPr>
          <w:p w14:paraId="00920612"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1.09684</w:t>
            </w:r>
          </w:p>
        </w:tc>
        <w:tc>
          <w:tcPr>
            <w:tcW w:w="2020" w:type="dxa"/>
            <w:tcBorders>
              <w:top w:val="single" w:sz="4" w:space="0" w:color="ADD6EA"/>
              <w:left w:val="nil"/>
              <w:bottom w:val="nil"/>
              <w:right w:val="nil"/>
            </w:tcBorders>
            <w:shd w:val="clear" w:color="auto" w:fill="auto"/>
            <w:noWrap/>
            <w:vAlign w:val="bottom"/>
            <w:hideMark/>
          </w:tcPr>
          <w:p w14:paraId="7CFF9E20"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1.01758</w:t>
            </w:r>
          </w:p>
        </w:tc>
        <w:tc>
          <w:tcPr>
            <w:tcW w:w="1520" w:type="dxa"/>
            <w:tcBorders>
              <w:top w:val="single" w:sz="4" w:space="0" w:color="ADD6EA"/>
              <w:left w:val="nil"/>
              <w:bottom w:val="nil"/>
              <w:right w:val="nil"/>
            </w:tcBorders>
            <w:shd w:val="clear" w:color="auto" w:fill="auto"/>
            <w:noWrap/>
            <w:vAlign w:val="bottom"/>
            <w:hideMark/>
          </w:tcPr>
          <w:p w14:paraId="75623DAA"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1.07053</w:t>
            </w:r>
          </w:p>
        </w:tc>
        <w:tc>
          <w:tcPr>
            <w:tcW w:w="1160" w:type="dxa"/>
            <w:tcBorders>
              <w:top w:val="single" w:sz="4" w:space="0" w:color="ADD6EA"/>
              <w:left w:val="nil"/>
              <w:bottom w:val="nil"/>
              <w:right w:val="nil"/>
            </w:tcBorders>
            <w:shd w:val="clear" w:color="auto" w:fill="auto"/>
            <w:noWrap/>
            <w:vAlign w:val="bottom"/>
            <w:hideMark/>
          </w:tcPr>
          <w:p w14:paraId="54E49ADE"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1.03377</w:t>
            </w:r>
          </w:p>
        </w:tc>
      </w:tr>
      <w:tr w:rsidR="00505D46" w:rsidRPr="00505D46" w14:paraId="122C7E32" w14:textId="77777777" w:rsidTr="00505D46">
        <w:trPr>
          <w:trHeight w:val="315"/>
        </w:trPr>
        <w:tc>
          <w:tcPr>
            <w:tcW w:w="2620" w:type="dxa"/>
            <w:tcBorders>
              <w:top w:val="single" w:sz="4" w:space="0" w:color="ADD6EA"/>
              <w:left w:val="nil"/>
              <w:bottom w:val="nil"/>
              <w:right w:val="nil"/>
            </w:tcBorders>
            <w:shd w:val="clear" w:color="auto" w:fill="auto"/>
            <w:vAlign w:val="bottom"/>
            <w:hideMark/>
          </w:tcPr>
          <w:p w14:paraId="278051B4" w14:textId="77777777" w:rsidR="00505D46" w:rsidRPr="00505D46" w:rsidRDefault="00505D46" w:rsidP="00505D46">
            <w:pPr>
              <w:tabs>
                <w:tab w:val="clear" w:pos="567"/>
              </w:tabs>
              <w:spacing w:before="0" w:line="240" w:lineRule="auto"/>
              <w:rPr>
                <w:rFonts w:eastAsia="Times New Roman" w:cs="Open Sans Light"/>
                <w:color w:val="000000"/>
                <w:sz w:val="16"/>
                <w:szCs w:val="16"/>
                <w:lang w:eastAsia="en-AU"/>
              </w:rPr>
            </w:pPr>
            <w:r w:rsidRPr="00505D46">
              <w:rPr>
                <w:rFonts w:eastAsia="Times New Roman" w:cs="Open Sans Light"/>
                <w:color w:val="000000"/>
                <w:sz w:val="16"/>
                <w:szCs w:val="16"/>
                <w:lang w:eastAsia="en-AU"/>
              </w:rPr>
              <w:t>Western Australia</w:t>
            </w:r>
          </w:p>
        </w:tc>
        <w:tc>
          <w:tcPr>
            <w:tcW w:w="1560" w:type="dxa"/>
            <w:tcBorders>
              <w:top w:val="single" w:sz="4" w:space="0" w:color="ADD6EA"/>
              <w:left w:val="nil"/>
              <w:bottom w:val="nil"/>
              <w:right w:val="nil"/>
            </w:tcBorders>
            <w:shd w:val="clear" w:color="auto" w:fill="auto"/>
            <w:noWrap/>
            <w:vAlign w:val="bottom"/>
            <w:hideMark/>
          </w:tcPr>
          <w:p w14:paraId="00CB2E67"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0.15784</w:t>
            </w:r>
          </w:p>
        </w:tc>
        <w:tc>
          <w:tcPr>
            <w:tcW w:w="2020" w:type="dxa"/>
            <w:tcBorders>
              <w:top w:val="single" w:sz="4" w:space="0" w:color="ADD6EA"/>
              <w:left w:val="nil"/>
              <w:bottom w:val="nil"/>
              <w:right w:val="nil"/>
            </w:tcBorders>
            <w:shd w:val="clear" w:color="auto" w:fill="auto"/>
            <w:noWrap/>
            <w:vAlign w:val="bottom"/>
            <w:hideMark/>
          </w:tcPr>
          <w:p w14:paraId="0DBFC7E3"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0.84245</w:t>
            </w:r>
          </w:p>
        </w:tc>
        <w:tc>
          <w:tcPr>
            <w:tcW w:w="1520" w:type="dxa"/>
            <w:tcBorders>
              <w:top w:val="single" w:sz="4" w:space="0" w:color="ADD6EA"/>
              <w:left w:val="nil"/>
              <w:bottom w:val="nil"/>
              <w:right w:val="nil"/>
            </w:tcBorders>
            <w:shd w:val="clear" w:color="auto" w:fill="auto"/>
            <w:noWrap/>
            <w:vAlign w:val="bottom"/>
            <w:hideMark/>
          </w:tcPr>
          <w:p w14:paraId="11641839"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0.38608</w:t>
            </w:r>
          </w:p>
        </w:tc>
        <w:tc>
          <w:tcPr>
            <w:tcW w:w="1160" w:type="dxa"/>
            <w:tcBorders>
              <w:top w:val="single" w:sz="4" w:space="0" w:color="ADD6EA"/>
              <w:left w:val="nil"/>
              <w:bottom w:val="nil"/>
              <w:right w:val="nil"/>
            </w:tcBorders>
            <w:shd w:val="clear" w:color="auto" w:fill="auto"/>
            <w:noWrap/>
            <w:vAlign w:val="bottom"/>
            <w:hideMark/>
          </w:tcPr>
          <w:p w14:paraId="48020FFF"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0.70000</w:t>
            </w:r>
          </w:p>
        </w:tc>
      </w:tr>
      <w:tr w:rsidR="00505D46" w:rsidRPr="00505D46" w14:paraId="625D35B9" w14:textId="77777777" w:rsidTr="00505D46">
        <w:trPr>
          <w:trHeight w:val="315"/>
        </w:trPr>
        <w:tc>
          <w:tcPr>
            <w:tcW w:w="2620" w:type="dxa"/>
            <w:tcBorders>
              <w:top w:val="single" w:sz="4" w:space="0" w:color="ADD6EA"/>
              <w:left w:val="nil"/>
              <w:bottom w:val="nil"/>
              <w:right w:val="nil"/>
            </w:tcBorders>
            <w:shd w:val="clear" w:color="auto" w:fill="auto"/>
            <w:vAlign w:val="bottom"/>
            <w:hideMark/>
          </w:tcPr>
          <w:p w14:paraId="4FF20A25" w14:textId="77777777" w:rsidR="00505D46" w:rsidRPr="00505D46" w:rsidRDefault="00505D46" w:rsidP="00505D46">
            <w:pPr>
              <w:tabs>
                <w:tab w:val="clear" w:pos="567"/>
              </w:tabs>
              <w:spacing w:before="0" w:line="240" w:lineRule="auto"/>
              <w:rPr>
                <w:rFonts w:eastAsia="Times New Roman" w:cs="Open Sans Light"/>
                <w:color w:val="000000"/>
                <w:sz w:val="16"/>
                <w:szCs w:val="16"/>
                <w:lang w:eastAsia="en-AU"/>
              </w:rPr>
            </w:pPr>
            <w:r w:rsidRPr="00505D46">
              <w:rPr>
                <w:rFonts w:eastAsia="Times New Roman" w:cs="Open Sans Light"/>
                <w:color w:val="000000"/>
                <w:sz w:val="16"/>
                <w:szCs w:val="16"/>
                <w:lang w:eastAsia="en-AU"/>
              </w:rPr>
              <w:t>South Australia</w:t>
            </w:r>
          </w:p>
        </w:tc>
        <w:tc>
          <w:tcPr>
            <w:tcW w:w="1560" w:type="dxa"/>
            <w:tcBorders>
              <w:top w:val="single" w:sz="4" w:space="0" w:color="ADD6EA"/>
              <w:left w:val="nil"/>
              <w:bottom w:val="nil"/>
              <w:right w:val="nil"/>
            </w:tcBorders>
            <w:shd w:val="clear" w:color="auto" w:fill="auto"/>
            <w:noWrap/>
            <w:vAlign w:val="bottom"/>
            <w:hideMark/>
          </w:tcPr>
          <w:p w14:paraId="137C204F"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1.34715</w:t>
            </w:r>
          </w:p>
        </w:tc>
        <w:tc>
          <w:tcPr>
            <w:tcW w:w="2020" w:type="dxa"/>
            <w:tcBorders>
              <w:top w:val="single" w:sz="4" w:space="0" w:color="ADD6EA"/>
              <w:left w:val="nil"/>
              <w:bottom w:val="nil"/>
              <w:right w:val="nil"/>
            </w:tcBorders>
            <w:shd w:val="clear" w:color="auto" w:fill="auto"/>
            <w:noWrap/>
            <w:vAlign w:val="bottom"/>
            <w:hideMark/>
          </w:tcPr>
          <w:p w14:paraId="1BF03BA3"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1.26790</w:t>
            </w:r>
          </w:p>
        </w:tc>
        <w:tc>
          <w:tcPr>
            <w:tcW w:w="1520" w:type="dxa"/>
            <w:tcBorders>
              <w:top w:val="single" w:sz="4" w:space="0" w:color="ADD6EA"/>
              <w:left w:val="nil"/>
              <w:bottom w:val="nil"/>
              <w:right w:val="nil"/>
            </w:tcBorders>
            <w:shd w:val="clear" w:color="auto" w:fill="auto"/>
            <w:noWrap/>
            <w:vAlign w:val="bottom"/>
            <w:hideMark/>
          </w:tcPr>
          <w:p w14:paraId="6A2C93E2"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1.32087</w:t>
            </w:r>
          </w:p>
        </w:tc>
        <w:tc>
          <w:tcPr>
            <w:tcW w:w="1160" w:type="dxa"/>
            <w:tcBorders>
              <w:top w:val="single" w:sz="4" w:space="0" w:color="ADD6EA"/>
              <w:left w:val="nil"/>
              <w:bottom w:val="nil"/>
              <w:right w:val="nil"/>
            </w:tcBorders>
            <w:shd w:val="clear" w:color="auto" w:fill="auto"/>
            <w:noWrap/>
            <w:vAlign w:val="bottom"/>
            <w:hideMark/>
          </w:tcPr>
          <w:p w14:paraId="4B3243BB"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1.28411</w:t>
            </w:r>
          </w:p>
        </w:tc>
      </w:tr>
      <w:tr w:rsidR="00505D46" w:rsidRPr="00505D46" w14:paraId="0529BF6C" w14:textId="77777777" w:rsidTr="00505D46">
        <w:trPr>
          <w:trHeight w:val="315"/>
        </w:trPr>
        <w:tc>
          <w:tcPr>
            <w:tcW w:w="2620" w:type="dxa"/>
            <w:tcBorders>
              <w:top w:val="single" w:sz="4" w:space="0" w:color="ADD6EA"/>
              <w:left w:val="nil"/>
              <w:bottom w:val="nil"/>
              <w:right w:val="nil"/>
            </w:tcBorders>
            <w:shd w:val="clear" w:color="auto" w:fill="auto"/>
            <w:vAlign w:val="bottom"/>
            <w:hideMark/>
          </w:tcPr>
          <w:p w14:paraId="2CE2DD6A" w14:textId="77777777" w:rsidR="00505D46" w:rsidRPr="00505D46" w:rsidRDefault="00505D46" w:rsidP="00505D46">
            <w:pPr>
              <w:tabs>
                <w:tab w:val="clear" w:pos="567"/>
              </w:tabs>
              <w:spacing w:before="0" w:line="240" w:lineRule="auto"/>
              <w:rPr>
                <w:rFonts w:eastAsia="Times New Roman" w:cs="Open Sans Light"/>
                <w:color w:val="000000"/>
                <w:sz w:val="16"/>
                <w:szCs w:val="16"/>
                <w:lang w:eastAsia="en-AU"/>
              </w:rPr>
            </w:pPr>
            <w:r w:rsidRPr="00505D46">
              <w:rPr>
                <w:rFonts w:eastAsia="Times New Roman" w:cs="Open Sans Light"/>
                <w:color w:val="000000"/>
                <w:sz w:val="16"/>
                <w:szCs w:val="16"/>
                <w:lang w:eastAsia="en-AU"/>
              </w:rPr>
              <w:t>Tasmania</w:t>
            </w:r>
          </w:p>
        </w:tc>
        <w:tc>
          <w:tcPr>
            <w:tcW w:w="1560" w:type="dxa"/>
            <w:tcBorders>
              <w:top w:val="single" w:sz="4" w:space="0" w:color="ADD6EA"/>
              <w:left w:val="nil"/>
              <w:bottom w:val="nil"/>
              <w:right w:val="nil"/>
            </w:tcBorders>
            <w:shd w:val="clear" w:color="auto" w:fill="auto"/>
            <w:noWrap/>
            <w:vAlign w:val="bottom"/>
            <w:hideMark/>
          </w:tcPr>
          <w:p w14:paraId="1654F1DE"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1.91658</w:t>
            </w:r>
          </w:p>
        </w:tc>
        <w:tc>
          <w:tcPr>
            <w:tcW w:w="2020" w:type="dxa"/>
            <w:tcBorders>
              <w:top w:val="single" w:sz="4" w:space="0" w:color="ADD6EA"/>
              <w:left w:val="nil"/>
              <w:bottom w:val="nil"/>
              <w:right w:val="nil"/>
            </w:tcBorders>
            <w:shd w:val="clear" w:color="auto" w:fill="auto"/>
            <w:noWrap/>
            <w:vAlign w:val="bottom"/>
            <w:hideMark/>
          </w:tcPr>
          <w:p w14:paraId="53CF9AA1"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1.83733</w:t>
            </w:r>
          </w:p>
        </w:tc>
        <w:tc>
          <w:tcPr>
            <w:tcW w:w="1520" w:type="dxa"/>
            <w:tcBorders>
              <w:top w:val="single" w:sz="4" w:space="0" w:color="ADD6EA"/>
              <w:left w:val="nil"/>
              <w:bottom w:val="nil"/>
              <w:right w:val="nil"/>
            </w:tcBorders>
            <w:shd w:val="clear" w:color="auto" w:fill="auto"/>
            <w:noWrap/>
            <w:vAlign w:val="bottom"/>
            <w:hideMark/>
          </w:tcPr>
          <w:p w14:paraId="5E6BE92E"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1.89037</w:t>
            </w:r>
          </w:p>
        </w:tc>
        <w:tc>
          <w:tcPr>
            <w:tcW w:w="1160" w:type="dxa"/>
            <w:tcBorders>
              <w:top w:val="single" w:sz="4" w:space="0" w:color="ADD6EA"/>
              <w:left w:val="nil"/>
              <w:bottom w:val="nil"/>
              <w:right w:val="nil"/>
            </w:tcBorders>
            <w:shd w:val="clear" w:color="auto" w:fill="auto"/>
            <w:noWrap/>
            <w:vAlign w:val="bottom"/>
            <w:hideMark/>
          </w:tcPr>
          <w:p w14:paraId="6CDD699E"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1.85360</w:t>
            </w:r>
          </w:p>
        </w:tc>
      </w:tr>
      <w:tr w:rsidR="00505D46" w:rsidRPr="00505D46" w14:paraId="7DADD4A6" w14:textId="77777777" w:rsidTr="00505D46">
        <w:trPr>
          <w:trHeight w:val="315"/>
        </w:trPr>
        <w:tc>
          <w:tcPr>
            <w:tcW w:w="2620" w:type="dxa"/>
            <w:tcBorders>
              <w:top w:val="single" w:sz="4" w:space="0" w:color="ADD6EA"/>
              <w:left w:val="nil"/>
              <w:bottom w:val="nil"/>
              <w:right w:val="nil"/>
            </w:tcBorders>
            <w:shd w:val="clear" w:color="auto" w:fill="auto"/>
            <w:vAlign w:val="bottom"/>
            <w:hideMark/>
          </w:tcPr>
          <w:p w14:paraId="2DA150CD" w14:textId="77777777" w:rsidR="00505D46" w:rsidRPr="00505D46" w:rsidRDefault="00505D46" w:rsidP="00505D46">
            <w:pPr>
              <w:tabs>
                <w:tab w:val="clear" w:pos="567"/>
              </w:tabs>
              <w:spacing w:before="0" w:line="240" w:lineRule="auto"/>
              <w:rPr>
                <w:rFonts w:eastAsia="Times New Roman" w:cs="Open Sans Light"/>
                <w:color w:val="000000"/>
                <w:sz w:val="16"/>
                <w:szCs w:val="16"/>
                <w:lang w:eastAsia="en-AU"/>
              </w:rPr>
            </w:pPr>
            <w:r w:rsidRPr="00505D46">
              <w:rPr>
                <w:rFonts w:eastAsia="Times New Roman" w:cs="Open Sans Light"/>
                <w:color w:val="000000"/>
                <w:sz w:val="16"/>
                <w:szCs w:val="16"/>
                <w:lang w:eastAsia="en-AU"/>
              </w:rPr>
              <w:t>Australian Capital Territory</w:t>
            </w:r>
          </w:p>
        </w:tc>
        <w:tc>
          <w:tcPr>
            <w:tcW w:w="1560" w:type="dxa"/>
            <w:tcBorders>
              <w:top w:val="single" w:sz="4" w:space="0" w:color="ADD6EA"/>
              <w:left w:val="nil"/>
              <w:bottom w:val="nil"/>
              <w:right w:val="nil"/>
            </w:tcBorders>
            <w:shd w:val="clear" w:color="auto" w:fill="auto"/>
            <w:noWrap/>
            <w:vAlign w:val="bottom"/>
            <w:hideMark/>
          </w:tcPr>
          <w:p w14:paraId="20A595A7"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1.15556</w:t>
            </w:r>
          </w:p>
        </w:tc>
        <w:tc>
          <w:tcPr>
            <w:tcW w:w="2020" w:type="dxa"/>
            <w:tcBorders>
              <w:top w:val="single" w:sz="4" w:space="0" w:color="ADD6EA"/>
              <w:left w:val="nil"/>
              <w:bottom w:val="nil"/>
              <w:right w:val="nil"/>
            </w:tcBorders>
            <w:shd w:val="clear" w:color="auto" w:fill="auto"/>
            <w:noWrap/>
            <w:vAlign w:val="bottom"/>
            <w:hideMark/>
          </w:tcPr>
          <w:p w14:paraId="0B6ADE98"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1.07631</w:t>
            </w:r>
          </w:p>
        </w:tc>
        <w:tc>
          <w:tcPr>
            <w:tcW w:w="1520" w:type="dxa"/>
            <w:tcBorders>
              <w:top w:val="single" w:sz="4" w:space="0" w:color="ADD6EA"/>
              <w:left w:val="nil"/>
              <w:bottom w:val="nil"/>
              <w:right w:val="nil"/>
            </w:tcBorders>
            <w:shd w:val="clear" w:color="auto" w:fill="auto"/>
            <w:noWrap/>
            <w:vAlign w:val="bottom"/>
            <w:hideMark/>
          </w:tcPr>
          <w:p w14:paraId="1DEA262B"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1.12927</w:t>
            </w:r>
          </w:p>
        </w:tc>
        <w:tc>
          <w:tcPr>
            <w:tcW w:w="1160" w:type="dxa"/>
            <w:tcBorders>
              <w:top w:val="single" w:sz="4" w:space="0" w:color="ADD6EA"/>
              <w:left w:val="nil"/>
              <w:bottom w:val="nil"/>
              <w:right w:val="nil"/>
            </w:tcBorders>
            <w:shd w:val="clear" w:color="auto" w:fill="auto"/>
            <w:noWrap/>
            <w:vAlign w:val="bottom"/>
            <w:hideMark/>
          </w:tcPr>
          <w:p w14:paraId="3AC6F4E5"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1.09250</w:t>
            </w:r>
          </w:p>
        </w:tc>
      </w:tr>
      <w:tr w:rsidR="00505D46" w:rsidRPr="00505D46" w14:paraId="2EDFE2FB" w14:textId="77777777" w:rsidTr="00505D46">
        <w:trPr>
          <w:trHeight w:val="315"/>
        </w:trPr>
        <w:tc>
          <w:tcPr>
            <w:tcW w:w="2620" w:type="dxa"/>
            <w:tcBorders>
              <w:top w:val="single" w:sz="4" w:space="0" w:color="ADD6EA"/>
              <w:left w:val="nil"/>
              <w:bottom w:val="nil"/>
              <w:right w:val="nil"/>
            </w:tcBorders>
            <w:shd w:val="clear" w:color="auto" w:fill="auto"/>
            <w:vAlign w:val="bottom"/>
            <w:hideMark/>
          </w:tcPr>
          <w:p w14:paraId="10C3CDE2" w14:textId="77777777" w:rsidR="00505D46" w:rsidRPr="00505D46" w:rsidRDefault="00505D46" w:rsidP="00505D46">
            <w:pPr>
              <w:tabs>
                <w:tab w:val="clear" w:pos="567"/>
              </w:tabs>
              <w:spacing w:before="0" w:line="240" w:lineRule="auto"/>
              <w:rPr>
                <w:rFonts w:eastAsia="Times New Roman" w:cs="Open Sans Light"/>
                <w:color w:val="000000"/>
                <w:sz w:val="16"/>
                <w:szCs w:val="16"/>
                <w:lang w:eastAsia="en-AU"/>
              </w:rPr>
            </w:pPr>
            <w:r w:rsidRPr="00505D46">
              <w:rPr>
                <w:rFonts w:eastAsia="Times New Roman" w:cs="Open Sans Light"/>
                <w:color w:val="000000"/>
                <w:sz w:val="16"/>
                <w:szCs w:val="16"/>
                <w:lang w:eastAsia="en-AU"/>
              </w:rPr>
              <w:t>Northern Territory</w:t>
            </w:r>
          </w:p>
        </w:tc>
        <w:tc>
          <w:tcPr>
            <w:tcW w:w="1560" w:type="dxa"/>
            <w:tcBorders>
              <w:top w:val="single" w:sz="4" w:space="0" w:color="ADD6EA"/>
              <w:left w:val="nil"/>
              <w:bottom w:val="nil"/>
              <w:right w:val="nil"/>
            </w:tcBorders>
            <w:shd w:val="clear" w:color="auto" w:fill="auto"/>
            <w:noWrap/>
            <w:vAlign w:val="bottom"/>
            <w:hideMark/>
          </w:tcPr>
          <w:p w14:paraId="42BE0808"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4.93255</w:t>
            </w:r>
          </w:p>
        </w:tc>
        <w:tc>
          <w:tcPr>
            <w:tcW w:w="2020" w:type="dxa"/>
            <w:tcBorders>
              <w:top w:val="single" w:sz="4" w:space="0" w:color="ADD6EA"/>
              <w:left w:val="nil"/>
              <w:bottom w:val="nil"/>
              <w:right w:val="nil"/>
            </w:tcBorders>
            <w:shd w:val="clear" w:color="auto" w:fill="auto"/>
            <w:noWrap/>
            <w:vAlign w:val="bottom"/>
            <w:hideMark/>
          </w:tcPr>
          <w:p w14:paraId="0F46E5D6"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4.85329</w:t>
            </w:r>
          </w:p>
        </w:tc>
        <w:tc>
          <w:tcPr>
            <w:tcW w:w="1520" w:type="dxa"/>
            <w:tcBorders>
              <w:top w:val="single" w:sz="4" w:space="0" w:color="ADD6EA"/>
              <w:left w:val="nil"/>
              <w:bottom w:val="nil"/>
              <w:right w:val="nil"/>
            </w:tcBorders>
            <w:shd w:val="clear" w:color="auto" w:fill="auto"/>
            <w:noWrap/>
            <w:vAlign w:val="bottom"/>
            <w:hideMark/>
          </w:tcPr>
          <w:p w14:paraId="2DEC0ECC"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4.90665</w:t>
            </w:r>
          </w:p>
        </w:tc>
        <w:tc>
          <w:tcPr>
            <w:tcW w:w="1160" w:type="dxa"/>
            <w:tcBorders>
              <w:top w:val="single" w:sz="4" w:space="0" w:color="ADD6EA"/>
              <w:left w:val="nil"/>
              <w:bottom w:val="nil"/>
              <w:right w:val="nil"/>
            </w:tcBorders>
            <w:shd w:val="clear" w:color="auto" w:fill="auto"/>
            <w:noWrap/>
            <w:vAlign w:val="bottom"/>
            <w:hideMark/>
          </w:tcPr>
          <w:p w14:paraId="54006999" w14:textId="77777777" w:rsidR="00505D46" w:rsidRPr="00505D46" w:rsidRDefault="00505D46" w:rsidP="00505D46">
            <w:pPr>
              <w:tabs>
                <w:tab w:val="clear" w:pos="567"/>
              </w:tabs>
              <w:spacing w:before="0" w:line="240" w:lineRule="auto"/>
              <w:jc w:val="right"/>
              <w:rPr>
                <w:rFonts w:eastAsia="Times New Roman" w:cs="Open Sans Light"/>
                <w:color w:val="000000"/>
                <w:sz w:val="16"/>
                <w:szCs w:val="16"/>
                <w:lang w:eastAsia="en-AU"/>
              </w:rPr>
            </w:pPr>
            <w:r w:rsidRPr="00505D46">
              <w:rPr>
                <w:rFonts w:eastAsia="Times New Roman" w:cs="Open Sans Light"/>
                <w:color w:val="000000"/>
                <w:sz w:val="16"/>
                <w:szCs w:val="16"/>
                <w:lang w:eastAsia="en-AU"/>
              </w:rPr>
              <w:t>4.86988</w:t>
            </w:r>
          </w:p>
        </w:tc>
      </w:tr>
      <w:tr w:rsidR="00505D46" w:rsidRPr="00505D46" w14:paraId="7FB12B33" w14:textId="77777777" w:rsidTr="00505D46">
        <w:trPr>
          <w:trHeight w:val="315"/>
        </w:trPr>
        <w:tc>
          <w:tcPr>
            <w:tcW w:w="2620" w:type="dxa"/>
            <w:tcBorders>
              <w:top w:val="single" w:sz="4" w:space="0" w:color="ADD6EA"/>
              <w:left w:val="nil"/>
              <w:bottom w:val="single" w:sz="4" w:space="0" w:color="ADD6EA"/>
              <w:right w:val="nil"/>
            </w:tcBorders>
            <w:shd w:val="clear" w:color="000000" w:fill="D6E7F0"/>
            <w:vAlign w:val="bottom"/>
            <w:hideMark/>
          </w:tcPr>
          <w:p w14:paraId="5E138D33" w14:textId="77777777" w:rsidR="00505D46" w:rsidRPr="00505D46" w:rsidRDefault="00505D46" w:rsidP="00505D46">
            <w:pPr>
              <w:tabs>
                <w:tab w:val="clear" w:pos="567"/>
              </w:tabs>
              <w:spacing w:before="0" w:line="240" w:lineRule="auto"/>
              <w:rPr>
                <w:rFonts w:ascii="Open Sans Semibold" w:eastAsia="Times New Roman" w:hAnsi="Open Sans Semibold" w:cs="Open Sans Semibold"/>
                <w:color w:val="000000"/>
                <w:sz w:val="16"/>
                <w:szCs w:val="16"/>
                <w:lang w:eastAsia="en-AU"/>
              </w:rPr>
            </w:pPr>
            <w:r w:rsidRPr="00505D46">
              <w:rPr>
                <w:rFonts w:ascii="Open Sans Semibold" w:eastAsia="Times New Roman" w:hAnsi="Open Sans Semibold" w:cs="Open Sans Semibold"/>
                <w:color w:val="000000"/>
                <w:sz w:val="16"/>
                <w:szCs w:val="16"/>
                <w:lang w:eastAsia="en-AU"/>
              </w:rPr>
              <w:t>Total</w:t>
            </w:r>
          </w:p>
        </w:tc>
        <w:tc>
          <w:tcPr>
            <w:tcW w:w="1560" w:type="dxa"/>
            <w:tcBorders>
              <w:top w:val="single" w:sz="4" w:space="0" w:color="ADD6EA"/>
              <w:left w:val="nil"/>
              <w:bottom w:val="single" w:sz="4" w:space="0" w:color="ADD6EA"/>
              <w:right w:val="nil"/>
            </w:tcBorders>
            <w:shd w:val="clear" w:color="000000" w:fill="D6E7F0"/>
            <w:noWrap/>
            <w:vAlign w:val="bottom"/>
            <w:hideMark/>
          </w:tcPr>
          <w:p w14:paraId="2F1CCB73" w14:textId="77777777" w:rsidR="00505D46" w:rsidRPr="00505D46" w:rsidRDefault="00505D46" w:rsidP="00505D4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05D46">
              <w:rPr>
                <w:rFonts w:ascii="Open Sans Semibold" w:eastAsia="Times New Roman" w:hAnsi="Open Sans Semibold" w:cs="Open Sans Semibold"/>
                <w:color w:val="000000"/>
                <w:sz w:val="16"/>
                <w:szCs w:val="16"/>
                <w:lang w:eastAsia="en-AU"/>
              </w:rPr>
              <w:t>1.00000</w:t>
            </w:r>
          </w:p>
        </w:tc>
        <w:tc>
          <w:tcPr>
            <w:tcW w:w="2020" w:type="dxa"/>
            <w:tcBorders>
              <w:top w:val="single" w:sz="4" w:space="0" w:color="ADD6EA"/>
              <w:left w:val="nil"/>
              <w:bottom w:val="single" w:sz="4" w:space="0" w:color="ADD6EA"/>
              <w:right w:val="nil"/>
            </w:tcBorders>
            <w:shd w:val="clear" w:color="000000" w:fill="D6E7F0"/>
            <w:noWrap/>
            <w:vAlign w:val="bottom"/>
            <w:hideMark/>
          </w:tcPr>
          <w:p w14:paraId="7EB5C028" w14:textId="77777777" w:rsidR="00505D46" w:rsidRPr="00505D46" w:rsidRDefault="00505D46" w:rsidP="00505D4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05D46">
              <w:rPr>
                <w:rFonts w:ascii="Open Sans Semibold" w:eastAsia="Times New Roman" w:hAnsi="Open Sans Semibold" w:cs="Open Sans Semibold"/>
                <w:color w:val="000000"/>
                <w:sz w:val="16"/>
                <w:szCs w:val="16"/>
                <w:lang w:eastAsia="en-AU"/>
              </w:rPr>
              <w:t>1.00000</w:t>
            </w:r>
          </w:p>
        </w:tc>
        <w:tc>
          <w:tcPr>
            <w:tcW w:w="1520" w:type="dxa"/>
            <w:tcBorders>
              <w:top w:val="single" w:sz="4" w:space="0" w:color="ADD6EA"/>
              <w:left w:val="nil"/>
              <w:bottom w:val="single" w:sz="4" w:space="0" w:color="ADD6EA"/>
              <w:right w:val="nil"/>
            </w:tcBorders>
            <w:shd w:val="clear" w:color="000000" w:fill="D6E7F0"/>
            <w:noWrap/>
            <w:vAlign w:val="bottom"/>
            <w:hideMark/>
          </w:tcPr>
          <w:p w14:paraId="1D99C661" w14:textId="77777777" w:rsidR="00505D46" w:rsidRPr="00505D46" w:rsidRDefault="00505D46" w:rsidP="00505D4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05D46">
              <w:rPr>
                <w:rFonts w:ascii="Open Sans Semibold" w:eastAsia="Times New Roman" w:hAnsi="Open Sans Semibold" w:cs="Open Sans Semibold"/>
                <w:color w:val="000000"/>
                <w:sz w:val="16"/>
                <w:szCs w:val="16"/>
                <w:lang w:eastAsia="en-AU"/>
              </w:rPr>
              <w:t>1.00000</w:t>
            </w:r>
          </w:p>
        </w:tc>
        <w:tc>
          <w:tcPr>
            <w:tcW w:w="1160" w:type="dxa"/>
            <w:tcBorders>
              <w:top w:val="single" w:sz="4" w:space="0" w:color="ADD6EA"/>
              <w:left w:val="nil"/>
              <w:bottom w:val="single" w:sz="4" w:space="0" w:color="ADD6EA"/>
              <w:right w:val="nil"/>
            </w:tcBorders>
            <w:shd w:val="clear" w:color="000000" w:fill="D6E7F0"/>
            <w:noWrap/>
            <w:vAlign w:val="bottom"/>
            <w:hideMark/>
          </w:tcPr>
          <w:p w14:paraId="2F5C36DB" w14:textId="77777777" w:rsidR="00505D46" w:rsidRPr="00505D46" w:rsidRDefault="00505D46" w:rsidP="00505D4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05D46">
              <w:rPr>
                <w:rFonts w:ascii="Open Sans Semibold" w:eastAsia="Times New Roman" w:hAnsi="Open Sans Semibold" w:cs="Open Sans Semibold"/>
                <w:color w:val="000000"/>
                <w:sz w:val="16"/>
                <w:szCs w:val="16"/>
                <w:lang w:eastAsia="en-AU"/>
              </w:rPr>
              <w:t>1.00000</w:t>
            </w:r>
          </w:p>
        </w:tc>
      </w:tr>
    </w:tbl>
    <w:p w14:paraId="39E47CB5" w14:textId="6713AA3E" w:rsidR="00A80FDD" w:rsidRPr="00A80FDD" w:rsidRDefault="00A80FDD" w:rsidP="00CE4B64">
      <w:pPr>
        <w:pStyle w:val="CGCTablenote"/>
      </w:pPr>
      <w:r w:rsidRPr="00A80FDD">
        <w:t>Source:</w:t>
      </w:r>
      <w:r w:rsidRPr="00A80FDD">
        <w:tab/>
        <w:t>Commission calculation.</w:t>
      </w:r>
    </w:p>
    <w:p w14:paraId="0D90F88F" w14:textId="5D7E4BFC" w:rsidR="00A80FDD" w:rsidRPr="00A80FDD" w:rsidRDefault="00A80FDD" w:rsidP="003A7850">
      <w:pPr>
        <w:pStyle w:val="Caption"/>
      </w:pPr>
      <w:bookmarkStart w:id="22" w:name="_Ref95913186"/>
      <w:r w:rsidRPr="00A80FDD">
        <w:rPr>
          <w:noProof/>
        </w:rPr>
        <w:drawing>
          <wp:anchor distT="0" distB="0" distL="114300" distR="114300" simplePos="0" relativeHeight="251658240" behindDoc="1" locked="1" layoutInCell="1" allowOverlap="1" wp14:anchorId="18EDED28" wp14:editId="0DED9934">
            <wp:simplePos x="0" y="0"/>
            <wp:positionH relativeFrom="page">
              <wp:posOffset>5080</wp:posOffset>
            </wp:positionH>
            <wp:positionV relativeFrom="page">
              <wp:posOffset>8890</wp:posOffset>
            </wp:positionV>
            <wp:extent cx="7562850" cy="10690860"/>
            <wp:effectExtent l="0" t="0" r="0" b="0"/>
            <wp:wrapNone/>
            <wp:docPr id="35" name="Picture 3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2850" cy="10690860"/>
                    </a:xfrm>
                    <a:prstGeom prst="rect">
                      <a:avLst/>
                    </a:prstGeom>
                  </pic:spPr>
                </pic:pic>
              </a:graphicData>
            </a:graphic>
            <wp14:sizeRelH relativeFrom="margin">
              <wp14:pctWidth>0</wp14:pctWidth>
            </wp14:sizeRelH>
            <wp14:sizeRelV relativeFrom="margin">
              <wp14:pctHeight>0</wp14:pctHeight>
            </wp14:sizeRelV>
          </wp:anchor>
        </w:drawing>
      </w:r>
      <w:r w:rsidRPr="00A80FDD">
        <w:t xml:space="preserve">Table </w:t>
      </w:r>
      <w:r w:rsidR="00B96CA2">
        <w:t>1</w:t>
      </w:r>
      <w:r w:rsidRPr="00A80FDD">
        <w:noBreakHyphen/>
      </w:r>
      <w:r w:rsidRPr="00A80FDD">
        <w:fldChar w:fldCharType="begin"/>
      </w:r>
      <w:r w:rsidRPr="00A80FDD">
        <w:instrText>SEQ Table \* ARABIC \s 1</w:instrText>
      </w:r>
      <w:r w:rsidRPr="00A80FDD">
        <w:fldChar w:fldCharType="separate"/>
      </w:r>
      <w:r w:rsidR="00FE4664">
        <w:rPr>
          <w:noProof/>
        </w:rPr>
        <w:t>3</w:t>
      </w:r>
      <w:r w:rsidRPr="00A80FDD">
        <w:fldChar w:fldCharType="end"/>
      </w:r>
      <w:bookmarkEnd w:id="22"/>
      <w:r w:rsidRPr="00A80FDD">
        <w:tab/>
        <w:t>Contribution of new GST relativities to change in GST distribution 2021</w:t>
      </w:r>
      <w:r w:rsidR="00953C95">
        <w:t>–</w:t>
      </w:r>
      <w:r w:rsidRPr="00A80FDD">
        <w:t>22 to 2022</w:t>
      </w:r>
      <w:r w:rsidR="00953C95">
        <w:t>–</w:t>
      </w:r>
      <w:r w:rsidRPr="00A80FDD">
        <w:t>23 (excludes no</w:t>
      </w:r>
      <w:r w:rsidR="00C84749">
        <w:t> </w:t>
      </w:r>
      <w:r w:rsidRPr="00A80FDD">
        <w:t>worse</w:t>
      </w:r>
      <w:r w:rsidR="00C84749">
        <w:t> </w:t>
      </w:r>
      <w:r w:rsidRPr="00A80FDD">
        <w:t>off payments</w:t>
      </w:r>
      <w:r w:rsidRPr="001E5C37">
        <w:t>(</w:t>
      </w:r>
      <w:r w:rsidR="00C9279A" w:rsidRPr="001E5C37">
        <w:t>a</w:t>
      </w:r>
      <w:r w:rsidRPr="001E5C37">
        <w:t>)</w:t>
      </w:r>
      <w:r w:rsidRPr="00A80FDD">
        <w:t>)</w:t>
      </w:r>
    </w:p>
    <w:tbl>
      <w:tblPr>
        <w:tblW w:w="8920" w:type="dxa"/>
        <w:tblLook w:val="04A0" w:firstRow="1" w:lastRow="0" w:firstColumn="1" w:lastColumn="0" w:noHBand="0" w:noVBand="1"/>
      </w:tblPr>
      <w:tblGrid>
        <w:gridCol w:w="2860"/>
        <w:gridCol w:w="740"/>
        <w:gridCol w:w="740"/>
        <w:gridCol w:w="720"/>
        <w:gridCol w:w="740"/>
        <w:gridCol w:w="600"/>
        <w:gridCol w:w="600"/>
        <w:gridCol w:w="600"/>
        <w:gridCol w:w="580"/>
        <w:gridCol w:w="740"/>
      </w:tblGrid>
      <w:tr w:rsidR="008513F2" w:rsidRPr="008513F2" w14:paraId="2FEEB840" w14:textId="77777777" w:rsidTr="008513F2">
        <w:trPr>
          <w:trHeight w:val="375"/>
        </w:trPr>
        <w:tc>
          <w:tcPr>
            <w:tcW w:w="2860" w:type="dxa"/>
            <w:tcBorders>
              <w:top w:val="nil"/>
              <w:left w:val="nil"/>
              <w:bottom w:val="single" w:sz="8" w:space="0" w:color="ADD6EA"/>
              <w:right w:val="nil"/>
            </w:tcBorders>
            <w:shd w:val="clear" w:color="000000" w:fill="006991"/>
            <w:vAlign w:val="center"/>
            <w:hideMark/>
          </w:tcPr>
          <w:p w14:paraId="695FC570" w14:textId="77777777" w:rsidR="008513F2" w:rsidRPr="008513F2" w:rsidRDefault="008513F2" w:rsidP="008513F2">
            <w:pPr>
              <w:tabs>
                <w:tab w:val="clear" w:pos="567"/>
              </w:tabs>
              <w:spacing w:before="0" w:line="240" w:lineRule="auto"/>
              <w:rPr>
                <w:rFonts w:ascii="Open Sans Semibold" w:eastAsia="Times New Roman" w:hAnsi="Open Sans Semibold" w:cs="Open Sans Semibold"/>
                <w:color w:val="FFFFFF"/>
                <w:sz w:val="16"/>
                <w:szCs w:val="16"/>
                <w:lang w:eastAsia="en-AU"/>
              </w:rPr>
            </w:pPr>
            <w:r w:rsidRPr="008513F2">
              <w:rPr>
                <w:rFonts w:ascii="Open Sans Semibold" w:eastAsia="Times New Roman" w:hAnsi="Open Sans Semibold" w:cs="Open Sans Semibold"/>
                <w:color w:val="FFFFFF"/>
                <w:sz w:val="16"/>
                <w:szCs w:val="16"/>
                <w:lang w:eastAsia="en-AU"/>
              </w:rPr>
              <w:t> </w:t>
            </w:r>
          </w:p>
        </w:tc>
        <w:tc>
          <w:tcPr>
            <w:tcW w:w="740" w:type="dxa"/>
            <w:tcBorders>
              <w:top w:val="nil"/>
              <w:left w:val="nil"/>
              <w:bottom w:val="single" w:sz="8" w:space="0" w:color="ADD6EA"/>
              <w:right w:val="nil"/>
            </w:tcBorders>
            <w:shd w:val="clear" w:color="000000" w:fill="006991"/>
            <w:vAlign w:val="center"/>
            <w:hideMark/>
          </w:tcPr>
          <w:p w14:paraId="1A2646DC"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13F2">
              <w:rPr>
                <w:rFonts w:ascii="Open Sans Semibold" w:eastAsia="Times New Roman" w:hAnsi="Open Sans Semibold" w:cs="Open Sans Semibold"/>
                <w:color w:val="FFFFFF"/>
                <w:sz w:val="16"/>
                <w:szCs w:val="16"/>
                <w:lang w:eastAsia="en-AU"/>
              </w:rPr>
              <w:t>NSW</w:t>
            </w:r>
          </w:p>
        </w:tc>
        <w:tc>
          <w:tcPr>
            <w:tcW w:w="740" w:type="dxa"/>
            <w:tcBorders>
              <w:top w:val="nil"/>
              <w:left w:val="nil"/>
              <w:bottom w:val="single" w:sz="8" w:space="0" w:color="ADD6EA"/>
              <w:right w:val="nil"/>
            </w:tcBorders>
            <w:shd w:val="clear" w:color="000000" w:fill="006991"/>
            <w:vAlign w:val="center"/>
            <w:hideMark/>
          </w:tcPr>
          <w:p w14:paraId="49793259"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13F2">
              <w:rPr>
                <w:rFonts w:ascii="Open Sans Semibold" w:eastAsia="Times New Roman" w:hAnsi="Open Sans Semibold" w:cs="Open Sans Semibold"/>
                <w:color w:val="FFFFFF"/>
                <w:sz w:val="16"/>
                <w:szCs w:val="16"/>
                <w:lang w:eastAsia="en-AU"/>
              </w:rPr>
              <w:t>Vic</w:t>
            </w:r>
          </w:p>
        </w:tc>
        <w:tc>
          <w:tcPr>
            <w:tcW w:w="720" w:type="dxa"/>
            <w:tcBorders>
              <w:top w:val="nil"/>
              <w:left w:val="nil"/>
              <w:bottom w:val="single" w:sz="8" w:space="0" w:color="ADD6EA"/>
              <w:right w:val="nil"/>
            </w:tcBorders>
            <w:shd w:val="clear" w:color="000000" w:fill="006991"/>
            <w:vAlign w:val="center"/>
            <w:hideMark/>
          </w:tcPr>
          <w:p w14:paraId="498D64A9"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13F2">
              <w:rPr>
                <w:rFonts w:ascii="Open Sans Semibold" w:eastAsia="Times New Roman" w:hAnsi="Open Sans Semibold" w:cs="Open Sans Semibold"/>
                <w:color w:val="FFFFFF"/>
                <w:sz w:val="16"/>
                <w:szCs w:val="16"/>
                <w:lang w:eastAsia="en-AU"/>
              </w:rPr>
              <w:t>Qld</w:t>
            </w:r>
          </w:p>
        </w:tc>
        <w:tc>
          <w:tcPr>
            <w:tcW w:w="740" w:type="dxa"/>
            <w:tcBorders>
              <w:top w:val="nil"/>
              <w:left w:val="nil"/>
              <w:bottom w:val="single" w:sz="8" w:space="0" w:color="ADD6EA"/>
              <w:right w:val="nil"/>
            </w:tcBorders>
            <w:shd w:val="clear" w:color="000000" w:fill="006991"/>
            <w:vAlign w:val="center"/>
            <w:hideMark/>
          </w:tcPr>
          <w:p w14:paraId="505B898D"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13F2">
              <w:rPr>
                <w:rFonts w:ascii="Open Sans Semibold" w:eastAsia="Times New Roman" w:hAnsi="Open Sans Semibold" w:cs="Open Sans Semibold"/>
                <w:color w:val="FFFFFF"/>
                <w:sz w:val="16"/>
                <w:szCs w:val="16"/>
                <w:lang w:eastAsia="en-AU"/>
              </w:rPr>
              <w:t>WA</w:t>
            </w:r>
          </w:p>
        </w:tc>
        <w:tc>
          <w:tcPr>
            <w:tcW w:w="600" w:type="dxa"/>
            <w:tcBorders>
              <w:top w:val="nil"/>
              <w:left w:val="nil"/>
              <w:bottom w:val="single" w:sz="8" w:space="0" w:color="ADD6EA"/>
              <w:right w:val="nil"/>
            </w:tcBorders>
            <w:shd w:val="clear" w:color="000000" w:fill="006991"/>
            <w:vAlign w:val="center"/>
            <w:hideMark/>
          </w:tcPr>
          <w:p w14:paraId="62B8BE1D"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13F2">
              <w:rPr>
                <w:rFonts w:ascii="Open Sans Semibold" w:eastAsia="Times New Roman" w:hAnsi="Open Sans Semibold" w:cs="Open Sans Semibold"/>
                <w:color w:val="FFFFFF"/>
                <w:sz w:val="16"/>
                <w:szCs w:val="16"/>
                <w:lang w:eastAsia="en-AU"/>
              </w:rPr>
              <w:t>SA</w:t>
            </w:r>
          </w:p>
        </w:tc>
        <w:tc>
          <w:tcPr>
            <w:tcW w:w="600" w:type="dxa"/>
            <w:tcBorders>
              <w:top w:val="nil"/>
              <w:left w:val="nil"/>
              <w:bottom w:val="single" w:sz="8" w:space="0" w:color="ADD6EA"/>
              <w:right w:val="nil"/>
            </w:tcBorders>
            <w:shd w:val="clear" w:color="000000" w:fill="006991"/>
            <w:vAlign w:val="center"/>
            <w:hideMark/>
          </w:tcPr>
          <w:p w14:paraId="64623AD8"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13F2">
              <w:rPr>
                <w:rFonts w:ascii="Open Sans Semibold" w:eastAsia="Times New Roman" w:hAnsi="Open Sans Semibold" w:cs="Open Sans Semibold"/>
                <w:color w:val="FFFFFF"/>
                <w:sz w:val="16"/>
                <w:szCs w:val="16"/>
                <w:lang w:eastAsia="en-AU"/>
              </w:rPr>
              <w:t>Tas</w:t>
            </w:r>
          </w:p>
        </w:tc>
        <w:tc>
          <w:tcPr>
            <w:tcW w:w="600" w:type="dxa"/>
            <w:tcBorders>
              <w:top w:val="nil"/>
              <w:left w:val="nil"/>
              <w:bottom w:val="single" w:sz="8" w:space="0" w:color="ADD6EA"/>
              <w:right w:val="nil"/>
            </w:tcBorders>
            <w:shd w:val="clear" w:color="000000" w:fill="006991"/>
            <w:vAlign w:val="center"/>
            <w:hideMark/>
          </w:tcPr>
          <w:p w14:paraId="27786848"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13F2">
              <w:rPr>
                <w:rFonts w:ascii="Open Sans Semibold" w:eastAsia="Times New Roman" w:hAnsi="Open Sans Semibold" w:cs="Open Sans Semibold"/>
                <w:color w:val="FFFFFF"/>
                <w:sz w:val="16"/>
                <w:szCs w:val="16"/>
                <w:lang w:eastAsia="en-AU"/>
              </w:rPr>
              <w:t>ACT</w:t>
            </w:r>
          </w:p>
        </w:tc>
        <w:tc>
          <w:tcPr>
            <w:tcW w:w="580" w:type="dxa"/>
            <w:tcBorders>
              <w:top w:val="nil"/>
              <w:left w:val="nil"/>
              <w:bottom w:val="single" w:sz="8" w:space="0" w:color="ADD6EA"/>
              <w:right w:val="nil"/>
            </w:tcBorders>
            <w:shd w:val="clear" w:color="000000" w:fill="006991"/>
            <w:vAlign w:val="center"/>
            <w:hideMark/>
          </w:tcPr>
          <w:p w14:paraId="514556A4"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13F2">
              <w:rPr>
                <w:rFonts w:ascii="Open Sans Semibold" w:eastAsia="Times New Roman" w:hAnsi="Open Sans Semibold" w:cs="Open Sans Semibold"/>
                <w:color w:val="FFFFFF"/>
                <w:sz w:val="16"/>
                <w:szCs w:val="16"/>
                <w:lang w:eastAsia="en-AU"/>
              </w:rPr>
              <w:t>NT</w:t>
            </w:r>
          </w:p>
        </w:tc>
        <w:tc>
          <w:tcPr>
            <w:tcW w:w="740" w:type="dxa"/>
            <w:tcBorders>
              <w:top w:val="nil"/>
              <w:left w:val="nil"/>
              <w:bottom w:val="single" w:sz="8" w:space="0" w:color="ADD6EA"/>
              <w:right w:val="nil"/>
            </w:tcBorders>
            <w:shd w:val="clear" w:color="000000" w:fill="006991"/>
            <w:vAlign w:val="center"/>
            <w:hideMark/>
          </w:tcPr>
          <w:p w14:paraId="6C19AC2A"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13F2">
              <w:rPr>
                <w:rFonts w:ascii="Open Sans Semibold" w:eastAsia="Times New Roman" w:hAnsi="Open Sans Semibold" w:cs="Open Sans Semibold"/>
                <w:color w:val="FFFFFF"/>
                <w:sz w:val="16"/>
                <w:szCs w:val="16"/>
                <w:lang w:eastAsia="en-AU"/>
              </w:rPr>
              <w:t>Redist</w:t>
            </w:r>
          </w:p>
        </w:tc>
      </w:tr>
      <w:tr w:rsidR="008513F2" w:rsidRPr="008513F2" w14:paraId="457D0643" w14:textId="77777777" w:rsidTr="008513F2">
        <w:trPr>
          <w:trHeight w:val="259"/>
        </w:trPr>
        <w:tc>
          <w:tcPr>
            <w:tcW w:w="2860" w:type="dxa"/>
            <w:tcBorders>
              <w:top w:val="nil"/>
              <w:left w:val="nil"/>
              <w:bottom w:val="nil"/>
              <w:right w:val="nil"/>
            </w:tcBorders>
            <w:shd w:val="clear" w:color="000000" w:fill="B6D5E4"/>
            <w:vAlign w:val="center"/>
            <w:hideMark/>
          </w:tcPr>
          <w:p w14:paraId="741F45CA" w14:textId="77777777" w:rsidR="008513F2" w:rsidRPr="008513F2" w:rsidRDefault="008513F2" w:rsidP="008513F2">
            <w:pPr>
              <w:tabs>
                <w:tab w:val="clear" w:pos="567"/>
              </w:tabs>
              <w:spacing w:before="0" w:line="240" w:lineRule="auto"/>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 </w:t>
            </w:r>
          </w:p>
        </w:tc>
        <w:tc>
          <w:tcPr>
            <w:tcW w:w="740" w:type="dxa"/>
            <w:tcBorders>
              <w:top w:val="nil"/>
              <w:left w:val="nil"/>
              <w:bottom w:val="nil"/>
              <w:right w:val="nil"/>
            </w:tcBorders>
            <w:shd w:val="clear" w:color="000000" w:fill="B6D5E4"/>
            <w:noWrap/>
            <w:vAlign w:val="center"/>
            <w:hideMark/>
          </w:tcPr>
          <w:p w14:paraId="6EC54EB7"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$m</w:t>
            </w:r>
          </w:p>
        </w:tc>
        <w:tc>
          <w:tcPr>
            <w:tcW w:w="740" w:type="dxa"/>
            <w:tcBorders>
              <w:top w:val="nil"/>
              <w:left w:val="nil"/>
              <w:bottom w:val="nil"/>
              <w:right w:val="nil"/>
            </w:tcBorders>
            <w:shd w:val="clear" w:color="000000" w:fill="B6D5E4"/>
            <w:noWrap/>
            <w:vAlign w:val="center"/>
            <w:hideMark/>
          </w:tcPr>
          <w:p w14:paraId="2269B7E5"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$m</w:t>
            </w:r>
          </w:p>
        </w:tc>
        <w:tc>
          <w:tcPr>
            <w:tcW w:w="720" w:type="dxa"/>
            <w:tcBorders>
              <w:top w:val="nil"/>
              <w:left w:val="nil"/>
              <w:bottom w:val="nil"/>
              <w:right w:val="nil"/>
            </w:tcBorders>
            <w:shd w:val="clear" w:color="000000" w:fill="B6D5E4"/>
            <w:noWrap/>
            <w:vAlign w:val="center"/>
            <w:hideMark/>
          </w:tcPr>
          <w:p w14:paraId="4CC097F2"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$m</w:t>
            </w:r>
          </w:p>
        </w:tc>
        <w:tc>
          <w:tcPr>
            <w:tcW w:w="740" w:type="dxa"/>
            <w:tcBorders>
              <w:top w:val="nil"/>
              <w:left w:val="nil"/>
              <w:bottom w:val="nil"/>
              <w:right w:val="nil"/>
            </w:tcBorders>
            <w:shd w:val="clear" w:color="000000" w:fill="B6D5E4"/>
            <w:noWrap/>
            <w:vAlign w:val="center"/>
            <w:hideMark/>
          </w:tcPr>
          <w:p w14:paraId="1391EAE5"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$m</w:t>
            </w:r>
          </w:p>
        </w:tc>
        <w:tc>
          <w:tcPr>
            <w:tcW w:w="600" w:type="dxa"/>
            <w:tcBorders>
              <w:top w:val="nil"/>
              <w:left w:val="nil"/>
              <w:bottom w:val="nil"/>
              <w:right w:val="nil"/>
            </w:tcBorders>
            <w:shd w:val="clear" w:color="000000" w:fill="B6D5E4"/>
            <w:noWrap/>
            <w:vAlign w:val="center"/>
            <w:hideMark/>
          </w:tcPr>
          <w:p w14:paraId="5FED0DB5"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$m</w:t>
            </w:r>
          </w:p>
        </w:tc>
        <w:tc>
          <w:tcPr>
            <w:tcW w:w="600" w:type="dxa"/>
            <w:tcBorders>
              <w:top w:val="nil"/>
              <w:left w:val="nil"/>
              <w:bottom w:val="nil"/>
              <w:right w:val="nil"/>
            </w:tcBorders>
            <w:shd w:val="clear" w:color="000000" w:fill="B6D5E4"/>
            <w:noWrap/>
            <w:vAlign w:val="center"/>
            <w:hideMark/>
          </w:tcPr>
          <w:p w14:paraId="2433D3A3"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$m</w:t>
            </w:r>
          </w:p>
        </w:tc>
        <w:tc>
          <w:tcPr>
            <w:tcW w:w="600" w:type="dxa"/>
            <w:tcBorders>
              <w:top w:val="nil"/>
              <w:left w:val="nil"/>
              <w:bottom w:val="nil"/>
              <w:right w:val="nil"/>
            </w:tcBorders>
            <w:shd w:val="clear" w:color="000000" w:fill="B6D5E4"/>
            <w:noWrap/>
            <w:vAlign w:val="center"/>
            <w:hideMark/>
          </w:tcPr>
          <w:p w14:paraId="734AE9DB"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$m</w:t>
            </w:r>
          </w:p>
        </w:tc>
        <w:tc>
          <w:tcPr>
            <w:tcW w:w="580" w:type="dxa"/>
            <w:tcBorders>
              <w:top w:val="nil"/>
              <w:left w:val="nil"/>
              <w:bottom w:val="nil"/>
              <w:right w:val="nil"/>
            </w:tcBorders>
            <w:shd w:val="clear" w:color="000000" w:fill="B6D5E4"/>
            <w:noWrap/>
            <w:vAlign w:val="center"/>
            <w:hideMark/>
          </w:tcPr>
          <w:p w14:paraId="1BFA6801"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$m</w:t>
            </w:r>
          </w:p>
        </w:tc>
        <w:tc>
          <w:tcPr>
            <w:tcW w:w="740" w:type="dxa"/>
            <w:tcBorders>
              <w:top w:val="nil"/>
              <w:left w:val="nil"/>
              <w:bottom w:val="nil"/>
              <w:right w:val="nil"/>
            </w:tcBorders>
            <w:shd w:val="clear" w:color="000000" w:fill="B6D5E4"/>
            <w:noWrap/>
            <w:vAlign w:val="center"/>
            <w:hideMark/>
          </w:tcPr>
          <w:p w14:paraId="7074A223"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$m</w:t>
            </w:r>
          </w:p>
        </w:tc>
      </w:tr>
      <w:tr w:rsidR="008513F2" w:rsidRPr="008513F2" w14:paraId="72248853" w14:textId="77777777" w:rsidTr="008513F2">
        <w:trPr>
          <w:trHeight w:val="315"/>
        </w:trPr>
        <w:tc>
          <w:tcPr>
            <w:tcW w:w="2860" w:type="dxa"/>
            <w:tcBorders>
              <w:top w:val="nil"/>
              <w:left w:val="nil"/>
              <w:bottom w:val="nil"/>
              <w:right w:val="nil"/>
            </w:tcBorders>
            <w:shd w:val="clear" w:color="auto" w:fill="auto"/>
            <w:vAlign w:val="bottom"/>
            <w:hideMark/>
          </w:tcPr>
          <w:p w14:paraId="68660165" w14:textId="77777777" w:rsidR="008513F2" w:rsidRPr="008513F2" w:rsidRDefault="008513F2" w:rsidP="008513F2">
            <w:pPr>
              <w:tabs>
                <w:tab w:val="clear" w:pos="567"/>
              </w:tabs>
              <w:spacing w:before="0" w:line="240" w:lineRule="auto"/>
              <w:rPr>
                <w:rFonts w:eastAsia="Times New Roman" w:cs="Open Sans Light"/>
                <w:color w:val="000000"/>
                <w:sz w:val="16"/>
                <w:szCs w:val="16"/>
                <w:lang w:eastAsia="en-AU"/>
              </w:rPr>
            </w:pPr>
            <w:bookmarkStart w:id="23" w:name="RANGE!A24:J27"/>
            <w:r w:rsidRPr="008513F2">
              <w:rPr>
                <w:rFonts w:eastAsia="Times New Roman" w:cs="Open Sans Light"/>
                <w:color w:val="000000"/>
                <w:sz w:val="16"/>
                <w:szCs w:val="16"/>
                <w:lang w:eastAsia="en-AU"/>
              </w:rPr>
              <w:t>Assessed relativities (b)</w:t>
            </w:r>
            <w:bookmarkEnd w:id="23"/>
          </w:p>
        </w:tc>
        <w:tc>
          <w:tcPr>
            <w:tcW w:w="740" w:type="dxa"/>
            <w:tcBorders>
              <w:top w:val="nil"/>
              <w:left w:val="nil"/>
              <w:bottom w:val="nil"/>
              <w:right w:val="nil"/>
            </w:tcBorders>
            <w:shd w:val="clear" w:color="auto" w:fill="auto"/>
            <w:vAlign w:val="bottom"/>
            <w:hideMark/>
          </w:tcPr>
          <w:p w14:paraId="2C505D5A"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1,195</w:t>
            </w:r>
          </w:p>
        </w:tc>
        <w:tc>
          <w:tcPr>
            <w:tcW w:w="740" w:type="dxa"/>
            <w:tcBorders>
              <w:top w:val="nil"/>
              <w:left w:val="nil"/>
              <w:bottom w:val="nil"/>
              <w:right w:val="nil"/>
            </w:tcBorders>
            <w:shd w:val="clear" w:color="auto" w:fill="auto"/>
            <w:vAlign w:val="bottom"/>
            <w:hideMark/>
          </w:tcPr>
          <w:p w14:paraId="221A217C"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-206</w:t>
            </w:r>
          </w:p>
        </w:tc>
        <w:tc>
          <w:tcPr>
            <w:tcW w:w="720" w:type="dxa"/>
            <w:tcBorders>
              <w:top w:val="nil"/>
              <w:left w:val="nil"/>
              <w:bottom w:val="nil"/>
              <w:right w:val="nil"/>
            </w:tcBorders>
            <w:shd w:val="clear" w:color="auto" w:fill="auto"/>
            <w:vAlign w:val="bottom"/>
            <w:hideMark/>
          </w:tcPr>
          <w:p w14:paraId="5F835914"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459</w:t>
            </w:r>
          </w:p>
        </w:tc>
        <w:tc>
          <w:tcPr>
            <w:tcW w:w="740" w:type="dxa"/>
            <w:tcBorders>
              <w:top w:val="nil"/>
              <w:left w:val="nil"/>
              <w:bottom w:val="nil"/>
              <w:right w:val="nil"/>
            </w:tcBorders>
            <w:shd w:val="clear" w:color="auto" w:fill="auto"/>
            <w:vAlign w:val="bottom"/>
            <w:hideMark/>
          </w:tcPr>
          <w:p w14:paraId="4CFD3599"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-1,387</w:t>
            </w:r>
          </w:p>
        </w:tc>
        <w:tc>
          <w:tcPr>
            <w:tcW w:w="600" w:type="dxa"/>
            <w:tcBorders>
              <w:top w:val="nil"/>
              <w:left w:val="nil"/>
              <w:bottom w:val="nil"/>
              <w:right w:val="nil"/>
            </w:tcBorders>
            <w:shd w:val="clear" w:color="auto" w:fill="auto"/>
            <w:vAlign w:val="bottom"/>
            <w:hideMark/>
          </w:tcPr>
          <w:p w14:paraId="28FE068D"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-47</w:t>
            </w:r>
          </w:p>
        </w:tc>
        <w:tc>
          <w:tcPr>
            <w:tcW w:w="600" w:type="dxa"/>
            <w:tcBorders>
              <w:top w:val="nil"/>
              <w:left w:val="nil"/>
              <w:bottom w:val="nil"/>
              <w:right w:val="nil"/>
            </w:tcBorders>
            <w:shd w:val="clear" w:color="auto" w:fill="auto"/>
            <w:vAlign w:val="bottom"/>
            <w:hideMark/>
          </w:tcPr>
          <w:p w14:paraId="344E0C24"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-87</w:t>
            </w:r>
          </w:p>
        </w:tc>
        <w:tc>
          <w:tcPr>
            <w:tcW w:w="600" w:type="dxa"/>
            <w:tcBorders>
              <w:top w:val="nil"/>
              <w:left w:val="nil"/>
              <w:bottom w:val="nil"/>
              <w:right w:val="nil"/>
            </w:tcBorders>
            <w:shd w:val="clear" w:color="auto" w:fill="auto"/>
            <w:vAlign w:val="bottom"/>
            <w:hideMark/>
          </w:tcPr>
          <w:p w14:paraId="31348E68"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-21</w:t>
            </w:r>
          </w:p>
        </w:tc>
        <w:tc>
          <w:tcPr>
            <w:tcW w:w="580" w:type="dxa"/>
            <w:tcBorders>
              <w:top w:val="nil"/>
              <w:left w:val="nil"/>
              <w:bottom w:val="nil"/>
              <w:right w:val="nil"/>
            </w:tcBorders>
            <w:shd w:val="clear" w:color="auto" w:fill="auto"/>
            <w:vAlign w:val="bottom"/>
            <w:hideMark/>
          </w:tcPr>
          <w:p w14:paraId="4847F0A4"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92</w:t>
            </w:r>
          </w:p>
        </w:tc>
        <w:tc>
          <w:tcPr>
            <w:tcW w:w="740" w:type="dxa"/>
            <w:tcBorders>
              <w:top w:val="nil"/>
              <w:left w:val="nil"/>
              <w:bottom w:val="nil"/>
              <w:right w:val="nil"/>
            </w:tcBorders>
            <w:shd w:val="clear" w:color="auto" w:fill="auto"/>
            <w:vAlign w:val="bottom"/>
            <w:hideMark/>
          </w:tcPr>
          <w:p w14:paraId="0AE79AA6"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1,747</w:t>
            </w:r>
          </w:p>
        </w:tc>
      </w:tr>
      <w:tr w:rsidR="008513F2" w:rsidRPr="008513F2" w14:paraId="0F2DB3D8" w14:textId="77777777" w:rsidTr="008513F2">
        <w:trPr>
          <w:trHeight w:val="315"/>
        </w:trPr>
        <w:tc>
          <w:tcPr>
            <w:tcW w:w="2860" w:type="dxa"/>
            <w:tcBorders>
              <w:top w:val="nil"/>
              <w:left w:val="nil"/>
              <w:bottom w:val="nil"/>
              <w:right w:val="nil"/>
            </w:tcBorders>
            <w:shd w:val="clear" w:color="auto" w:fill="auto"/>
            <w:vAlign w:val="bottom"/>
            <w:hideMark/>
          </w:tcPr>
          <w:p w14:paraId="7E8ED6ED" w14:textId="77777777" w:rsidR="008513F2" w:rsidRPr="008513F2" w:rsidRDefault="008513F2" w:rsidP="008513F2">
            <w:pPr>
              <w:tabs>
                <w:tab w:val="clear" w:pos="567"/>
              </w:tabs>
              <w:spacing w:before="0" w:line="240" w:lineRule="auto"/>
              <w:rPr>
                <w:rFonts w:eastAsia="Times New Roman" w:cs="Open Sans Light"/>
                <w:color w:val="000000"/>
                <w:sz w:val="16"/>
                <w:szCs w:val="16"/>
                <w:lang w:eastAsia="en-AU"/>
              </w:rPr>
            </w:pPr>
            <w:r w:rsidRPr="008513F2">
              <w:rPr>
                <w:rFonts w:eastAsia="Times New Roman" w:cs="Open Sans Light"/>
                <w:color w:val="000000"/>
                <w:sz w:val="16"/>
                <w:szCs w:val="16"/>
                <w:lang w:eastAsia="en-AU"/>
              </w:rPr>
              <w:t>Blended relativities (c)</w:t>
            </w:r>
          </w:p>
        </w:tc>
        <w:tc>
          <w:tcPr>
            <w:tcW w:w="740" w:type="dxa"/>
            <w:tcBorders>
              <w:top w:val="nil"/>
              <w:left w:val="nil"/>
              <w:bottom w:val="nil"/>
              <w:right w:val="nil"/>
            </w:tcBorders>
            <w:shd w:val="clear" w:color="auto" w:fill="auto"/>
            <w:vAlign w:val="bottom"/>
            <w:hideMark/>
          </w:tcPr>
          <w:p w14:paraId="48D84F30"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-400</w:t>
            </w:r>
          </w:p>
        </w:tc>
        <w:tc>
          <w:tcPr>
            <w:tcW w:w="740" w:type="dxa"/>
            <w:tcBorders>
              <w:top w:val="nil"/>
              <w:left w:val="nil"/>
              <w:bottom w:val="nil"/>
              <w:right w:val="nil"/>
            </w:tcBorders>
            <w:shd w:val="clear" w:color="auto" w:fill="auto"/>
            <w:vAlign w:val="bottom"/>
            <w:hideMark/>
          </w:tcPr>
          <w:p w14:paraId="2D62BF7A"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-328</w:t>
            </w:r>
          </w:p>
        </w:tc>
        <w:tc>
          <w:tcPr>
            <w:tcW w:w="720" w:type="dxa"/>
            <w:tcBorders>
              <w:top w:val="nil"/>
              <w:left w:val="nil"/>
              <w:bottom w:val="nil"/>
              <w:right w:val="nil"/>
            </w:tcBorders>
            <w:shd w:val="clear" w:color="auto" w:fill="auto"/>
            <w:vAlign w:val="bottom"/>
            <w:hideMark/>
          </w:tcPr>
          <w:p w14:paraId="40587965"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-256</w:t>
            </w:r>
          </w:p>
        </w:tc>
        <w:tc>
          <w:tcPr>
            <w:tcW w:w="740" w:type="dxa"/>
            <w:tcBorders>
              <w:top w:val="nil"/>
              <w:left w:val="nil"/>
              <w:bottom w:val="nil"/>
              <w:right w:val="nil"/>
            </w:tcBorders>
            <w:shd w:val="clear" w:color="auto" w:fill="auto"/>
            <w:vAlign w:val="bottom"/>
            <w:hideMark/>
          </w:tcPr>
          <w:p w14:paraId="1D35FBDF"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1,119</w:t>
            </w:r>
          </w:p>
        </w:tc>
        <w:tc>
          <w:tcPr>
            <w:tcW w:w="600" w:type="dxa"/>
            <w:tcBorders>
              <w:top w:val="nil"/>
              <w:left w:val="nil"/>
              <w:bottom w:val="nil"/>
              <w:right w:val="nil"/>
            </w:tcBorders>
            <w:shd w:val="clear" w:color="auto" w:fill="auto"/>
            <w:vAlign w:val="bottom"/>
            <w:hideMark/>
          </w:tcPr>
          <w:p w14:paraId="3B0C6E3B"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-84</w:t>
            </w:r>
          </w:p>
        </w:tc>
        <w:tc>
          <w:tcPr>
            <w:tcW w:w="600" w:type="dxa"/>
            <w:tcBorders>
              <w:top w:val="nil"/>
              <w:left w:val="nil"/>
              <w:bottom w:val="nil"/>
              <w:right w:val="nil"/>
            </w:tcBorders>
            <w:shd w:val="clear" w:color="auto" w:fill="auto"/>
            <w:vAlign w:val="bottom"/>
            <w:hideMark/>
          </w:tcPr>
          <w:p w14:paraId="66EDAD91"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-24</w:t>
            </w:r>
          </w:p>
        </w:tc>
        <w:tc>
          <w:tcPr>
            <w:tcW w:w="600" w:type="dxa"/>
            <w:tcBorders>
              <w:top w:val="nil"/>
              <w:left w:val="nil"/>
              <w:bottom w:val="nil"/>
              <w:right w:val="nil"/>
            </w:tcBorders>
            <w:shd w:val="clear" w:color="auto" w:fill="auto"/>
            <w:vAlign w:val="bottom"/>
            <w:hideMark/>
          </w:tcPr>
          <w:p w14:paraId="47286F3D"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-21</w:t>
            </w:r>
          </w:p>
        </w:tc>
        <w:tc>
          <w:tcPr>
            <w:tcW w:w="580" w:type="dxa"/>
            <w:tcBorders>
              <w:top w:val="nil"/>
              <w:left w:val="nil"/>
              <w:bottom w:val="nil"/>
              <w:right w:val="nil"/>
            </w:tcBorders>
            <w:shd w:val="clear" w:color="auto" w:fill="auto"/>
            <w:vAlign w:val="bottom"/>
            <w:hideMark/>
          </w:tcPr>
          <w:p w14:paraId="75404FA6"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-7</w:t>
            </w:r>
          </w:p>
        </w:tc>
        <w:tc>
          <w:tcPr>
            <w:tcW w:w="740" w:type="dxa"/>
            <w:tcBorders>
              <w:top w:val="nil"/>
              <w:left w:val="nil"/>
              <w:bottom w:val="nil"/>
              <w:right w:val="nil"/>
            </w:tcBorders>
            <w:shd w:val="clear" w:color="auto" w:fill="auto"/>
            <w:vAlign w:val="bottom"/>
            <w:hideMark/>
          </w:tcPr>
          <w:p w14:paraId="3F3C8100"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1,119</w:t>
            </w:r>
          </w:p>
        </w:tc>
      </w:tr>
      <w:tr w:rsidR="008513F2" w:rsidRPr="008513F2" w14:paraId="031A10D0" w14:textId="77777777" w:rsidTr="008513F2">
        <w:trPr>
          <w:trHeight w:val="315"/>
        </w:trPr>
        <w:tc>
          <w:tcPr>
            <w:tcW w:w="2860" w:type="dxa"/>
            <w:tcBorders>
              <w:top w:val="nil"/>
              <w:left w:val="nil"/>
              <w:bottom w:val="nil"/>
              <w:right w:val="nil"/>
            </w:tcBorders>
            <w:shd w:val="clear" w:color="auto" w:fill="auto"/>
            <w:vAlign w:val="bottom"/>
            <w:hideMark/>
          </w:tcPr>
          <w:p w14:paraId="67592CF3" w14:textId="77777777" w:rsidR="008513F2" w:rsidRPr="008513F2" w:rsidRDefault="008513F2" w:rsidP="008513F2">
            <w:pPr>
              <w:tabs>
                <w:tab w:val="clear" w:pos="567"/>
              </w:tabs>
              <w:spacing w:before="0" w:line="240" w:lineRule="auto"/>
              <w:rPr>
                <w:rFonts w:eastAsia="Times New Roman" w:cs="Open Sans Light"/>
                <w:color w:val="000000"/>
                <w:sz w:val="16"/>
                <w:szCs w:val="16"/>
                <w:lang w:eastAsia="en-AU"/>
              </w:rPr>
            </w:pPr>
            <w:r w:rsidRPr="008513F2">
              <w:rPr>
                <w:rFonts w:eastAsia="Times New Roman" w:cs="Open Sans Light"/>
                <w:color w:val="000000"/>
                <w:sz w:val="16"/>
                <w:szCs w:val="16"/>
                <w:lang w:eastAsia="en-AU"/>
              </w:rPr>
              <w:t xml:space="preserve">Implement GST floor (d) </w:t>
            </w:r>
          </w:p>
        </w:tc>
        <w:tc>
          <w:tcPr>
            <w:tcW w:w="740" w:type="dxa"/>
            <w:tcBorders>
              <w:top w:val="nil"/>
              <w:left w:val="nil"/>
              <w:bottom w:val="nil"/>
              <w:right w:val="nil"/>
            </w:tcBorders>
            <w:shd w:val="clear" w:color="auto" w:fill="auto"/>
            <w:vAlign w:val="bottom"/>
            <w:hideMark/>
          </w:tcPr>
          <w:p w14:paraId="631E4B0E"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-898</w:t>
            </w:r>
          </w:p>
        </w:tc>
        <w:tc>
          <w:tcPr>
            <w:tcW w:w="740" w:type="dxa"/>
            <w:tcBorders>
              <w:top w:val="nil"/>
              <w:left w:val="nil"/>
              <w:bottom w:val="nil"/>
              <w:right w:val="nil"/>
            </w:tcBorders>
            <w:shd w:val="clear" w:color="auto" w:fill="auto"/>
            <w:vAlign w:val="bottom"/>
            <w:hideMark/>
          </w:tcPr>
          <w:p w14:paraId="1C323DB1"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-735</w:t>
            </w:r>
          </w:p>
        </w:tc>
        <w:tc>
          <w:tcPr>
            <w:tcW w:w="720" w:type="dxa"/>
            <w:tcBorders>
              <w:top w:val="nil"/>
              <w:left w:val="nil"/>
              <w:bottom w:val="nil"/>
              <w:right w:val="nil"/>
            </w:tcBorders>
            <w:shd w:val="clear" w:color="auto" w:fill="auto"/>
            <w:vAlign w:val="bottom"/>
            <w:hideMark/>
          </w:tcPr>
          <w:p w14:paraId="4E756E77"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-583</w:t>
            </w:r>
          </w:p>
        </w:tc>
        <w:tc>
          <w:tcPr>
            <w:tcW w:w="740" w:type="dxa"/>
            <w:tcBorders>
              <w:top w:val="nil"/>
              <w:left w:val="nil"/>
              <w:bottom w:val="nil"/>
              <w:right w:val="nil"/>
            </w:tcBorders>
            <w:shd w:val="clear" w:color="auto" w:fill="auto"/>
            <w:vAlign w:val="bottom"/>
            <w:hideMark/>
          </w:tcPr>
          <w:p w14:paraId="0A1BA9CB"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2,548</w:t>
            </w:r>
          </w:p>
        </w:tc>
        <w:tc>
          <w:tcPr>
            <w:tcW w:w="600" w:type="dxa"/>
            <w:tcBorders>
              <w:top w:val="nil"/>
              <w:left w:val="nil"/>
              <w:bottom w:val="nil"/>
              <w:right w:val="nil"/>
            </w:tcBorders>
            <w:shd w:val="clear" w:color="auto" w:fill="auto"/>
            <w:vAlign w:val="bottom"/>
            <w:hideMark/>
          </w:tcPr>
          <w:p w14:paraId="624D8D10"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-197</w:t>
            </w:r>
          </w:p>
        </w:tc>
        <w:tc>
          <w:tcPr>
            <w:tcW w:w="600" w:type="dxa"/>
            <w:tcBorders>
              <w:top w:val="nil"/>
              <w:left w:val="nil"/>
              <w:bottom w:val="nil"/>
              <w:right w:val="nil"/>
            </w:tcBorders>
            <w:shd w:val="clear" w:color="auto" w:fill="auto"/>
            <w:vAlign w:val="bottom"/>
            <w:hideMark/>
          </w:tcPr>
          <w:p w14:paraId="5429811E"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-60</w:t>
            </w:r>
          </w:p>
        </w:tc>
        <w:tc>
          <w:tcPr>
            <w:tcW w:w="600" w:type="dxa"/>
            <w:tcBorders>
              <w:top w:val="nil"/>
              <w:left w:val="nil"/>
              <w:bottom w:val="nil"/>
              <w:right w:val="nil"/>
            </w:tcBorders>
            <w:shd w:val="clear" w:color="auto" w:fill="auto"/>
            <w:vAlign w:val="bottom"/>
            <w:hideMark/>
          </w:tcPr>
          <w:p w14:paraId="574B41BA"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-48</w:t>
            </w:r>
          </w:p>
        </w:tc>
        <w:tc>
          <w:tcPr>
            <w:tcW w:w="580" w:type="dxa"/>
            <w:tcBorders>
              <w:top w:val="nil"/>
              <w:left w:val="nil"/>
              <w:bottom w:val="nil"/>
              <w:right w:val="nil"/>
            </w:tcBorders>
            <w:shd w:val="clear" w:color="auto" w:fill="auto"/>
            <w:vAlign w:val="bottom"/>
            <w:hideMark/>
          </w:tcPr>
          <w:p w14:paraId="7D2550A3"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-28</w:t>
            </w:r>
          </w:p>
        </w:tc>
        <w:tc>
          <w:tcPr>
            <w:tcW w:w="740" w:type="dxa"/>
            <w:tcBorders>
              <w:top w:val="nil"/>
              <w:left w:val="nil"/>
              <w:bottom w:val="nil"/>
              <w:right w:val="nil"/>
            </w:tcBorders>
            <w:shd w:val="clear" w:color="auto" w:fill="auto"/>
            <w:vAlign w:val="bottom"/>
            <w:hideMark/>
          </w:tcPr>
          <w:p w14:paraId="1B9375C7" w14:textId="77777777" w:rsidR="008513F2" w:rsidRPr="008513F2" w:rsidRDefault="008513F2" w:rsidP="008513F2">
            <w:pPr>
              <w:tabs>
                <w:tab w:val="clear" w:pos="567"/>
              </w:tabs>
              <w:spacing w:before="0" w:line="240" w:lineRule="auto"/>
              <w:jc w:val="right"/>
              <w:rPr>
                <w:rFonts w:eastAsia="Times New Roman" w:cs="Open Sans Light"/>
                <w:sz w:val="16"/>
                <w:szCs w:val="16"/>
                <w:lang w:eastAsia="en-AU"/>
              </w:rPr>
            </w:pPr>
            <w:r w:rsidRPr="008513F2">
              <w:rPr>
                <w:rFonts w:eastAsia="Times New Roman" w:cs="Open Sans Light"/>
                <w:sz w:val="16"/>
                <w:szCs w:val="16"/>
                <w:lang w:eastAsia="en-AU"/>
              </w:rPr>
              <w:t>2,548</w:t>
            </w:r>
          </w:p>
        </w:tc>
      </w:tr>
      <w:tr w:rsidR="008513F2" w:rsidRPr="008513F2" w14:paraId="2EC30A8B" w14:textId="77777777" w:rsidTr="008513F2">
        <w:trPr>
          <w:trHeight w:val="555"/>
        </w:trPr>
        <w:tc>
          <w:tcPr>
            <w:tcW w:w="2860" w:type="dxa"/>
            <w:tcBorders>
              <w:top w:val="single" w:sz="4" w:space="0" w:color="ADD6EA"/>
              <w:left w:val="nil"/>
              <w:bottom w:val="single" w:sz="4" w:space="0" w:color="ADD6EA"/>
              <w:right w:val="nil"/>
            </w:tcBorders>
            <w:shd w:val="clear" w:color="000000" w:fill="D6E7F0"/>
            <w:vAlign w:val="bottom"/>
            <w:hideMark/>
          </w:tcPr>
          <w:p w14:paraId="1A03B3E9" w14:textId="77777777" w:rsidR="008513F2" w:rsidRPr="008513F2" w:rsidRDefault="008513F2" w:rsidP="008513F2">
            <w:pPr>
              <w:tabs>
                <w:tab w:val="clear" w:pos="567"/>
              </w:tabs>
              <w:spacing w:before="0" w:line="240" w:lineRule="auto"/>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 xml:space="preserve">Change due to new GST relativities (e) </w:t>
            </w:r>
          </w:p>
        </w:tc>
        <w:tc>
          <w:tcPr>
            <w:tcW w:w="740" w:type="dxa"/>
            <w:tcBorders>
              <w:top w:val="single" w:sz="4" w:space="0" w:color="ADD6EA"/>
              <w:left w:val="nil"/>
              <w:bottom w:val="single" w:sz="4" w:space="0" w:color="ADD6EA"/>
              <w:right w:val="nil"/>
            </w:tcBorders>
            <w:shd w:val="clear" w:color="000000" w:fill="D6E7F0"/>
            <w:noWrap/>
            <w:vAlign w:val="bottom"/>
            <w:hideMark/>
          </w:tcPr>
          <w:p w14:paraId="1B19BBE7"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-102</w:t>
            </w:r>
          </w:p>
        </w:tc>
        <w:tc>
          <w:tcPr>
            <w:tcW w:w="740" w:type="dxa"/>
            <w:tcBorders>
              <w:top w:val="single" w:sz="4" w:space="0" w:color="ADD6EA"/>
              <w:left w:val="nil"/>
              <w:bottom w:val="single" w:sz="4" w:space="0" w:color="ADD6EA"/>
              <w:right w:val="nil"/>
            </w:tcBorders>
            <w:shd w:val="clear" w:color="000000" w:fill="D6E7F0"/>
            <w:noWrap/>
            <w:vAlign w:val="bottom"/>
            <w:hideMark/>
          </w:tcPr>
          <w:p w14:paraId="454A579F"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-1,269</w:t>
            </w:r>
          </w:p>
        </w:tc>
        <w:tc>
          <w:tcPr>
            <w:tcW w:w="720" w:type="dxa"/>
            <w:tcBorders>
              <w:top w:val="single" w:sz="4" w:space="0" w:color="ADD6EA"/>
              <w:left w:val="nil"/>
              <w:bottom w:val="single" w:sz="4" w:space="0" w:color="ADD6EA"/>
              <w:right w:val="nil"/>
            </w:tcBorders>
            <w:shd w:val="clear" w:color="000000" w:fill="D6E7F0"/>
            <w:noWrap/>
            <w:vAlign w:val="bottom"/>
            <w:hideMark/>
          </w:tcPr>
          <w:p w14:paraId="50104C46"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-379</w:t>
            </w:r>
          </w:p>
        </w:tc>
        <w:tc>
          <w:tcPr>
            <w:tcW w:w="740" w:type="dxa"/>
            <w:tcBorders>
              <w:top w:val="single" w:sz="4" w:space="0" w:color="ADD6EA"/>
              <w:left w:val="nil"/>
              <w:bottom w:val="single" w:sz="4" w:space="0" w:color="ADD6EA"/>
              <w:right w:val="nil"/>
            </w:tcBorders>
            <w:shd w:val="clear" w:color="000000" w:fill="D6E7F0"/>
            <w:noWrap/>
            <w:vAlign w:val="bottom"/>
            <w:hideMark/>
          </w:tcPr>
          <w:p w14:paraId="1C4AE748"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2,280</w:t>
            </w:r>
          </w:p>
        </w:tc>
        <w:tc>
          <w:tcPr>
            <w:tcW w:w="600" w:type="dxa"/>
            <w:tcBorders>
              <w:top w:val="single" w:sz="4" w:space="0" w:color="ADD6EA"/>
              <w:left w:val="nil"/>
              <w:bottom w:val="single" w:sz="4" w:space="0" w:color="ADD6EA"/>
              <w:right w:val="nil"/>
            </w:tcBorders>
            <w:shd w:val="clear" w:color="000000" w:fill="D6E7F0"/>
            <w:noWrap/>
            <w:vAlign w:val="bottom"/>
            <w:hideMark/>
          </w:tcPr>
          <w:p w14:paraId="0097846F"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-327</w:t>
            </w:r>
          </w:p>
        </w:tc>
        <w:tc>
          <w:tcPr>
            <w:tcW w:w="600" w:type="dxa"/>
            <w:tcBorders>
              <w:top w:val="single" w:sz="4" w:space="0" w:color="ADD6EA"/>
              <w:left w:val="nil"/>
              <w:bottom w:val="single" w:sz="4" w:space="0" w:color="ADD6EA"/>
              <w:right w:val="nil"/>
            </w:tcBorders>
            <w:shd w:val="clear" w:color="000000" w:fill="D6E7F0"/>
            <w:noWrap/>
            <w:vAlign w:val="bottom"/>
            <w:hideMark/>
          </w:tcPr>
          <w:p w14:paraId="4FC0508B"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-171</w:t>
            </w:r>
          </w:p>
        </w:tc>
        <w:tc>
          <w:tcPr>
            <w:tcW w:w="600" w:type="dxa"/>
            <w:tcBorders>
              <w:top w:val="single" w:sz="4" w:space="0" w:color="ADD6EA"/>
              <w:left w:val="nil"/>
              <w:bottom w:val="single" w:sz="4" w:space="0" w:color="ADD6EA"/>
              <w:right w:val="nil"/>
            </w:tcBorders>
            <w:shd w:val="clear" w:color="000000" w:fill="D6E7F0"/>
            <w:noWrap/>
            <w:vAlign w:val="bottom"/>
            <w:hideMark/>
          </w:tcPr>
          <w:p w14:paraId="1FDEC382"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-89</w:t>
            </w:r>
          </w:p>
        </w:tc>
        <w:tc>
          <w:tcPr>
            <w:tcW w:w="580" w:type="dxa"/>
            <w:tcBorders>
              <w:top w:val="single" w:sz="4" w:space="0" w:color="ADD6EA"/>
              <w:left w:val="nil"/>
              <w:bottom w:val="single" w:sz="4" w:space="0" w:color="ADD6EA"/>
              <w:right w:val="nil"/>
            </w:tcBorders>
            <w:shd w:val="clear" w:color="000000" w:fill="D6E7F0"/>
            <w:noWrap/>
            <w:vAlign w:val="bottom"/>
            <w:hideMark/>
          </w:tcPr>
          <w:p w14:paraId="3FFF1D74"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57</w:t>
            </w:r>
          </w:p>
        </w:tc>
        <w:tc>
          <w:tcPr>
            <w:tcW w:w="740" w:type="dxa"/>
            <w:tcBorders>
              <w:top w:val="single" w:sz="4" w:space="0" w:color="ADD6EA"/>
              <w:left w:val="nil"/>
              <w:bottom w:val="single" w:sz="4" w:space="0" w:color="ADD6EA"/>
              <w:right w:val="nil"/>
            </w:tcBorders>
            <w:shd w:val="clear" w:color="000000" w:fill="D6E7F0"/>
            <w:noWrap/>
            <w:vAlign w:val="bottom"/>
            <w:hideMark/>
          </w:tcPr>
          <w:p w14:paraId="3919D311" w14:textId="77777777" w:rsidR="008513F2" w:rsidRPr="008513F2" w:rsidRDefault="008513F2" w:rsidP="008513F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13F2">
              <w:rPr>
                <w:rFonts w:ascii="Open Sans Semibold" w:eastAsia="Times New Roman" w:hAnsi="Open Sans Semibold" w:cs="Open Sans Semibold"/>
                <w:color w:val="000000"/>
                <w:sz w:val="16"/>
                <w:szCs w:val="16"/>
                <w:lang w:eastAsia="en-AU"/>
              </w:rPr>
              <w:t>2,337</w:t>
            </w:r>
          </w:p>
        </w:tc>
      </w:tr>
    </w:tbl>
    <w:p w14:paraId="30DA012D" w14:textId="5DBE02A5" w:rsidR="00C9279A" w:rsidRDefault="00C9279A" w:rsidP="003A7850">
      <w:pPr>
        <w:pStyle w:val="CGCTablenote"/>
        <w:rPr>
          <w:noProof/>
        </w:rPr>
      </w:pPr>
      <w:r>
        <w:rPr>
          <w:noProof/>
        </w:rPr>
        <w:t>(a)</w:t>
      </w:r>
      <w:r>
        <w:rPr>
          <w:noProof/>
        </w:rPr>
        <w:tab/>
      </w:r>
      <w:r w:rsidRPr="00A80FDD">
        <w:rPr>
          <w:noProof/>
        </w:rPr>
        <w:t>Since 2019</w:t>
      </w:r>
      <w:r>
        <w:rPr>
          <w:noProof/>
        </w:rPr>
        <w:t>–</w:t>
      </w:r>
      <w:r w:rsidRPr="00A80FDD">
        <w:rPr>
          <w:noProof/>
        </w:rPr>
        <w:t xml:space="preserve">20, the Commonwealth has also made supplementary payments to deliver an outcome at least equivalent to a relativity of 0.7 to Western Australia. This </w:t>
      </w:r>
      <w:r>
        <w:rPr>
          <w:noProof/>
        </w:rPr>
        <w:t>no longer applies</w:t>
      </w:r>
      <w:r w:rsidRPr="00A80FDD">
        <w:rPr>
          <w:noProof/>
        </w:rPr>
        <w:t xml:space="preserve"> in 2022</w:t>
      </w:r>
      <w:r>
        <w:rPr>
          <w:noProof/>
        </w:rPr>
        <w:t>–</w:t>
      </w:r>
      <w:r w:rsidRPr="00A80FDD">
        <w:rPr>
          <w:noProof/>
        </w:rPr>
        <w:t>23.</w:t>
      </w:r>
    </w:p>
    <w:p w14:paraId="27D3B01D" w14:textId="3E36DAE8" w:rsidR="00A80FDD" w:rsidRPr="00A80FDD" w:rsidRDefault="00A80FDD" w:rsidP="003A7850">
      <w:pPr>
        <w:pStyle w:val="CGCTablenote"/>
        <w:rPr>
          <w:noProof/>
        </w:rPr>
      </w:pPr>
      <w:r w:rsidRPr="00A80FDD">
        <w:rPr>
          <w:noProof/>
        </w:rPr>
        <w:t>(</w:t>
      </w:r>
      <w:r w:rsidR="00C9279A">
        <w:rPr>
          <w:noProof/>
        </w:rPr>
        <w:t>b</w:t>
      </w:r>
      <w:r w:rsidRPr="00A80FDD">
        <w:rPr>
          <w:noProof/>
        </w:rPr>
        <w:t>)</w:t>
      </w:r>
      <w:r w:rsidRPr="00A80FDD">
        <w:rPr>
          <w:noProof/>
        </w:rPr>
        <w:tab/>
        <w:t>Effects on the distribution of the 2022</w:t>
      </w:r>
      <w:r w:rsidR="00B24029">
        <w:rPr>
          <w:noProof/>
        </w:rPr>
        <w:t>–</w:t>
      </w:r>
      <w:r w:rsidRPr="00A80FDD">
        <w:rPr>
          <w:noProof/>
        </w:rPr>
        <w:t>23 GST pool of using 2022</w:t>
      </w:r>
      <w:r w:rsidR="00AE3C8C">
        <w:rPr>
          <w:noProof/>
        </w:rPr>
        <w:t> Update</w:t>
      </w:r>
      <w:r w:rsidRPr="00A80FDD">
        <w:rPr>
          <w:noProof/>
        </w:rPr>
        <w:t xml:space="preserve"> assessed relativities instead of 2021</w:t>
      </w:r>
      <w:r w:rsidR="00C84749">
        <w:rPr>
          <w:noProof/>
        </w:rPr>
        <w:t> </w:t>
      </w:r>
      <w:r w:rsidRPr="00A80FDD">
        <w:rPr>
          <w:noProof/>
        </w:rPr>
        <w:t>Update assessed relativities.</w:t>
      </w:r>
    </w:p>
    <w:p w14:paraId="7F182179" w14:textId="45CB01B1" w:rsidR="00A80FDD" w:rsidRPr="00A80FDD" w:rsidRDefault="00A80FDD" w:rsidP="003A7850">
      <w:pPr>
        <w:pStyle w:val="CGCTablenote"/>
        <w:rPr>
          <w:noProof/>
        </w:rPr>
      </w:pPr>
      <w:r w:rsidRPr="00A80FDD">
        <w:rPr>
          <w:noProof/>
        </w:rPr>
        <w:t>(</w:t>
      </w:r>
      <w:r w:rsidR="00FE10E4">
        <w:rPr>
          <w:noProof/>
        </w:rPr>
        <w:t>c</w:t>
      </w:r>
      <w:r w:rsidRPr="00A80FDD">
        <w:rPr>
          <w:noProof/>
        </w:rPr>
        <w:t>)</w:t>
      </w:r>
      <w:r w:rsidRPr="00A80FDD">
        <w:rPr>
          <w:noProof/>
        </w:rPr>
        <w:tab/>
      </w:r>
      <w:r w:rsidR="00274A33">
        <w:rPr>
          <w:noProof/>
        </w:rPr>
        <w:t>E</w:t>
      </w:r>
      <w:r w:rsidRPr="00A80FDD">
        <w:rPr>
          <w:noProof/>
        </w:rPr>
        <w:t xml:space="preserve">ffects on the distribution of </w:t>
      </w:r>
      <w:r w:rsidR="00274A33">
        <w:rPr>
          <w:noProof/>
        </w:rPr>
        <w:t xml:space="preserve">the </w:t>
      </w:r>
      <w:r w:rsidRPr="00A80FDD">
        <w:rPr>
          <w:noProof/>
        </w:rPr>
        <w:t>2022</w:t>
      </w:r>
      <w:r w:rsidR="00782087">
        <w:rPr>
          <w:noProof/>
        </w:rPr>
        <w:t>–</w:t>
      </w:r>
      <w:r w:rsidRPr="00A80FDD">
        <w:rPr>
          <w:noProof/>
        </w:rPr>
        <w:t>23 GST pool of using 2022</w:t>
      </w:r>
      <w:r w:rsidR="00C84749">
        <w:rPr>
          <w:noProof/>
        </w:rPr>
        <w:t> </w:t>
      </w:r>
      <w:r w:rsidRPr="00A80FDD">
        <w:rPr>
          <w:noProof/>
        </w:rPr>
        <w:t>Update blended relativities in place of 2021 Update assessed relativities.</w:t>
      </w:r>
    </w:p>
    <w:p w14:paraId="5BC91019" w14:textId="3C845DB1" w:rsidR="00A80FDD" w:rsidRPr="00A80FDD" w:rsidRDefault="00A80FDD" w:rsidP="003A7850">
      <w:pPr>
        <w:pStyle w:val="CGCTablenote"/>
        <w:rPr>
          <w:noProof/>
        </w:rPr>
      </w:pPr>
      <w:r w:rsidRPr="00A80FDD">
        <w:rPr>
          <w:noProof/>
        </w:rPr>
        <w:t>(</w:t>
      </w:r>
      <w:r w:rsidR="00FE10E4">
        <w:rPr>
          <w:noProof/>
        </w:rPr>
        <w:t>d</w:t>
      </w:r>
      <w:r w:rsidRPr="00A80FDD">
        <w:rPr>
          <w:noProof/>
        </w:rPr>
        <w:t>)</w:t>
      </w:r>
      <w:r w:rsidRPr="00A80FDD">
        <w:rPr>
          <w:noProof/>
        </w:rPr>
        <w:tab/>
        <w:t xml:space="preserve">In this update, the floor of 0.7 is drawn from the GST pool. </w:t>
      </w:r>
    </w:p>
    <w:p w14:paraId="4B7B73B6" w14:textId="55729F5B" w:rsidR="00A80FDD" w:rsidRPr="00A80FDD" w:rsidRDefault="00A80FDD" w:rsidP="003A7850">
      <w:pPr>
        <w:pStyle w:val="CGCTablenote"/>
      </w:pPr>
      <w:r w:rsidRPr="00A80FDD">
        <w:t>(</w:t>
      </w:r>
      <w:r w:rsidR="00FE10E4">
        <w:t>e</w:t>
      </w:r>
      <w:r w:rsidRPr="00A80FDD">
        <w:t>)</w:t>
      </w:r>
      <w:r w:rsidRPr="00A80FDD">
        <w:tab/>
        <w:t>Sum of (</w:t>
      </w:r>
      <w:r w:rsidR="00AC36D9">
        <w:t>b</w:t>
      </w:r>
      <w:r w:rsidRPr="00A80FDD">
        <w:t>), (</w:t>
      </w:r>
      <w:r w:rsidR="00AC36D9">
        <w:t>c</w:t>
      </w:r>
      <w:r w:rsidRPr="00A80FDD">
        <w:t>) and (</w:t>
      </w:r>
      <w:r w:rsidR="00AC36D9">
        <w:t>d</w:t>
      </w:r>
      <w:r w:rsidRPr="00A80FDD">
        <w:t>).</w:t>
      </w:r>
    </w:p>
    <w:p w14:paraId="21DFBA6E" w14:textId="77777777" w:rsidR="00A80FDD" w:rsidRPr="00A80FDD" w:rsidRDefault="00A80FDD" w:rsidP="003A7850">
      <w:pPr>
        <w:pStyle w:val="CGCTablenote"/>
        <w:rPr>
          <w:noProof/>
        </w:rPr>
      </w:pPr>
      <w:r w:rsidRPr="00A80FDD">
        <w:rPr>
          <w:noProof/>
        </w:rPr>
        <w:t>Source:</w:t>
      </w:r>
      <w:r w:rsidRPr="00A80FDD">
        <w:rPr>
          <w:noProof/>
        </w:rPr>
        <w:tab/>
        <w:t>Commission calculation.</w:t>
      </w:r>
    </w:p>
    <w:p w14:paraId="1EFFC569" w14:textId="77777777" w:rsidR="00A80FDD" w:rsidRPr="00A80FDD" w:rsidRDefault="00A80FDD" w:rsidP="00214D86">
      <w:pPr>
        <w:pStyle w:val="Heading3"/>
        <w:rPr>
          <w:b w:val="0"/>
        </w:rPr>
      </w:pPr>
      <w:r w:rsidRPr="00A80FDD">
        <w:t>Assessed relativities</w:t>
      </w:r>
    </w:p>
    <w:p w14:paraId="55451081" w14:textId="5517F601" w:rsidR="00A80FDD" w:rsidRPr="00A80FDD" w:rsidRDefault="00A80FDD" w:rsidP="0004064D">
      <w:pPr>
        <w:pStyle w:val="CGCBodyCopy"/>
      </w:pPr>
      <w:r w:rsidRPr="00A80FDD">
        <w:t xml:space="preserve">Changes in assessed capacity to raise revenue, driven mainly by a large increase in iron ore prices, had a significant impact on assessed relativities for all states. The increase in Western Australia’s revenue raising capacity from mining reduced its assessed relativity and increased the assessed relativities </w:t>
      </w:r>
      <w:r w:rsidR="00EB7383">
        <w:t>of</w:t>
      </w:r>
      <w:r w:rsidRPr="00A80FDD">
        <w:t xml:space="preserve"> the other states.</w:t>
      </w:r>
    </w:p>
    <w:p w14:paraId="55970A04" w14:textId="6D3045D9" w:rsidR="00A80FDD" w:rsidRPr="00A80FDD" w:rsidRDefault="00A80FDD" w:rsidP="0004064D">
      <w:pPr>
        <w:pStyle w:val="CGCBodyCopy"/>
      </w:pPr>
      <w:r w:rsidRPr="00A80FDD">
        <w:rPr>
          <w:noProof/>
        </w:rPr>
        <w:drawing>
          <wp:anchor distT="0" distB="0" distL="114300" distR="114300" simplePos="0" relativeHeight="251658251" behindDoc="1" locked="1" layoutInCell="1" allowOverlap="1" wp14:anchorId="474223EC" wp14:editId="6443F913">
            <wp:simplePos x="0" y="0"/>
            <wp:positionH relativeFrom="page">
              <wp:posOffset>0</wp:posOffset>
            </wp:positionH>
            <wp:positionV relativeFrom="margin">
              <wp:posOffset>-803275</wp:posOffset>
            </wp:positionV>
            <wp:extent cx="7563485" cy="10691495"/>
            <wp:effectExtent l="0" t="0" r="0" b="0"/>
            <wp:wrapNone/>
            <wp:docPr id="36" name="Picture 3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A80FDD">
        <w:t xml:space="preserve">An uneven property boom also changed states’ relative capacities to raise stamp duty. Victoria was assessed to have a reduced capacity, increasing its assessed relativity. </w:t>
      </w:r>
      <w:r w:rsidR="000C1B69" w:rsidRPr="00156A31">
        <w:t>All other states</w:t>
      </w:r>
      <w:r w:rsidR="000C1B69">
        <w:t xml:space="preserve"> </w:t>
      </w:r>
      <w:r w:rsidRPr="00A80FDD">
        <w:t>were assessed to have an increased capacity, reducing their assessed relativit</w:t>
      </w:r>
      <w:r w:rsidR="00EB7383">
        <w:t>ies</w:t>
      </w:r>
      <w:r w:rsidRPr="00A80FDD">
        <w:t xml:space="preserve">. </w:t>
      </w:r>
    </w:p>
    <w:p w14:paraId="1E681D89" w14:textId="62DABB6E" w:rsidR="00A80FDD" w:rsidRPr="00A80FDD" w:rsidRDefault="00A80FDD" w:rsidP="0004064D">
      <w:pPr>
        <w:pStyle w:val="CGCBodyCopy"/>
      </w:pPr>
      <w:r w:rsidRPr="00A80FDD">
        <w:t>Differences between states in relative wage growth were an</w:t>
      </w:r>
      <w:r w:rsidR="003C499A">
        <w:t>other</w:t>
      </w:r>
      <w:r w:rsidRPr="00A80FDD">
        <w:t xml:space="preserve"> important influence on assessed relativities for some states. Relatively hig</w:t>
      </w:r>
      <w:r w:rsidR="00156A31">
        <w:t>h</w:t>
      </w:r>
      <w:r w:rsidRPr="00A80FDD">
        <w:t xml:space="preserve"> wage growth in New South Wales</w:t>
      </w:r>
      <w:r w:rsidR="00EF25F4">
        <w:t>,</w:t>
      </w:r>
      <w:r w:rsidRPr="00A80FDD">
        <w:t xml:space="preserve"> Western Australia </w:t>
      </w:r>
      <w:r w:rsidR="00EF25F4">
        <w:t xml:space="preserve">and South Australia </w:t>
      </w:r>
      <w:r w:rsidRPr="00A80FDD">
        <w:t>increased their assessed relativities. Relatively slow growth in Victoria, Queensland, the ACT and the Northern Territory reduced their assessed relativities.</w:t>
      </w:r>
    </w:p>
    <w:p w14:paraId="1B41E1B2" w14:textId="2C56B6D5" w:rsidR="00A80FDD" w:rsidRPr="00A80FDD" w:rsidRDefault="00A80FDD" w:rsidP="0004064D">
      <w:pPr>
        <w:pStyle w:val="CGCBodyCopy"/>
      </w:pPr>
      <w:r w:rsidRPr="00A80FDD">
        <w:t xml:space="preserve">Victoria’s assessed relativity </w:t>
      </w:r>
      <w:r w:rsidR="004D42D5">
        <w:t>was</w:t>
      </w:r>
      <w:r w:rsidRPr="00A80FDD">
        <w:t xml:space="preserve"> significantly impacted by changes in relative state population growth. Victoria’s population growth in 2017</w:t>
      </w:r>
      <w:r w:rsidR="00782087">
        <w:t>–</w:t>
      </w:r>
      <w:r w:rsidRPr="00A80FDD">
        <w:t>18 (2.28%) was much higher than the national average (1.57%). Therefore, Victoria was assessed to have well above average investment needs and was allocated a greater share of the GST pool</w:t>
      </w:r>
      <w:r w:rsidR="008C2402">
        <w:t xml:space="preserve"> </w:t>
      </w:r>
      <w:r w:rsidR="008C2402" w:rsidRPr="00D46322">
        <w:t xml:space="preserve">when </w:t>
      </w:r>
      <w:r w:rsidR="003541A4" w:rsidRPr="00D46322">
        <w:t>2017</w:t>
      </w:r>
      <w:r w:rsidR="00782087" w:rsidRPr="00D46322">
        <w:t>–</w:t>
      </w:r>
      <w:r w:rsidR="003541A4" w:rsidRPr="00D46322">
        <w:t xml:space="preserve">18 </w:t>
      </w:r>
      <w:r w:rsidR="0075495F" w:rsidRPr="00D46322">
        <w:t xml:space="preserve">was included in </w:t>
      </w:r>
      <w:r w:rsidR="001D592F" w:rsidRPr="00D46322">
        <w:t xml:space="preserve">the </w:t>
      </w:r>
      <w:r w:rsidR="003541A4" w:rsidRPr="00D46322">
        <w:t>assessment year</w:t>
      </w:r>
      <w:r w:rsidR="0075495F" w:rsidRPr="00D46322">
        <w:t>s</w:t>
      </w:r>
      <w:r w:rsidRPr="00A80FDD">
        <w:t>. For the 2022 Update, 2017</w:t>
      </w:r>
      <w:r w:rsidR="00782087">
        <w:t>–</w:t>
      </w:r>
      <w:r w:rsidRPr="00A80FDD">
        <w:t>18 drop</w:t>
      </w:r>
      <w:r w:rsidR="00B339C2">
        <w:t>ped</w:t>
      </w:r>
      <w:r w:rsidRPr="00A80FDD">
        <w:t xml:space="preserve"> out of the assessment period and </w:t>
      </w:r>
      <w:r w:rsidR="00B339C2">
        <w:t>was</w:t>
      </w:r>
      <w:r w:rsidRPr="00A80FDD">
        <w:t xml:space="preserve"> replaced by 2020</w:t>
      </w:r>
      <w:r w:rsidR="00782087">
        <w:t>–</w:t>
      </w:r>
      <w:r w:rsidRPr="00A80FDD">
        <w:t xml:space="preserve">21. </w:t>
      </w:r>
      <w:r w:rsidR="007359C9">
        <w:t>For</w:t>
      </w:r>
      <w:r w:rsidRPr="00A80FDD">
        <w:t xml:space="preserve"> 2020</w:t>
      </w:r>
      <w:r w:rsidR="008C009C">
        <w:t>–</w:t>
      </w:r>
      <w:r w:rsidR="007359C9">
        <w:t>21</w:t>
      </w:r>
      <w:r w:rsidRPr="00A80FDD">
        <w:t xml:space="preserve">, Victoria’s population declined (-0.04%) and was below the national average (growth of 0.49%). The reduction in </w:t>
      </w:r>
      <w:r w:rsidR="0099174F">
        <w:t>Victoria’s</w:t>
      </w:r>
      <w:r w:rsidRPr="00A80FDD">
        <w:t xml:space="preserve"> population growth over the assessment period </w:t>
      </w:r>
      <w:r w:rsidR="006B28C2">
        <w:t>reduced</w:t>
      </w:r>
      <w:r w:rsidRPr="00A80FDD">
        <w:t xml:space="preserve"> </w:t>
      </w:r>
      <w:r w:rsidR="00853820">
        <w:t>its</w:t>
      </w:r>
      <w:r w:rsidRPr="00A80FDD">
        <w:t xml:space="preserve"> assessed need to invest in infrastructure</w:t>
      </w:r>
      <w:r w:rsidR="006B28C2">
        <w:t>,</w:t>
      </w:r>
      <w:r w:rsidRPr="00A80FDD">
        <w:t xml:space="preserve"> and in turn </w:t>
      </w:r>
      <w:r w:rsidR="006B28C2">
        <w:t>reduced</w:t>
      </w:r>
      <w:r w:rsidRPr="00A80FDD">
        <w:t xml:space="preserve"> its share of the GST pool.</w:t>
      </w:r>
    </w:p>
    <w:p w14:paraId="497C23BC" w14:textId="77777777" w:rsidR="00A80FDD" w:rsidRPr="00A80FDD" w:rsidRDefault="00A80FDD" w:rsidP="0004064D">
      <w:pPr>
        <w:pStyle w:val="CGCBodyCopy"/>
      </w:pPr>
      <w:r w:rsidRPr="00A80FDD">
        <w:t>Chapter 2 explains the key drivers of changes in assessed relativities in more detail. Chapter 3 explains the implications for each state.</w:t>
      </w:r>
    </w:p>
    <w:p w14:paraId="3A73B45F" w14:textId="64F75F92" w:rsidR="00A80FDD" w:rsidRPr="00A80FDD" w:rsidRDefault="00A80FDD" w:rsidP="00AB2D4B">
      <w:pPr>
        <w:pStyle w:val="Heading3"/>
        <w:rPr>
          <w:b w:val="0"/>
        </w:rPr>
      </w:pPr>
      <w:r w:rsidRPr="00AB2D4B">
        <w:t>Standard state relativities</w:t>
      </w:r>
      <w:r w:rsidR="007B773C">
        <w:rPr>
          <w:b w:val="0"/>
        </w:rPr>
        <w:t xml:space="preserve"> </w:t>
      </w:r>
    </w:p>
    <w:p w14:paraId="03DB6886" w14:textId="61C3A299" w:rsidR="00A80FDD" w:rsidRPr="00A80FDD" w:rsidRDefault="00A80FDD" w:rsidP="0004064D">
      <w:pPr>
        <w:pStyle w:val="CGCBodyCopy"/>
      </w:pPr>
      <w:r w:rsidRPr="00A80FDD">
        <w:t>The equalisation arrangements legislated in 2018 ensure that</w:t>
      </w:r>
      <w:r w:rsidR="006A7496">
        <w:t xml:space="preserve">, </w:t>
      </w:r>
      <w:r w:rsidR="006A7496" w:rsidRPr="00A861BC">
        <w:t>from</w:t>
      </w:r>
      <w:r w:rsidR="003D466B" w:rsidRPr="00A861BC">
        <w:t xml:space="preserve"> </w:t>
      </w:r>
      <w:r w:rsidR="00565284" w:rsidRPr="00A861BC">
        <w:t>2026</w:t>
      </w:r>
      <w:r w:rsidR="00337C21">
        <w:noBreakHyphen/>
      </w:r>
      <w:r w:rsidR="00565284" w:rsidRPr="00A861BC">
        <w:t>27</w:t>
      </w:r>
      <w:r w:rsidR="003D466B" w:rsidRPr="00A861BC">
        <w:t>,</w:t>
      </w:r>
      <w:r w:rsidRPr="00A80FDD">
        <w:t xml:space="preserve"> each state’s GST relativity </w:t>
      </w:r>
      <w:r w:rsidR="003D466B">
        <w:t>will be</w:t>
      </w:r>
      <w:r w:rsidRPr="00A80FDD">
        <w:t xml:space="preserve"> at least as high as the relativity of the fiscally stronger of New</w:t>
      </w:r>
      <w:r w:rsidR="008102FD">
        <w:t> </w:t>
      </w:r>
      <w:r w:rsidRPr="00A80FDD">
        <w:t>South</w:t>
      </w:r>
      <w:r w:rsidR="008102FD">
        <w:t> </w:t>
      </w:r>
      <w:r w:rsidRPr="00A80FDD">
        <w:t xml:space="preserve">Wales or Victoria (referred to as the ‘standard state’). This means no state will receive less GST per capita than the standard state. Should any state be fiscally stronger than the standard state, its GST relativity will be increased to the relativity of the standard state. Given the GST is distributed from a fixed funding pool, other states’ relativities will fall to accommodate this increase. </w:t>
      </w:r>
    </w:p>
    <w:p w14:paraId="13457F26" w14:textId="341396A5" w:rsidR="00A80FDD" w:rsidRPr="00A80FDD" w:rsidRDefault="00A80FDD" w:rsidP="0004064D">
      <w:pPr>
        <w:pStyle w:val="CGCBodyCopy"/>
      </w:pPr>
      <w:r w:rsidRPr="00A80FDD">
        <w:t>Victoria has been assessed as the standard state in each of the three assessment years used for the 2022 Update. Western</w:t>
      </w:r>
      <w:r w:rsidR="008102FD">
        <w:t> </w:t>
      </w:r>
      <w:r w:rsidRPr="00A80FDD">
        <w:t>Australia is the only state with an assessed relativity below the standard state. Hence, Western</w:t>
      </w:r>
      <w:r w:rsidR="008102FD">
        <w:t> </w:t>
      </w:r>
      <w:r w:rsidRPr="00A80FDD">
        <w:t xml:space="preserve">Australia’s standard state relativity </w:t>
      </w:r>
      <w:r w:rsidR="00285556">
        <w:t>has been</w:t>
      </w:r>
      <w:r w:rsidRPr="00A80FDD">
        <w:t xml:space="preserve"> brought up to Victoria’s standard state relativity of 0.</w:t>
      </w:r>
      <w:r w:rsidR="00460DBD">
        <w:t>84245</w:t>
      </w:r>
      <w:r w:rsidRPr="00A80FDD">
        <w:t xml:space="preserve"> (see </w:t>
      </w:r>
      <w:r w:rsidR="005F53A4">
        <w:t>box below</w:t>
      </w:r>
      <w:r w:rsidRPr="00A80FDD">
        <w:t>)</w:t>
      </w:r>
      <w:r w:rsidR="000D2666">
        <w:t>.</w:t>
      </w:r>
      <w:r w:rsidRPr="00A80FDD">
        <w:t xml:space="preserve"> </w:t>
      </w:r>
      <w:r w:rsidR="00E83976">
        <w:t>The</w:t>
      </w:r>
      <w:r w:rsidR="00931B3F" w:rsidRPr="00565284">
        <w:t xml:space="preserve"> 2018</w:t>
      </w:r>
      <w:r w:rsidR="002E3D3B">
        <w:t> </w:t>
      </w:r>
      <w:r w:rsidR="00931B3F" w:rsidRPr="00565284">
        <w:t xml:space="preserve">legislated arrangements are being introduced </w:t>
      </w:r>
      <w:r w:rsidR="003F2A18">
        <w:t xml:space="preserve">over a </w:t>
      </w:r>
      <w:r w:rsidR="001D168D">
        <w:t>6</w:t>
      </w:r>
      <w:r w:rsidR="00FA4511">
        <w:noBreakHyphen/>
      </w:r>
      <w:r w:rsidR="003F2A18">
        <w:t>year period</w:t>
      </w:r>
      <w:r w:rsidR="00931B3F" w:rsidRPr="00565284">
        <w:t xml:space="preserve">, </w:t>
      </w:r>
      <w:r w:rsidR="00250327">
        <w:t>by blending</w:t>
      </w:r>
      <w:r w:rsidR="00931B3F" w:rsidRPr="00565284">
        <w:t xml:space="preserve"> </w:t>
      </w:r>
      <w:r w:rsidR="00426549" w:rsidRPr="00565284">
        <w:t xml:space="preserve">standard state relativities with </w:t>
      </w:r>
      <w:r w:rsidR="00A41412" w:rsidRPr="00565284">
        <w:t>assessed relativities.</w:t>
      </w:r>
    </w:p>
    <w:p w14:paraId="6C2B9D8F" w14:textId="77777777" w:rsidR="00A80FDD" w:rsidRPr="00B31D16" w:rsidRDefault="00A80FDD" w:rsidP="00B31D16">
      <w:pPr>
        <w:pStyle w:val="Heading3"/>
        <w:keepNext/>
      </w:pPr>
      <w:r w:rsidRPr="00B31D16">
        <w:t>Blended relativities and the GST relativity floor</w:t>
      </w:r>
    </w:p>
    <w:p w14:paraId="60485F19" w14:textId="5631DE4E" w:rsidR="00A80FDD" w:rsidRPr="00A80FDD" w:rsidRDefault="00A80FDD" w:rsidP="0004064D">
      <w:pPr>
        <w:pStyle w:val="CGCBodyCopy"/>
      </w:pPr>
      <w:r w:rsidRPr="00A80FDD">
        <w:t xml:space="preserve">The blending of assessed relativities with standard state relativities </w:t>
      </w:r>
      <w:r w:rsidRPr="004D4A52">
        <w:t>results</w:t>
      </w:r>
      <w:r w:rsidRPr="00A80FDD">
        <w:t xml:space="preserve"> in an increased distribution in the GST pool to Western Australia and </w:t>
      </w:r>
      <w:r w:rsidR="00F80383" w:rsidRPr="00A80FDD">
        <w:rPr>
          <w:noProof/>
        </w:rPr>
        <w:drawing>
          <wp:anchor distT="0" distB="0" distL="114300" distR="114300" simplePos="0" relativeHeight="251658264" behindDoc="1" locked="1" layoutInCell="1" allowOverlap="1" wp14:anchorId="178C02D0" wp14:editId="1E9A46D0">
            <wp:simplePos x="0" y="0"/>
            <wp:positionH relativeFrom="page">
              <wp:align>right</wp:align>
            </wp:positionH>
            <wp:positionV relativeFrom="page">
              <wp:align>top</wp:align>
            </wp:positionV>
            <wp:extent cx="7563485" cy="10691495"/>
            <wp:effectExtent l="0" t="0" r="0" b="0"/>
            <wp:wrapNone/>
            <wp:docPr id="26" name="Picture 2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A80FDD">
        <w:t xml:space="preserve">a reduced distribution to all other states. </w:t>
      </w:r>
    </w:p>
    <w:p w14:paraId="53752E81" w14:textId="239F9AE6" w:rsidR="00A80FDD" w:rsidRPr="00A80FDD" w:rsidRDefault="00A80FDD" w:rsidP="0004064D">
      <w:pPr>
        <w:pStyle w:val="CGCBodyCopy"/>
      </w:pPr>
      <w:r w:rsidRPr="00A80FDD">
        <w:t>Western Australia’s blended relativity (0.</w:t>
      </w:r>
      <w:r w:rsidR="00460DBD">
        <w:t>38608</w:t>
      </w:r>
      <w:r w:rsidRPr="00A80FDD">
        <w:t xml:space="preserve">) </w:t>
      </w:r>
      <w:r w:rsidR="007B773C">
        <w:t>is</w:t>
      </w:r>
      <w:r w:rsidRPr="00A80FDD">
        <w:t xml:space="preserve"> below the GST relativity floor of 0.7. Consequently, the blended relativities of all other states </w:t>
      </w:r>
      <w:r w:rsidRPr="007B773C">
        <w:t>are</w:t>
      </w:r>
      <w:r w:rsidR="0075186B" w:rsidRPr="007B773C">
        <w:rPr>
          <w:noProof/>
        </w:rPr>
        <w:drawing>
          <wp:anchor distT="0" distB="0" distL="114300" distR="114300" simplePos="0" relativeHeight="251658263" behindDoc="1" locked="1" layoutInCell="1" allowOverlap="1" wp14:anchorId="42ED22E2" wp14:editId="76E35017">
            <wp:simplePos x="0" y="0"/>
            <wp:positionH relativeFrom="page">
              <wp:posOffset>15240</wp:posOffset>
            </wp:positionH>
            <wp:positionV relativeFrom="page">
              <wp:posOffset>10835005</wp:posOffset>
            </wp:positionV>
            <wp:extent cx="7563485" cy="10691495"/>
            <wp:effectExtent l="0" t="0" r="0" b="0"/>
            <wp:wrapNone/>
            <wp:docPr id="37" name="Picture 3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A80FDD">
        <w:t xml:space="preserve"> further reduced to give Western Australia a GST relativity of 0.7. The GST pool </w:t>
      </w:r>
      <w:r w:rsidR="00165A43">
        <w:t>impact</w:t>
      </w:r>
      <w:r w:rsidRPr="00A80FDD">
        <w:t xml:space="preserve"> associated with this step is undertaken on a state population basis</w:t>
      </w:r>
      <w:r w:rsidR="005157CA">
        <w:t>,</w:t>
      </w:r>
      <w:r w:rsidRPr="00A80FDD">
        <w:t xml:space="preserve"> so the per capita impact is the same for each state.</w:t>
      </w:r>
    </w:p>
    <w:p w14:paraId="5185DE55" w14:textId="77777777" w:rsidR="00A80FDD" w:rsidRDefault="00A80FDD" w:rsidP="00A80FDD">
      <w:pPr>
        <w:tabs>
          <w:tab w:val="clear" w:pos="567"/>
        </w:tabs>
        <w:spacing w:before="0" w:line="240" w:lineRule="auto"/>
      </w:pPr>
      <w:r w:rsidRPr="00A80FDD">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9014"/>
      </w:tblGrid>
      <w:tr w:rsidR="00A80FDD" w:rsidRPr="00A80FDD" w14:paraId="04647EBF" w14:textId="77777777" w:rsidTr="000E5F08">
        <w:trPr>
          <w:trHeight w:val="13041"/>
        </w:trPr>
        <w:tc>
          <w:tcPr>
            <w:tcW w:w="9014" w:type="dxa"/>
            <w:shd w:val="clear" w:color="auto" w:fill="EBF3F5"/>
          </w:tcPr>
          <w:p w14:paraId="17AF4A0F" w14:textId="4F82936B" w:rsidR="00A80FDD" w:rsidRPr="00A80FDD" w:rsidRDefault="00A80FDD" w:rsidP="00801A1B">
            <w:pPr>
              <w:pStyle w:val="Heading1"/>
              <w:spacing w:before="240" w:after="160"/>
              <w:rPr>
                <w:rFonts w:eastAsia="Times New Roman"/>
                <w:b w:val="0"/>
                <w:sz w:val="36"/>
                <w:szCs w:val="36"/>
              </w:rPr>
            </w:pPr>
            <w:r w:rsidRPr="00A80FDD">
              <w:t>Calculation of GST relativities</w:t>
            </w:r>
          </w:p>
          <w:p w14:paraId="3AB8D97F" w14:textId="685AF92B" w:rsidR="00A80FDD" w:rsidRPr="00A80FDD" w:rsidRDefault="00A80FDD" w:rsidP="0061763F">
            <w:pPr>
              <w:tabs>
                <w:tab w:val="clear" w:pos="567"/>
              </w:tabs>
              <w:spacing w:before="240" w:line="300" w:lineRule="atLeast"/>
              <w:rPr>
                <w:rFonts w:ascii="Work Sans" w:eastAsia="Times New Roman" w:hAnsi="Work Sans" w:cs="Times New Roman"/>
                <w:iCs/>
                <w:sz w:val="24"/>
                <w:szCs w:val="20"/>
                <w:lang w:eastAsia="en-AU"/>
              </w:rPr>
            </w:pPr>
            <w:r w:rsidRPr="00A80FDD">
              <w:rPr>
                <w:rFonts w:ascii="Work Sans" w:eastAsia="Times New Roman" w:hAnsi="Work Sans" w:cs="Times New Roman"/>
                <w:iCs/>
                <w:sz w:val="24"/>
                <w:szCs w:val="20"/>
                <w:lang w:eastAsia="en-AU"/>
              </w:rPr>
              <w:t>The Commission</w:t>
            </w:r>
            <w:r w:rsidR="00E05480">
              <w:rPr>
                <w:rFonts w:ascii="Work Sans" w:eastAsia="Times New Roman" w:hAnsi="Work Sans" w:cs="Times New Roman"/>
                <w:iCs/>
                <w:sz w:val="24"/>
                <w:szCs w:val="20"/>
                <w:lang w:eastAsia="en-AU"/>
              </w:rPr>
              <w:t>’s</w:t>
            </w:r>
            <w:r w:rsidRPr="00A80FDD">
              <w:rPr>
                <w:rFonts w:ascii="Work Sans" w:eastAsia="Times New Roman" w:hAnsi="Work Sans" w:cs="Times New Roman"/>
                <w:iCs/>
                <w:sz w:val="24"/>
                <w:szCs w:val="20"/>
                <w:lang w:eastAsia="en-AU"/>
              </w:rPr>
              <w:t xml:space="preserve"> recommendations on GST relativities </w:t>
            </w:r>
            <w:r w:rsidR="00BB0A73">
              <w:rPr>
                <w:rFonts w:ascii="Work Sans" w:eastAsia="Times New Roman" w:hAnsi="Work Sans" w:cs="Times New Roman"/>
                <w:iCs/>
                <w:sz w:val="24"/>
                <w:szCs w:val="20"/>
                <w:lang w:eastAsia="en-AU"/>
              </w:rPr>
              <w:t xml:space="preserve">are </w:t>
            </w:r>
            <w:r w:rsidRPr="00A80FDD">
              <w:rPr>
                <w:rFonts w:ascii="Work Sans" w:eastAsia="Times New Roman" w:hAnsi="Work Sans" w:cs="Times New Roman"/>
                <w:iCs/>
                <w:sz w:val="24"/>
                <w:szCs w:val="20"/>
                <w:lang w:eastAsia="en-AU"/>
              </w:rPr>
              <w:t>consistent with Com</w:t>
            </w:r>
            <w:r w:rsidRPr="00A80FDD">
              <w:rPr>
                <w:rFonts w:ascii="Work Sans" w:eastAsia="Times New Roman" w:hAnsi="Work Sans" w:cs="Times New Roman"/>
                <w:noProof/>
                <w:sz w:val="24"/>
                <w:szCs w:val="20"/>
                <w:lang w:eastAsia="en-AU"/>
              </w:rPr>
              <w:drawing>
                <wp:anchor distT="0" distB="0" distL="114300" distR="114300" simplePos="0" relativeHeight="251658285" behindDoc="1" locked="1" layoutInCell="1" allowOverlap="1" wp14:anchorId="428A2AA1" wp14:editId="498ACC3D">
                  <wp:simplePos x="0" y="0"/>
                  <wp:positionH relativeFrom="page">
                    <wp:posOffset>-919480</wp:posOffset>
                  </wp:positionH>
                  <wp:positionV relativeFrom="page">
                    <wp:posOffset>-798830</wp:posOffset>
                  </wp:positionV>
                  <wp:extent cx="7563485" cy="10691495"/>
                  <wp:effectExtent l="0" t="0" r="0" b="0"/>
                  <wp:wrapNone/>
                  <wp:docPr id="38" name="Picture 3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A80FDD">
              <w:rPr>
                <w:rFonts w:ascii="Work Sans" w:eastAsia="Times New Roman" w:hAnsi="Work Sans" w:cs="Times New Roman"/>
                <w:iCs/>
                <w:sz w:val="24"/>
                <w:szCs w:val="20"/>
                <w:lang w:eastAsia="en-AU"/>
              </w:rPr>
              <w:t>monwealth legislation</w:t>
            </w:r>
            <w:r w:rsidRPr="00A80FDD">
              <w:rPr>
                <w:rFonts w:ascii="Work Sans" w:eastAsia="Times New Roman" w:hAnsi="Work Sans" w:cs="Times New Roman"/>
                <w:iCs/>
                <w:sz w:val="24"/>
                <w:szCs w:val="20"/>
                <w:vertAlign w:val="superscript"/>
                <w:lang w:eastAsia="en-AU"/>
              </w:rPr>
              <w:footnoteReference w:id="7"/>
            </w:r>
            <w:r w:rsidRPr="00A80FDD">
              <w:rPr>
                <w:rFonts w:ascii="Work Sans" w:eastAsia="Times New Roman" w:hAnsi="Work Sans" w:cs="Times New Roman"/>
                <w:iCs/>
                <w:sz w:val="24"/>
                <w:szCs w:val="20"/>
                <w:lang w:eastAsia="en-AU"/>
              </w:rPr>
              <w:t xml:space="preserve"> and the terms of reference issued by the Commonwealth Treasurer. The Commission undertakes several steps to produce GST relativities.</w:t>
            </w:r>
          </w:p>
          <w:p w14:paraId="607CB1E1" w14:textId="77777777" w:rsidR="00A80FDD" w:rsidRPr="00A80FDD" w:rsidRDefault="00A80FDD" w:rsidP="00801A1B">
            <w:pPr>
              <w:tabs>
                <w:tab w:val="clear" w:pos="567"/>
              </w:tabs>
              <w:spacing w:before="160" w:after="160" w:line="276" w:lineRule="auto"/>
              <w:outlineLvl w:val="2"/>
              <w:rPr>
                <w:rFonts w:ascii="Work Sans" w:eastAsia="Times New Roman" w:hAnsi="Work Sans" w:cs="Open Sans"/>
                <w:b/>
                <w:bCs/>
                <w:color w:val="006991"/>
                <w:sz w:val="28"/>
                <w:szCs w:val="28"/>
              </w:rPr>
            </w:pPr>
            <w:r w:rsidRPr="00A80FDD">
              <w:rPr>
                <w:rFonts w:ascii="Work Sans" w:eastAsia="Times New Roman" w:hAnsi="Work Sans" w:cs="Open Sans"/>
                <w:b/>
                <w:bCs/>
                <w:color w:val="006991"/>
                <w:sz w:val="28"/>
                <w:szCs w:val="28"/>
              </w:rPr>
              <w:t>Assessed relativities</w:t>
            </w:r>
          </w:p>
          <w:p w14:paraId="2AC0EF4A" w14:textId="6C8EA1D4" w:rsidR="00A80FDD" w:rsidRPr="00A80FDD" w:rsidRDefault="00A80FDD" w:rsidP="0061763F">
            <w:pPr>
              <w:tabs>
                <w:tab w:val="clear" w:pos="567"/>
              </w:tabs>
              <w:spacing w:before="240" w:line="300" w:lineRule="atLeast"/>
              <w:rPr>
                <w:rFonts w:ascii="Work Sans" w:eastAsia="Times New Roman" w:hAnsi="Work Sans" w:cs="Times New Roman"/>
                <w:iCs/>
                <w:sz w:val="24"/>
                <w:szCs w:val="20"/>
                <w:lang w:eastAsia="en-AU"/>
              </w:rPr>
            </w:pPr>
            <w:r w:rsidRPr="00A80FDD">
              <w:rPr>
                <w:rFonts w:ascii="Work Sans" w:eastAsia="Times New Roman" w:hAnsi="Work Sans" w:cs="Times New Roman"/>
                <w:iCs/>
                <w:sz w:val="24"/>
                <w:szCs w:val="20"/>
                <w:lang w:eastAsia="en-AU"/>
              </w:rPr>
              <w:t>Assessed relativities are calculated by comparing each state’s relative ability to raise revenue with its relative cost of providing services.</w:t>
            </w:r>
          </w:p>
          <w:p w14:paraId="46A8A899" w14:textId="41E0EA70" w:rsidR="00A80FDD" w:rsidRPr="00A80FDD" w:rsidRDefault="00A80FDD" w:rsidP="0061763F">
            <w:pPr>
              <w:tabs>
                <w:tab w:val="clear" w:pos="567"/>
              </w:tabs>
              <w:spacing w:before="240" w:line="300" w:lineRule="atLeast"/>
              <w:rPr>
                <w:rFonts w:ascii="Work Sans" w:eastAsia="Times New Roman" w:hAnsi="Work Sans" w:cs="Times New Roman"/>
                <w:iCs/>
                <w:sz w:val="24"/>
                <w:szCs w:val="20"/>
                <w:lang w:eastAsia="en-AU"/>
              </w:rPr>
            </w:pPr>
            <w:r w:rsidRPr="00A80FDD">
              <w:rPr>
                <w:rFonts w:ascii="Work Sans" w:eastAsia="Times New Roman" w:hAnsi="Work Sans" w:cs="Times New Roman"/>
                <w:iCs/>
                <w:sz w:val="24"/>
                <w:szCs w:val="20"/>
                <w:lang w:eastAsia="en-AU"/>
              </w:rPr>
              <w:t>Drivers of differences in revenue capacity include mineral endowments, land values, property transactions, and taxable payrolls. States also receive different levels of Commonwealth payments.</w:t>
            </w:r>
          </w:p>
          <w:p w14:paraId="4F58D0B2" w14:textId="73B6AB92" w:rsidR="00A80FDD" w:rsidRPr="00A80FDD" w:rsidRDefault="00A80FDD" w:rsidP="0061763F">
            <w:pPr>
              <w:tabs>
                <w:tab w:val="clear" w:pos="567"/>
              </w:tabs>
              <w:spacing w:before="240" w:line="300" w:lineRule="atLeast"/>
              <w:rPr>
                <w:rFonts w:ascii="Work Sans" w:eastAsia="Times New Roman" w:hAnsi="Work Sans" w:cs="Times New Roman"/>
                <w:iCs/>
                <w:sz w:val="24"/>
                <w:szCs w:val="20"/>
                <w:lang w:eastAsia="en-AU"/>
              </w:rPr>
            </w:pPr>
            <w:r w:rsidRPr="00A80FDD">
              <w:rPr>
                <w:rFonts w:ascii="Work Sans" w:eastAsia="Times New Roman" w:hAnsi="Work Sans" w:cs="Times New Roman"/>
                <w:iCs/>
                <w:sz w:val="24"/>
                <w:szCs w:val="20"/>
                <w:lang w:eastAsia="en-AU"/>
              </w:rPr>
              <w:t>Service costs can vary by state for a range of reasons, including socio</w:t>
            </w:r>
            <w:r w:rsidRPr="00A80FDD">
              <w:rPr>
                <w:rFonts w:ascii="Work Sans" w:eastAsia="Times New Roman" w:hAnsi="Work Sans" w:cs="Times New Roman"/>
                <w:iCs/>
                <w:sz w:val="24"/>
                <w:szCs w:val="20"/>
                <w:lang w:eastAsia="en-AU"/>
              </w:rPr>
              <w:noBreakHyphen/>
              <w:t>demographic characteristics of the population, wage pressures, population dispersion or density, and rates of population growth.</w:t>
            </w:r>
          </w:p>
          <w:p w14:paraId="1D4B11B6" w14:textId="77777777" w:rsidR="00A80FDD" w:rsidRPr="00A80FDD" w:rsidRDefault="00A80FDD" w:rsidP="00801A1B">
            <w:pPr>
              <w:tabs>
                <w:tab w:val="clear" w:pos="567"/>
              </w:tabs>
              <w:spacing w:before="160" w:after="160" w:line="276" w:lineRule="auto"/>
              <w:outlineLvl w:val="2"/>
              <w:rPr>
                <w:rFonts w:ascii="Work Sans" w:eastAsia="Times New Roman" w:hAnsi="Work Sans" w:cs="Open Sans"/>
                <w:b/>
                <w:bCs/>
                <w:color w:val="006991"/>
                <w:sz w:val="28"/>
                <w:szCs w:val="28"/>
              </w:rPr>
            </w:pPr>
            <w:r w:rsidRPr="00A80FDD">
              <w:rPr>
                <w:rFonts w:ascii="Work Sans" w:eastAsia="Times New Roman" w:hAnsi="Work Sans" w:cs="Open Sans"/>
                <w:b/>
                <w:bCs/>
                <w:color w:val="006991"/>
                <w:sz w:val="28"/>
                <w:szCs w:val="28"/>
              </w:rPr>
              <w:t>Standard state relativities</w:t>
            </w:r>
          </w:p>
          <w:p w14:paraId="63F32CCF" w14:textId="77777777" w:rsidR="00A80FDD" w:rsidRPr="00A80FDD" w:rsidRDefault="00A80FDD" w:rsidP="0061763F">
            <w:pPr>
              <w:tabs>
                <w:tab w:val="clear" w:pos="567"/>
              </w:tabs>
              <w:spacing w:before="240" w:line="300" w:lineRule="atLeast"/>
              <w:rPr>
                <w:rFonts w:ascii="Work Sans" w:eastAsia="Times New Roman" w:hAnsi="Work Sans" w:cs="Times New Roman"/>
                <w:iCs/>
                <w:sz w:val="24"/>
                <w:szCs w:val="20"/>
                <w:lang w:eastAsia="en-AU"/>
              </w:rPr>
            </w:pPr>
            <w:r w:rsidRPr="00A80FDD">
              <w:rPr>
                <w:rFonts w:ascii="Work Sans" w:eastAsia="Times New Roman" w:hAnsi="Work Sans" w:cs="Times New Roman"/>
                <w:iCs/>
                <w:sz w:val="24"/>
                <w:szCs w:val="20"/>
                <w:lang w:eastAsia="en-AU"/>
              </w:rPr>
              <w:t xml:space="preserve">Standard state relativities are calculated in each assessment year by adjusting the assessed relativities so that no state has a relativity that is below the lower of New South Wales or Victoria (the standard state). </w:t>
            </w:r>
          </w:p>
          <w:p w14:paraId="030AFC29" w14:textId="77777777" w:rsidR="00A80FDD" w:rsidRPr="00A80FDD" w:rsidRDefault="00A80FDD" w:rsidP="00801A1B">
            <w:pPr>
              <w:keepNext/>
              <w:tabs>
                <w:tab w:val="clear" w:pos="567"/>
              </w:tabs>
              <w:spacing w:before="160" w:after="160" w:line="276" w:lineRule="auto"/>
              <w:outlineLvl w:val="2"/>
              <w:rPr>
                <w:rFonts w:ascii="Work Sans" w:eastAsia="Times New Roman" w:hAnsi="Work Sans" w:cs="Open Sans"/>
                <w:b/>
                <w:bCs/>
                <w:color w:val="006991"/>
                <w:sz w:val="28"/>
                <w:szCs w:val="28"/>
              </w:rPr>
            </w:pPr>
            <w:r w:rsidRPr="00A80FDD">
              <w:rPr>
                <w:rFonts w:ascii="Work Sans" w:eastAsia="Times New Roman" w:hAnsi="Work Sans" w:cs="Open Sans"/>
                <w:b/>
                <w:bCs/>
                <w:color w:val="006991"/>
                <w:sz w:val="28"/>
                <w:szCs w:val="28"/>
              </w:rPr>
              <w:t xml:space="preserve">Blended relativities </w:t>
            </w:r>
          </w:p>
          <w:p w14:paraId="57786724" w14:textId="28BC8CF8" w:rsidR="00A80FDD" w:rsidRPr="00A80FDD" w:rsidRDefault="0034335B" w:rsidP="0061763F">
            <w:pPr>
              <w:tabs>
                <w:tab w:val="clear" w:pos="567"/>
              </w:tabs>
              <w:spacing w:before="240" w:line="300" w:lineRule="atLeast"/>
              <w:rPr>
                <w:rFonts w:ascii="Work Sans" w:eastAsia="Times New Roman" w:hAnsi="Work Sans" w:cs="Times New Roman"/>
                <w:iCs/>
                <w:sz w:val="24"/>
                <w:szCs w:val="20"/>
                <w:lang w:eastAsia="en-AU"/>
              </w:rPr>
            </w:pPr>
            <w:r>
              <w:rPr>
                <w:rFonts w:ascii="Work Sans" w:eastAsia="Times New Roman" w:hAnsi="Work Sans" w:cs="Times New Roman"/>
                <w:iCs/>
                <w:sz w:val="24"/>
                <w:szCs w:val="20"/>
                <w:lang w:eastAsia="en-AU"/>
              </w:rPr>
              <w:t xml:space="preserve">Over the transition </w:t>
            </w:r>
            <w:r w:rsidR="00587465">
              <w:rPr>
                <w:rFonts w:ascii="Work Sans" w:eastAsia="Times New Roman" w:hAnsi="Work Sans" w:cs="Times New Roman"/>
                <w:iCs/>
                <w:sz w:val="24"/>
                <w:szCs w:val="20"/>
                <w:lang w:eastAsia="en-AU"/>
              </w:rPr>
              <w:t xml:space="preserve">period </w:t>
            </w:r>
            <w:r w:rsidR="008355C8">
              <w:rPr>
                <w:rFonts w:ascii="Work Sans" w:eastAsia="Times New Roman" w:hAnsi="Work Sans" w:cs="Times New Roman"/>
                <w:iCs/>
                <w:sz w:val="24"/>
                <w:szCs w:val="20"/>
                <w:lang w:eastAsia="en-AU"/>
              </w:rPr>
              <w:t xml:space="preserve">defined in </w:t>
            </w:r>
            <w:r w:rsidR="005158B5" w:rsidRPr="00A80FDD">
              <w:rPr>
                <w:rFonts w:ascii="Work Sans" w:eastAsia="Times New Roman" w:hAnsi="Work Sans" w:cs="Times New Roman"/>
                <w:iCs/>
                <w:sz w:val="24"/>
                <w:szCs w:val="20"/>
                <w:lang w:eastAsia="en-AU"/>
              </w:rPr>
              <w:t>the 2018</w:t>
            </w:r>
            <w:r w:rsidR="005158B5">
              <w:rPr>
                <w:rFonts w:ascii="Work Sans" w:eastAsia="Times New Roman" w:hAnsi="Work Sans" w:cs="Times New Roman"/>
                <w:iCs/>
                <w:sz w:val="24"/>
                <w:szCs w:val="20"/>
                <w:lang w:eastAsia="en-AU"/>
              </w:rPr>
              <w:t> </w:t>
            </w:r>
            <w:r w:rsidR="005158B5" w:rsidRPr="00A80FDD">
              <w:rPr>
                <w:rFonts w:ascii="Work Sans" w:eastAsia="Times New Roman" w:hAnsi="Work Sans" w:cs="Times New Roman"/>
                <w:iCs/>
                <w:sz w:val="24"/>
                <w:szCs w:val="20"/>
                <w:lang w:eastAsia="en-AU"/>
              </w:rPr>
              <w:t xml:space="preserve">legislated GST distribution </w:t>
            </w:r>
            <w:r w:rsidR="00A97E0E" w:rsidRPr="00A80FDD">
              <w:rPr>
                <w:rFonts w:ascii="Work Sans" w:eastAsia="Times New Roman" w:hAnsi="Work Sans" w:cs="Times New Roman"/>
                <w:iCs/>
                <w:sz w:val="24"/>
                <w:szCs w:val="20"/>
                <w:lang w:eastAsia="en-AU"/>
              </w:rPr>
              <w:t>arrangements</w:t>
            </w:r>
            <w:r w:rsidR="00A97E0E">
              <w:rPr>
                <w:rFonts w:ascii="Work Sans" w:eastAsia="Times New Roman" w:hAnsi="Work Sans" w:cs="Times New Roman"/>
                <w:iCs/>
                <w:sz w:val="24"/>
                <w:szCs w:val="20"/>
                <w:lang w:eastAsia="en-AU"/>
              </w:rPr>
              <w:t xml:space="preserve">, </w:t>
            </w:r>
            <w:r w:rsidR="00A97E0E" w:rsidRPr="00A80FDD">
              <w:rPr>
                <w:rFonts w:ascii="Work Sans" w:eastAsia="Times New Roman" w:hAnsi="Work Sans" w:cs="Times New Roman"/>
                <w:iCs/>
                <w:sz w:val="24"/>
                <w:szCs w:val="20"/>
                <w:lang w:eastAsia="en-AU"/>
              </w:rPr>
              <w:t>assessed</w:t>
            </w:r>
            <w:r w:rsidR="00A80FDD" w:rsidRPr="00A80FDD">
              <w:rPr>
                <w:rFonts w:ascii="Work Sans" w:eastAsia="Times New Roman" w:hAnsi="Work Sans" w:cs="Times New Roman"/>
                <w:iCs/>
                <w:sz w:val="24"/>
                <w:szCs w:val="20"/>
                <w:lang w:eastAsia="en-AU"/>
              </w:rPr>
              <w:t xml:space="preserve"> relativities </w:t>
            </w:r>
            <w:r w:rsidR="00382F17">
              <w:rPr>
                <w:rFonts w:ascii="Work Sans" w:eastAsia="Times New Roman" w:hAnsi="Work Sans" w:cs="Times New Roman"/>
                <w:iCs/>
                <w:sz w:val="24"/>
                <w:szCs w:val="20"/>
                <w:lang w:eastAsia="en-AU"/>
              </w:rPr>
              <w:t xml:space="preserve">are blended </w:t>
            </w:r>
            <w:r w:rsidR="00A80FDD" w:rsidRPr="00A80FDD">
              <w:rPr>
                <w:rFonts w:ascii="Work Sans" w:eastAsia="Times New Roman" w:hAnsi="Work Sans" w:cs="Times New Roman"/>
                <w:iCs/>
                <w:sz w:val="24"/>
                <w:szCs w:val="20"/>
                <w:lang w:eastAsia="en-AU"/>
              </w:rPr>
              <w:t xml:space="preserve">with standard state relativities. The weighting that each </w:t>
            </w:r>
            <w:r w:rsidR="00A97E0E" w:rsidRPr="00A80FDD">
              <w:rPr>
                <w:rFonts w:ascii="Work Sans" w:eastAsia="Times New Roman" w:hAnsi="Work Sans" w:cs="Times New Roman"/>
                <w:iCs/>
                <w:sz w:val="24"/>
                <w:szCs w:val="20"/>
                <w:lang w:eastAsia="en-AU"/>
              </w:rPr>
              <w:t>receives is</w:t>
            </w:r>
            <w:r w:rsidR="00A80FDD" w:rsidRPr="00A80FDD">
              <w:rPr>
                <w:rFonts w:ascii="Work Sans" w:eastAsia="Times New Roman" w:hAnsi="Work Sans" w:cs="Times New Roman"/>
                <w:iCs/>
                <w:sz w:val="24"/>
                <w:szCs w:val="20"/>
                <w:lang w:eastAsia="en-AU"/>
              </w:rPr>
              <w:t xml:space="preserve"> specified in </w:t>
            </w:r>
            <w:r w:rsidR="00614B9C">
              <w:rPr>
                <w:rFonts w:ascii="Work Sans" w:eastAsia="Times New Roman" w:hAnsi="Work Sans" w:cs="Times New Roman"/>
                <w:iCs/>
                <w:sz w:val="24"/>
                <w:szCs w:val="20"/>
                <w:lang w:eastAsia="en-AU"/>
              </w:rPr>
              <w:t xml:space="preserve">the </w:t>
            </w:r>
            <w:r w:rsidR="00A80FDD" w:rsidRPr="00A80FDD">
              <w:rPr>
                <w:rFonts w:ascii="Work Sans" w:eastAsia="Times New Roman" w:hAnsi="Work Sans" w:cs="Times New Roman"/>
                <w:iCs/>
                <w:sz w:val="24"/>
                <w:szCs w:val="20"/>
                <w:lang w:eastAsia="en-AU"/>
              </w:rPr>
              <w:t xml:space="preserve">legislation. In the 2022 Update, assessed relativities have a weighting of </w:t>
            </w:r>
            <w:r w:rsidR="00A80FDD" w:rsidRPr="00A92E9A">
              <w:rPr>
                <w:rFonts w:ascii="Work Sans" w:eastAsia="Times New Roman" w:hAnsi="Work Sans" w:cs="Times New Roman"/>
                <w:sz w:val="24"/>
                <w:szCs w:val="20"/>
                <w:lang w:eastAsia="en-AU"/>
              </w:rPr>
              <w:t>two</w:t>
            </w:r>
            <w:r w:rsidR="00A80FDD" w:rsidRPr="00A92E9A">
              <w:rPr>
                <w:rFonts w:ascii="Work Sans" w:eastAsia="Times New Roman" w:hAnsi="Work Sans" w:cs="Times New Roman"/>
                <w:sz w:val="24"/>
                <w:szCs w:val="20"/>
                <w:lang w:eastAsia="en-AU"/>
              </w:rPr>
              <w:noBreakHyphen/>
              <w:t>thirds</w:t>
            </w:r>
            <w:r w:rsidR="00A80FDD" w:rsidRPr="00A80FDD">
              <w:rPr>
                <w:rFonts w:ascii="Work Sans" w:eastAsia="Times New Roman" w:hAnsi="Work Sans" w:cs="Times New Roman"/>
                <w:iCs/>
                <w:sz w:val="24"/>
                <w:szCs w:val="20"/>
                <w:lang w:eastAsia="en-AU"/>
              </w:rPr>
              <w:t xml:space="preserve"> and standard state relativities </w:t>
            </w:r>
            <w:r w:rsidR="00A80FDD" w:rsidRPr="00A92E9A">
              <w:rPr>
                <w:rFonts w:ascii="Work Sans" w:eastAsia="Times New Roman" w:hAnsi="Work Sans" w:cs="Times New Roman"/>
                <w:sz w:val="24"/>
                <w:szCs w:val="20"/>
                <w:lang w:eastAsia="en-AU"/>
              </w:rPr>
              <w:t>one</w:t>
            </w:r>
            <w:r w:rsidR="00A80FDD" w:rsidRPr="00A92E9A">
              <w:rPr>
                <w:rFonts w:ascii="Work Sans" w:eastAsia="Times New Roman" w:hAnsi="Work Sans" w:cs="Times New Roman"/>
                <w:sz w:val="24"/>
                <w:szCs w:val="20"/>
                <w:lang w:eastAsia="en-AU"/>
              </w:rPr>
              <w:noBreakHyphen/>
              <w:t>third</w:t>
            </w:r>
            <w:r w:rsidR="00A80FDD" w:rsidRPr="00A80FDD">
              <w:rPr>
                <w:rFonts w:ascii="Work Sans" w:eastAsia="Times New Roman" w:hAnsi="Work Sans" w:cs="Times New Roman"/>
                <w:iCs/>
                <w:sz w:val="24"/>
                <w:szCs w:val="20"/>
                <w:lang w:eastAsia="en-AU"/>
              </w:rPr>
              <w:t>.</w:t>
            </w:r>
          </w:p>
          <w:p w14:paraId="4119BD67" w14:textId="77777777" w:rsidR="00A80FDD" w:rsidRPr="00A80FDD" w:rsidRDefault="00A80FDD" w:rsidP="00801A1B">
            <w:pPr>
              <w:keepNext/>
              <w:tabs>
                <w:tab w:val="clear" w:pos="567"/>
              </w:tabs>
              <w:spacing w:before="160" w:after="160" w:line="276" w:lineRule="auto"/>
              <w:outlineLvl w:val="2"/>
              <w:rPr>
                <w:rFonts w:ascii="Work Sans" w:eastAsiaTheme="majorEastAsia" w:hAnsi="Work Sans" w:cs="Open Sans"/>
                <w:b/>
                <w:bCs/>
                <w:color w:val="006991"/>
                <w:sz w:val="28"/>
                <w:szCs w:val="28"/>
              </w:rPr>
            </w:pPr>
            <w:r w:rsidRPr="00A80FDD">
              <w:rPr>
                <w:rFonts w:ascii="Work Sans" w:eastAsiaTheme="majorEastAsia" w:hAnsi="Work Sans" w:cs="Open Sans"/>
                <w:b/>
                <w:bCs/>
                <w:color w:val="006991"/>
                <w:sz w:val="28"/>
                <w:szCs w:val="28"/>
              </w:rPr>
              <w:t>GST relativity floor</w:t>
            </w:r>
          </w:p>
          <w:p w14:paraId="1383E36D" w14:textId="4B1AF7D1" w:rsidR="00A80FDD" w:rsidRPr="00A80FDD" w:rsidRDefault="00A80FDD" w:rsidP="0061763F">
            <w:pPr>
              <w:tabs>
                <w:tab w:val="clear" w:pos="567"/>
              </w:tabs>
              <w:spacing w:before="240" w:line="300" w:lineRule="atLeast"/>
              <w:rPr>
                <w:rFonts w:ascii="Work Sans" w:eastAsia="Times New Roman" w:hAnsi="Work Sans" w:cs="Times New Roman"/>
                <w:iCs/>
                <w:sz w:val="24"/>
                <w:szCs w:val="20"/>
                <w:lang w:eastAsia="en-AU"/>
              </w:rPr>
            </w:pPr>
            <w:bookmarkStart w:id="24" w:name="_Hlk96439474"/>
            <w:r w:rsidRPr="00A80FDD">
              <w:rPr>
                <w:rFonts w:ascii="Work Sans" w:eastAsia="Times New Roman" w:hAnsi="Work Sans" w:cs="Times New Roman"/>
                <w:iCs/>
                <w:sz w:val="24"/>
                <w:szCs w:val="20"/>
                <w:lang w:eastAsia="en-AU"/>
              </w:rPr>
              <w:t xml:space="preserve">The GST floor sets a relativity below which a state’s </w:t>
            </w:r>
            <w:r w:rsidR="00A92E9A">
              <w:rPr>
                <w:rFonts w:ascii="Work Sans" w:eastAsia="Times New Roman" w:hAnsi="Work Sans" w:cs="Times New Roman"/>
                <w:iCs/>
                <w:sz w:val="24"/>
                <w:szCs w:val="20"/>
                <w:lang w:eastAsia="en-AU"/>
              </w:rPr>
              <w:t xml:space="preserve">per capita </w:t>
            </w:r>
            <w:r w:rsidRPr="00A92E9A">
              <w:rPr>
                <w:rFonts w:ascii="Work Sans" w:eastAsia="Times New Roman" w:hAnsi="Work Sans" w:cs="Times New Roman"/>
                <w:sz w:val="24"/>
                <w:szCs w:val="20"/>
                <w:lang w:eastAsia="en-AU"/>
              </w:rPr>
              <w:t>share of the GST pool</w:t>
            </w:r>
            <w:r w:rsidRPr="00A80FDD">
              <w:rPr>
                <w:rFonts w:ascii="Work Sans" w:eastAsia="Times New Roman" w:hAnsi="Work Sans" w:cs="Times New Roman"/>
                <w:iCs/>
                <w:sz w:val="24"/>
                <w:szCs w:val="20"/>
                <w:lang w:eastAsia="en-AU"/>
              </w:rPr>
              <w:t xml:space="preserve"> cannot fall. In 2022</w:t>
            </w:r>
            <w:r w:rsidR="00782087">
              <w:rPr>
                <w:rFonts w:ascii="Work Sans" w:eastAsia="Times New Roman" w:hAnsi="Work Sans" w:cs="Times New Roman"/>
                <w:iCs/>
                <w:sz w:val="24"/>
                <w:szCs w:val="20"/>
                <w:lang w:eastAsia="en-AU"/>
              </w:rPr>
              <w:t>–</w:t>
            </w:r>
            <w:r w:rsidRPr="00A80FDD">
              <w:rPr>
                <w:rFonts w:ascii="Work Sans" w:eastAsia="Times New Roman" w:hAnsi="Work Sans" w:cs="Times New Roman"/>
                <w:iCs/>
                <w:sz w:val="24"/>
                <w:szCs w:val="20"/>
                <w:lang w:eastAsia="en-AU"/>
              </w:rPr>
              <w:t>23, the floor is 0.70</w:t>
            </w:r>
            <w:r w:rsidR="0060412D" w:rsidRPr="00A80FDD">
              <w:rPr>
                <w:rFonts w:ascii="Work Sans" w:eastAsia="Times New Roman" w:hAnsi="Work Sans" w:cs="Times New Roman"/>
                <w:iCs/>
                <w:sz w:val="24"/>
                <w:szCs w:val="20"/>
                <w:lang w:eastAsia="en-AU"/>
              </w:rPr>
              <w:t>.</w:t>
            </w:r>
            <w:r w:rsidR="007359C9">
              <w:rPr>
                <w:rFonts w:ascii="Work Sans" w:eastAsia="Times New Roman" w:hAnsi="Work Sans" w:cs="Times New Roman"/>
                <w:iCs/>
                <w:sz w:val="24"/>
                <w:szCs w:val="20"/>
                <w:lang w:eastAsia="en-AU"/>
              </w:rPr>
              <w:t xml:space="preserve"> </w:t>
            </w:r>
            <w:r w:rsidR="007359C9" w:rsidRPr="00427713">
              <w:rPr>
                <w:rFonts w:ascii="Work Sans" w:eastAsia="Times New Roman" w:hAnsi="Work Sans" w:cs="Times New Roman"/>
                <w:iCs/>
                <w:sz w:val="24"/>
                <w:szCs w:val="20"/>
                <w:lang w:eastAsia="en-AU"/>
              </w:rPr>
              <w:t xml:space="preserve">If </w:t>
            </w:r>
            <w:r w:rsidR="00495421">
              <w:rPr>
                <w:rFonts w:ascii="Work Sans" w:eastAsia="Times New Roman" w:hAnsi="Work Sans" w:cs="Times New Roman"/>
                <w:iCs/>
                <w:sz w:val="24"/>
                <w:szCs w:val="20"/>
                <w:lang w:eastAsia="en-AU"/>
              </w:rPr>
              <w:t>a state’s</w:t>
            </w:r>
            <w:r w:rsidR="007359C9" w:rsidRPr="00427713">
              <w:rPr>
                <w:rFonts w:ascii="Work Sans" w:eastAsia="Times New Roman" w:hAnsi="Work Sans" w:cs="Times New Roman"/>
                <w:iCs/>
                <w:sz w:val="24"/>
                <w:szCs w:val="20"/>
                <w:lang w:eastAsia="en-AU"/>
              </w:rPr>
              <w:t xml:space="preserve"> blended </w:t>
            </w:r>
            <w:r w:rsidR="001E2478" w:rsidRPr="00427713">
              <w:rPr>
                <w:rFonts w:ascii="Work Sans" w:eastAsia="Times New Roman" w:hAnsi="Work Sans" w:cs="Times New Roman"/>
                <w:iCs/>
                <w:sz w:val="24"/>
                <w:szCs w:val="20"/>
                <w:lang w:eastAsia="en-AU"/>
              </w:rPr>
              <w:t>relativity</w:t>
            </w:r>
            <w:r w:rsidR="007359C9" w:rsidRPr="00427713">
              <w:rPr>
                <w:rFonts w:ascii="Work Sans" w:eastAsia="Times New Roman" w:hAnsi="Work Sans" w:cs="Times New Roman"/>
                <w:iCs/>
                <w:sz w:val="24"/>
                <w:szCs w:val="20"/>
                <w:lang w:eastAsia="en-AU"/>
              </w:rPr>
              <w:t xml:space="preserve"> </w:t>
            </w:r>
            <w:r w:rsidR="00495421">
              <w:rPr>
                <w:rFonts w:ascii="Work Sans" w:eastAsia="Times New Roman" w:hAnsi="Work Sans" w:cs="Times New Roman"/>
                <w:iCs/>
                <w:sz w:val="24"/>
                <w:szCs w:val="20"/>
                <w:lang w:eastAsia="en-AU"/>
              </w:rPr>
              <w:t xml:space="preserve">is </w:t>
            </w:r>
            <w:r w:rsidR="007359C9" w:rsidRPr="00427713">
              <w:rPr>
                <w:rFonts w:ascii="Work Sans" w:eastAsia="Times New Roman" w:hAnsi="Work Sans" w:cs="Times New Roman"/>
                <w:iCs/>
                <w:sz w:val="24"/>
                <w:szCs w:val="20"/>
                <w:lang w:eastAsia="en-AU"/>
              </w:rPr>
              <w:t xml:space="preserve">below the floor, </w:t>
            </w:r>
            <w:r w:rsidR="00495421">
              <w:rPr>
                <w:rFonts w:ascii="Work Sans" w:eastAsia="Times New Roman" w:hAnsi="Work Sans" w:cs="Times New Roman"/>
                <w:iCs/>
                <w:sz w:val="24"/>
                <w:szCs w:val="20"/>
                <w:lang w:eastAsia="en-AU"/>
              </w:rPr>
              <w:t>it</w:t>
            </w:r>
            <w:r w:rsidR="009F3401">
              <w:rPr>
                <w:rFonts w:ascii="Work Sans" w:eastAsia="Times New Roman" w:hAnsi="Work Sans" w:cs="Times New Roman"/>
                <w:iCs/>
                <w:sz w:val="24"/>
                <w:szCs w:val="20"/>
                <w:lang w:eastAsia="en-AU"/>
              </w:rPr>
              <w:t>s GST relativity</w:t>
            </w:r>
            <w:r w:rsidR="001E2478" w:rsidRPr="00427713">
              <w:rPr>
                <w:rFonts w:ascii="Work Sans" w:eastAsia="Times New Roman" w:hAnsi="Work Sans" w:cs="Times New Roman"/>
                <w:iCs/>
                <w:sz w:val="24"/>
                <w:szCs w:val="20"/>
                <w:lang w:eastAsia="en-AU"/>
              </w:rPr>
              <w:t xml:space="preserve"> is </w:t>
            </w:r>
            <w:r w:rsidR="007359C9" w:rsidRPr="00427713">
              <w:rPr>
                <w:rFonts w:ascii="Work Sans" w:eastAsia="Times New Roman" w:hAnsi="Work Sans" w:cs="Times New Roman"/>
                <w:iCs/>
                <w:sz w:val="24"/>
                <w:szCs w:val="20"/>
                <w:lang w:eastAsia="en-AU"/>
              </w:rPr>
              <w:t xml:space="preserve">adjusted </w:t>
            </w:r>
            <w:r w:rsidR="001E2478" w:rsidRPr="00427713">
              <w:rPr>
                <w:rFonts w:ascii="Work Sans" w:eastAsia="Times New Roman" w:hAnsi="Work Sans" w:cs="Times New Roman"/>
                <w:iCs/>
                <w:sz w:val="24"/>
                <w:szCs w:val="20"/>
                <w:lang w:eastAsia="en-AU"/>
              </w:rPr>
              <w:t xml:space="preserve">up </w:t>
            </w:r>
            <w:r w:rsidR="007359C9" w:rsidRPr="00427713">
              <w:rPr>
                <w:rFonts w:ascii="Work Sans" w:eastAsia="Times New Roman" w:hAnsi="Work Sans" w:cs="Times New Roman"/>
                <w:iCs/>
                <w:sz w:val="24"/>
                <w:szCs w:val="20"/>
                <w:lang w:eastAsia="en-AU"/>
              </w:rPr>
              <w:t xml:space="preserve">to the floor. </w:t>
            </w:r>
            <w:r w:rsidR="00AF47F9" w:rsidRPr="00427713">
              <w:rPr>
                <w:rFonts w:ascii="Work Sans" w:eastAsia="Times New Roman" w:hAnsi="Work Sans" w:cs="Times New Roman"/>
                <w:iCs/>
                <w:sz w:val="24"/>
                <w:szCs w:val="20"/>
                <w:lang w:eastAsia="en-AU"/>
              </w:rPr>
              <w:t>T</w:t>
            </w:r>
            <w:r w:rsidR="001E2478" w:rsidRPr="00427713">
              <w:rPr>
                <w:rFonts w:ascii="Work Sans" w:eastAsia="Times New Roman" w:hAnsi="Work Sans" w:cs="Times New Roman"/>
                <w:iCs/>
                <w:sz w:val="24"/>
                <w:szCs w:val="20"/>
                <w:lang w:eastAsia="en-AU"/>
              </w:rPr>
              <w:t>o accommodate this, t</w:t>
            </w:r>
            <w:r w:rsidR="00AF47F9" w:rsidRPr="00427713">
              <w:rPr>
                <w:rFonts w:ascii="Work Sans" w:eastAsia="Times New Roman" w:hAnsi="Work Sans" w:cs="Times New Roman"/>
                <w:iCs/>
                <w:sz w:val="24"/>
                <w:szCs w:val="20"/>
                <w:lang w:eastAsia="en-AU"/>
              </w:rPr>
              <w:t>he relativities of o</w:t>
            </w:r>
            <w:r w:rsidR="007359C9" w:rsidRPr="00427713">
              <w:rPr>
                <w:rFonts w:ascii="Work Sans" w:eastAsia="Times New Roman" w:hAnsi="Work Sans" w:cs="Times New Roman"/>
                <w:iCs/>
                <w:sz w:val="24"/>
                <w:szCs w:val="20"/>
                <w:lang w:eastAsia="en-AU"/>
              </w:rPr>
              <w:t>ther states are adjusted down on a population</w:t>
            </w:r>
            <w:r w:rsidR="009F3401">
              <w:rPr>
                <w:rFonts w:ascii="Work Sans" w:eastAsia="Times New Roman" w:hAnsi="Work Sans" w:cs="Times New Roman"/>
                <w:iCs/>
                <w:sz w:val="24"/>
                <w:szCs w:val="20"/>
                <w:lang w:eastAsia="en-AU"/>
              </w:rPr>
              <w:t>-share</w:t>
            </w:r>
            <w:r w:rsidR="007359C9" w:rsidRPr="00427713">
              <w:rPr>
                <w:rFonts w:ascii="Work Sans" w:eastAsia="Times New Roman" w:hAnsi="Work Sans" w:cs="Times New Roman"/>
                <w:iCs/>
                <w:sz w:val="24"/>
                <w:szCs w:val="20"/>
                <w:lang w:eastAsia="en-AU"/>
              </w:rPr>
              <w:t xml:space="preserve"> basis</w:t>
            </w:r>
            <w:r w:rsidRPr="00427713">
              <w:rPr>
                <w:rFonts w:ascii="Work Sans" w:eastAsia="Times New Roman" w:hAnsi="Work Sans" w:cs="Times New Roman"/>
                <w:sz w:val="24"/>
                <w:szCs w:val="20"/>
                <w:lang w:eastAsia="en-AU"/>
              </w:rPr>
              <w:t>.</w:t>
            </w:r>
          </w:p>
          <w:bookmarkEnd w:id="24"/>
          <w:p w14:paraId="45B87941" w14:textId="77777777" w:rsidR="00A80FDD" w:rsidRPr="00A80FDD" w:rsidRDefault="00A80FDD" w:rsidP="00801A1B">
            <w:pPr>
              <w:tabs>
                <w:tab w:val="clear" w:pos="567"/>
              </w:tabs>
              <w:spacing w:before="160" w:after="160" w:line="276" w:lineRule="auto"/>
              <w:outlineLvl w:val="2"/>
              <w:rPr>
                <w:rFonts w:ascii="Work Sans" w:eastAsia="Times New Roman" w:hAnsi="Work Sans" w:cs="Times New Roman"/>
                <w:b/>
                <w:bCs/>
                <w:color w:val="006991"/>
                <w:sz w:val="24"/>
                <w:szCs w:val="20"/>
                <w:lang w:eastAsia="en-AU"/>
              </w:rPr>
            </w:pPr>
            <w:r w:rsidRPr="00A80FDD">
              <w:rPr>
                <w:rFonts w:ascii="Work Sans" w:eastAsiaTheme="majorEastAsia" w:hAnsi="Work Sans" w:cs="Open Sans"/>
                <w:b/>
                <w:bCs/>
                <w:color w:val="006991"/>
                <w:sz w:val="28"/>
                <w:szCs w:val="28"/>
              </w:rPr>
              <w:t>GST relativities</w:t>
            </w:r>
          </w:p>
          <w:p w14:paraId="51109658" w14:textId="77777777" w:rsidR="00A80FDD" w:rsidRPr="00A80FDD" w:rsidRDefault="00A80FDD" w:rsidP="00801A1B">
            <w:pPr>
              <w:tabs>
                <w:tab w:val="clear" w:pos="567"/>
              </w:tabs>
              <w:spacing w:before="240" w:after="240" w:line="300" w:lineRule="atLeast"/>
              <w:rPr>
                <w:rFonts w:ascii="Work Sans" w:eastAsia="Times New Roman" w:hAnsi="Work Sans" w:cs="Times New Roman"/>
                <w:sz w:val="24"/>
                <w:szCs w:val="20"/>
                <w:lang w:eastAsia="en-AU"/>
              </w:rPr>
            </w:pPr>
            <w:r w:rsidRPr="00A80FDD">
              <w:rPr>
                <w:rFonts w:ascii="Work Sans" w:eastAsia="Times New Roman" w:hAnsi="Work Sans" w:cs="Times New Roman"/>
                <w:iCs/>
                <w:sz w:val="24"/>
                <w:szCs w:val="20"/>
                <w:lang w:eastAsia="en-AU"/>
              </w:rPr>
              <w:t xml:space="preserve">The final numbers are called GST relativities and are used to calculate the share of revenue </w:t>
            </w:r>
            <w:r w:rsidRPr="00A80FDD">
              <w:rPr>
                <w:rFonts w:ascii="Work Sans" w:eastAsia="Times New Roman" w:hAnsi="Work Sans" w:cs="Times New Roman"/>
                <w:sz w:val="24"/>
                <w:szCs w:val="20"/>
                <w:lang w:eastAsia="en-AU"/>
              </w:rPr>
              <w:t xml:space="preserve">that </w:t>
            </w:r>
            <w:r w:rsidRPr="00A80FDD">
              <w:rPr>
                <w:rFonts w:ascii="Work Sans" w:eastAsia="Times New Roman" w:hAnsi="Work Sans" w:cs="Times New Roman"/>
                <w:iCs/>
                <w:sz w:val="24"/>
                <w:szCs w:val="20"/>
                <w:lang w:eastAsia="en-AU"/>
              </w:rPr>
              <w:t>each state receives</w:t>
            </w:r>
            <w:r w:rsidRPr="00A80FDD">
              <w:rPr>
                <w:rFonts w:ascii="Work Sans" w:eastAsia="Times New Roman" w:hAnsi="Work Sans" w:cs="Times New Roman"/>
                <w:sz w:val="24"/>
                <w:szCs w:val="20"/>
                <w:lang w:eastAsia="en-AU"/>
              </w:rPr>
              <w:t xml:space="preserve"> from the GST pool</w:t>
            </w:r>
            <w:r w:rsidRPr="00A80FDD">
              <w:rPr>
                <w:rFonts w:ascii="Work Sans" w:eastAsia="Times New Roman" w:hAnsi="Work Sans" w:cs="Times New Roman"/>
                <w:iCs/>
                <w:sz w:val="24"/>
                <w:szCs w:val="20"/>
                <w:lang w:eastAsia="en-AU"/>
              </w:rPr>
              <w:t>.</w:t>
            </w:r>
          </w:p>
        </w:tc>
      </w:tr>
    </w:tbl>
    <w:p w14:paraId="1E5F1186" w14:textId="77777777" w:rsidR="00A80FDD" w:rsidRPr="00A80FDD" w:rsidRDefault="00A80FDD" w:rsidP="0094723D">
      <w:pPr>
        <w:pStyle w:val="Heading2"/>
        <w:rPr>
          <w:rFonts w:eastAsiaTheme="majorEastAsia"/>
          <w:b w:val="0"/>
        </w:rPr>
      </w:pPr>
      <w:r w:rsidRPr="00A80FDD">
        <w:rPr>
          <w:rFonts w:eastAsiaTheme="majorEastAsia"/>
        </w:rPr>
        <w:t>Movements in the GST distribution</w:t>
      </w:r>
    </w:p>
    <w:p w14:paraId="402FF4A2" w14:textId="4BD255DD" w:rsidR="00A80FDD" w:rsidRPr="00A80FDD" w:rsidRDefault="00E570A0" w:rsidP="0004064D">
      <w:pPr>
        <w:pStyle w:val="CGCBodyCopy"/>
      </w:pPr>
      <w:r>
        <w:fldChar w:fldCharType="begin"/>
      </w:r>
      <w:r>
        <w:instrText xml:space="preserve"> REF _Ref97717334 \h </w:instrText>
      </w:r>
      <w:r>
        <w:fldChar w:fldCharType="separate"/>
      </w:r>
      <w:r w:rsidR="00FE4664" w:rsidRPr="00A80FDD">
        <w:t xml:space="preserve">Table </w:t>
      </w:r>
      <w:r w:rsidR="00FE4664">
        <w:t>1</w:t>
      </w:r>
      <w:r w:rsidR="00FE4664" w:rsidRPr="00A80FDD">
        <w:noBreakHyphen/>
      </w:r>
      <w:r w:rsidR="00FE4664">
        <w:rPr>
          <w:noProof/>
        </w:rPr>
        <w:t>4</w:t>
      </w:r>
      <w:r>
        <w:fldChar w:fldCharType="end"/>
      </w:r>
      <w:r>
        <w:t xml:space="preserve"> </w:t>
      </w:r>
      <w:r w:rsidR="00A80FDD" w:rsidRPr="00A80FDD">
        <w:t>sets out the estimated change in distribution of the GST pool for each state from 2021</w:t>
      </w:r>
      <w:r w:rsidR="00782087">
        <w:t>–</w:t>
      </w:r>
      <w:r w:rsidR="00A80FDD" w:rsidRPr="00A80FDD">
        <w:t>22 to 2022</w:t>
      </w:r>
      <w:r w:rsidR="00782087">
        <w:t>–</w:t>
      </w:r>
      <w:r w:rsidR="00A80FDD" w:rsidRPr="00A80FDD">
        <w:t>23. It identifies how changes in population shares, the GST pool and GST relativities contribute to the estimated change in GST distribution.</w:t>
      </w:r>
    </w:p>
    <w:p w14:paraId="0AC8B21D" w14:textId="65979D50" w:rsidR="00A80FDD" w:rsidRPr="00A80FDD" w:rsidRDefault="00A80FDD" w:rsidP="008F1CC6">
      <w:pPr>
        <w:pStyle w:val="Caption"/>
      </w:pPr>
      <w:bookmarkStart w:id="25" w:name="_Ref95913501"/>
      <w:bookmarkStart w:id="26" w:name="_Ref97717334"/>
      <w:r w:rsidRPr="00A80FDD">
        <w:t xml:space="preserve">Table </w:t>
      </w:r>
      <w:r w:rsidR="00665924">
        <w:t>1</w:t>
      </w:r>
      <w:r w:rsidRPr="00A80FDD">
        <w:noBreakHyphen/>
      </w:r>
      <w:bookmarkEnd w:id="25"/>
      <w:r w:rsidR="009543DA">
        <w:fldChar w:fldCharType="begin"/>
      </w:r>
      <w:r w:rsidR="009543DA">
        <w:instrText xml:space="preserve"> SEQ Table \* ARABIC </w:instrText>
      </w:r>
      <w:r w:rsidR="009543DA">
        <w:fldChar w:fldCharType="separate"/>
      </w:r>
      <w:r w:rsidR="00FE4664">
        <w:rPr>
          <w:noProof/>
        </w:rPr>
        <w:t>4</w:t>
      </w:r>
      <w:r w:rsidR="009543DA">
        <w:fldChar w:fldCharType="end"/>
      </w:r>
      <w:bookmarkEnd w:id="26"/>
      <w:r w:rsidRPr="00A80FDD">
        <w:tab/>
        <w:t>Change in GST distribution from 2021</w:t>
      </w:r>
      <w:r w:rsidR="00782087">
        <w:t>–</w:t>
      </w:r>
      <w:r w:rsidRPr="00A80FDD">
        <w:t>22 to 2022</w:t>
      </w:r>
      <w:r w:rsidR="00782087">
        <w:t>–</w:t>
      </w:r>
      <w:r w:rsidRPr="00A80FDD">
        <w:t>23 (excluding no</w:t>
      </w:r>
      <w:r w:rsidR="00B01548">
        <w:t> </w:t>
      </w:r>
      <w:r w:rsidRPr="00A80FDD">
        <w:t>worse</w:t>
      </w:r>
      <w:r w:rsidR="00B01548">
        <w:t> </w:t>
      </w:r>
      <w:r w:rsidRPr="00A80FDD">
        <w:t>off payments</w:t>
      </w:r>
      <w:r w:rsidRPr="00047E52">
        <w:t>(</w:t>
      </w:r>
      <w:r w:rsidR="00F81DE7" w:rsidRPr="00047E52">
        <w:t>a</w:t>
      </w:r>
      <w:r w:rsidRPr="00047E52">
        <w:t>)</w:t>
      </w:r>
      <w:r w:rsidRPr="00A80FDD">
        <w:t>)</w:t>
      </w:r>
    </w:p>
    <w:tbl>
      <w:tblPr>
        <w:tblW w:w="8940" w:type="dxa"/>
        <w:tblLook w:val="04A0" w:firstRow="1" w:lastRow="0" w:firstColumn="1" w:lastColumn="0" w:noHBand="0" w:noVBand="1"/>
      </w:tblPr>
      <w:tblGrid>
        <w:gridCol w:w="2940"/>
        <w:gridCol w:w="700"/>
        <w:gridCol w:w="700"/>
        <w:gridCol w:w="700"/>
        <w:gridCol w:w="640"/>
        <w:gridCol w:w="640"/>
        <w:gridCol w:w="640"/>
        <w:gridCol w:w="620"/>
        <w:gridCol w:w="640"/>
        <w:gridCol w:w="720"/>
      </w:tblGrid>
      <w:tr w:rsidR="00DA443E" w:rsidRPr="00DA443E" w14:paraId="395BE765" w14:textId="77777777" w:rsidTr="00DA443E">
        <w:trPr>
          <w:trHeight w:val="375"/>
        </w:trPr>
        <w:tc>
          <w:tcPr>
            <w:tcW w:w="2940" w:type="dxa"/>
            <w:tcBorders>
              <w:top w:val="nil"/>
              <w:left w:val="nil"/>
              <w:bottom w:val="nil"/>
              <w:right w:val="nil"/>
            </w:tcBorders>
            <w:shd w:val="clear" w:color="000000" w:fill="006991"/>
            <w:vAlign w:val="bottom"/>
            <w:hideMark/>
          </w:tcPr>
          <w:p w14:paraId="3D8D7095" w14:textId="77777777" w:rsidR="00DA443E" w:rsidRPr="00DA443E" w:rsidRDefault="00DA443E" w:rsidP="00DA443E">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27" w:name="RANGE!A20:J30"/>
            <w:r w:rsidRPr="00DA443E">
              <w:rPr>
                <w:rFonts w:ascii="Open Sans Semibold" w:eastAsia="Times New Roman" w:hAnsi="Open Sans Semibold" w:cs="Open Sans Semibold"/>
                <w:color w:val="FFFFFF"/>
                <w:sz w:val="16"/>
                <w:szCs w:val="16"/>
                <w:lang w:eastAsia="en-AU"/>
              </w:rPr>
              <w:t> </w:t>
            </w:r>
            <w:bookmarkEnd w:id="27"/>
          </w:p>
        </w:tc>
        <w:tc>
          <w:tcPr>
            <w:tcW w:w="700" w:type="dxa"/>
            <w:tcBorders>
              <w:top w:val="nil"/>
              <w:left w:val="nil"/>
              <w:bottom w:val="nil"/>
              <w:right w:val="nil"/>
            </w:tcBorders>
            <w:shd w:val="clear" w:color="000000" w:fill="006991"/>
            <w:vAlign w:val="center"/>
            <w:hideMark/>
          </w:tcPr>
          <w:p w14:paraId="7624CFE1"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A443E">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7D47DD13"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A443E">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48F9294C"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A443E">
              <w:rPr>
                <w:rFonts w:ascii="Open Sans Semibold" w:eastAsia="Times New Roman" w:hAnsi="Open Sans Semibold" w:cs="Open Sans Semibold"/>
                <w:color w:val="FFFFFF"/>
                <w:sz w:val="16"/>
                <w:szCs w:val="16"/>
                <w:lang w:eastAsia="en-AU"/>
              </w:rPr>
              <w:t>Qld</w:t>
            </w:r>
          </w:p>
        </w:tc>
        <w:tc>
          <w:tcPr>
            <w:tcW w:w="640" w:type="dxa"/>
            <w:tcBorders>
              <w:top w:val="nil"/>
              <w:left w:val="nil"/>
              <w:bottom w:val="nil"/>
              <w:right w:val="nil"/>
            </w:tcBorders>
            <w:shd w:val="clear" w:color="000000" w:fill="006991"/>
            <w:vAlign w:val="center"/>
            <w:hideMark/>
          </w:tcPr>
          <w:p w14:paraId="19B22B25"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A443E">
              <w:rPr>
                <w:rFonts w:ascii="Open Sans Semibold" w:eastAsia="Times New Roman" w:hAnsi="Open Sans Semibold" w:cs="Open Sans Semibold"/>
                <w:color w:val="FFFFFF"/>
                <w:sz w:val="16"/>
                <w:szCs w:val="16"/>
                <w:lang w:eastAsia="en-AU"/>
              </w:rPr>
              <w:t>WA</w:t>
            </w:r>
          </w:p>
        </w:tc>
        <w:tc>
          <w:tcPr>
            <w:tcW w:w="640" w:type="dxa"/>
            <w:tcBorders>
              <w:top w:val="nil"/>
              <w:left w:val="nil"/>
              <w:bottom w:val="nil"/>
              <w:right w:val="nil"/>
            </w:tcBorders>
            <w:shd w:val="clear" w:color="000000" w:fill="006991"/>
            <w:vAlign w:val="center"/>
            <w:hideMark/>
          </w:tcPr>
          <w:p w14:paraId="632DD872"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A443E">
              <w:rPr>
                <w:rFonts w:ascii="Open Sans Semibold" w:eastAsia="Times New Roman" w:hAnsi="Open Sans Semibold" w:cs="Open Sans Semibold"/>
                <w:color w:val="FFFFFF"/>
                <w:sz w:val="16"/>
                <w:szCs w:val="16"/>
                <w:lang w:eastAsia="en-AU"/>
              </w:rPr>
              <w:t>SA</w:t>
            </w:r>
          </w:p>
        </w:tc>
        <w:tc>
          <w:tcPr>
            <w:tcW w:w="640" w:type="dxa"/>
            <w:tcBorders>
              <w:top w:val="nil"/>
              <w:left w:val="nil"/>
              <w:bottom w:val="nil"/>
              <w:right w:val="nil"/>
            </w:tcBorders>
            <w:shd w:val="clear" w:color="000000" w:fill="006991"/>
            <w:vAlign w:val="center"/>
            <w:hideMark/>
          </w:tcPr>
          <w:p w14:paraId="70D57B7B"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A443E">
              <w:rPr>
                <w:rFonts w:ascii="Open Sans Semibold" w:eastAsia="Times New Roman" w:hAnsi="Open Sans Semibold" w:cs="Open Sans Semibold"/>
                <w:color w:val="FFFFFF"/>
                <w:sz w:val="16"/>
                <w:szCs w:val="16"/>
                <w:lang w:eastAsia="en-AU"/>
              </w:rPr>
              <w:t>Tas</w:t>
            </w:r>
          </w:p>
        </w:tc>
        <w:tc>
          <w:tcPr>
            <w:tcW w:w="620" w:type="dxa"/>
            <w:tcBorders>
              <w:top w:val="nil"/>
              <w:left w:val="nil"/>
              <w:bottom w:val="nil"/>
              <w:right w:val="nil"/>
            </w:tcBorders>
            <w:shd w:val="clear" w:color="000000" w:fill="006991"/>
            <w:vAlign w:val="center"/>
            <w:hideMark/>
          </w:tcPr>
          <w:p w14:paraId="48EF175E"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A443E">
              <w:rPr>
                <w:rFonts w:ascii="Open Sans Semibold" w:eastAsia="Times New Roman" w:hAnsi="Open Sans Semibold" w:cs="Open Sans Semibold"/>
                <w:color w:val="FFFFFF"/>
                <w:sz w:val="16"/>
                <w:szCs w:val="16"/>
                <w:lang w:eastAsia="en-AU"/>
              </w:rPr>
              <w:t>ACT</w:t>
            </w:r>
          </w:p>
        </w:tc>
        <w:tc>
          <w:tcPr>
            <w:tcW w:w="640" w:type="dxa"/>
            <w:tcBorders>
              <w:top w:val="nil"/>
              <w:left w:val="nil"/>
              <w:bottom w:val="nil"/>
              <w:right w:val="nil"/>
            </w:tcBorders>
            <w:shd w:val="clear" w:color="000000" w:fill="006991"/>
            <w:vAlign w:val="center"/>
            <w:hideMark/>
          </w:tcPr>
          <w:p w14:paraId="17604A64"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A443E">
              <w:rPr>
                <w:rFonts w:ascii="Open Sans Semibold" w:eastAsia="Times New Roman" w:hAnsi="Open Sans Semibold" w:cs="Open Sans Semibold"/>
                <w:color w:val="FFFFFF"/>
                <w:sz w:val="16"/>
                <w:szCs w:val="16"/>
                <w:lang w:eastAsia="en-AU"/>
              </w:rPr>
              <w:t>NT</w:t>
            </w:r>
          </w:p>
        </w:tc>
        <w:tc>
          <w:tcPr>
            <w:tcW w:w="720" w:type="dxa"/>
            <w:tcBorders>
              <w:top w:val="nil"/>
              <w:left w:val="nil"/>
              <w:bottom w:val="nil"/>
              <w:right w:val="nil"/>
            </w:tcBorders>
            <w:shd w:val="clear" w:color="000000" w:fill="006991"/>
            <w:vAlign w:val="center"/>
            <w:hideMark/>
          </w:tcPr>
          <w:p w14:paraId="64129E9D"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A443E">
              <w:rPr>
                <w:rFonts w:ascii="Open Sans Semibold" w:eastAsia="Times New Roman" w:hAnsi="Open Sans Semibold" w:cs="Open Sans Semibold"/>
                <w:color w:val="FFFFFF"/>
                <w:sz w:val="16"/>
                <w:szCs w:val="16"/>
                <w:lang w:eastAsia="en-AU"/>
              </w:rPr>
              <w:t>Total</w:t>
            </w:r>
          </w:p>
        </w:tc>
      </w:tr>
      <w:tr w:rsidR="00DA443E" w:rsidRPr="00DA443E" w14:paraId="42BA0E4E" w14:textId="77777777" w:rsidTr="00DA443E">
        <w:trPr>
          <w:trHeight w:val="259"/>
        </w:trPr>
        <w:tc>
          <w:tcPr>
            <w:tcW w:w="2940" w:type="dxa"/>
            <w:tcBorders>
              <w:top w:val="single" w:sz="8" w:space="0" w:color="ADD6EA"/>
              <w:left w:val="nil"/>
              <w:bottom w:val="nil"/>
              <w:right w:val="nil"/>
            </w:tcBorders>
            <w:shd w:val="clear" w:color="000000" w:fill="B6D5E4"/>
            <w:vAlign w:val="center"/>
            <w:hideMark/>
          </w:tcPr>
          <w:p w14:paraId="15C8D8EC" w14:textId="77777777" w:rsidR="00DA443E" w:rsidRPr="00DA443E" w:rsidRDefault="00DA443E" w:rsidP="00DA443E">
            <w:pPr>
              <w:tabs>
                <w:tab w:val="clear" w:pos="567"/>
              </w:tabs>
              <w:spacing w:before="0" w:line="240" w:lineRule="auto"/>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 </w:t>
            </w:r>
          </w:p>
        </w:tc>
        <w:tc>
          <w:tcPr>
            <w:tcW w:w="700" w:type="dxa"/>
            <w:tcBorders>
              <w:top w:val="single" w:sz="8" w:space="0" w:color="ADD6EA"/>
              <w:left w:val="nil"/>
              <w:bottom w:val="nil"/>
              <w:right w:val="nil"/>
            </w:tcBorders>
            <w:shd w:val="clear" w:color="000000" w:fill="B6D5E4"/>
            <w:noWrap/>
            <w:vAlign w:val="center"/>
            <w:hideMark/>
          </w:tcPr>
          <w:p w14:paraId="5536974C"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$m</w:t>
            </w:r>
          </w:p>
        </w:tc>
        <w:tc>
          <w:tcPr>
            <w:tcW w:w="700" w:type="dxa"/>
            <w:tcBorders>
              <w:top w:val="single" w:sz="8" w:space="0" w:color="ADD6EA"/>
              <w:left w:val="nil"/>
              <w:bottom w:val="nil"/>
              <w:right w:val="nil"/>
            </w:tcBorders>
            <w:shd w:val="clear" w:color="000000" w:fill="B6D5E4"/>
            <w:noWrap/>
            <w:vAlign w:val="center"/>
            <w:hideMark/>
          </w:tcPr>
          <w:p w14:paraId="2A5715FA"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$m</w:t>
            </w:r>
          </w:p>
        </w:tc>
        <w:tc>
          <w:tcPr>
            <w:tcW w:w="700" w:type="dxa"/>
            <w:tcBorders>
              <w:top w:val="single" w:sz="8" w:space="0" w:color="ADD6EA"/>
              <w:left w:val="nil"/>
              <w:bottom w:val="nil"/>
              <w:right w:val="nil"/>
            </w:tcBorders>
            <w:shd w:val="clear" w:color="000000" w:fill="B6D5E4"/>
            <w:noWrap/>
            <w:vAlign w:val="center"/>
            <w:hideMark/>
          </w:tcPr>
          <w:p w14:paraId="69F2E9B7"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$m</w:t>
            </w:r>
          </w:p>
        </w:tc>
        <w:tc>
          <w:tcPr>
            <w:tcW w:w="640" w:type="dxa"/>
            <w:tcBorders>
              <w:top w:val="single" w:sz="8" w:space="0" w:color="ADD6EA"/>
              <w:left w:val="nil"/>
              <w:bottom w:val="nil"/>
              <w:right w:val="nil"/>
            </w:tcBorders>
            <w:shd w:val="clear" w:color="000000" w:fill="B6D5E4"/>
            <w:noWrap/>
            <w:vAlign w:val="center"/>
            <w:hideMark/>
          </w:tcPr>
          <w:p w14:paraId="26FCFFC7"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$m</w:t>
            </w:r>
          </w:p>
        </w:tc>
        <w:tc>
          <w:tcPr>
            <w:tcW w:w="640" w:type="dxa"/>
            <w:tcBorders>
              <w:top w:val="single" w:sz="8" w:space="0" w:color="ADD6EA"/>
              <w:left w:val="nil"/>
              <w:bottom w:val="nil"/>
              <w:right w:val="nil"/>
            </w:tcBorders>
            <w:shd w:val="clear" w:color="000000" w:fill="B6D5E4"/>
            <w:noWrap/>
            <w:vAlign w:val="center"/>
            <w:hideMark/>
          </w:tcPr>
          <w:p w14:paraId="52ED3727"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$m</w:t>
            </w:r>
          </w:p>
        </w:tc>
        <w:tc>
          <w:tcPr>
            <w:tcW w:w="640" w:type="dxa"/>
            <w:tcBorders>
              <w:top w:val="single" w:sz="8" w:space="0" w:color="ADD6EA"/>
              <w:left w:val="nil"/>
              <w:bottom w:val="nil"/>
              <w:right w:val="nil"/>
            </w:tcBorders>
            <w:shd w:val="clear" w:color="000000" w:fill="B6D5E4"/>
            <w:noWrap/>
            <w:vAlign w:val="center"/>
            <w:hideMark/>
          </w:tcPr>
          <w:p w14:paraId="7169C668"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$m</w:t>
            </w:r>
          </w:p>
        </w:tc>
        <w:tc>
          <w:tcPr>
            <w:tcW w:w="620" w:type="dxa"/>
            <w:tcBorders>
              <w:top w:val="single" w:sz="8" w:space="0" w:color="ADD6EA"/>
              <w:left w:val="nil"/>
              <w:bottom w:val="nil"/>
              <w:right w:val="nil"/>
            </w:tcBorders>
            <w:shd w:val="clear" w:color="000000" w:fill="B6D5E4"/>
            <w:noWrap/>
            <w:vAlign w:val="center"/>
            <w:hideMark/>
          </w:tcPr>
          <w:p w14:paraId="01ED6B90"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$m</w:t>
            </w:r>
          </w:p>
        </w:tc>
        <w:tc>
          <w:tcPr>
            <w:tcW w:w="640" w:type="dxa"/>
            <w:tcBorders>
              <w:top w:val="single" w:sz="8" w:space="0" w:color="ADD6EA"/>
              <w:left w:val="nil"/>
              <w:bottom w:val="nil"/>
              <w:right w:val="nil"/>
            </w:tcBorders>
            <w:shd w:val="clear" w:color="000000" w:fill="B6D5E4"/>
            <w:noWrap/>
            <w:vAlign w:val="center"/>
            <w:hideMark/>
          </w:tcPr>
          <w:p w14:paraId="0C441675"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$m</w:t>
            </w:r>
          </w:p>
        </w:tc>
        <w:tc>
          <w:tcPr>
            <w:tcW w:w="720" w:type="dxa"/>
            <w:tcBorders>
              <w:top w:val="single" w:sz="8" w:space="0" w:color="ADD6EA"/>
              <w:left w:val="nil"/>
              <w:bottom w:val="nil"/>
              <w:right w:val="nil"/>
            </w:tcBorders>
            <w:shd w:val="clear" w:color="000000" w:fill="B6D5E4"/>
            <w:noWrap/>
            <w:vAlign w:val="center"/>
            <w:hideMark/>
          </w:tcPr>
          <w:p w14:paraId="2B1E4140"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$m</w:t>
            </w:r>
          </w:p>
        </w:tc>
      </w:tr>
      <w:tr w:rsidR="00DA443E" w:rsidRPr="00DA443E" w14:paraId="3D5FF441" w14:textId="77777777" w:rsidTr="00DA443E">
        <w:trPr>
          <w:trHeight w:val="315"/>
        </w:trPr>
        <w:tc>
          <w:tcPr>
            <w:tcW w:w="2940" w:type="dxa"/>
            <w:tcBorders>
              <w:top w:val="single" w:sz="4" w:space="0" w:color="ADD6EA"/>
              <w:left w:val="nil"/>
              <w:bottom w:val="nil"/>
              <w:right w:val="nil"/>
            </w:tcBorders>
            <w:shd w:val="clear" w:color="auto" w:fill="auto"/>
            <w:vAlign w:val="bottom"/>
            <w:hideMark/>
          </w:tcPr>
          <w:p w14:paraId="76C39DA9" w14:textId="688107D8" w:rsidR="00DA443E" w:rsidRPr="00DA443E" w:rsidRDefault="00DA443E" w:rsidP="00DA443E">
            <w:pPr>
              <w:tabs>
                <w:tab w:val="clear" w:pos="567"/>
              </w:tabs>
              <w:spacing w:before="0" w:line="240" w:lineRule="auto"/>
              <w:rPr>
                <w:rFonts w:eastAsia="Times New Roman" w:cs="Open Sans Light"/>
                <w:color w:val="000000"/>
                <w:sz w:val="16"/>
                <w:szCs w:val="16"/>
                <w:lang w:eastAsia="en-AU"/>
              </w:rPr>
            </w:pPr>
            <w:r w:rsidRPr="00DA443E">
              <w:rPr>
                <w:rFonts w:eastAsia="Times New Roman" w:cs="Open Sans Light"/>
                <w:color w:val="000000"/>
                <w:sz w:val="16"/>
                <w:szCs w:val="16"/>
                <w:lang w:eastAsia="en-AU"/>
              </w:rPr>
              <w:t>Estimated 2021</w:t>
            </w:r>
            <w:r w:rsidR="008E09BF">
              <w:rPr>
                <w:rFonts w:eastAsia="Times New Roman" w:cs="Open Sans Light"/>
                <w:color w:val="000000"/>
                <w:sz w:val="16"/>
                <w:szCs w:val="16"/>
                <w:lang w:eastAsia="en-AU"/>
              </w:rPr>
              <w:t>–</w:t>
            </w:r>
            <w:r w:rsidRPr="00DA443E">
              <w:rPr>
                <w:rFonts w:eastAsia="Times New Roman" w:cs="Open Sans Light"/>
                <w:color w:val="000000"/>
                <w:sz w:val="16"/>
                <w:szCs w:val="16"/>
                <w:lang w:eastAsia="en-AU"/>
              </w:rPr>
              <w:t>22 distribution</w:t>
            </w:r>
          </w:p>
        </w:tc>
        <w:tc>
          <w:tcPr>
            <w:tcW w:w="700" w:type="dxa"/>
            <w:tcBorders>
              <w:top w:val="single" w:sz="4" w:space="0" w:color="ADD6EA"/>
              <w:left w:val="nil"/>
              <w:bottom w:val="nil"/>
              <w:right w:val="nil"/>
            </w:tcBorders>
            <w:shd w:val="clear" w:color="auto" w:fill="auto"/>
            <w:vAlign w:val="bottom"/>
            <w:hideMark/>
          </w:tcPr>
          <w:p w14:paraId="49846450"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22,107</w:t>
            </w:r>
          </w:p>
        </w:tc>
        <w:tc>
          <w:tcPr>
            <w:tcW w:w="700" w:type="dxa"/>
            <w:tcBorders>
              <w:top w:val="single" w:sz="4" w:space="0" w:color="ADD6EA"/>
              <w:left w:val="nil"/>
              <w:bottom w:val="nil"/>
              <w:right w:val="nil"/>
            </w:tcBorders>
            <w:shd w:val="clear" w:color="auto" w:fill="auto"/>
            <w:vAlign w:val="bottom"/>
            <w:hideMark/>
          </w:tcPr>
          <w:p w14:paraId="77093E15"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17,411</w:t>
            </w:r>
          </w:p>
        </w:tc>
        <w:tc>
          <w:tcPr>
            <w:tcW w:w="700" w:type="dxa"/>
            <w:tcBorders>
              <w:top w:val="single" w:sz="4" w:space="0" w:color="ADD6EA"/>
              <w:left w:val="nil"/>
              <w:bottom w:val="nil"/>
              <w:right w:val="nil"/>
            </w:tcBorders>
            <w:shd w:val="clear" w:color="auto" w:fill="auto"/>
            <w:vAlign w:val="bottom"/>
            <w:hideMark/>
          </w:tcPr>
          <w:p w14:paraId="389F907C"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15,739</w:t>
            </w:r>
          </w:p>
        </w:tc>
        <w:tc>
          <w:tcPr>
            <w:tcW w:w="640" w:type="dxa"/>
            <w:tcBorders>
              <w:top w:val="single" w:sz="4" w:space="0" w:color="ADD6EA"/>
              <w:left w:val="nil"/>
              <w:bottom w:val="nil"/>
              <w:right w:val="nil"/>
            </w:tcBorders>
            <w:shd w:val="clear" w:color="auto" w:fill="auto"/>
            <w:vAlign w:val="bottom"/>
            <w:hideMark/>
          </w:tcPr>
          <w:p w14:paraId="5C76AB67"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3,199</w:t>
            </w:r>
          </w:p>
        </w:tc>
        <w:tc>
          <w:tcPr>
            <w:tcW w:w="640" w:type="dxa"/>
            <w:tcBorders>
              <w:top w:val="single" w:sz="4" w:space="0" w:color="ADD6EA"/>
              <w:left w:val="nil"/>
              <w:bottom w:val="nil"/>
              <w:right w:val="nil"/>
            </w:tcBorders>
            <w:shd w:val="clear" w:color="auto" w:fill="auto"/>
            <w:vAlign w:val="bottom"/>
            <w:hideMark/>
          </w:tcPr>
          <w:p w14:paraId="4F9A7DC3"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6,785</w:t>
            </w:r>
          </w:p>
        </w:tc>
        <w:tc>
          <w:tcPr>
            <w:tcW w:w="640" w:type="dxa"/>
            <w:tcBorders>
              <w:top w:val="single" w:sz="4" w:space="0" w:color="ADD6EA"/>
              <w:left w:val="nil"/>
              <w:bottom w:val="nil"/>
              <w:right w:val="nil"/>
            </w:tcBorders>
            <w:shd w:val="clear" w:color="auto" w:fill="auto"/>
            <w:vAlign w:val="bottom"/>
            <w:hideMark/>
          </w:tcPr>
          <w:p w14:paraId="74D77887"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3,024</w:t>
            </w:r>
          </w:p>
        </w:tc>
        <w:tc>
          <w:tcPr>
            <w:tcW w:w="620" w:type="dxa"/>
            <w:tcBorders>
              <w:top w:val="single" w:sz="4" w:space="0" w:color="ADD6EA"/>
              <w:left w:val="nil"/>
              <w:bottom w:val="nil"/>
              <w:right w:val="nil"/>
            </w:tcBorders>
            <w:shd w:val="clear" w:color="auto" w:fill="auto"/>
            <w:vAlign w:val="bottom"/>
            <w:hideMark/>
          </w:tcPr>
          <w:p w14:paraId="0937D951"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1,426</w:t>
            </w:r>
          </w:p>
        </w:tc>
        <w:tc>
          <w:tcPr>
            <w:tcW w:w="640" w:type="dxa"/>
            <w:tcBorders>
              <w:top w:val="single" w:sz="4" w:space="0" w:color="ADD6EA"/>
              <w:left w:val="nil"/>
              <w:bottom w:val="nil"/>
              <w:right w:val="nil"/>
            </w:tcBorders>
            <w:shd w:val="clear" w:color="auto" w:fill="auto"/>
            <w:vAlign w:val="bottom"/>
            <w:hideMark/>
          </w:tcPr>
          <w:p w14:paraId="3E98BF15"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3,379</w:t>
            </w:r>
          </w:p>
        </w:tc>
        <w:tc>
          <w:tcPr>
            <w:tcW w:w="720" w:type="dxa"/>
            <w:tcBorders>
              <w:top w:val="single" w:sz="4" w:space="0" w:color="ADD6EA"/>
              <w:left w:val="nil"/>
              <w:bottom w:val="nil"/>
              <w:right w:val="nil"/>
            </w:tcBorders>
            <w:shd w:val="clear" w:color="auto" w:fill="auto"/>
            <w:vAlign w:val="bottom"/>
            <w:hideMark/>
          </w:tcPr>
          <w:p w14:paraId="04E76D7C"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73,070</w:t>
            </w:r>
          </w:p>
        </w:tc>
      </w:tr>
      <w:tr w:rsidR="00DA443E" w:rsidRPr="00DA443E" w14:paraId="4FCD50ED" w14:textId="77777777" w:rsidTr="00DA443E">
        <w:trPr>
          <w:trHeight w:val="315"/>
        </w:trPr>
        <w:tc>
          <w:tcPr>
            <w:tcW w:w="2940" w:type="dxa"/>
            <w:tcBorders>
              <w:top w:val="single" w:sz="4" w:space="0" w:color="ADD6EA"/>
              <w:left w:val="nil"/>
              <w:bottom w:val="nil"/>
              <w:right w:val="nil"/>
            </w:tcBorders>
            <w:shd w:val="clear" w:color="auto" w:fill="auto"/>
            <w:vAlign w:val="bottom"/>
            <w:hideMark/>
          </w:tcPr>
          <w:p w14:paraId="252A4306" w14:textId="3DE72A7A" w:rsidR="00DA443E" w:rsidRPr="00DA443E" w:rsidRDefault="00DA443E" w:rsidP="00DA443E">
            <w:pPr>
              <w:tabs>
                <w:tab w:val="clear" w:pos="567"/>
              </w:tabs>
              <w:spacing w:before="0" w:line="240" w:lineRule="auto"/>
              <w:rPr>
                <w:rFonts w:eastAsia="Times New Roman" w:cs="Open Sans Light"/>
                <w:color w:val="000000"/>
                <w:sz w:val="16"/>
                <w:szCs w:val="16"/>
                <w:lang w:eastAsia="en-AU"/>
              </w:rPr>
            </w:pPr>
            <w:r w:rsidRPr="00DA443E">
              <w:rPr>
                <w:rFonts w:eastAsia="Times New Roman" w:cs="Open Sans Light"/>
                <w:color w:val="000000"/>
                <w:sz w:val="16"/>
                <w:szCs w:val="16"/>
                <w:lang w:eastAsia="en-AU"/>
              </w:rPr>
              <w:t>Estimated 2022</w:t>
            </w:r>
            <w:r w:rsidR="008E09BF">
              <w:rPr>
                <w:rFonts w:eastAsia="Times New Roman" w:cs="Open Sans Light"/>
                <w:color w:val="000000"/>
                <w:sz w:val="16"/>
                <w:szCs w:val="16"/>
                <w:lang w:eastAsia="en-AU"/>
              </w:rPr>
              <w:t>–</w:t>
            </w:r>
            <w:r w:rsidRPr="00DA443E">
              <w:rPr>
                <w:rFonts w:eastAsia="Times New Roman" w:cs="Open Sans Light"/>
                <w:color w:val="000000"/>
                <w:sz w:val="16"/>
                <w:szCs w:val="16"/>
                <w:lang w:eastAsia="en-AU"/>
              </w:rPr>
              <w:t>23 distribution</w:t>
            </w:r>
          </w:p>
        </w:tc>
        <w:tc>
          <w:tcPr>
            <w:tcW w:w="700" w:type="dxa"/>
            <w:tcBorders>
              <w:top w:val="single" w:sz="4" w:space="0" w:color="ADD6EA"/>
              <w:left w:val="nil"/>
              <w:bottom w:val="nil"/>
              <w:right w:val="nil"/>
            </w:tcBorders>
            <w:shd w:val="clear" w:color="auto" w:fill="auto"/>
            <w:vAlign w:val="bottom"/>
            <w:hideMark/>
          </w:tcPr>
          <w:p w14:paraId="6159F5C0"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23,218</w:t>
            </w:r>
          </w:p>
        </w:tc>
        <w:tc>
          <w:tcPr>
            <w:tcW w:w="700" w:type="dxa"/>
            <w:tcBorders>
              <w:top w:val="single" w:sz="4" w:space="0" w:color="ADD6EA"/>
              <w:left w:val="nil"/>
              <w:bottom w:val="nil"/>
              <w:right w:val="nil"/>
            </w:tcBorders>
            <w:shd w:val="clear" w:color="auto" w:fill="auto"/>
            <w:vAlign w:val="bottom"/>
            <w:hideMark/>
          </w:tcPr>
          <w:p w14:paraId="5335A5E8"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17,167</w:t>
            </w:r>
          </w:p>
        </w:tc>
        <w:tc>
          <w:tcPr>
            <w:tcW w:w="700" w:type="dxa"/>
            <w:tcBorders>
              <w:top w:val="single" w:sz="4" w:space="0" w:color="ADD6EA"/>
              <w:left w:val="nil"/>
              <w:bottom w:val="nil"/>
              <w:right w:val="nil"/>
            </w:tcBorders>
            <w:shd w:val="clear" w:color="auto" w:fill="auto"/>
            <w:vAlign w:val="bottom"/>
            <w:hideMark/>
          </w:tcPr>
          <w:p w14:paraId="4C2AA958"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16,384</w:t>
            </w:r>
          </w:p>
        </w:tc>
        <w:tc>
          <w:tcPr>
            <w:tcW w:w="640" w:type="dxa"/>
            <w:tcBorders>
              <w:top w:val="single" w:sz="4" w:space="0" w:color="ADD6EA"/>
              <w:left w:val="nil"/>
              <w:bottom w:val="nil"/>
              <w:right w:val="nil"/>
            </w:tcBorders>
            <w:shd w:val="clear" w:color="auto" w:fill="auto"/>
            <w:vAlign w:val="bottom"/>
            <w:hideMark/>
          </w:tcPr>
          <w:p w14:paraId="1BAF7CAC"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5,682</w:t>
            </w:r>
          </w:p>
        </w:tc>
        <w:tc>
          <w:tcPr>
            <w:tcW w:w="640" w:type="dxa"/>
            <w:tcBorders>
              <w:top w:val="single" w:sz="4" w:space="0" w:color="ADD6EA"/>
              <w:left w:val="nil"/>
              <w:bottom w:val="nil"/>
              <w:right w:val="nil"/>
            </w:tcBorders>
            <w:shd w:val="clear" w:color="auto" w:fill="auto"/>
            <w:vAlign w:val="bottom"/>
            <w:hideMark/>
          </w:tcPr>
          <w:p w14:paraId="364E94F2"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6,865</w:t>
            </w:r>
          </w:p>
        </w:tc>
        <w:tc>
          <w:tcPr>
            <w:tcW w:w="640" w:type="dxa"/>
            <w:tcBorders>
              <w:top w:val="single" w:sz="4" w:space="0" w:color="ADD6EA"/>
              <w:left w:val="nil"/>
              <w:bottom w:val="nil"/>
              <w:right w:val="nil"/>
            </w:tcBorders>
            <w:shd w:val="clear" w:color="auto" w:fill="auto"/>
            <w:vAlign w:val="bottom"/>
            <w:hideMark/>
          </w:tcPr>
          <w:p w14:paraId="7FB4E62C"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3,035</w:t>
            </w:r>
          </w:p>
        </w:tc>
        <w:tc>
          <w:tcPr>
            <w:tcW w:w="620" w:type="dxa"/>
            <w:tcBorders>
              <w:top w:val="single" w:sz="4" w:space="0" w:color="ADD6EA"/>
              <w:left w:val="nil"/>
              <w:bottom w:val="nil"/>
              <w:right w:val="nil"/>
            </w:tcBorders>
            <w:shd w:val="clear" w:color="auto" w:fill="auto"/>
            <w:vAlign w:val="bottom"/>
            <w:hideMark/>
          </w:tcPr>
          <w:p w14:paraId="59EF1327"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1,421</w:t>
            </w:r>
          </w:p>
        </w:tc>
        <w:tc>
          <w:tcPr>
            <w:tcW w:w="640" w:type="dxa"/>
            <w:tcBorders>
              <w:top w:val="single" w:sz="4" w:space="0" w:color="ADD6EA"/>
              <w:left w:val="nil"/>
              <w:bottom w:val="nil"/>
              <w:right w:val="nil"/>
            </w:tcBorders>
            <w:shd w:val="clear" w:color="auto" w:fill="auto"/>
            <w:vAlign w:val="bottom"/>
            <w:hideMark/>
          </w:tcPr>
          <w:p w14:paraId="43BEB208"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3,644</w:t>
            </w:r>
          </w:p>
        </w:tc>
        <w:tc>
          <w:tcPr>
            <w:tcW w:w="720" w:type="dxa"/>
            <w:tcBorders>
              <w:top w:val="single" w:sz="4" w:space="0" w:color="ADD6EA"/>
              <w:left w:val="nil"/>
              <w:bottom w:val="nil"/>
              <w:right w:val="nil"/>
            </w:tcBorders>
            <w:shd w:val="clear" w:color="auto" w:fill="auto"/>
            <w:vAlign w:val="bottom"/>
            <w:hideMark/>
          </w:tcPr>
          <w:p w14:paraId="05C0C835"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77,416</w:t>
            </w:r>
          </w:p>
        </w:tc>
      </w:tr>
      <w:tr w:rsidR="00DA443E" w:rsidRPr="00DA443E" w14:paraId="232E9C63" w14:textId="77777777" w:rsidTr="00DA443E">
        <w:trPr>
          <w:trHeight w:val="315"/>
        </w:trPr>
        <w:tc>
          <w:tcPr>
            <w:tcW w:w="2940" w:type="dxa"/>
            <w:tcBorders>
              <w:top w:val="single" w:sz="4" w:space="0" w:color="ADD6EA"/>
              <w:left w:val="nil"/>
              <w:bottom w:val="nil"/>
              <w:right w:val="nil"/>
            </w:tcBorders>
            <w:shd w:val="clear" w:color="auto" w:fill="auto"/>
            <w:vAlign w:val="bottom"/>
            <w:hideMark/>
          </w:tcPr>
          <w:p w14:paraId="12A66C5E" w14:textId="77777777" w:rsidR="00DA443E" w:rsidRPr="00DA443E" w:rsidRDefault="00DA443E" w:rsidP="00DA443E">
            <w:pPr>
              <w:tabs>
                <w:tab w:val="clear" w:pos="567"/>
              </w:tabs>
              <w:spacing w:before="0" w:line="240" w:lineRule="auto"/>
              <w:ind w:firstLineChars="100" w:firstLine="160"/>
              <w:rPr>
                <w:rFonts w:eastAsia="Times New Roman" w:cs="Open Sans Light"/>
                <w:color w:val="000000"/>
                <w:sz w:val="16"/>
                <w:szCs w:val="16"/>
                <w:lang w:eastAsia="en-AU"/>
              </w:rPr>
            </w:pPr>
            <w:r w:rsidRPr="00DA443E">
              <w:rPr>
                <w:rFonts w:eastAsia="Times New Roman" w:cs="Open Sans Light"/>
                <w:color w:val="000000"/>
                <w:sz w:val="16"/>
                <w:szCs w:val="16"/>
                <w:lang w:eastAsia="en-AU"/>
              </w:rPr>
              <w:t>Change</w:t>
            </w:r>
          </w:p>
        </w:tc>
        <w:tc>
          <w:tcPr>
            <w:tcW w:w="700" w:type="dxa"/>
            <w:tcBorders>
              <w:top w:val="single" w:sz="4" w:space="0" w:color="ADD6EA"/>
              <w:left w:val="nil"/>
              <w:bottom w:val="nil"/>
              <w:right w:val="nil"/>
            </w:tcBorders>
            <w:shd w:val="clear" w:color="auto" w:fill="auto"/>
            <w:noWrap/>
            <w:vAlign w:val="bottom"/>
            <w:hideMark/>
          </w:tcPr>
          <w:p w14:paraId="15980494"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1,111</w:t>
            </w:r>
          </w:p>
        </w:tc>
        <w:tc>
          <w:tcPr>
            <w:tcW w:w="700" w:type="dxa"/>
            <w:tcBorders>
              <w:top w:val="single" w:sz="4" w:space="0" w:color="ADD6EA"/>
              <w:left w:val="nil"/>
              <w:bottom w:val="nil"/>
              <w:right w:val="nil"/>
            </w:tcBorders>
            <w:shd w:val="clear" w:color="auto" w:fill="auto"/>
            <w:noWrap/>
            <w:vAlign w:val="bottom"/>
            <w:hideMark/>
          </w:tcPr>
          <w:p w14:paraId="03F45E9D"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-244</w:t>
            </w:r>
          </w:p>
        </w:tc>
        <w:tc>
          <w:tcPr>
            <w:tcW w:w="700" w:type="dxa"/>
            <w:tcBorders>
              <w:top w:val="single" w:sz="4" w:space="0" w:color="ADD6EA"/>
              <w:left w:val="nil"/>
              <w:bottom w:val="nil"/>
              <w:right w:val="nil"/>
            </w:tcBorders>
            <w:shd w:val="clear" w:color="auto" w:fill="auto"/>
            <w:noWrap/>
            <w:vAlign w:val="bottom"/>
            <w:hideMark/>
          </w:tcPr>
          <w:p w14:paraId="50DE4D07"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645</w:t>
            </w:r>
          </w:p>
        </w:tc>
        <w:tc>
          <w:tcPr>
            <w:tcW w:w="640" w:type="dxa"/>
            <w:tcBorders>
              <w:top w:val="single" w:sz="4" w:space="0" w:color="ADD6EA"/>
              <w:left w:val="nil"/>
              <w:bottom w:val="nil"/>
              <w:right w:val="nil"/>
            </w:tcBorders>
            <w:shd w:val="clear" w:color="auto" w:fill="auto"/>
            <w:noWrap/>
            <w:vAlign w:val="bottom"/>
            <w:hideMark/>
          </w:tcPr>
          <w:p w14:paraId="7B3DF4E2"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2,483</w:t>
            </w:r>
          </w:p>
        </w:tc>
        <w:tc>
          <w:tcPr>
            <w:tcW w:w="640" w:type="dxa"/>
            <w:tcBorders>
              <w:top w:val="single" w:sz="4" w:space="0" w:color="ADD6EA"/>
              <w:left w:val="nil"/>
              <w:bottom w:val="nil"/>
              <w:right w:val="nil"/>
            </w:tcBorders>
            <w:shd w:val="clear" w:color="auto" w:fill="auto"/>
            <w:noWrap/>
            <w:vAlign w:val="bottom"/>
            <w:hideMark/>
          </w:tcPr>
          <w:p w14:paraId="12E87F29"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80</w:t>
            </w:r>
          </w:p>
        </w:tc>
        <w:tc>
          <w:tcPr>
            <w:tcW w:w="640" w:type="dxa"/>
            <w:tcBorders>
              <w:top w:val="single" w:sz="4" w:space="0" w:color="ADD6EA"/>
              <w:left w:val="nil"/>
              <w:bottom w:val="nil"/>
              <w:right w:val="nil"/>
            </w:tcBorders>
            <w:shd w:val="clear" w:color="auto" w:fill="auto"/>
            <w:noWrap/>
            <w:vAlign w:val="bottom"/>
            <w:hideMark/>
          </w:tcPr>
          <w:p w14:paraId="7C630183"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11</w:t>
            </w:r>
          </w:p>
        </w:tc>
        <w:tc>
          <w:tcPr>
            <w:tcW w:w="620" w:type="dxa"/>
            <w:tcBorders>
              <w:top w:val="single" w:sz="4" w:space="0" w:color="ADD6EA"/>
              <w:left w:val="nil"/>
              <w:bottom w:val="nil"/>
              <w:right w:val="nil"/>
            </w:tcBorders>
            <w:shd w:val="clear" w:color="auto" w:fill="auto"/>
            <w:noWrap/>
            <w:vAlign w:val="bottom"/>
            <w:hideMark/>
          </w:tcPr>
          <w:p w14:paraId="7D3DF293"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-5</w:t>
            </w:r>
          </w:p>
        </w:tc>
        <w:tc>
          <w:tcPr>
            <w:tcW w:w="640" w:type="dxa"/>
            <w:tcBorders>
              <w:top w:val="single" w:sz="4" w:space="0" w:color="ADD6EA"/>
              <w:left w:val="nil"/>
              <w:bottom w:val="nil"/>
              <w:right w:val="nil"/>
            </w:tcBorders>
            <w:shd w:val="clear" w:color="auto" w:fill="auto"/>
            <w:noWrap/>
            <w:vAlign w:val="bottom"/>
            <w:hideMark/>
          </w:tcPr>
          <w:p w14:paraId="4C8FF87F"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265</w:t>
            </w:r>
          </w:p>
        </w:tc>
        <w:tc>
          <w:tcPr>
            <w:tcW w:w="720" w:type="dxa"/>
            <w:tcBorders>
              <w:top w:val="single" w:sz="4" w:space="0" w:color="ADD6EA"/>
              <w:left w:val="nil"/>
              <w:bottom w:val="nil"/>
              <w:right w:val="nil"/>
            </w:tcBorders>
            <w:shd w:val="clear" w:color="auto" w:fill="auto"/>
            <w:noWrap/>
            <w:vAlign w:val="bottom"/>
            <w:hideMark/>
          </w:tcPr>
          <w:p w14:paraId="4A3D0D28"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4,346</w:t>
            </w:r>
          </w:p>
        </w:tc>
      </w:tr>
      <w:tr w:rsidR="00DA443E" w:rsidRPr="00DA443E" w14:paraId="2D4211A5" w14:textId="77777777" w:rsidTr="00DA443E">
        <w:trPr>
          <w:trHeight w:val="315"/>
        </w:trPr>
        <w:tc>
          <w:tcPr>
            <w:tcW w:w="2940" w:type="dxa"/>
            <w:tcBorders>
              <w:top w:val="single" w:sz="4" w:space="0" w:color="ADD6EA"/>
              <w:left w:val="nil"/>
              <w:bottom w:val="nil"/>
              <w:right w:val="nil"/>
            </w:tcBorders>
            <w:shd w:val="clear" w:color="auto" w:fill="auto"/>
            <w:vAlign w:val="bottom"/>
            <w:hideMark/>
          </w:tcPr>
          <w:p w14:paraId="4E32482C" w14:textId="77777777" w:rsidR="00DA443E" w:rsidRPr="00DA443E" w:rsidRDefault="00DA443E" w:rsidP="00DA443E">
            <w:pPr>
              <w:tabs>
                <w:tab w:val="clear" w:pos="567"/>
              </w:tabs>
              <w:spacing w:before="0" w:line="240" w:lineRule="auto"/>
              <w:ind w:firstLineChars="100" w:firstLine="160"/>
              <w:rPr>
                <w:rFonts w:eastAsia="Times New Roman" w:cs="Open Sans Light"/>
                <w:color w:val="000000"/>
                <w:sz w:val="16"/>
                <w:szCs w:val="16"/>
                <w:lang w:eastAsia="en-AU"/>
              </w:rPr>
            </w:pPr>
            <w:r w:rsidRPr="00DA443E">
              <w:rPr>
                <w:rFonts w:eastAsia="Times New Roman" w:cs="Open Sans Light"/>
                <w:color w:val="000000"/>
                <w:sz w:val="16"/>
                <w:szCs w:val="16"/>
                <w:lang w:eastAsia="en-AU"/>
              </w:rPr>
              <w:t>Change caused by new:</w:t>
            </w:r>
          </w:p>
        </w:tc>
        <w:tc>
          <w:tcPr>
            <w:tcW w:w="700" w:type="dxa"/>
            <w:tcBorders>
              <w:top w:val="single" w:sz="4" w:space="0" w:color="ADD6EA"/>
              <w:left w:val="nil"/>
              <w:bottom w:val="nil"/>
              <w:right w:val="nil"/>
            </w:tcBorders>
            <w:shd w:val="clear" w:color="auto" w:fill="auto"/>
            <w:noWrap/>
            <w:vAlign w:val="bottom"/>
            <w:hideMark/>
          </w:tcPr>
          <w:p w14:paraId="7A07A163"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11C75844"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2791E193"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 </w:t>
            </w:r>
          </w:p>
        </w:tc>
        <w:tc>
          <w:tcPr>
            <w:tcW w:w="640" w:type="dxa"/>
            <w:tcBorders>
              <w:top w:val="single" w:sz="4" w:space="0" w:color="ADD6EA"/>
              <w:left w:val="nil"/>
              <w:bottom w:val="nil"/>
              <w:right w:val="nil"/>
            </w:tcBorders>
            <w:shd w:val="clear" w:color="auto" w:fill="auto"/>
            <w:noWrap/>
            <w:vAlign w:val="bottom"/>
            <w:hideMark/>
          </w:tcPr>
          <w:p w14:paraId="22879913"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 </w:t>
            </w:r>
          </w:p>
        </w:tc>
        <w:tc>
          <w:tcPr>
            <w:tcW w:w="640" w:type="dxa"/>
            <w:tcBorders>
              <w:top w:val="single" w:sz="4" w:space="0" w:color="ADD6EA"/>
              <w:left w:val="nil"/>
              <w:bottom w:val="nil"/>
              <w:right w:val="nil"/>
            </w:tcBorders>
            <w:shd w:val="clear" w:color="auto" w:fill="auto"/>
            <w:noWrap/>
            <w:vAlign w:val="bottom"/>
            <w:hideMark/>
          </w:tcPr>
          <w:p w14:paraId="47082B1E"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 </w:t>
            </w:r>
          </w:p>
        </w:tc>
        <w:tc>
          <w:tcPr>
            <w:tcW w:w="640" w:type="dxa"/>
            <w:tcBorders>
              <w:top w:val="single" w:sz="4" w:space="0" w:color="ADD6EA"/>
              <w:left w:val="nil"/>
              <w:bottom w:val="nil"/>
              <w:right w:val="nil"/>
            </w:tcBorders>
            <w:shd w:val="clear" w:color="auto" w:fill="auto"/>
            <w:noWrap/>
            <w:vAlign w:val="bottom"/>
            <w:hideMark/>
          </w:tcPr>
          <w:p w14:paraId="1F6B071A"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 </w:t>
            </w:r>
          </w:p>
        </w:tc>
        <w:tc>
          <w:tcPr>
            <w:tcW w:w="620" w:type="dxa"/>
            <w:tcBorders>
              <w:top w:val="single" w:sz="4" w:space="0" w:color="ADD6EA"/>
              <w:left w:val="nil"/>
              <w:bottom w:val="nil"/>
              <w:right w:val="nil"/>
            </w:tcBorders>
            <w:shd w:val="clear" w:color="auto" w:fill="auto"/>
            <w:noWrap/>
            <w:vAlign w:val="bottom"/>
            <w:hideMark/>
          </w:tcPr>
          <w:p w14:paraId="67FC24D1"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 </w:t>
            </w:r>
          </w:p>
        </w:tc>
        <w:tc>
          <w:tcPr>
            <w:tcW w:w="640" w:type="dxa"/>
            <w:tcBorders>
              <w:top w:val="single" w:sz="4" w:space="0" w:color="ADD6EA"/>
              <w:left w:val="nil"/>
              <w:bottom w:val="nil"/>
              <w:right w:val="nil"/>
            </w:tcBorders>
            <w:shd w:val="clear" w:color="auto" w:fill="auto"/>
            <w:noWrap/>
            <w:vAlign w:val="bottom"/>
            <w:hideMark/>
          </w:tcPr>
          <w:p w14:paraId="4F1D64DB"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 </w:t>
            </w:r>
          </w:p>
        </w:tc>
        <w:tc>
          <w:tcPr>
            <w:tcW w:w="720" w:type="dxa"/>
            <w:tcBorders>
              <w:top w:val="single" w:sz="4" w:space="0" w:color="ADD6EA"/>
              <w:left w:val="nil"/>
              <w:bottom w:val="nil"/>
              <w:right w:val="nil"/>
            </w:tcBorders>
            <w:shd w:val="clear" w:color="auto" w:fill="auto"/>
            <w:noWrap/>
            <w:vAlign w:val="bottom"/>
            <w:hideMark/>
          </w:tcPr>
          <w:p w14:paraId="35B2F3DC"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 </w:t>
            </w:r>
          </w:p>
        </w:tc>
      </w:tr>
      <w:tr w:rsidR="00DA443E" w:rsidRPr="00DA443E" w14:paraId="0C16064E" w14:textId="77777777" w:rsidTr="00DA443E">
        <w:trPr>
          <w:trHeight w:val="315"/>
        </w:trPr>
        <w:tc>
          <w:tcPr>
            <w:tcW w:w="2940" w:type="dxa"/>
            <w:tcBorders>
              <w:top w:val="single" w:sz="4" w:space="0" w:color="ADD6EA"/>
              <w:left w:val="nil"/>
              <w:bottom w:val="nil"/>
              <w:right w:val="nil"/>
            </w:tcBorders>
            <w:shd w:val="clear" w:color="auto" w:fill="auto"/>
            <w:vAlign w:val="bottom"/>
            <w:hideMark/>
          </w:tcPr>
          <w:p w14:paraId="5AABAECC" w14:textId="77777777" w:rsidR="00DA443E" w:rsidRPr="00DA443E" w:rsidRDefault="00DA443E" w:rsidP="00DA443E">
            <w:pPr>
              <w:tabs>
                <w:tab w:val="clear" w:pos="567"/>
              </w:tabs>
              <w:spacing w:before="0" w:line="240" w:lineRule="auto"/>
              <w:ind w:firstLineChars="200" w:firstLine="320"/>
              <w:rPr>
                <w:rFonts w:eastAsia="Times New Roman" w:cs="Open Sans Light"/>
                <w:color w:val="000000"/>
                <w:sz w:val="16"/>
                <w:szCs w:val="16"/>
                <w:lang w:eastAsia="en-AU"/>
              </w:rPr>
            </w:pPr>
            <w:r w:rsidRPr="00DA443E">
              <w:rPr>
                <w:rFonts w:eastAsia="Times New Roman" w:cs="Open Sans Light"/>
                <w:color w:val="000000"/>
                <w:sz w:val="16"/>
                <w:szCs w:val="16"/>
                <w:lang w:eastAsia="en-AU"/>
              </w:rPr>
              <w:t>Population (b)</w:t>
            </w:r>
          </w:p>
        </w:tc>
        <w:tc>
          <w:tcPr>
            <w:tcW w:w="700" w:type="dxa"/>
            <w:tcBorders>
              <w:top w:val="single" w:sz="4" w:space="0" w:color="ADD6EA"/>
              <w:left w:val="nil"/>
              <w:bottom w:val="nil"/>
              <w:right w:val="nil"/>
            </w:tcBorders>
            <w:shd w:val="clear" w:color="auto" w:fill="auto"/>
            <w:noWrap/>
            <w:vAlign w:val="bottom"/>
            <w:hideMark/>
          </w:tcPr>
          <w:p w14:paraId="075DA95F"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-95</w:t>
            </w:r>
          </w:p>
        </w:tc>
        <w:tc>
          <w:tcPr>
            <w:tcW w:w="700" w:type="dxa"/>
            <w:tcBorders>
              <w:top w:val="single" w:sz="4" w:space="0" w:color="ADD6EA"/>
              <w:left w:val="nil"/>
              <w:bottom w:val="nil"/>
              <w:right w:val="nil"/>
            </w:tcBorders>
            <w:shd w:val="clear" w:color="auto" w:fill="auto"/>
            <w:noWrap/>
            <w:vAlign w:val="bottom"/>
            <w:hideMark/>
          </w:tcPr>
          <w:p w14:paraId="2F374C26"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-10</w:t>
            </w:r>
          </w:p>
        </w:tc>
        <w:tc>
          <w:tcPr>
            <w:tcW w:w="700" w:type="dxa"/>
            <w:tcBorders>
              <w:top w:val="single" w:sz="4" w:space="0" w:color="ADD6EA"/>
              <w:left w:val="nil"/>
              <w:bottom w:val="nil"/>
              <w:right w:val="nil"/>
            </w:tcBorders>
            <w:shd w:val="clear" w:color="auto" w:fill="auto"/>
            <w:noWrap/>
            <w:vAlign w:val="bottom"/>
            <w:hideMark/>
          </w:tcPr>
          <w:p w14:paraId="77710ED7"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83</w:t>
            </w:r>
          </w:p>
        </w:tc>
        <w:tc>
          <w:tcPr>
            <w:tcW w:w="640" w:type="dxa"/>
            <w:tcBorders>
              <w:top w:val="single" w:sz="4" w:space="0" w:color="ADD6EA"/>
              <w:left w:val="nil"/>
              <w:bottom w:val="nil"/>
              <w:right w:val="nil"/>
            </w:tcBorders>
            <w:shd w:val="clear" w:color="auto" w:fill="auto"/>
            <w:noWrap/>
            <w:vAlign w:val="bottom"/>
            <w:hideMark/>
          </w:tcPr>
          <w:p w14:paraId="4753416C"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12</w:t>
            </w:r>
          </w:p>
        </w:tc>
        <w:tc>
          <w:tcPr>
            <w:tcW w:w="640" w:type="dxa"/>
            <w:tcBorders>
              <w:top w:val="single" w:sz="4" w:space="0" w:color="ADD6EA"/>
              <w:left w:val="nil"/>
              <w:bottom w:val="nil"/>
              <w:right w:val="nil"/>
            </w:tcBorders>
            <w:shd w:val="clear" w:color="auto" w:fill="auto"/>
            <w:noWrap/>
            <w:vAlign w:val="bottom"/>
            <w:hideMark/>
          </w:tcPr>
          <w:p w14:paraId="600194B0"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3</w:t>
            </w:r>
          </w:p>
        </w:tc>
        <w:tc>
          <w:tcPr>
            <w:tcW w:w="640" w:type="dxa"/>
            <w:tcBorders>
              <w:top w:val="single" w:sz="4" w:space="0" w:color="ADD6EA"/>
              <w:left w:val="nil"/>
              <w:bottom w:val="nil"/>
              <w:right w:val="nil"/>
            </w:tcBorders>
            <w:shd w:val="clear" w:color="auto" w:fill="auto"/>
            <w:noWrap/>
            <w:vAlign w:val="bottom"/>
            <w:hideMark/>
          </w:tcPr>
          <w:p w14:paraId="37B21694"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2</w:t>
            </w:r>
          </w:p>
        </w:tc>
        <w:tc>
          <w:tcPr>
            <w:tcW w:w="620" w:type="dxa"/>
            <w:tcBorders>
              <w:top w:val="single" w:sz="4" w:space="0" w:color="ADD6EA"/>
              <w:left w:val="nil"/>
              <w:bottom w:val="nil"/>
              <w:right w:val="nil"/>
            </w:tcBorders>
            <w:shd w:val="clear" w:color="auto" w:fill="auto"/>
            <w:noWrap/>
            <w:vAlign w:val="bottom"/>
            <w:hideMark/>
          </w:tcPr>
          <w:p w14:paraId="46190228"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w:t>
            </w:r>
          </w:p>
        </w:tc>
        <w:tc>
          <w:tcPr>
            <w:tcW w:w="640" w:type="dxa"/>
            <w:tcBorders>
              <w:top w:val="single" w:sz="4" w:space="0" w:color="ADD6EA"/>
              <w:left w:val="nil"/>
              <w:bottom w:val="nil"/>
              <w:right w:val="nil"/>
            </w:tcBorders>
            <w:shd w:val="clear" w:color="auto" w:fill="auto"/>
            <w:noWrap/>
            <w:vAlign w:val="bottom"/>
            <w:hideMark/>
          </w:tcPr>
          <w:p w14:paraId="4874A2EE"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6</w:t>
            </w:r>
          </w:p>
        </w:tc>
        <w:tc>
          <w:tcPr>
            <w:tcW w:w="720" w:type="dxa"/>
            <w:tcBorders>
              <w:top w:val="single" w:sz="4" w:space="0" w:color="ADD6EA"/>
              <w:left w:val="nil"/>
              <w:bottom w:val="nil"/>
              <w:right w:val="nil"/>
            </w:tcBorders>
            <w:shd w:val="clear" w:color="auto" w:fill="auto"/>
            <w:noWrap/>
            <w:vAlign w:val="bottom"/>
            <w:hideMark/>
          </w:tcPr>
          <w:p w14:paraId="3D9B5B9A"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0</w:t>
            </w:r>
          </w:p>
        </w:tc>
      </w:tr>
      <w:tr w:rsidR="00DA443E" w:rsidRPr="00DA443E" w14:paraId="3B52E8F8" w14:textId="77777777" w:rsidTr="00DA443E">
        <w:trPr>
          <w:trHeight w:val="315"/>
        </w:trPr>
        <w:tc>
          <w:tcPr>
            <w:tcW w:w="2940" w:type="dxa"/>
            <w:tcBorders>
              <w:top w:val="single" w:sz="4" w:space="0" w:color="ADD6EA"/>
              <w:left w:val="nil"/>
              <w:bottom w:val="nil"/>
              <w:right w:val="nil"/>
            </w:tcBorders>
            <w:shd w:val="clear" w:color="auto" w:fill="auto"/>
            <w:vAlign w:val="bottom"/>
            <w:hideMark/>
          </w:tcPr>
          <w:p w14:paraId="43FC8C44" w14:textId="77777777" w:rsidR="00DA443E" w:rsidRPr="00DA443E" w:rsidRDefault="00DA443E" w:rsidP="00DA443E">
            <w:pPr>
              <w:tabs>
                <w:tab w:val="clear" w:pos="567"/>
              </w:tabs>
              <w:spacing w:before="0" w:line="240" w:lineRule="auto"/>
              <w:ind w:firstLineChars="200" w:firstLine="320"/>
              <w:rPr>
                <w:rFonts w:eastAsia="Times New Roman" w:cs="Open Sans Light"/>
                <w:color w:val="000000"/>
                <w:sz w:val="16"/>
                <w:szCs w:val="16"/>
                <w:lang w:eastAsia="en-AU"/>
              </w:rPr>
            </w:pPr>
            <w:r w:rsidRPr="00DA443E">
              <w:rPr>
                <w:rFonts w:eastAsia="Times New Roman" w:cs="Open Sans Light"/>
                <w:color w:val="000000"/>
                <w:sz w:val="16"/>
                <w:szCs w:val="16"/>
                <w:lang w:eastAsia="en-AU"/>
              </w:rPr>
              <w:t>Pool (c)</w:t>
            </w:r>
          </w:p>
        </w:tc>
        <w:tc>
          <w:tcPr>
            <w:tcW w:w="700" w:type="dxa"/>
            <w:tcBorders>
              <w:top w:val="single" w:sz="4" w:space="0" w:color="ADD6EA"/>
              <w:left w:val="nil"/>
              <w:bottom w:val="nil"/>
              <w:right w:val="nil"/>
            </w:tcBorders>
            <w:shd w:val="clear" w:color="auto" w:fill="auto"/>
            <w:noWrap/>
            <w:vAlign w:val="bottom"/>
            <w:hideMark/>
          </w:tcPr>
          <w:p w14:paraId="4A9DF3CE"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1,309</w:t>
            </w:r>
          </w:p>
        </w:tc>
        <w:tc>
          <w:tcPr>
            <w:tcW w:w="700" w:type="dxa"/>
            <w:tcBorders>
              <w:top w:val="single" w:sz="4" w:space="0" w:color="ADD6EA"/>
              <w:left w:val="nil"/>
              <w:bottom w:val="nil"/>
              <w:right w:val="nil"/>
            </w:tcBorders>
            <w:shd w:val="clear" w:color="auto" w:fill="auto"/>
            <w:noWrap/>
            <w:vAlign w:val="bottom"/>
            <w:hideMark/>
          </w:tcPr>
          <w:p w14:paraId="289EFD47"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1,035</w:t>
            </w:r>
          </w:p>
        </w:tc>
        <w:tc>
          <w:tcPr>
            <w:tcW w:w="700" w:type="dxa"/>
            <w:tcBorders>
              <w:top w:val="single" w:sz="4" w:space="0" w:color="ADD6EA"/>
              <w:left w:val="nil"/>
              <w:bottom w:val="nil"/>
              <w:right w:val="nil"/>
            </w:tcBorders>
            <w:shd w:val="clear" w:color="auto" w:fill="auto"/>
            <w:noWrap/>
            <w:vAlign w:val="bottom"/>
            <w:hideMark/>
          </w:tcPr>
          <w:p w14:paraId="766765A8"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941</w:t>
            </w:r>
          </w:p>
        </w:tc>
        <w:tc>
          <w:tcPr>
            <w:tcW w:w="640" w:type="dxa"/>
            <w:tcBorders>
              <w:top w:val="single" w:sz="4" w:space="0" w:color="ADD6EA"/>
              <w:left w:val="nil"/>
              <w:bottom w:val="nil"/>
              <w:right w:val="nil"/>
            </w:tcBorders>
            <w:shd w:val="clear" w:color="auto" w:fill="auto"/>
            <w:noWrap/>
            <w:vAlign w:val="bottom"/>
            <w:hideMark/>
          </w:tcPr>
          <w:p w14:paraId="77B3C834"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191</w:t>
            </w:r>
          </w:p>
        </w:tc>
        <w:tc>
          <w:tcPr>
            <w:tcW w:w="640" w:type="dxa"/>
            <w:tcBorders>
              <w:top w:val="single" w:sz="4" w:space="0" w:color="ADD6EA"/>
              <w:left w:val="nil"/>
              <w:bottom w:val="nil"/>
              <w:right w:val="nil"/>
            </w:tcBorders>
            <w:shd w:val="clear" w:color="auto" w:fill="auto"/>
            <w:noWrap/>
            <w:vAlign w:val="bottom"/>
            <w:hideMark/>
          </w:tcPr>
          <w:p w14:paraId="47145B91"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404</w:t>
            </w:r>
          </w:p>
        </w:tc>
        <w:tc>
          <w:tcPr>
            <w:tcW w:w="640" w:type="dxa"/>
            <w:tcBorders>
              <w:top w:val="single" w:sz="4" w:space="0" w:color="ADD6EA"/>
              <w:left w:val="nil"/>
              <w:bottom w:val="nil"/>
              <w:right w:val="nil"/>
            </w:tcBorders>
            <w:shd w:val="clear" w:color="auto" w:fill="auto"/>
            <w:noWrap/>
            <w:vAlign w:val="bottom"/>
            <w:hideMark/>
          </w:tcPr>
          <w:p w14:paraId="73099A12"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180</w:t>
            </w:r>
          </w:p>
        </w:tc>
        <w:tc>
          <w:tcPr>
            <w:tcW w:w="620" w:type="dxa"/>
            <w:tcBorders>
              <w:top w:val="single" w:sz="4" w:space="0" w:color="ADD6EA"/>
              <w:left w:val="nil"/>
              <w:bottom w:val="nil"/>
              <w:right w:val="nil"/>
            </w:tcBorders>
            <w:shd w:val="clear" w:color="auto" w:fill="auto"/>
            <w:noWrap/>
            <w:vAlign w:val="bottom"/>
            <w:hideMark/>
          </w:tcPr>
          <w:p w14:paraId="5268A0EB"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85</w:t>
            </w:r>
          </w:p>
        </w:tc>
        <w:tc>
          <w:tcPr>
            <w:tcW w:w="640" w:type="dxa"/>
            <w:tcBorders>
              <w:top w:val="single" w:sz="4" w:space="0" w:color="ADD6EA"/>
              <w:left w:val="nil"/>
              <w:bottom w:val="nil"/>
              <w:right w:val="nil"/>
            </w:tcBorders>
            <w:shd w:val="clear" w:color="auto" w:fill="auto"/>
            <w:noWrap/>
            <w:vAlign w:val="bottom"/>
            <w:hideMark/>
          </w:tcPr>
          <w:p w14:paraId="12F2454B"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201</w:t>
            </w:r>
          </w:p>
        </w:tc>
        <w:tc>
          <w:tcPr>
            <w:tcW w:w="720" w:type="dxa"/>
            <w:tcBorders>
              <w:top w:val="single" w:sz="4" w:space="0" w:color="ADD6EA"/>
              <w:left w:val="nil"/>
              <w:bottom w:val="nil"/>
              <w:right w:val="nil"/>
            </w:tcBorders>
            <w:shd w:val="clear" w:color="auto" w:fill="auto"/>
            <w:noWrap/>
            <w:vAlign w:val="bottom"/>
            <w:hideMark/>
          </w:tcPr>
          <w:p w14:paraId="735913A0"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4,346</w:t>
            </w:r>
          </w:p>
        </w:tc>
      </w:tr>
      <w:tr w:rsidR="00DA443E" w:rsidRPr="00DA443E" w14:paraId="5A1B8209" w14:textId="77777777" w:rsidTr="00DA443E">
        <w:trPr>
          <w:trHeight w:val="315"/>
        </w:trPr>
        <w:tc>
          <w:tcPr>
            <w:tcW w:w="2940" w:type="dxa"/>
            <w:tcBorders>
              <w:top w:val="single" w:sz="4" w:space="0" w:color="ADD6EA"/>
              <w:left w:val="nil"/>
              <w:bottom w:val="nil"/>
              <w:right w:val="nil"/>
            </w:tcBorders>
            <w:shd w:val="clear" w:color="auto" w:fill="auto"/>
            <w:vAlign w:val="bottom"/>
            <w:hideMark/>
          </w:tcPr>
          <w:p w14:paraId="76C05811" w14:textId="77777777" w:rsidR="00DA443E" w:rsidRPr="00DA443E" w:rsidRDefault="00DA443E" w:rsidP="00DA443E">
            <w:pPr>
              <w:tabs>
                <w:tab w:val="clear" w:pos="567"/>
              </w:tabs>
              <w:spacing w:before="0" w:line="240" w:lineRule="auto"/>
              <w:ind w:firstLineChars="200" w:firstLine="320"/>
              <w:rPr>
                <w:rFonts w:eastAsia="Times New Roman" w:cs="Open Sans Light"/>
                <w:color w:val="000000"/>
                <w:sz w:val="16"/>
                <w:szCs w:val="16"/>
                <w:lang w:eastAsia="en-AU"/>
              </w:rPr>
            </w:pPr>
            <w:r w:rsidRPr="00DA443E">
              <w:rPr>
                <w:rFonts w:eastAsia="Times New Roman" w:cs="Open Sans Light"/>
                <w:color w:val="000000"/>
                <w:sz w:val="16"/>
                <w:szCs w:val="16"/>
                <w:lang w:eastAsia="en-AU"/>
              </w:rPr>
              <w:t>GST relativities (d)</w:t>
            </w:r>
          </w:p>
        </w:tc>
        <w:tc>
          <w:tcPr>
            <w:tcW w:w="700" w:type="dxa"/>
            <w:tcBorders>
              <w:top w:val="single" w:sz="4" w:space="0" w:color="ADD6EA"/>
              <w:left w:val="nil"/>
              <w:bottom w:val="nil"/>
              <w:right w:val="nil"/>
            </w:tcBorders>
            <w:shd w:val="clear" w:color="auto" w:fill="auto"/>
            <w:noWrap/>
            <w:vAlign w:val="bottom"/>
            <w:hideMark/>
          </w:tcPr>
          <w:p w14:paraId="4BFF8C8B"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-102</w:t>
            </w:r>
          </w:p>
        </w:tc>
        <w:tc>
          <w:tcPr>
            <w:tcW w:w="700" w:type="dxa"/>
            <w:tcBorders>
              <w:top w:val="single" w:sz="4" w:space="0" w:color="ADD6EA"/>
              <w:left w:val="nil"/>
              <w:bottom w:val="nil"/>
              <w:right w:val="nil"/>
            </w:tcBorders>
            <w:shd w:val="clear" w:color="auto" w:fill="auto"/>
            <w:noWrap/>
            <w:vAlign w:val="bottom"/>
            <w:hideMark/>
          </w:tcPr>
          <w:p w14:paraId="25BFA0D1"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-1,269</w:t>
            </w:r>
          </w:p>
        </w:tc>
        <w:tc>
          <w:tcPr>
            <w:tcW w:w="700" w:type="dxa"/>
            <w:tcBorders>
              <w:top w:val="single" w:sz="4" w:space="0" w:color="ADD6EA"/>
              <w:left w:val="nil"/>
              <w:bottom w:val="nil"/>
              <w:right w:val="nil"/>
            </w:tcBorders>
            <w:shd w:val="clear" w:color="auto" w:fill="auto"/>
            <w:noWrap/>
            <w:vAlign w:val="bottom"/>
            <w:hideMark/>
          </w:tcPr>
          <w:p w14:paraId="4389301E"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-379</w:t>
            </w:r>
          </w:p>
        </w:tc>
        <w:tc>
          <w:tcPr>
            <w:tcW w:w="640" w:type="dxa"/>
            <w:tcBorders>
              <w:top w:val="single" w:sz="4" w:space="0" w:color="ADD6EA"/>
              <w:left w:val="nil"/>
              <w:bottom w:val="nil"/>
              <w:right w:val="nil"/>
            </w:tcBorders>
            <w:shd w:val="clear" w:color="auto" w:fill="auto"/>
            <w:noWrap/>
            <w:vAlign w:val="bottom"/>
            <w:hideMark/>
          </w:tcPr>
          <w:p w14:paraId="0107BF9A"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2,280</w:t>
            </w:r>
          </w:p>
        </w:tc>
        <w:tc>
          <w:tcPr>
            <w:tcW w:w="640" w:type="dxa"/>
            <w:tcBorders>
              <w:top w:val="single" w:sz="4" w:space="0" w:color="ADD6EA"/>
              <w:left w:val="nil"/>
              <w:bottom w:val="nil"/>
              <w:right w:val="nil"/>
            </w:tcBorders>
            <w:shd w:val="clear" w:color="auto" w:fill="auto"/>
            <w:noWrap/>
            <w:vAlign w:val="bottom"/>
            <w:hideMark/>
          </w:tcPr>
          <w:p w14:paraId="214E1C1D"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-327</w:t>
            </w:r>
          </w:p>
        </w:tc>
        <w:tc>
          <w:tcPr>
            <w:tcW w:w="640" w:type="dxa"/>
            <w:tcBorders>
              <w:top w:val="single" w:sz="4" w:space="0" w:color="ADD6EA"/>
              <w:left w:val="nil"/>
              <w:bottom w:val="nil"/>
              <w:right w:val="nil"/>
            </w:tcBorders>
            <w:shd w:val="clear" w:color="auto" w:fill="auto"/>
            <w:noWrap/>
            <w:vAlign w:val="bottom"/>
            <w:hideMark/>
          </w:tcPr>
          <w:p w14:paraId="4C993B9C"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-171</w:t>
            </w:r>
          </w:p>
        </w:tc>
        <w:tc>
          <w:tcPr>
            <w:tcW w:w="620" w:type="dxa"/>
            <w:tcBorders>
              <w:top w:val="single" w:sz="4" w:space="0" w:color="ADD6EA"/>
              <w:left w:val="nil"/>
              <w:bottom w:val="nil"/>
              <w:right w:val="nil"/>
            </w:tcBorders>
            <w:shd w:val="clear" w:color="auto" w:fill="auto"/>
            <w:noWrap/>
            <w:vAlign w:val="bottom"/>
            <w:hideMark/>
          </w:tcPr>
          <w:p w14:paraId="2D90A20F"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-89</w:t>
            </w:r>
          </w:p>
        </w:tc>
        <w:tc>
          <w:tcPr>
            <w:tcW w:w="640" w:type="dxa"/>
            <w:tcBorders>
              <w:top w:val="single" w:sz="4" w:space="0" w:color="ADD6EA"/>
              <w:left w:val="nil"/>
              <w:bottom w:val="nil"/>
              <w:right w:val="nil"/>
            </w:tcBorders>
            <w:shd w:val="clear" w:color="auto" w:fill="auto"/>
            <w:noWrap/>
            <w:vAlign w:val="bottom"/>
            <w:hideMark/>
          </w:tcPr>
          <w:p w14:paraId="20A5D518"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57</w:t>
            </w:r>
          </w:p>
        </w:tc>
        <w:tc>
          <w:tcPr>
            <w:tcW w:w="720" w:type="dxa"/>
            <w:tcBorders>
              <w:top w:val="single" w:sz="4" w:space="0" w:color="ADD6EA"/>
              <w:left w:val="nil"/>
              <w:bottom w:val="nil"/>
              <w:right w:val="nil"/>
            </w:tcBorders>
            <w:shd w:val="clear" w:color="auto" w:fill="auto"/>
            <w:noWrap/>
            <w:vAlign w:val="bottom"/>
            <w:hideMark/>
          </w:tcPr>
          <w:p w14:paraId="14ECC3AD" w14:textId="77777777" w:rsidR="00DA443E" w:rsidRPr="00DA443E" w:rsidRDefault="00DA443E" w:rsidP="00DA443E">
            <w:pPr>
              <w:tabs>
                <w:tab w:val="clear" w:pos="567"/>
              </w:tabs>
              <w:spacing w:before="0" w:line="240" w:lineRule="auto"/>
              <w:jc w:val="right"/>
              <w:rPr>
                <w:rFonts w:eastAsia="Times New Roman" w:cs="Open Sans Light"/>
                <w:color w:val="000000"/>
                <w:sz w:val="16"/>
                <w:szCs w:val="16"/>
                <w:lang w:eastAsia="en-AU"/>
              </w:rPr>
            </w:pPr>
            <w:r w:rsidRPr="00DA443E">
              <w:rPr>
                <w:rFonts w:eastAsia="Times New Roman" w:cs="Open Sans Light"/>
                <w:color w:val="000000"/>
                <w:sz w:val="16"/>
                <w:szCs w:val="16"/>
                <w:lang w:eastAsia="en-AU"/>
              </w:rPr>
              <w:t>0</w:t>
            </w:r>
          </w:p>
        </w:tc>
      </w:tr>
      <w:tr w:rsidR="00DA443E" w:rsidRPr="00DA443E" w14:paraId="415337B7" w14:textId="77777777" w:rsidTr="00DA443E">
        <w:trPr>
          <w:trHeight w:val="315"/>
        </w:trPr>
        <w:tc>
          <w:tcPr>
            <w:tcW w:w="2940" w:type="dxa"/>
            <w:tcBorders>
              <w:top w:val="single" w:sz="4" w:space="0" w:color="ADD6EA"/>
              <w:left w:val="nil"/>
              <w:bottom w:val="nil"/>
              <w:right w:val="nil"/>
            </w:tcBorders>
            <w:shd w:val="clear" w:color="000000" w:fill="D6E7F0"/>
            <w:vAlign w:val="bottom"/>
            <w:hideMark/>
          </w:tcPr>
          <w:p w14:paraId="6C588A54" w14:textId="2745C607" w:rsidR="00DA443E" w:rsidRPr="00DA443E" w:rsidRDefault="00DA443E" w:rsidP="00DA443E">
            <w:pPr>
              <w:tabs>
                <w:tab w:val="clear" w:pos="567"/>
              </w:tabs>
              <w:spacing w:before="0" w:line="240" w:lineRule="auto"/>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Change ($m)</w:t>
            </w:r>
            <w:r w:rsidR="008539E5">
              <w:rPr>
                <w:rFonts w:ascii="Open Sans Semibold" w:eastAsia="Times New Roman" w:hAnsi="Open Sans Semibold" w:cs="Open Sans Semibold"/>
                <w:color w:val="000000"/>
                <w:sz w:val="16"/>
                <w:szCs w:val="16"/>
                <w:lang w:eastAsia="en-AU"/>
              </w:rPr>
              <w:t xml:space="preserve"> (e</w:t>
            </w:r>
            <w:r w:rsidR="00E30994">
              <w:rPr>
                <w:rFonts w:ascii="Open Sans Semibold" w:eastAsia="Times New Roman" w:hAnsi="Open Sans Semibold" w:cs="Open Sans Semibold"/>
                <w:color w:val="000000"/>
                <w:sz w:val="16"/>
                <w:szCs w:val="16"/>
                <w:lang w:eastAsia="en-AU"/>
              </w:rPr>
              <w:t>)</w:t>
            </w:r>
          </w:p>
        </w:tc>
        <w:tc>
          <w:tcPr>
            <w:tcW w:w="700" w:type="dxa"/>
            <w:tcBorders>
              <w:top w:val="single" w:sz="4" w:space="0" w:color="ADD6EA"/>
              <w:left w:val="nil"/>
              <w:bottom w:val="nil"/>
              <w:right w:val="nil"/>
            </w:tcBorders>
            <w:shd w:val="clear" w:color="000000" w:fill="D6E7F0"/>
            <w:noWrap/>
            <w:vAlign w:val="bottom"/>
            <w:hideMark/>
          </w:tcPr>
          <w:p w14:paraId="1BBFAA69"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1,111</w:t>
            </w:r>
          </w:p>
        </w:tc>
        <w:tc>
          <w:tcPr>
            <w:tcW w:w="700" w:type="dxa"/>
            <w:tcBorders>
              <w:top w:val="single" w:sz="4" w:space="0" w:color="ADD6EA"/>
              <w:left w:val="nil"/>
              <w:bottom w:val="nil"/>
              <w:right w:val="nil"/>
            </w:tcBorders>
            <w:shd w:val="clear" w:color="000000" w:fill="D6E7F0"/>
            <w:noWrap/>
            <w:vAlign w:val="bottom"/>
            <w:hideMark/>
          </w:tcPr>
          <w:p w14:paraId="22F93538"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-244</w:t>
            </w:r>
          </w:p>
        </w:tc>
        <w:tc>
          <w:tcPr>
            <w:tcW w:w="700" w:type="dxa"/>
            <w:tcBorders>
              <w:top w:val="single" w:sz="4" w:space="0" w:color="ADD6EA"/>
              <w:left w:val="nil"/>
              <w:bottom w:val="nil"/>
              <w:right w:val="nil"/>
            </w:tcBorders>
            <w:shd w:val="clear" w:color="000000" w:fill="D6E7F0"/>
            <w:noWrap/>
            <w:vAlign w:val="bottom"/>
            <w:hideMark/>
          </w:tcPr>
          <w:p w14:paraId="4D7B6C3A"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645</w:t>
            </w:r>
          </w:p>
        </w:tc>
        <w:tc>
          <w:tcPr>
            <w:tcW w:w="640" w:type="dxa"/>
            <w:tcBorders>
              <w:top w:val="single" w:sz="4" w:space="0" w:color="ADD6EA"/>
              <w:left w:val="nil"/>
              <w:bottom w:val="nil"/>
              <w:right w:val="nil"/>
            </w:tcBorders>
            <w:shd w:val="clear" w:color="000000" w:fill="D6E7F0"/>
            <w:noWrap/>
            <w:vAlign w:val="bottom"/>
            <w:hideMark/>
          </w:tcPr>
          <w:p w14:paraId="12F3C078"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2,483</w:t>
            </w:r>
          </w:p>
        </w:tc>
        <w:tc>
          <w:tcPr>
            <w:tcW w:w="640" w:type="dxa"/>
            <w:tcBorders>
              <w:top w:val="single" w:sz="4" w:space="0" w:color="ADD6EA"/>
              <w:left w:val="nil"/>
              <w:bottom w:val="nil"/>
              <w:right w:val="nil"/>
            </w:tcBorders>
            <w:shd w:val="clear" w:color="000000" w:fill="D6E7F0"/>
            <w:noWrap/>
            <w:vAlign w:val="bottom"/>
            <w:hideMark/>
          </w:tcPr>
          <w:p w14:paraId="2C2B7571"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80</w:t>
            </w:r>
          </w:p>
        </w:tc>
        <w:tc>
          <w:tcPr>
            <w:tcW w:w="640" w:type="dxa"/>
            <w:tcBorders>
              <w:top w:val="single" w:sz="4" w:space="0" w:color="ADD6EA"/>
              <w:left w:val="nil"/>
              <w:bottom w:val="nil"/>
              <w:right w:val="nil"/>
            </w:tcBorders>
            <w:shd w:val="clear" w:color="000000" w:fill="D6E7F0"/>
            <w:noWrap/>
            <w:vAlign w:val="bottom"/>
            <w:hideMark/>
          </w:tcPr>
          <w:p w14:paraId="1A452C39"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11</w:t>
            </w:r>
          </w:p>
        </w:tc>
        <w:tc>
          <w:tcPr>
            <w:tcW w:w="620" w:type="dxa"/>
            <w:tcBorders>
              <w:top w:val="single" w:sz="4" w:space="0" w:color="ADD6EA"/>
              <w:left w:val="nil"/>
              <w:bottom w:val="nil"/>
              <w:right w:val="nil"/>
            </w:tcBorders>
            <w:shd w:val="clear" w:color="000000" w:fill="D6E7F0"/>
            <w:noWrap/>
            <w:vAlign w:val="bottom"/>
            <w:hideMark/>
          </w:tcPr>
          <w:p w14:paraId="6ABE34B6"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-5</w:t>
            </w:r>
          </w:p>
        </w:tc>
        <w:tc>
          <w:tcPr>
            <w:tcW w:w="640" w:type="dxa"/>
            <w:tcBorders>
              <w:top w:val="single" w:sz="4" w:space="0" w:color="ADD6EA"/>
              <w:left w:val="nil"/>
              <w:bottom w:val="nil"/>
              <w:right w:val="nil"/>
            </w:tcBorders>
            <w:shd w:val="clear" w:color="000000" w:fill="D6E7F0"/>
            <w:noWrap/>
            <w:vAlign w:val="bottom"/>
            <w:hideMark/>
          </w:tcPr>
          <w:p w14:paraId="1DF91830"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265</w:t>
            </w:r>
          </w:p>
        </w:tc>
        <w:tc>
          <w:tcPr>
            <w:tcW w:w="720" w:type="dxa"/>
            <w:tcBorders>
              <w:top w:val="single" w:sz="4" w:space="0" w:color="ADD6EA"/>
              <w:left w:val="nil"/>
              <w:bottom w:val="nil"/>
              <w:right w:val="nil"/>
            </w:tcBorders>
            <w:shd w:val="clear" w:color="000000" w:fill="D6E7F0"/>
            <w:noWrap/>
            <w:vAlign w:val="bottom"/>
            <w:hideMark/>
          </w:tcPr>
          <w:p w14:paraId="7821BCC1"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4,346</w:t>
            </w:r>
          </w:p>
        </w:tc>
      </w:tr>
      <w:tr w:rsidR="00DA443E" w:rsidRPr="00DA443E" w14:paraId="18C3B887" w14:textId="77777777" w:rsidTr="00DA443E">
        <w:trPr>
          <w:trHeight w:val="315"/>
        </w:trPr>
        <w:tc>
          <w:tcPr>
            <w:tcW w:w="2940" w:type="dxa"/>
            <w:tcBorders>
              <w:top w:val="single" w:sz="4" w:space="0" w:color="ADD6EA"/>
              <w:left w:val="nil"/>
              <w:bottom w:val="single" w:sz="4" w:space="0" w:color="ADD6EA"/>
              <w:right w:val="nil"/>
            </w:tcBorders>
            <w:shd w:val="clear" w:color="000000" w:fill="D6E7F0"/>
            <w:vAlign w:val="bottom"/>
            <w:hideMark/>
          </w:tcPr>
          <w:p w14:paraId="308D4E35" w14:textId="77777777" w:rsidR="00DA443E" w:rsidRPr="00DA443E" w:rsidRDefault="00DA443E" w:rsidP="00DA443E">
            <w:pPr>
              <w:tabs>
                <w:tab w:val="clear" w:pos="567"/>
              </w:tabs>
              <w:spacing w:before="0" w:line="240" w:lineRule="auto"/>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Change ($pc)</w:t>
            </w:r>
          </w:p>
        </w:tc>
        <w:tc>
          <w:tcPr>
            <w:tcW w:w="700" w:type="dxa"/>
            <w:tcBorders>
              <w:top w:val="single" w:sz="4" w:space="0" w:color="ADD6EA"/>
              <w:left w:val="nil"/>
              <w:bottom w:val="single" w:sz="4" w:space="0" w:color="ADD6EA"/>
              <w:right w:val="nil"/>
            </w:tcBorders>
            <w:shd w:val="clear" w:color="000000" w:fill="D6E7F0"/>
            <w:noWrap/>
            <w:vAlign w:val="bottom"/>
            <w:hideMark/>
          </w:tcPr>
          <w:p w14:paraId="37FE2238"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136</w:t>
            </w:r>
          </w:p>
        </w:tc>
        <w:tc>
          <w:tcPr>
            <w:tcW w:w="700" w:type="dxa"/>
            <w:tcBorders>
              <w:top w:val="single" w:sz="4" w:space="0" w:color="ADD6EA"/>
              <w:left w:val="nil"/>
              <w:bottom w:val="single" w:sz="4" w:space="0" w:color="ADD6EA"/>
              <w:right w:val="nil"/>
            </w:tcBorders>
            <w:shd w:val="clear" w:color="000000" w:fill="D6E7F0"/>
            <w:noWrap/>
            <w:vAlign w:val="bottom"/>
            <w:hideMark/>
          </w:tcPr>
          <w:p w14:paraId="2B738574"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-36</w:t>
            </w:r>
          </w:p>
        </w:tc>
        <w:tc>
          <w:tcPr>
            <w:tcW w:w="700" w:type="dxa"/>
            <w:tcBorders>
              <w:top w:val="single" w:sz="4" w:space="0" w:color="ADD6EA"/>
              <w:left w:val="nil"/>
              <w:bottom w:val="single" w:sz="4" w:space="0" w:color="ADD6EA"/>
              <w:right w:val="nil"/>
            </w:tcBorders>
            <w:shd w:val="clear" w:color="000000" w:fill="D6E7F0"/>
            <w:noWrap/>
            <w:vAlign w:val="bottom"/>
            <w:hideMark/>
          </w:tcPr>
          <w:p w14:paraId="09D37515"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121</w:t>
            </w:r>
          </w:p>
        </w:tc>
        <w:tc>
          <w:tcPr>
            <w:tcW w:w="640" w:type="dxa"/>
            <w:tcBorders>
              <w:top w:val="single" w:sz="4" w:space="0" w:color="ADD6EA"/>
              <w:left w:val="nil"/>
              <w:bottom w:val="single" w:sz="4" w:space="0" w:color="ADD6EA"/>
              <w:right w:val="nil"/>
            </w:tcBorders>
            <w:shd w:val="clear" w:color="000000" w:fill="D6E7F0"/>
            <w:noWrap/>
            <w:vAlign w:val="bottom"/>
            <w:hideMark/>
          </w:tcPr>
          <w:p w14:paraId="103F541D"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912</w:t>
            </w:r>
          </w:p>
        </w:tc>
        <w:tc>
          <w:tcPr>
            <w:tcW w:w="640" w:type="dxa"/>
            <w:tcBorders>
              <w:top w:val="single" w:sz="4" w:space="0" w:color="ADD6EA"/>
              <w:left w:val="nil"/>
              <w:bottom w:val="single" w:sz="4" w:space="0" w:color="ADD6EA"/>
              <w:right w:val="nil"/>
            </w:tcBorders>
            <w:shd w:val="clear" w:color="000000" w:fill="D6E7F0"/>
            <w:noWrap/>
            <w:vAlign w:val="bottom"/>
            <w:hideMark/>
          </w:tcPr>
          <w:p w14:paraId="688A99D3"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45</w:t>
            </w:r>
          </w:p>
        </w:tc>
        <w:tc>
          <w:tcPr>
            <w:tcW w:w="640" w:type="dxa"/>
            <w:tcBorders>
              <w:top w:val="single" w:sz="4" w:space="0" w:color="ADD6EA"/>
              <w:left w:val="nil"/>
              <w:bottom w:val="single" w:sz="4" w:space="0" w:color="ADD6EA"/>
              <w:right w:val="nil"/>
            </w:tcBorders>
            <w:shd w:val="clear" w:color="000000" w:fill="D6E7F0"/>
            <w:noWrap/>
            <w:vAlign w:val="bottom"/>
            <w:hideMark/>
          </w:tcPr>
          <w:p w14:paraId="283C23D2"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20</w:t>
            </w:r>
          </w:p>
        </w:tc>
        <w:tc>
          <w:tcPr>
            <w:tcW w:w="620" w:type="dxa"/>
            <w:tcBorders>
              <w:top w:val="single" w:sz="4" w:space="0" w:color="ADD6EA"/>
              <w:left w:val="nil"/>
              <w:bottom w:val="single" w:sz="4" w:space="0" w:color="ADD6EA"/>
              <w:right w:val="nil"/>
            </w:tcBorders>
            <w:shd w:val="clear" w:color="000000" w:fill="D6E7F0"/>
            <w:noWrap/>
            <w:vAlign w:val="bottom"/>
            <w:hideMark/>
          </w:tcPr>
          <w:p w14:paraId="263705E8"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-12</w:t>
            </w:r>
          </w:p>
        </w:tc>
        <w:tc>
          <w:tcPr>
            <w:tcW w:w="640" w:type="dxa"/>
            <w:tcBorders>
              <w:top w:val="single" w:sz="4" w:space="0" w:color="ADD6EA"/>
              <w:left w:val="nil"/>
              <w:bottom w:val="single" w:sz="4" w:space="0" w:color="ADD6EA"/>
              <w:right w:val="nil"/>
            </w:tcBorders>
            <w:shd w:val="clear" w:color="000000" w:fill="D6E7F0"/>
            <w:noWrap/>
            <w:vAlign w:val="bottom"/>
            <w:hideMark/>
          </w:tcPr>
          <w:p w14:paraId="27EA6E39"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1,055</w:t>
            </w:r>
          </w:p>
        </w:tc>
        <w:tc>
          <w:tcPr>
            <w:tcW w:w="720" w:type="dxa"/>
            <w:tcBorders>
              <w:top w:val="single" w:sz="4" w:space="0" w:color="ADD6EA"/>
              <w:left w:val="nil"/>
              <w:bottom w:val="single" w:sz="4" w:space="0" w:color="ADD6EA"/>
              <w:right w:val="nil"/>
            </w:tcBorders>
            <w:shd w:val="clear" w:color="000000" w:fill="D6E7F0"/>
            <w:noWrap/>
            <w:vAlign w:val="bottom"/>
            <w:hideMark/>
          </w:tcPr>
          <w:p w14:paraId="67934B7C" w14:textId="77777777" w:rsidR="00DA443E" w:rsidRPr="00DA443E" w:rsidRDefault="00DA443E" w:rsidP="00DA443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A443E">
              <w:rPr>
                <w:rFonts w:ascii="Open Sans Semibold" w:eastAsia="Times New Roman" w:hAnsi="Open Sans Semibold" w:cs="Open Sans Semibold"/>
                <w:color w:val="000000"/>
                <w:sz w:val="16"/>
                <w:szCs w:val="16"/>
                <w:lang w:eastAsia="en-AU"/>
              </w:rPr>
              <w:t>167</w:t>
            </w:r>
          </w:p>
        </w:tc>
      </w:tr>
    </w:tbl>
    <w:p w14:paraId="45AB8374" w14:textId="669262CD" w:rsidR="00F81DE7" w:rsidRDefault="00F81DE7" w:rsidP="008F1CC6">
      <w:pPr>
        <w:pStyle w:val="CGCTablenote"/>
      </w:pPr>
      <w:r>
        <w:t>(a)</w:t>
      </w:r>
      <w:r>
        <w:tab/>
      </w:r>
      <w:r w:rsidRPr="00A80FDD">
        <w:t>Since 2019</w:t>
      </w:r>
      <w:r>
        <w:t>–</w:t>
      </w:r>
      <w:r w:rsidRPr="00A80FDD">
        <w:t xml:space="preserve">20, the Commonwealth has also made supplementary payments to deliver an outcome at least equivalent to a relativity of 0.7 to Western Australia. This </w:t>
      </w:r>
      <w:r>
        <w:t>no longer</w:t>
      </w:r>
      <w:r w:rsidRPr="00A80FDD">
        <w:t xml:space="preserve"> </w:t>
      </w:r>
      <w:r>
        <w:t>applies</w:t>
      </w:r>
      <w:r w:rsidRPr="00A80FDD">
        <w:t xml:space="preserve"> in 2022</w:t>
      </w:r>
      <w:r>
        <w:t>–</w:t>
      </w:r>
      <w:r w:rsidRPr="00A80FDD">
        <w:t>23.</w:t>
      </w:r>
    </w:p>
    <w:p w14:paraId="38F1DF20" w14:textId="0FDD2EC9" w:rsidR="00A80FDD" w:rsidRPr="002E1242" w:rsidRDefault="00A80FDD" w:rsidP="008F1CC6">
      <w:pPr>
        <w:pStyle w:val="CGCTablenote"/>
      </w:pPr>
      <w:r w:rsidRPr="00A80FDD">
        <w:t>(</w:t>
      </w:r>
      <w:r w:rsidR="00F81DE7">
        <w:t>b</w:t>
      </w:r>
      <w:r w:rsidRPr="00A80FDD">
        <w:t>)</w:t>
      </w:r>
      <w:r w:rsidRPr="00A80FDD">
        <w:tab/>
      </w:r>
      <w:r w:rsidRPr="002E1242">
        <w:t>Effects on the distribution of 202</w:t>
      </w:r>
      <w:r w:rsidR="00340D1F" w:rsidRPr="002E1242">
        <w:t>1</w:t>
      </w:r>
      <w:r w:rsidR="001E4912" w:rsidRPr="002E1242">
        <w:t>–</w:t>
      </w:r>
      <w:r w:rsidRPr="002E1242">
        <w:t>2</w:t>
      </w:r>
      <w:r w:rsidR="00340D1F" w:rsidRPr="002E1242">
        <w:t>2</w:t>
      </w:r>
      <w:r w:rsidRPr="002E1242">
        <w:t xml:space="preserve"> GST pool of using estimated state populations as at December 2022 instead of December 2021, with 2021</w:t>
      </w:r>
      <w:r w:rsidR="008E0A7F" w:rsidRPr="002E1242">
        <w:t> </w:t>
      </w:r>
      <w:r w:rsidRPr="002E1242">
        <w:t>Update relativities.</w:t>
      </w:r>
    </w:p>
    <w:p w14:paraId="3209A7CA" w14:textId="7861FE26" w:rsidR="00A80FDD" w:rsidRPr="00A80FDD" w:rsidRDefault="00A80FDD" w:rsidP="008F1CC6">
      <w:pPr>
        <w:pStyle w:val="CGCTablenote"/>
      </w:pPr>
      <w:r w:rsidRPr="002E1242">
        <w:t>(</w:t>
      </w:r>
      <w:r w:rsidR="00F81DE7" w:rsidRPr="002E1242">
        <w:t>c</w:t>
      </w:r>
      <w:r w:rsidRPr="002E1242">
        <w:t>)</w:t>
      </w:r>
      <w:r w:rsidRPr="002E1242">
        <w:tab/>
        <w:t>Effects of applying the 2021</w:t>
      </w:r>
      <w:r w:rsidR="008E0A7F" w:rsidRPr="002E1242">
        <w:t> </w:t>
      </w:r>
      <w:r w:rsidRPr="002E1242">
        <w:t>Update relativities to the estimated 2022</w:t>
      </w:r>
      <w:r w:rsidR="001E4912" w:rsidRPr="002E1242">
        <w:t>–</w:t>
      </w:r>
      <w:r w:rsidRPr="002E1242">
        <w:t>23 GST pool.</w:t>
      </w:r>
      <w:r w:rsidRPr="00A80FDD">
        <w:t xml:space="preserve"> </w:t>
      </w:r>
    </w:p>
    <w:p w14:paraId="3776D011" w14:textId="137E5BB9" w:rsidR="00A80FDD" w:rsidRPr="00A80FDD" w:rsidRDefault="00A80FDD" w:rsidP="008F1CC6">
      <w:pPr>
        <w:pStyle w:val="CGCTablenote"/>
      </w:pPr>
      <w:r w:rsidRPr="00A80FDD">
        <w:t>(</w:t>
      </w:r>
      <w:r w:rsidR="00F81DE7">
        <w:t>d</w:t>
      </w:r>
      <w:r w:rsidRPr="00A80FDD">
        <w:t>)</w:t>
      </w:r>
      <w:r w:rsidRPr="00A80FDD">
        <w:tab/>
        <w:t>Effects on the distribution of the 2022</w:t>
      </w:r>
      <w:r w:rsidR="001E4912">
        <w:t>–</w:t>
      </w:r>
      <w:r w:rsidRPr="00A80FDD">
        <w:t>23 GST pool of using the 2022</w:t>
      </w:r>
      <w:r w:rsidR="00E924E0">
        <w:t> </w:t>
      </w:r>
      <w:r w:rsidRPr="00A80FDD">
        <w:t>Update relativities instead of 2021</w:t>
      </w:r>
      <w:r w:rsidR="00E924E0">
        <w:t> </w:t>
      </w:r>
      <w:r w:rsidRPr="00A80FDD">
        <w:t>Update relativities.</w:t>
      </w:r>
    </w:p>
    <w:p w14:paraId="19E2C51A" w14:textId="30994A8E" w:rsidR="00B16642" w:rsidRPr="00A80FDD" w:rsidRDefault="00B16642" w:rsidP="00B16642">
      <w:pPr>
        <w:pStyle w:val="CGCTablenote"/>
      </w:pPr>
      <w:r w:rsidRPr="00A80FDD">
        <w:t>(</w:t>
      </w:r>
      <w:r>
        <w:t>e</w:t>
      </w:r>
      <w:r w:rsidRPr="00A80FDD">
        <w:t>)</w:t>
      </w:r>
      <w:r w:rsidRPr="00A80FDD">
        <w:tab/>
        <w:t>Sum of (</w:t>
      </w:r>
      <w:r>
        <w:t>b</w:t>
      </w:r>
      <w:r w:rsidRPr="00A80FDD">
        <w:t>), (</w:t>
      </w:r>
      <w:r>
        <w:t>c</w:t>
      </w:r>
      <w:r w:rsidRPr="00A80FDD">
        <w:t>) and (</w:t>
      </w:r>
      <w:r>
        <w:t>d</w:t>
      </w:r>
      <w:r w:rsidRPr="00A80FDD">
        <w:t>).</w:t>
      </w:r>
    </w:p>
    <w:p w14:paraId="2C60AC1A" w14:textId="2DFE8965" w:rsidR="00A80FDD" w:rsidRPr="00A80FDD" w:rsidRDefault="00A80FDD" w:rsidP="008F1CC6">
      <w:pPr>
        <w:pStyle w:val="CGCTablenote"/>
      </w:pPr>
      <w:r w:rsidRPr="00A80FDD">
        <w:t>Sources:</w:t>
      </w:r>
      <w:r w:rsidRPr="00A80FDD">
        <w:tab/>
        <w:t>2021</w:t>
      </w:r>
      <w:r w:rsidR="001E4912">
        <w:t>–</w:t>
      </w:r>
      <w:r w:rsidRPr="00A80FDD">
        <w:t>22 and 2022</w:t>
      </w:r>
      <w:r w:rsidR="001E4912">
        <w:t>–</w:t>
      </w:r>
      <w:r w:rsidRPr="00A80FDD">
        <w:t>23 GST pool estimates were taken from the Commonwealth Budget, Mid</w:t>
      </w:r>
      <w:r w:rsidRPr="00A80FDD">
        <w:noBreakHyphen/>
        <w:t>Year Economic and Fiscal Outlook 2021</w:t>
      </w:r>
      <w:r w:rsidR="001E4912">
        <w:t>–</w:t>
      </w:r>
      <w:r w:rsidRPr="00A80FDD">
        <w:t>22. December 2021 and 2022 population estimates were provided by the Australian Treasury from the same source.</w:t>
      </w:r>
    </w:p>
    <w:p w14:paraId="13B72688" w14:textId="2A345356" w:rsidR="00A80FDD" w:rsidRPr="00A80FDD" w:rsidRDefault="00A80FDD" w:rsidP="0004064D">
      <w:pPr>
        <w:pStyle w:val="CGCBodyCopy"/>
      </w:pPr>
      <w:r w:rsidRPr="00A80FDD">
        <w:rPr>
          <w:noProof/>
        </w:rPr>
        <w:drawing>
          <wp:anchor distT="0" distB="0" distL="114300" distR="114300" simplePos="0" relativeHeight="251658250" behindDoc="1" locked="1" layoutInCell="1" allowOverlap="1" wp14:anchorId="4647AB3B" wp14:editId="4680D8AA">
            <wp:simplePos x="0" y="0"/>
            <wp:positionH relativeFrom="page">
              <wp:align>right</wp:align>
            </wp:positionH>
            <wp:positionV relativeFrom="page">
              <wp:align>bottom</wp:align>
            </wp:positionV>
            <wp:extent cx="7563485" cy="10691495"/>
            <wp:effectExtent l="0" t="0" r="0" b="0"/>
            <wp:wrapNone/>
            <wp:docPr id="40" name="Picture 4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A80FDD">
        <w:t>The distributions in 2022</w:t>
      </w:r>
      <w:r w:rsidR="001E4912">
        <w:t>–</w:t>
      </w:r>
      <w:r w:rsidRPr="00A80FDD">
        <w:t>23 differ from 2021</w:t>
      </w:r>
      <w:r w:rsidR="00D075A6">
        <w:t>–</w:t>
      </w:r>
      <w:r w:rsidRPr="00A80FDD">
        <w:t>22 for the following reasons.</w:t>
      </w:r>
    </w:p>
    <w:p w14:paraId="744DF503" w14:textId="7EEC5A67" w:rsidR="00A80FDD" w:rsidRPr="00A80FDD" w:rsidRDefault="00A80FDD" w:rsidP="001D6956">
      <w:pPr>
        <w:pStyle w:val="BodyText"/>
      </w:pPr>
      <w:r w:rsidRPr="00A80FDD">
        <w:t>State populations differ.</w:t>
      </w:r>
      <w:r w:rsidRPr="00A80FDD" w:rsidDel="0047098A">
        <w:t xml:space="preserve"> </w:t>
      </w:r>
      <w:r w:rsidRPr="00A80FDD">
        <w:t>The estimated 2022</w:t>
      </w:r>
      <w:r w:rsidR="00C00286">
        <w:noBreakHyphen/>
      </w:r>
      <w:r w:rsidRPr="00A80FDD">
        <w:t>23 distribution is based on the 2021</w:t>
      </w:r>
      <w:r w:rsidR="00C00286">
        <w:noBreakHyphen/>
      </w:r>
      <w:r w:rsidRPr="00A80FDD">
        <w:t>22 Mid</w:t>
      </w:r>
      <w:r w:rsidRPr="00A80FDD">
        <w:noBreakHyphen/>
        <w:t>Year Economic and Fiscal Outlook estimates of state populations for 2022</w:t>
      </w:r>
      <w:r w:rsidR="00D075A6">
        <w:t>–</w:t>
      </w:r>
      <w:r w:rsidRPr="00A80FDD">
        <w:t>23. The 2021</w:t>
      </w:r>
      <w:r w:rsidR="00BF2B7E">
        <w:noBreakHyphen/>
      </w:r>
      <w:r w:rsidRPr="00A80FDD">
        <w:t>22 distribution is based on the 2021</w:t>
      </w:r>
      <w:r w:rsidR="00BF2B7E">
        <w:noBreakHyphen/>
      </w:r>
      <w:r w:rsidRPr="00A80FDD">
        <w:t>22 Mid</w:t>
      </w:r>
      <w:r w:rsidRPr="00A80FDD">
        <w:noBreakHyphen/>
        <w:t>Year Economic and Fiscal Outlook estimate of populations for 2021</w:t>
      </w:r>
      <w:r w:rsidR="00BF2B7E">
        <w:noBreakHyphen/>
      </w:r>
      <w:r w:rsidRPr="00A80FDD">
        <w:t xml:space="preserve">22. </w:t>
      </w:r>
    </w:p>
    <w:p w14:paraId="6DBD6A79" w14:textId="7EF67787" w:rsidR="00A80FDD" w:rsidRPr="00A80FDD" w:rsidRDefault="00A80FDD" w:rsidP="006B24ED">
      <w:pPr>
        <w:pStyle w:val="Dashpoint"/>
      </w:pPr>
      <w:r w:rsidRPr="00A80FDD">
        <w:t>Slower population growth between these dates in New South Wales, Victoria and the ACT means they are estimated to receive less revenue from the GST pool than states with faster population growth, such as Queensland</w:t>
      </w:r>
      <w:r w:rsidR="00E1078D">
        <w:t>, Western Australia</w:t>
      </w:r>
      <w:r w:rsidRPr="00A80FDD">
        <w:t xml:space="preserve"> and the Northern Territory.</w:t>
      </w:r>
    </w:p>
    <w:p w14:paraId="16AAA3DD" w14:textId="35741918" w:rsidR="00A80FDD" w:rsidRPr="001D6956" w:rsidRDefault="00A80FDD" w:rsidP="001D6956">
      <w:pPr>
        <w:pStyle w:val="BodyText"/>
      </w:pPr>
      <w:r w:rsidRPr="001D6956">
        <w:t>The size of the GST pool available for distribution is different. Any</w:t>
      </w:r>
      <w:r w:rsidR="00706EA7">
        <w:t> </w:t>
      </w:r>
      <w:r w:rsidRPr="001D6956">
        <w:t xml:space="preserve">growth in the pool </w:t>
      </w:r>
      <w:r w:rsidR="00E83E4C" w:rsidRPr="001D6956">
        <w:t>is</w:t>
      </w:r>
      <w:r w:rsidRPr="001D6956">
        <w:t xml:space="preserve"> distributed </w:t>
      </w:r>
      <w:r w:rsidR="00DF5792" w:rsidRPr="001D6956">
        <w:t>to each</w:t>
      </w:r>
      <w:r w:rsidRPr="001D6956">
        <w:t xml:space="preserve"> state using </w:t>
      </w:r>
      <w:r w:rsidR="00DF5792" w:rsidRPr="001D6956">
        <w:t>its</w:t>
      </w:r>
      <w:r w:rsidRPr="001D6956">
        <w:t xml:space="preserve"> population share weighted by </w:t>
      </w:r>
      <w:r w:rsidR="00DF5792" w:rsidRPr="001D6956">
        <w:t>its</w:t>
      </w:r>
      <w:r w:rsidRPr="001D6956">
        <w:t xml:space="preserve"> GST relativity.</w:t>
      </w:r>
    </w:p>
    <w:p w14:paraId="2B5D0B29" w14:textId="7D7CC065" w:rsidR="00A80FDD" w:rsidRPr="00A80FDD" w:rsidRDefault="009B7377" w:rsidP="00DA7BF5">
      <w:pPr>
        <w:pStyle w:val="Dashpoint"/>
        <w:keepLines/>
        <w:ind w:left="1434" w:hanging="357"/>
      </w:pPr>
      <w:r w:rsidRPr="00A80FDD">
        <w:rPr>
          <w:noProof/>
        </w:rPr>
        <w:drawing>
          <wp:anchor distT="0" distB="0" distL="114300" distR="114300" simplePos="0" relativeHeight="251658310" behindDoc="1" locked="1" layoutInCell="1" allowOverlap="1" wp14:anchorId="35EDE97D" wp14:editId="5BBBA89E">
            <wp:simplePos x="0" y="0"/>
            <wp:positionH relativeFrom="page">
              <wp:posOffset>-5715</wp:posOffset>
            </wp:positionH>
            <wp:positionV relativeFrom="page">
              <wp:posOffset>6350</wp:posOffset>
            </wp:positionV>
            <wp:extent cx="7563485" cy="10691495"/>
            <wp:effectExtent l="0" t="0" r="0" b="0"/>
            <wp:wrapNone/>
            <wp:docPr id="54" name="Picture 5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A80FDD" w:rsidRPr="00A80FDD">
        <w:t>All states benefit from the anticipated growth in the GST pool in 2022</w:t>
      </w:r>
      <w:r w:rsidR="00044D52">
        <w:t>–</w:t>
      </w:r>
      <w:r w:rsidR="00A80FDD" w:rsidRPr="00A80FDD">
        <w:t>23. States with a higher relativity, in particular the Northern Territory</w:t>
      </w:r>
      <w:r w:rsidR="003B3E0B">
        <w:t>,</w:t>
      </w:r>
      <w:r w:rsidR="00A80FDD" w:rsidRPr="00A80FDD">
        <w:t xml:space="preserve"> but also Tasmania and South Australia, benefit more (on a per capita basis) than states with a lower relativity. </w:t>
      </w:r>
    </w:p>
    <w:p w14:paraId="2B81EE60" w14:textId="61538156" w:rsidR="00A80FDD" w:rsidRPr="00A80FDD" w:rsidRDefault="00A80FDD" w:rsidP="00A2369A">
      <w:pPr>
        <w:pStyle w:val="BodyText"/>
      </w:pPr>
      <w:r w:rsidRPr="00A80FDD">
        <w:t>The relativities used to distribute the GST are different. The</w:t>
      </w:r>
      <w:r w:rsidR="00556D1F">
        <w:t> </w:t>
      </w:r>
      <w:r w:rsidRPr="00A80FDD">
        <w:t>estimated 2022</w:t>
      </w:r>
      <w:r w:rsidR="00044D52">
        <w:t>–</w:t>
      </w:r>
      <w:r w:rsidRPr="00A80FDD">
        <w:t>23 distribution is based on the relativities recommended in the 2022 Update, whereas the 2021</w:t>
      </w:r>
      <w:r w:rsidR="00044D52">
        <w:t>–</w:t>
      </w:r>
      <w:r w:rsidRPr="00A80FDD">
        <w:t xml:space="preserve">22 distribution is based on the 2021 Update relativities. </w:t>
      </w:r>
    </w:p>
    <w:p w14:paraId="32A2A17B" w14:textId="3C73D4EE" w:rsidR="00A80FDD" w:rsidRPr="00A80FDD" w:rsidRDefault="00A80FDD" w:rsidP="00A2369A">
      <w:pPr>
        <w:pStyle w:val="Dashpoint"/>
      </w:pPr>
      <w:r w:rsidRPr="00A80FDD">
        <w:t>The contribution from updating GST relativities increases the amount of the GST pool distributed to Western Australia and the Northern Territory in 2022</w:t>
      </w:r>
      <w:r w:rsidR="00044D52">
        <w:t>–</w:t>
      </w:r>
      <w:r w:rsidRPr="00A80FDD">
        <w:t>23 compared to 2021</w:t>
      </w:r>
      <w:r w:rsidR="00044D52">
        <w:t>–</w:t>
      </w:r>
      <w:r w:rsidRPr="00A80FDD">
        <w:t xml:space="preserve">22. </w:t>
      </w:r>
    </w:p>
    <w:p w14:paraId="2419C5E6" w14:textId="18EB1F46" w:rsidR="00A80FDD" w:rsidRPr="00A80FDD" w:rsidRDefault="00A80FDD" w:rsidP="0004064D">
      <w:pPr>
        <w:pStyle w:val="CGCBodyCopy"/>
      </w:pPr>
      <w:r w:rsidRPr="00A80FDD">
        <w:t xml:space="preserve">Overall, Western Australia would receive the largest increase in revenue from the GST pool in dollar terms and the Northern Territory the largest in per capita terms. </w:t>
      </w:r>
      <w:r w:rsidR="007359C9">
        <w:t>In the absence of</w:t>
      </w:r>
      <w:r w:rsidRPr="00A80FDD">
        <w:t xml:space="preserve"> no worse off payments, Victoria would receive the largest decline in revenue from the GST pool, in dollar and per</w:t>
      </w:r>
      <w:r w:rsidR="00556D1F">
        <w:t> </w:t>
      </w:r>
      <w:r w:rsidRPr="00A80FDD">
        <w:t>capita terms.</w:t>
      </w:r>
    </w:p>
    <w:p w14:paraId="0BC9D6B5" w14:textId="77777777" w:rsidR="00A80FDD" w:rsidRPr="00A80FDD" w:rsidRDefault="00A80FDD" w:rsidP="0094723D">
      <w:pPr>
        <w:pStyle w:val="Heading2"/>
        <w:rPr>
          <w:rFonts w:eastAsiaTheme="majorEastAsia"/>
          <w:b w:val="0"/>
        </w:rPr>
      </w:pPr>
      <w:r w:rsidRPr="00A80FDD">
        <w:rPr>
          <w:rFonts w:eastAsiaTheme="majorEastAsia"/>
          <w:noProof/>
        </w:rPr>
        <w:t>Size of the equalisation task</w:t>
      </w:r>
    </w:p>
    <w:p w14:paraId="593EA289" w14:textId="7371384C" w:rsidR="00A80FDD" w:rsidRPr="00A80FDD" w:rsidRDefault="00A80FDD" w:rsidP="0004064D">
      <w:pPr>
        <w:pStyle w:val="CGCBodyCopy"/>
        <w:rPr>
          <w:noProof/>
        </w:rPr>
      </w:pPr>
      <w:r w:rsidRPr="00A80FDD">
        <w:rPr>
          <w:noProof/>
        </w:rPr>
        <w:t>Since the introduction of the GST in 2000</w:t>
      </w:r>
      <w:r w:rsidR="00044D52">
        <w:rPr>
          <w:noProof/>
        </w:rPr>
        <w:t>–</w:t>
      </w:r>
      <w:r w:rsidRPr="00A80FDD">
        <w:rPr>
          <w:noProof/>
        </w:rPr>
        <w:t xml:space="preserve">01, South Australia, Tasmania, the ACT and the Northern Territory have had relatively stable GST </w:t>
      </w:r>
      <w:r w:rsidR="00B90E84">
        <w:rPr>
          <w:noProof/>
        </w:rPr>
        <w:t xml:space="preserve">pool </w:t>
      </w:r>
      <w:r w:rsidR="00463569">
        <w:rPr>
          <w:noProof/>
        </w:rPr>
        <w:t>distribution</w:t>
      </w:r>
      <w:r w:rsidRPr="00A80FDD">
        <w:rPr>
          <w:noProof/>
        </w:rPr>
        <w:t xml:space="preserve"> (see</w:t>
      </w:r>
      <w:r w:rsidR="003540D7">
        <w:rPr>
          <w:noProof/>
        </w:rPr>
        <w:t xml:space="preserve"> </w:t>
      </w:r>
      <w:r w:rsidR="000029A0">
        <w:rPr>
          <w:noProof/>
        </w:rPr>
        <w:fldChar w:fldCharType="begin"/>
      </w:r>
      <w:r w:rsidR="000029A0">
        <w:rPr>
          <w:noProof/>
        </w:rPr>
        <w:instrText xml:space="preserve"> REF _Ref92439065 \h </w:instrText>
      </w:r>
      <w:r w:rsidR="000029A0">
        <w:rPr>
          <w:noProof/>
        </w:rPr>
      </w:r>
      <w:r w:rsidR="000029A0">
        <w:rPr>
          <w:noProof/>
        </w:rPr>
        <w:fldChar w:fldCharType="separate"/>
      </w:r>
      <w:r w:rsidR="00FE4664" w:rsidRPr="00A80FDD">
        <w:t xml:space="preserve">Figure </w:t>
      </w:r>
      <w:r w:rsidR="00FE4664">
        <w:t>1</w:t>
      </w:r>
      <w:r w:rsidR="00FE4664" w:rsidRPr="00A80FDD">
        <w:noBreakHyphen/>
      </w:r>
      <w:r w:rsidR="000029A0">
        <w:rPr>
          <w:noProof/>
        </w:rPr>
        <w:fldChar w:fldCharType="end"/>
      </w:r>
      <w:r w:rsidR="001323F7">
        <w:rPr>
          <w:noProof/>
        </w:rPr>
        <w:t>2</w:t>
      </w:r>
      <w:r w:rsidRPr="00A80FDD">
        <w:rPr>
          <w:noProof/>
        </w:rPr>
        <w:t>). Queensland has had above</w:t>
      </w:r>
      <w:r w:rsidR="00A21B1F">
        <w:rPr>
          <w:noProof/>
        </w:rPr>
        <w:noBreakHyphen/>
      </w:r>
      <w:r w:rsidRPr="00A80FDD">
        <w:rPr>
          <w:noProof/>
        </w:rPr>
        <w:t xml:space="preserve">average GST pool </w:t>
      </w:r>
      <w:r w:rsidR="00B90E84">
        <w:rPr>
          <w:noProof/>
        </w:rPr>
        <w:t>distribution</w:t>
      </w:r>
      <w:r w:rsidRPr="00A80FDD">
        <w:rPr>
          <w:noProof/>
        </w:rPr>
        <w:t xml:space="preserve"> in 18 out of </w:t>
      </w:r>
      <w:r w:rsidRPr="00A80FDD">
        <w:t>23</w:t>
      </w:r>
      <w:r w:rsidRPr="00A80FDD">
        <w:rPr>
          <w:noProof/>
        </w:rPr>
        <w:t xml:space="preserve"> years. Its high </w:t>
      </w:r>
      <w:r w:rsidR="00F73BC7">
        <w:rPr>
          <w:noProof/>
        </w:rPr>
        <w:t>needs</w:t>
      </w:r>
      <w:r w:rsidRPr="00A80FDD">
        <w:rPr>
          <w:noProof/>
        </w:rPr>
        <w:t xml:space="preserve"> in the mid</w:t>
      </w:r>
      <w:r w:rsidRPr="00A80FDD">
        <w:rPr>
          <w:noProof/>
        </w:rPr>
        <w:noBreakHyphen/>
        <w:t xml:space="preserve">2010s were mainly due to significant natural disaster relief expenses. Western Australia had above average </w:t>
      </w:r>
      <w:r w:rsidR="00F73BC7">
        <w:rPr>
          <w:noProof/>
        </w:rPr>
        <w:t>needs</w:t>
      </w:r>
      <w:r w:rsidRPr="00A80FDD">
        <w:rPr>
          <w:noProof/>
        </w:rPr>
        <w:t xml:space="preserve"> for a</w:t>
      </w:r>
      <w:r w:rsidR="001D168D">
        <w:rPr>
          <w:noProof/>
        </w:rPr>
        <w:t xml:space="preserve"> 3</w:t>
      </w:r>
      <w:r w:rsidR="00E265BC">
        <w:rPr>
          <w:noProof/>
        </w:rPr>
        <w:noBreakHyphen/>
      </w:r>
      <w:r w:rsidRPr="00A80FDD">
        <w:rPr>
          <w:noProof/>
        </w:rPr>
        <w:t>year period in the mid</w:t>
      </w:r>
      <w:r w:rsidRPr="00A80FDD">
        <w:rPr>
          <w:noProof/>
        </w:rPr>
        <w:noBreakHyphen/>
        <w:t>2000s.</w:t>
      </w:r>
    </w:p>
    <w:p w14:paraId="52EE583B" w14:textId="6FF12CE7" w:rsidR="00A80FDD" w:rsidRDefault="00A80FDD" w:rsidP="00C844BB">
      <w:pPr>
        <w:pStyle w:val="Caption"/>
        <w:widowControl w:val="0"/>
      </w:pPr>
      <w:bookmarkStart w:id="28" w:name="_Ref92439009"/>
      <w:r w:rsidRPr="00A80FDD">
        <w:t xml:space="preserve">Figure </w:t>
      </w:r>
      <w:r w:rsidR="00FF2D4E">
        <w:t>1</w:t>
      </w:r>
      <w:r w:rsidRPr="00A80FDD">
        <w:noBreakHyphen/>
      </w:r>
      <w:bookmarkEnd w:id="28"/>
      <w:r w:rsidR="005241F6">
        <w:fldChar w:fldCharType="begin"/>
      </w:r>
      <w:r w:rsidR="005241F6">
        <w:instrText xml:space="preserve"> SEQ Figure \* ARABIC </w:instrText>
      </w:r>
      <w:r w:rsidR="005241F6">
        <w:fldChar w:fldCharType="separate"/>
      </w:r>
      <w:r w:rsidR="00FE4664">
        <w:rPr>
          <w:noProof/>
        </w:rPr>
        <w:t>2</w:t>
      </w:r>
      <w:r w:rsidR="005241F6">
        <w:fldChar w:fldCharType="end"/>
      </w:r>
      <w:r w:rsidRPr="00A80FDD">
        <w:rPr>
          <w:noProof/>
        </w:rPr>
        <w:tab/>
        <w:t>Proportion of the GST pool</w:t>
      </w:r>
      <w:r w:rsidRPr="00A80FDD">
        <w:rPr>
          <w:noProof/>
        </w:rPr>
        <w:drawing>
          <wp:anchor distT="0" distB="0" distL="114300" distR="114300" simplePos="0" relativeHeight="251658241" behindDoc="1" locked="1" layoutInCell="1" allowOverlap="1" wp14:anchorId="3C7D13AD" wp14:editId="6685D46B">
            <wp:simplePos x="0" y="0"/>
            <wp:positionH relativeFrom="margin">
              <wp:align>center</wp:align>
            </wp:positionH>
            <wp:positionV relativeFrom="page">
              <wp:align>bottom</wp:align>
            </wp:positionV>
            <wp:extent cx="7563485" cy="10691495"/>
            <wp:effectExtent l="0" t="0" r="0" b="0"/>
            <wp:wrapNone/>
            <wp:docPr id="42" name="Picture 4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A80FDD">
        <w:rPr>
          <w:noProof/>
        </w:rPr>
        <w:t xml:space="preserve"> in excess of a state’s population share, 2000</w:t>
      </w:r>
      <w:r w:rsidR="00960395">
        <w:rPr>
          <w:noProof/>
        </w:rPr>
        <w:t>–</w:t>
      </w:r>
      <w:r w:rsidRPr="00A80FDD">
        <w:rPr>
          <w:noProof/>
        </w:rPr>
        <w:t>01 to 2022</w:t>
      </w:r>
      <w:r w:rsidR="00960395">
        <w:rPr>
          <w:noProof/>
        </w:rPr>
        <w:t>–</w:t>
      </w:r>
      <w:r w:rsidRPr="00A80FDD">
        <w:rPr>
          <w:noProof/>
        </w:rPr>
        <w:t xml:space="preserve">23 </w:t>
      </w:r>
      <w:r w:rsidRPr="00A80FDD">
        <w:t>(excludes no</w:t>
      </w:r>
      <w:r w:rsidR="009F181C">
        <w:t> </w:t>
      </w:r>
      <w:r w:rsidRPr="00A80FDD">
        <w:t>worse</w:t>
      </w:r>
      <w:r w:rsidR="009F181C">
        <w:t> </w:t>
      </w:r>
      <w:r w:rsidRPr="00A80FDD">
        <w:t>off payments</w:t>
      </w:r>
      <w:r w:rsidRPr="00B33954">
        <w:t>(a)</w:t>
      </w:r>
      <w:r w:rsidRPr="00A80FDD">
        <w:t>)</w:t>
      </w:r>
    </w:p>
    <w:p w14:paraId="3CF0310D" w14:textId="598A3D4C" w:rsidR="00BD396D" w:rsidRPr="00BD396D" w:rsidRDefault="00330F9E" w:rsidP="00B33954">
      <w:pPr>
        <w:keepNext/>
      </w:pPr>
      <w:r w:rsidRPr="00330F9E">
        <w:rPr>
          <w:noProof/>
        </w:rPr>
        <w:drawing>
          <wp:inline distT="0" distB="0" distL="0" distR="0" wp14:anchorId="5777DDE1" wp14:editId="01B004A3">
            <wp:extent cx="5715000" cy="2527300"/>
            <wp:effectExtent l="0" t="0" r="0" b="6350"/>
            <wp:docPr id="170" name="Picture 170" descr="A chart describing selected states' shares of the GST pool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A chart describing selected states' shares of the GST pool over tim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0" cy="2527300"/>
                    </a:xfrm>
                    <a:prstGeom prst="rect">
                      <a:avLst/>
                    </a:prstGeom>
                    <a:noFill/>
                    <a:ln>
                      <a:noFill/>
                    </a:ln>
                  </pic:spPr>
                </pic:pic>
              </a:graphicData>
            </a:graphic>
          </wp:inline>
        </w:drawing>
      </w:r>
    </w:p>
    <w:p w14:paraId="67598897" w14:textId="490DB1E9" w:rsidR="00A80FDD" w:rsidRPr="00C844BB" w:rsidRDefault="009E0D61" w:rsidP="00C844BB">
      <w:pPr>
        <w:pStyle w:val="CGCTablenote"/>
        <w:keepNext/>
        <w:keepLines/>
        <w:widowControl w:val="0"/>
      </w:pPr>
      <w:r w:rsidRPr="00C844BB">
        <w:t>(a)</w:t>
      </w:r>
      <w:r w:rsidR="00F36297" w:rsidRPr="00C844BB">
        <w:tab/>
      </w:r>
      <w:r w:rsidR="00A80FDD" w:rsidRPr="00C844BB">
        <w:t>Since 2019</w:t>
      </w:r>
      <w:r w:rsidR="00960395" w:rsidRPr="00C844BB">
        <w:t>–</w:t>
      </w:r>
      <w:r w:rsidR="00A80FDD" w:rsidRPr="00C844BB">
        <w:t xml:space="preserve">20, the Commonwealth has also made supplementary payments to deliver an outcome at least equivalent to a relativity of 0.7 to Western Australia. This </w:t>
      </w:r>
      <w:r w:rsidR="009519CC" w:rsidRPr="00C844BB">
        <w:t>no longer applies</w:t>
      </w:r>
      <w:r w:rsidR="00A80FDD" w:rsidRPr="00C844BB">
        <w:t xml:space="preserve"> in 2022</w:t>
      </w:r>
      <w:r w:rsidR="00960395" w:rsidRPr="00C844BB">
        <w:t>–</w:t>
      </w:r>
      <w:r w:rsidR="00A80FDD" w:rsidRPr="00C844BB">
        <w:t>23.</w:t>
      </w:r>
    </w:p>
    <w:p w14:paraId="16600C2E" w14:textId="26352615" w:rsidR="00C844BB" w:rsidRPr="00C844BB" w:rsidRDefault="00C844BB" w:rsidP="00C844BB">
      <w:pPr>
        <w:pStyle w:val="CGCTablenote"/>
        <w:keepNext/>
        <w:keepLines/>
        <w:widowControl w:val="0"/>
      </w:pPr>
      <w:r w:rsidRPr="00C844BB">
        <w:t>Source:</w:t>
      </w:r>
      <w:r w:rsidRPr="00C844BB">
        <w:tab/>
        <w:t>Commission calculation.</w:t>
      </w:r>
    </w:p>
    <w:p w14:paraId="70D9F31A" w14:textId="1A4E51A9" w:rsidR="00A80FDD" w:rsidRPr="00A80FDD" w:rsidRDefault="00A80FDD" w:rsidP="0004064D">
      <w:pPr>
        <w:pStyle w:val="CGCBodyCopy"/>
      </w:pPr>
      <w:r w:rsidRPr="00A80FDD">
        <w:t xml:space="preserve">The GST </w:t>
      </w:r>
      <w:r w:rsidR="00F17004">
        <w:t>needs</w:t>
      </w:r>
      <w:r w:rsidRPr="00A80FDD">
        <w:t xml:space="preserve"> of New South Wales, Victoria and Western Australia have varied since the introduction of the GST (see</w:t>
      </w:r>
      <w:r w:rsidR="0017224F">
        <w:t xml:space="preserve"> </w:t>
      </w:r>
      <w:r w:rsidR="001A5692">
        <w:fldChar w:fldCharType="begin"/>
      </w:r>
      <w:r w:rsidR="001A5692">
        <w:instrText xml:space="preserve"> REF _Ref97717972 \h </w:instrText>
      </w:r>
      <w:r w:rsidR="001A5692">
        <w:fldChar w:fldCharType="separate"/>
      </w:r>
      <w:r w:rsidR="00FE4664" w:rsidRPr="00A80FDD">
        <w:t xml:space="preserve">Figure </w:t>
      </w:r>
      <w:r w:rsidR="00FE4664">
        <w:t>1</w:t>
      </w:r>
      <w:r w:rsidR="00FE4664" w:rsidRPr="00A80FDD">
        <w:noBreakHyphen/>
      </w:r>
      <w:r w:rsidR="00FE4664">
        <w:rPr>
          <w:noProof/>
        </w:rPr>
        <w:t>3</w:t>
      </w:r>
      <w:r w:rsidR="001A5692">
        <w:fldChar w:fldCharType="end"/>
      </w:r>
      <w:r w:rsidRPr="00A80FDD">
        <w:t xml:space="preserve">). </w:t>
      </w:r>
    </w:p>
    <w:p w14:paraId="74501C03" w14:textId="7BB930C9" w:rsidR="00A80FDD" w:rsidRPr="00A80FDD" w:rsidRDefault="00A80FDD" w:rsidP="00927614">
      <w:pPr>
        <w:pStyle w:val="Caption"/>
        <w:widowControl w:val="0"/>
      </w:pPr>
      <w:bookmarkStart w:id="29" w:name="_Ref92439065"/>
      <w:bookmarkStart w:id="30" w:name="_Ref97717972"/>
      <w:r w:rsidRPr="00A80FDD">
        <w:t xml:space="preserve">Figure </w:t>
      </w:r>
      <w:r w:rsidR="003C7F8A">
        <w:t>1</w:t>
      </w:r>
      <w:r w:rsidRPr="00A80FDD">
        <w:noBreakHyphen/>
      </w:r>
      <w:bookmarkEnd w:id="29"/>
      <w:r w:rsidR="0017224F">
        <w:fldChar w:fldCharType="begin"/>
      </w:r>
      <w:r w:rsidR="0017224F">
        <w:instrText xml:space="preserve"> SEQ Figure \* ARABIC </w:instrText>
      </w:r>
      <w:r w:rsidR="0017224F">
        <w:fldChar w:fldCharType="separate"/>
      </w:r>
      <w:r w:rsidR="00FE4664">
        <w:rPr>
          <w:noProof/>
        </w:rPr>
        <w:t>3</w:t>
      </w:r>
      <w:r w:rsidR="0017224F">
        <w:fldChar w:fldCharType="end"/>
      </w:r>
      <w:bookmarkEnd w:id="30"/>
      <w:r w:rsidRPr="00A80FDD">
        <w:tab/>
        <w:t>Proportion of the GST pool less than a state’s population share, 2000</w:t>
      </w:r>
      <w:r w:rsidR="00960395">
        <w:t>–</w:t>
      </w:r>
      <w:r w:rsidRPr="00A80FDD">
        <w:t>01 to 2022</w:t>
      </w:r>
      <w:r w:rsidR="00960395">
        <w:t>–</w:t>
      </w:r>
      <w:r w:rsidRPr="00A80FDD">
        <w:t>23 (excludes no</w:t>
      </w:r>
      <w:r w:rsidR="009F181C">
        <w:t> </w:t>
      </w:r>
      <w:r w:rsidRPr="00A80FDD">
        <w:t>worse</w:t>
      </w:r>
      <w:r w:rsidR="009F181C">
        <w:t> </w:t>
      </w:r>
      <w:r w:rsidRPr="00A80FDD">
        <w:t>off payments</w:t>
      </w:r>
      <w:r w:rsidRPr="00B33954">
        <w:t>(a)</w:t>
      </w:r>
      <w:r w:rsidRPr="00A80FDD">
        <w:t>)</w:t>
      </w:r>
    </w:p>
    <w:p w14:paraId="404F8AC3" w14:textId="05BFD00F" w:rsidR="00A80FDD" w:rsidRPr="00A80FDD" w:rsidRDefault="00CA5BAA" w:rsidP="00B33954">
      <w:pPr>
        <w:keepNext/>
        <w:keepLines/>
        <w:widowControl w:val="0"/>
        <w:tabs>
          <w:tab w:val="clear" w:pos="567"/>
          <w:tab w:val="left" w:pos="1134"/>
          <w:tab w:val="left" w:pos="1418"/>
        </w:tabs>
        <w:spacing w:after="120" w:line="240" w:lineRule="auto"/>
        <w:ind w:left="1134" w:hanging="1134"/>
        <w:rPr>
          <w:rFonts w:ascii="Work Sans" w:hAnsi="Work Sans"/>
          <w:b/>
          <w:bCs/>
          <w:szCs w:val="20"/>
        </w:rPr>
      </w:pPr>
      <w:r w:rsidRPr="00CA5BAA">
        <w:rPr>
          <w:noProof/>
        </w:rPr>
        <w:drawing>
          <wp:inline distT="0" distB="0" distL="0" distR="0" wp14:anchorId="0BDE54B6" wp14:editId="2D65664F">
            <wp:extent cx="5708650" cy="2527300"/>
            <wp:effectExtent l="0" t="0" r="6350" b="6350"/>
            <wp:docPr id="51" name="Picture 51" descr="A chart describing selected states' shares of the GST pool less their population shar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chart describing selected states' shares of the GST pool less their population shares over tim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8650" cy="2527300"/>
                    </a:xfrm>
                    <a:prstGeom prst="rect">
                      <a:avLst/>
                    </a:prstGeom>
                    <a:noFill/>
                    <a:ln>
                      <a:noFill/>
                    </a:ln>
                  </pic:spPr>
                </pic:pic>
              </a:graphicData>
            </a:graphic>
          </wp:inline>
        </w:drawing>
      </w:r>
    </w:p>
    <w:p w14:paraId="658D8796" w14:textId="6E78D629" w:rsidR="00A80FDD" w:rsidRDefault="009519CC" w:rsidP="00927614">
      <w:pPr>
        <w:pStyle w:val="CGCTablenote"/>
        <w:keepNext/>
        <w:keepLines/>
        <w:widowControl w:val="0"/>
      </w:pPr>
      <w:r>
        <w:t>(a)</w:t>
      </w:r>
      <w:r w:rsidR="00F36297">
        <w:tab/>
      </w:r>
      <w:r w:rsidR="00A80FDD" w:rsidRPr="00A80FDD">
        <w:t>Since 2019</w:t>
      </w:r>
      <w:r w:rsidR="00085165">
        <w:t>–</w:t>
      </w:r>
      <w:r w:rsidR="00A80FDD" w:rsidRPr="00A80FDD">
        <w:t>20, the Commonwealth has also made supplementary payments to deliver an outcome at least equivalent to a relativity of 0.7 to Western Australia. This</w:t>
      </w:r>
      <w:r w:rsidR="00A80FDD" w:rsidRPr="00A80FDD" w:rsidDel="00186687">
        <w:t xml:space="preserve"> </w:t>
      </w:r>
      <w:r w:rsidR="0045669B">
        <w:t>no longer applies</w:t>
      </w:r>
      <w:r w:rsidR="00A80FDD" w:rsidRPr="00A80FDD">
        <w:t xml:space="preserve"> in 2022</w:t>
      </w:r>
      <w:r w:rsidR="006E211D">
        <w:t>–</w:t>
      </w:r>
      <w:r w:rsidR="00A80FDD" w:rsidRPr="00A80FDD">
        <w:t>23.</w:t>
      </w:r>
    </w:p>
    <w:p w14:paraId="309B0010" w14:textId="70FF6D73" w:rsidR="00927614" w:rsidRPr="00927614" w:rsidRDefault="00927614" w:rsidP="00927614">
      <w:pPr>
        <w:pStyle w:val="CGCTablenote"/>
        <w:keepNext/>
        <w:keepLines/>
        <w:widowControl w:val="0"/>
      </w:pPr>
      <w:r>
        <w:t>Source:</w:t>
      </w:r>
      <w:r>
        <w:tab/>
        <w:t>Commission calculation.</w:t>
      </w:r>
    </w:p>
    <w:p w14:paraId="52AE9BD6" w14:textId="025D3073" w:rsidR="00C93D0F" w:rsidRDefault="00A80FDD" w:rsidP="0004064D">
      <w:pPr>
        <w:pStyle w:val="CGCBodyCopy"/>
      </w:pPr>
      <w:r w:rsidRPr="00A80FDD">
        <w:t>Growing royalties fr</w:t>
      </w:r>
      <w:r w:rsidR="00840648">
        <w:t>om</w:t>
      </w:r>
      <w:r w:rsidRPr="00A80FDD">
        <w:t xml:space="preserve"> iron ore have resulted in Western Australia needing significantly less revenue from the GST pool. </w:t>
      </w:r>
      <w:r w:rsidR="00347478">
        <w:t xml:space="preserve">The high concentration of iron ore in Western Australia has meant that changes in its GST </w:t>
      </w:r>
      <w:r w:rsidR="004A2195">
        <w:t>needs</w:t>
      </w:r>
      <w:r w:rsidR="00347478">
        <w:t xml:space="preserve"> largely follow changes in its iron ore royalties. </w:t>
      </w:r>
      <w:r w:rsidR="003B63DF">
        <w:t xml:space="preserve">While iron ore royalties have </w:t>
      </w:r>
      <w:r w:rsidR="007451CE">
        <w:t xml:space="preserve">increased </w:t>
      </w:r>
      <w:r w:rsidR="003B63DF">
        <w:t xml:space="preserve">rapidly over the past </w:t>
      </w:r>
      <w:r w:rsidR="009E342D">
        <w:t xml:space="preserve">two </w:t>
      </w:r>
      <w:r w:rsidR="003B63DF">
        <w:t>decade</w:t>
      </w:r>
      <w:r w:rsidR="009E342D">
        <w:t>s</w:t>
      </w:r>
      <w:r w:rsidR="003B63DF">
        <w:t>, they have fluctuated due to the</w:t>
      </w:r>
      <w:r w:rsidR="00427713">
        <w:t xml:space="preserve"> combined effect of </w:t>
      </w:r>
      <w:r w:rsidR="00EF453E">
        <w:t>price</w:t>
      </w:r>
      <w:r w:rsidR="003B63DF">
        <w:t xml:space="preserve"> volatility </w:t>
      </w:r>
      <w:r w:rsidR="00427713">
        <w:t>and</w:t>
      </w:r>
      <w:r w:rsidR="00594650">
        <w:t xml:space="preserve"> an expansion in the volumes produced</w:t>
      </w:r>
      <w:r w:rsidR="003B63DF">
        <w:t>. Iron ore prices peaked at around A$186</w:t>
      </w:r>
      <w:r w:rsidR="009E342D">
        <w:t> </w:t>
      </w:r>
      <w:r w:rsidR="003B63DF">
        <w:t>per</w:t>
      </w:r>
      <w:r w:rsidR="009E342D">
        <w:t> </w:t>
      </w:r>
      <w:r w:rsidR="003B63DF">
        <w:t>metric tonne</w:t>
      </w:r>
      <w:r w:rsidR="003B63DF" w:rsidRPr="00EB6AE3">
        <w:t xml:space="preserve"> </w:t>
      </w:r>
      <w:r w:rsidR="003B63DF">
        <w:t>in 2010</w:t>
      </w:r>
      <w:r w:rsidR="00F51F89">
        <w:noBreakHyphen/>
      </w:r>
      <w:r w:rsidR="003B63DF">
        <w:t>11, before falling to A$58 in 2015</w:t>
      </w:r>
      <w:r w:rsidR="002875F7">
        <w:t>–</w:t>
      </w:r>
      <w:r w:rsidR="003B63DF">
        <w:t>16, and then rising to reach record levels of A$234 in 2020</w:t>
      </w:r>
      <w:r w:rsidR="002875F7">
        <w:t>–</w:t>
      </w:r>
      <w:r w:rsidR="003B63DF">
        <w:t>21.</w:t>
      </w:r>
    </w:p>
    <w:p w14:paraId="3CA76EF6" w14:textId="18097277" w:rsidR="00F023A6" w:rsidRDefault="00C1367F" w:rsidP="0004064D">
      <w:pPr>
        <w:pStyle w:val="CGCBodyCopy"/>
        <w:sectPr w:rsidR="00F023A6" w:rsidSect="008E2BFE">
          <w:headerReference w:type="even" r:id="rId39"/>
          <w:headerReference w:type="default" r:id="rId40"/>
          <w:footerReference w:type="even" r:id="rId41"/>
          <w:footerReference w:type="default" r:id="rId42"/>
          <w:headerReference w:type="first" r:id="rId43"/>
          <w:pgSz w:w="11900" w:h="16840"/>
          <w:pgMar w:top="1247" w:right="1418" w:bottom="1134" w:left="1418" w:header="851" w:footer="284" w:gutter="0"/>
          <w:cols w:space="708"/>
          <w:docGrid w:linePitch="360"/>
        </w:sectPr>
      </w:pPr>
      <w:r w:rsidRPr="00A80FDD">
        <w:t xml:space="preserve">The growing fiscal strength of Western Australia has meant that </w:t>
      </w:r>
      <w:r w:rsidR="005C198B" w:rsidRPr="00A80FDD">
        <w:t xml:space="preserve">New South Wales and Victoria </w:t>
      </w:r>
      <w:r w:rsidRPr="00A80FDD">
        <w:t>have become fiscally weaker in relative terms.</w:t>
      </w:r>
      <w:r w:rsidR="00A80FDD" w:rsidRPr="00A80FDD">
        <w:t xml:space="preserve"> Taken together, the proportion of the GST pool received by </w:t>
      </w:r>
      <w:r w:rsidR="00F30BCC" w:rsidRPr="00A80FDD">
        <w:t>t</w:t>
      </w:r>
      <w:r w:rsidR="00F30BCC" w:rsidRPr="00A80FDD">
        <w:rPr>
          <w:noProof/>
        </w:rPr>
        <w:drawing>
          <wp:anchor distT="0" distB="0" distL="114300" distR="114300" simplePos="0" relativeHeight="251658305" behindDoc="1" locked="1" layoutInCell="1" allowOverlap="1" wp14:anchorId="392C878C" wp14:editId="0D5C3F4D">
            <wp:simplePos x="0" y="0"/>
            <wp:positionH relativeFrom="page">
              <wp:posOffset>-12700</wp:posOffset>
            </wp:positionH>
            <wp:positionV relativeFrom="margin">
              <wp:posOffset>-796925</wp:posOffset>
            </wp:positionV>
            <wp:extent cx="7563485" cy="10691495"/>
            <wp:effectExtent l="0" t="0" r="0" b="0"/>
            <wp:wrapNone/>
            <wp:docPr id="46" name="Picture 4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F30BCC" w:rsidRPr="00A80FDD">
        <w:t>hese states</w:t>
      </w:r>
      <w:r w:rsidR="00F30BCC" w:rsidRPr="00A80FDD" w:rsidDel="005C198B">
        <w:t xml:space="preserve"> </w:t>
      </w:r>
      <w:r w:rsidR="00A80FDD" w:rsidRPr="00A80FDD">
        <w:t>has increased since 2004</w:t>
      </w:r>
      <w:r w:rsidR="00085165">
        <w:t>–</w:t>
      </w:r>
      <w:r w:rsidR="00A80FDD" w:rsidRPr="00A80FDD">
        <w:t xml:space="preserve">05. </w:t>
      </w:r>
    </w:p>
    <w:p w14:paraId="14BAC7F9" w14:textId="2AB25CEC" w:rsidR="00141E0D" w:rsidRPr="00651659" w:rsidRDefault="0040414E" w:rsidP="00651659">
      <w:pPr>
        <w:pStyle w:val="Heading1"/>
        <w:numPr>
          <w:ilvl w:val="0"/>
          <w:numId w:val="25"/>
        </w:numPr>
      </w:pPr>
      <w:bookmarkStart w:id="31" w:name="_Toc96074916"/>
      <w:r w:rsidRPr="00651659">
        <w:t>Drivers of GST distribution</w:t>
      </w:r>
      <w:bookmarkEnd w:id="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9064"/>
      </w:tblGrid>
      <w:tr w:rsidR="00CE4066" w:rsidRPr="009F3039" w14:paraId="3B65E69F" w14:textId="77777777" w:rsidTr="001A3B40">
        <w:tc>
          <w:tcPr>
            <w:tcW w:w="9064" w:type="dxa"/>
            <w:shd w:val="clear" w:color="auto" w:fill="EBF3F5"/>
          </w:tcPr>
          <w:p w14:paraId="70FA2852" w14:textId="1C719120" w:rsidR="00CE4066" w:rsidRDefault="00CE4066" w:rsidP="00801A1B">
            <w:pPr>
              <w:pStyle w:val="Heading3"/>
              <w:spacing w:before="240"/>
            </w:pPr>
            <w:r>
              <w:rPr>
                <w:noProof/>
              </w:rPr>
              <w:drawing>
                <wp:anchor distT="0" distB="0" distL="114300" distR="114300" simplePos="0" relativeHeight="251658286" behindDoc="1" locked="1" layoutInCell="1" allowOverlap="1" wp14:anchorId="4EE2CDE1" wp14:editId="47164B8D">
                  <wp:simplePos x="0" y="0"/>
                  <wp:positionH relativeFrom="page">
                    <wp:posOffset>-906145</wp:posOffset>
                  </wp:positionH>
                  <wp:positionV relativeFrom="page">
                    <wp:posOffset>-1491615</wp:posOffset>
                  </wp:positionV>
                  <wp:extent cx="7563485" cy="10691495"/>
                  <wp:effectExtent l="0" t="0" r="0" b="0"/>
                  <wp:wrapNone/>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t xml:space="preserve">Key </w:t>
            </w:r>
            <w:r w:rsidRPr="000F7E07">
              <w:t>points</w:t>
            </w:r>
          </w:p>
          <w:p w14:paraId="47E9B8AA" w14:textId="76DB51A9" w:rsidR="00CE4066" w:rsidRPr="004378D6" w:rsidRDefault="00CE4066" w:rsidP="006F5F51">
            <w:pPr>
              <w:pStyle w:val="BodyText"/>
            </w:pPr>
            <w:r w:rsidRPr="004378D6">
              <w:t xml:space="preserve">The largest factor influencing change in the distribution of GST in the </w:t>
            </w:r>
            <w:r w:rsidRPr="006F5F51">
              <w:t>2022</w:t>
            </w:r>
            <w:r w:rsidR="00FF4796">
              <w:t> </w:t>
            </w:r>
            <w:r w:rsidRPr="004378D6">
              <w:t>Update came from the phased implementation of the 2018 legislated arrangements. The GST relativity floor of 0.7 under the legislated arrangements is operating within the GST pool for the first time. In 2021</w:t>
            </w:r>
            <w:r w:rsidR="002875F7">
              <w:t>–</w:t>
            </w:r>
            <w:r w:rsidRPr="004378D6">
              <w:t xml:space="preserve">22, the Commonwealth made payments outside the GST pool to Western Australia to give it an outcome equivalent to a 0.7 relativity. </w:t>
            </w:r>
            <w:r w:rsidR="006E1423">
              <w:t xml:space="preserve">Independent of changes in state circumstances </w:t>
            </w:r>
            <w:r w:rsidR="00B06C0F">
              <w:t>and data revisions</w:t>
            </w:r>
            <w:r w:rsidR="00517AFE">
              <w:t>, the</w:t>
            </w:r>
            <w:r w:rsidRPr="004378D6">
              <w:t xml:space="preserve"> impact of th</w:t>
            </w:r>
            <w:r w:rsidR="00A67839">
              <w:t>e</w:t>
            </w:r>
            <w:r w:rsidRPr="004378D6">
              <w:t xml:space="preserve"> relativity floor</w:t>
            </w:r>
            <w:r w:rsidR="00325BEC">
              <w:t>, along with</w:t>
            </w:r>
            <w:r w:rsidRPr="004378D6">
              <w:t xml:space="preserve"> blended relativities</w:t>
            </w:r>
            <w:r w:rsidR="00325BEC">
              <w:t>,</w:t>
            </w:r>
            <w:r w:rsidR="00517AFE">
              <w:t xml:space="preserve"> is</w:t>
            </w:r>
            <w:r w:rsidRPr="004378D6" w:rsidDel="00D21FCE">
              <w:t xml:space="preserve"> </w:t>
            </w:r>
            <w:r w:rsidRPr="004378D6">
              <w:t>estimated to increase Western Australia’s GST distribution by $3.</w:t>
            </w:r>
            <w:r w:rsidR="00A67C82">
              <w:t>7</w:t>
            </w:r>
            <w:r w:rsidRPr="004378D6">
              <w:t xml:space="preserve"> billion more than </w:t>
            </w:r>
            <w:r w:rsidR="00056FD6">
              <w:t xml:space="preserve">it did </w:t>
            </w:r>
            <w:r w:rsidRPr="004378D6">
              <w:t>in the 2021</w:t>
            </w:r>
            <w:r w:rsidR="009F5EEE">
              <w:t> </w:t>
            </w:r>
            <w:r w:rsidRPr="004378D6">
              <w:t>Update. In turn</w:t>
            </w:r>
            <w:r w:rsidR="00D20EC1">
              <w:t>,</w:t>
            </w:r>
            <w:r w:rsidRPr="004378D6">
              <w:t xml:space="preserve"> this reduces the GST distribution of all other states. The</w:t>
            </w:r>
            <w:r w:rsidR="00C3512E">
              <w:t> </w:t>
            </w:r>
            <w:r w:rsidRPr="004378D6">
              <w:t xml:space="preserve">impact on the other states </w:t>
            </w:r>
            <w:r w:rsidR="007359C9">
              <w:t>would be ameliorated</w:t>
            </w:r>
            <w:r w:rsidRPr="004378D6">
              <w:t xml:space="preserve"> by the Commonwealth’s transitional no worse off guarantee payments under the 2018 legislated arrangements.</w:t>
            </w:r>
          </w:p>
          <w:p w14:paraId="6C5E3ABB" w14:textId="405642E8" w:rsidR="00CE4066" w:rsidRPr="004378D6" w:rsidRDefault="00CE4066" w:rsidP="006F5F51">
            <w:pPr>
              <w:pStyle w:val="BodyText"/>
            </w:pPr>
            <w:r w:rsidRPr="004378D6">
              <w:t>Changes in states’ relative abilities to raise revenue also changed the GST distribution from 2021</w:t>
            </w:r>
            <w:r w:rsidR="002875F7">
              <w:t>–</w:t>
            </w:r>
            <w:r w:rsidRPr="004378D6">
              <w:t xml:space="preserve">22. Higher iron ore prices decreased the assessed needs for Western Australia and increased them for all other states. </w:t>
            </w:r>
            <w:r w:rsidR="00E075B3">
              <w:t xml:space="preserve">The </w:t>
            </w:r>
            <w:r w:rsidR="005406FE">
              <w:t xml:space="preserve">fall in the </w:t>
            </w:r>
            <w:r w:rsidRPr="004378D6">
              <w:t xml:space="preserve">value of coal production increased assessed needs </w:t>
            </w:r>
            <w:r w:rsidRPr="006F5F51">
              <w:t>for</w:t>
            </w:r>
            <w:r w:rsidRPr="004378D6">
              <w:t xml:space="preserve"> Queensland and decreased them for all other states. An uneven property boom changed states’ relative capacities to raise stamp duty. </w:t>
            </w:r>
          </w:p>
          <w:p w14:paraId="76000421" w14:textId="21055628" w:rsidR="00CE4066" w:rsidRDefault="00CE4066" w:rsidP="006F5F51">
            <w:pPr>
              <w:pStyle w:val="BodyText"/>
            </w:pPr>
            <w:r>
              <w:t>States’ relative spending needs also changed. Slower</w:t>
            </w:r>
            <w:r w:rsidDel="007545E4">
              <w:t xml:space="preserve"> </w:t>
            </w:r>
            <w:r>
              <w:t>population growth in Victoria over the assessment period reduced its assessed capital needs by $67</w:t>
            </w:r>
            <w:r w:rsidR="009E3897">
              <w:t>2</w:t>
            </w:r>
            <w:r>
              <w:t xml:space="preserve"> million (reduced GST </w:t>
            </w:r>
            <w:r w:rsidR="00AF02EF">
              <w:t>need</w:t>
            </w:r>
            <w:r w:rsidR="002A3863">
              <w:t>s</w:t>
            </w:r>
            <w:r>
              <w:t xml:space="preserve"> for investment and a smaller increase in needs for net borrowing). Differences between states in relative wage growth were also important. This,</w:t>
            </w:r>
            <w:r w:rsidR="008216FB">
              <w:t> </w:t>
            </w:r>
            <w:r>
              <w:t xml:space="preserve">along with its growing share of Commonwealth payments, reduced the ACT’s GST </w:t>
            </w:r>
            <w:r w:rsidR="00F07AF3">
              <w:t>needs</w:t>
            </w:r>
            <w:r>
              <w:t>.</w:t>
            </w:r>
          </w:p>
          <w:p w14:paraId="79AB4AEA" w14:textId="6CFECA7C" w:rsidR="00CE4066" w:rsidRPr="009F3039" w:rsidRDefault="00F554D9" w:rsidP="00817ACA">
            <w:pPr>
              <w:pStyle w:val="BodyText"/>
              <w:spacing w:after="240"/>
              <w:ind w:left="714" w:hanging="357"/>
            </w:pPr>
            <w:r>
              <w:t>N</w:t>
            </w:r>
            <w:r w:rsidR="00CE4066">
              <w:t>ewly available data also led to a small change in the distribution of GST.</w:t>
            </w:r>
          </w:p>
        </w:tc>
      </w:tr>
    </w:tbl>
    <w:p w14:paraId="66E0F37B" w14:textId="77777777" w:rsidR="00CE4066" w:rsidRPr="003C0DF4" w:rsidRDefault="00CE4066" w:rsidP="000D6032">
      <w:pPr>
        <w:pStyle w:val="Heading2"/>
      </w:pPr>
      <w:bookmarkStart w:id="32" w:name="_Toc65050530"/>
      <w:r w:rsidRPr="003C0DF4">
        <w:t xml:space="preserve">Why </w:t>
      </w:r>
      <w:r>
        <w:t>GST shares</w:t>
      </w:r>
      <w:r w:rsidRPr="003C0DF4">
        <w:t xml:space="preserve"> differ</w:t>
      </w:r>
      <w:bookmarkEnd w:id="32"/>
    </w:p>
    <w:p w14:paraId="5EE991FE" w14:textId="77777777" w:rsidR="00CE4066" w:rsidRDefault="00CE4066" w:rsidP="0004064D">
      <w:pPr>
        <w:pStyle w:val="CGCBodyCopy"/>
      </w:pPr>
      <w:r>
        <w:t>S</w:t>
      </w:r>
      <w:r w:rsidRPr="000F3AC5">
        <w:t>tates</w:t>
      </w:r>
      <w:r>
        <w:t>’</w:t>
      </w:r>
      <w:r w:rsidRPr="000F3AC5">
        <w:t xml:space="preserve"> economic, social and demographic characteristics affect their expenditures and revenues</w:t>
      </w:r>
      <w:r>
        <w:t>. The Commission takes these into account when assessing how much GST each state</w:t>
      </w:r>
      <w:r w:rsidRPr="000F3AC5">
        <w:t xml:space="preserve"> </w:t>
      </w:r>
      <w:r>
        <w:t>needs.</w:t>
      </w:r>
    </w:p>
    <w:p w14:paraId="4192B516" w14:textId="0341A72E" w:rsidR="00CE4066" w:rsidRPr="004378D6" w:rsidRDefault="008A497C" w:rsidP="0004064D">
      <w:pPr>
        <w:pStyle w:val="CGCBodyCopy"/>
      </w:pPr>
      <w:r>
        <w:fldChar w:fldCharType="begin"/>
      </w:r>
      <w:r>
        <w:instrText xml:space="preserve"> REF _Ref96081214 \h </w:instrText>
      </w:r>
      <w:r>
        <w:fldChar w:fldCharType="separate"/>
      </w:r>
      <w:r w:rsidR="00FE4664" w:rsidRPr="00663C98">
        <w:t>Table 2-</w:t>
      </w:r>
      <w:r w:rsidR="00FE4664">
        <w:rPr>
          <w:noProof/>
        </w:rPr>
        <w:t>1</w:t>
      </w:r>
      <w:r>
        <w:fldChar w:fldCharType="end"/>
      </w:r>
      <w:r>
        <w:t xml:space="preserve"> </w:t>
      </w:r>
      <w:r w:rsidR="00CE4066" w:rsidRPr="000F3AC5">
        <w:t xml:space="preserve">shows how these </w:t>
      </w:r>
      <w:r w:rsidR="00CE4066">
        <w:t>characteristics</w:t>
      </w:r>
      <w:r w:rsidR="00CE4066" w:rsidRPr="000F3AC5">
        <w:t xml:space="preserve"> </w:t>
      </w:r>
      <w:r w:rsidR="00CE4066">
        <w:t>have</w:t>
      </w:r>
      <w:r w:rsidR="00CE4066" w:rsidRPr="000F3AC5">
        <w:t xml:space="preserve"> contributed to differences </w:t>
      </w:r>
      <w:r w:rsidR="00A95F96">
        <w:rPr>
          <w:noProof/>
        </w:rPr>
        <w:drawing>
          <wp:anchor distT="0" distB="0" distL="114300" distR="114300" simplePos="0" relativeHeight="251658287" behindDoc="1" locked="1" layoutInCell="1" allowOverlap="1" wp14:anchorId="5AFA8ED8" wp14:editId="617A5DC8">
            <wp:simplePos x="0" y="0"/>
            <wp:positionH relativeFrom="page">
              <wp:posOffset>-5080</wp:posOffset>
            </wp:positionH>
            <wp:positionV relativeFrom="page">
              <wp:posOffset>8255</wp:posOffset>
            </wp:positionV>
            <wp:extent cx="7563485" cy="10691495"/>
            <wp:effectExtent l="0" t="0" r="0" b="0"/>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CE4066" w:rsidRPr="000F3AC5">
        <w:t xml:space="preserve">between the recommended GST pool distribution and an equal per </w:t>
      </w:r>
      <w:r w:rsidR="00CE4066">
        <w:t>person</w:t>
      </w:r>
      <w:r w:rsidR="00CE4066" w:rsidRPr="000F3AC5">
        <w:t xml:space="preserve"> allocation.</w:t>
      </w:r>
      <w:r w:rsidR="00CE4066">
        <w:t xml:space="preserve"> This comparison is useful as it shows whether a state has been assessed by the </w:t>
      </w:r>
      <w:r w:rsidR="00CE4066" w:rsidRPr="004378D6">
        <w:t>Commission to have above</w:t>
      </w:r>
      <w:r w:rsidR="007F5816">
        <w:noBreakHyphen/>
      </w:r>
      <w:r w:rsidR="009C1135">
        <w:t>average</w:t>
      </w:r>
      <w:r w:rsidR="00CE4066" w:rsidRPr="004378D6">
        <w:t xml:space="preserve"> or below</w:t>
      </w:r>
      <w:r w:rsidR="00CE4066" w:rsidRPr="004378D6">
        <w:noBreakHyphen/>
        <w:t>average needs for GST revenue.</w:t>
      </w:r>
    </w:p>
    <w:p w14:paraId="3439D17A" w14:textId="18935BE2" w:rsidR="00CE4066" w:rsidRPr="004378D6" w:rsidRDefault="00CE4066" w:rsidP="0004064D">
      <w:pPr>
        <w:pStyle w:val="CGCBodyCopy"/>
      </w:pPr>
      <w:r>
        <w:t xml:space="preserve">Assessed relativities reflect the Commission’s assessment of how much GST each state needs </w:t>
      </w:r>
      <w:r w:rsidR="006D6675">
        <w:t xml:space="preserve">to have the </w:t>
      </w:r>
      <w:r w:rsidR="009603D0">
        <w:t xml:space="preserve">same </w:t>
      </w:r>
      <w:r w:rsidR="006D6675">
        <w:t xml:space="preserve">fiscal capacity </w:t>
      </w:r>
      <w:r w:rsidR="00F72090">
        <w:t xml:space="preserve">to </w:t>
      </w:r>
      <w:r>
        <w:t>provide services and associated infrastructure, after allowing for advantages and disadvantages affecting revenues and expenditures. The 2022 Update’s assessed relativities include two ‘firsts’.</w:t>
      </w:r>
    </w:p>
    <w:p w14:paraId="29260FE9" w14:textId="33434619" w:rsidR="00CE4066" w:rsidRPr="004378D6" w:rsidRDefault="00CE4066" w:rsidP="00AA0A35">
      <w:pPr>
        <w:pStyle w:val="BodyText"/>
      </w:pPr>
      <w:r w:rsidRPr="004378D6">
        <w:t>For the first time</w:t>
      </w:r>
      <w:r>
        <w:t xml:space="preserve"> since the introduction of the GST</w:t>
      </w:r>
      <w:r w:rsidRPr="004378D6">
        <w:t>, New South Wales has an assessed relativity above one (1.</w:t>
      </w:r>
      <w:r w:rsidR="00684E34">
        <w:t>01</w:t>
      </w:r>
      <w:r w:rsidR="00DD64BC">
        <w:t>373</w:t>
      </w:r>
      <w:r w:rsidRPr="004378D6">
        <w:t>, see Table 1</w:t>
      </w:r>
      <w:r w:rsidR="002756A5">
        <w:noBreakHyphen/>
      </w:r>
      <w:r w:rsidRPr="004378D6">
        <w:t>2 in the previous chapter). This means that it would need $</w:t>
      </w:r>
      <w:r w:rsidR="00E37ED5">
        <w:t>345</w:t>
      </w:r>
      <w:r w:rsidRPr="004378D6">
        <w:t> million more GST than an equal per capita distribution in order to have the same capacity to provide services as the other states.</w:t>
      </w:r>
    </w:p>
    <w:p w14:paraId="343D2846" w14:textId="7E0F9B60" w:rsidR="00CE4066" w:rsidRPr="004378D6" w:rsidRDefault="00CE4066" w:rsidP="00AA0A35">
      <w:pPr>
        <w:pStyle w:val="BodyText"/>
      </w:pPr>
      <w:r>
        <w:t>Also for the first time, the Commission assessed that Western</w:t>
      </w:r>
      <w:r w:rsidR="00973A9E">
        <w:t> </w:t>
      </w:r>
      <w:r>
        <w:t>Australia had the capacity to raise more in revenue in 2020</w:t>
      </w:r>
      <w:r w:rsidR="00973A9E">
        <w:noBreakHyphen/>
      </w:r>
      <w:r>
        <w:t>21 than it required to meet its assessed expenditure needs</w:t>
      </w:r>
      <w:r w:rsidR="002E6CDE">
        <w:t xml:space="preserve"> (by $663 million)</w:t>
      </w:r>
      <w:r>
        <w:t>. This is reflected in its negative annual assessed relativity of 0.0</w:t>
      </w:r>
      <w:r w:rsidR="00470B16">
        <w:t>8724</w:t>
      </w:r>
      <w:r>
        <w:t xml:space="preserve"> in that assessment year. Its </w:t>
      </w:r>
      <w:r w:rsidRPr="4CAE3B53">
        <w:rPr>
          <w:i/>
          <w:iCs/>
        </w:rPr>
        <w:t>average</w:t>
      </w:r>
      <w:r>
        <w:t xml:space="preserve"> assessed relativity, based on the average of three years</w:t>
      </w:r>
      <w:r w:rsidR="00C54491">
        <w:t xml:space="preserve"> </w:t>
      </w:r>
      <w:r w:rsidR="006B7001">
        <w:t>(2018-19, 2019</w:t>
      </w:r>
      <w:r w:rsidR="00532783">
        <w:noBreakHyphen/>
      </w:r>
      <w:r w:rsidR="006B7001">
        <w:t>20, 20</w:t>
      </w:r>
      <w:r w:rsidR="00551C9C">
        <w:t>20</w:t>
      </w:r>
      <w:r w:rsidR="00973A9E">
        <w:noBreakHyphen/>
      </w:r>
      <w:r w:rsidR="00551C9C">
        <w:t>21)</w:t>
      </w:r>
      <w:r>
        <w:t xml:space="preserve">, remains positive. As discussed in </w:t>
      </w:r>
      <w:hyperlink r:id="rId44" w:history="1">
        <w:r w:rsidR="00921168" w:rsidRPr="00640BCB">
          <w:rPr>
            <w:rStyle w:val="Hyperlink"/>
            <w:i/>
            <w:iCs/>
          </w:rPr>
          <w:t>New issues in the 2022 Update</w:t>
        </w:r>
      </w:hyperlink>
      <w:r>
        <w:t xml:space="preserve">, no adjustments were considered necessary to deal with a negative annual relativity. </w:t>
      </w:r>
    </w:p>
    <w:p w14:paraId="293EDBF9" w14:textId="4BD609F2" w:rsidR="00CE4066" w:rsidRPr="004378D6" w:rsidRDefault="00B4396A" w:rsidP="0004064D">
      <w:pPr>
        <w:pStyle w:val="CGCBodyCopy"/>
      </w:pPr>
      <w:r>
        <w:fldChar w:fldCharType="begin"/>
      </w:r>
      <w:r>
        <w:instrText xml:space="preserve"> REF _Ref96081214 \h </w:instrText>
      </w:r>
      <w:r>
        <w:fldChar w:fldCharType="separate"/>
      </w:r>
      <w:r w:rsidR="00FE4664" w:rsidRPr="00663C98">
        <w:t>Table 2-</w:t>
      </w:r>
      <w:r w:rsidR="00FE4664">
        <w:rPr>
          <w:noProof/>
        </w:rPr>
        <w:t>1</w:t>
      </w:r>
      <w:r>
        <w:fldChar w:fldCharType="end"/>
      </w:r>
      <w:r w:rsidR="00CE4066" w:rsidRPr="004378D6">
        <w:t xml:space="preserve"> shows that New South Wales and Victoria had above-average capacities to raise revenue from property sales and taxable land values, yet lower mining revenue raising capacities. When combined with </w:t>
      </w:r>
      <w:r w:rsidR="002E50CA">
        <w:t>below</w:t>
      </w:r>
      <w:r w:rsidR="002E50CA">
        <w:noBreakHyphen/>
      </w:r>
      <w:r w:rsidR="00CE4066" w:rsidRPr="004378D6">
        <w:t xml:space="preserve">average expenditure </w:t>
      </w:r>
      <w:r w:rsidR="00502CE7">
        <w:t>needs</w:t>
      </w:r>
      <w:r w:rsidR="00CE4066" w:rsidRPr="004378D6">
        <w:t xml:space="preserve">, and the effect of blended relativities and the GST floor, these states required less than an equal per capita share of GST. While high mining revenue raising capacity in Western Australia lowered its GST needs, this was offset by the effect of blended relativities, the GST floor and relatively high expense </w:t>
      </w:r>
      <w:r w:rsidR="003179B1">
        <w:t>needs</w:t>
      </w:r>
      <w:r w:rsidR="00CE4066" w:rsidRPr="004378D6">
        <w:t xml:space="preserve">. </w:t>
      </w:r>
    </w:p>
    <w:p w14:paraId="6B89B16D" w14:textId="2ADE1AA7" w:rsidR="00CE4066" w:rsidRPr="004378D6" w:rsidRDefault="00CE4066" w:rsidP="0004064D">
      <w:pPr>
        <w:pStyle w:val="CGCBodyCopy"/>
      </w:pPr>
      <w:r w:rsidRPr="004378D6">
        <w:t>In contrast to Western Australia, the overall revenue raising capacity of the other states was below</w:t>
      </w:r>
      <w:r w:rsidR="00643D10">
        <w:noBreakHyphen/>
      </w:r>
      <w:r w:rsidRPr="004378D6">
        <w:t>average</w:t>
      </w:r>
      <w:r w:rsidR="004D620C">
        <w:t>,</w:t>
      </w:r>
      <w:r w:rsidRPr="004378D6">
        <w:t xml:space="preserve"> which increased their GST needs.</w:t>
      </w:r>
      <w:r w:rsidRPr="004378D6" w:rsidDel="00ED1517">
        <w:t xml:space="preserve"> </w:t>
      </w:r>
      <w:r w:rsidRPr="004378D6">
        <w:t>Queensland, Tasmania and the Northern Territory have above</w:t>
      </w:r>
      <w:r w:rsidR="00971781">
        <w:noBreakHyphen/>
      </w:r>
      <w:r w:rsidRPr="004378D6">
        <w:t xml:space="preserve">average expense </w:t>
      </w:r>
      <w:r w:rsidR="003179B1">
        <w:t>needs</w:t>
      </w:r>
      <w:r w:rsidRPr="004378D6">
        <w:t>, mainly arising from their higher cost socio</w:t>
      </w:r>
      <w:r w:rsidRPr="004378D6">
        <w:noBreakHyphen/>
        <w:t>demographic composition. This increases their GST distributions. The ACT’s below</w:t>
      </w:r>
      <w:r w:rsidR="005B768C">
        <w:noBreakHyphen/>
      </w:r>
      <w:r w:rsidRPr="004378D6">
        <w:t xml:space="preserve">average spending needs lower its GST needs. </w:t>
      </w:r>
      <w:bookmarkStart w:id="33" w:name="_Hlk96939815"/>
      <w:r w:rsidRPr="004378D6">
        <w:t>South Australia has a socio</w:t>
      </w:r>
      <w:r w:rsidR="0064465F">
        <w:noBreakHyphen/>
      </w:r>
      <w:r w:rsidRPr="004378D6">
        <w:t>demographic composition that leads to above</w:t>
      </w:r>
      <w:r w:rsidR="00A853B3">
        <w:noBreakHyphen/>
      </w:r>
      <w:r w:rsidRPr="004378D6">
        <w:t xml:space="preserve">average expense needs, but </w:t>
      </w:r>
      <w:r w:rsidR="008F1ED2">
        <w:t xml:space="preserve">its high expense needs are </w:t>
      </w:r>
      <w:r w:rsidRPr="004378D6">
        <w:t xml:space="preserve">more than offset by </w:t>
      </w:r>
      <w:r w:rsidR="008F1ED2">
        <w:t>its</w:t>
      </w:r>
      <w:r w:rsidRPr="004378D6">
        <w:t xml:space="preserve"> low investment needs. </w:t>
      </w:r>
      <w:bookmarkEnd w:id="33"/>
      <w:r w:rsidRPr="004378D6">
        <w:t xml:space="preserve">The GST needs of these states are reduced by the effect of blended relativities and the GST floor; although across the transition period, this impact </w:t>
      </w:r>
      <w:r w:rsidR="007835C0">
        <w:t>would</w:t>
      </w:r>
      <w:r w:rsidRPr="004378D6">
        <w:t xml:space="preserve"> be ameliorated by the Commonwealth’s no worse off payments.</w:t>
      </w:r>
    </w:p>
    <w:p w14:paraId="77FB34A9" w14:textId="505F258D" w:rsidR="00CE4066" w:rsidRPr="00663C98" w:rsidRDefault="00CE4066" w:rsidP="00A3659E">
      <w:pPr>
        <w:pStyle w:val="Caption"/>
        <w:widowControl w:val="0"/>
      </w:pPr>
      <w:bookmarkStart w:id="34" w:name="_Ref94275681"/>
      <w:bookmarkStart w:id="35" w:name="_Ref96081214"/>
      <w:r w:rsidRPr="00663C98">
        <w:t>Table 2-</w:t>
      </w:r>
      <w:bookmarkEnd w:id="34"/>
      <w:r w:rsidR="00B4396A">
        <w:fldChar w:fldCharType="begin"/>
      </w:r>
      <w:r w:rsidR="00B4396A">
        <w:instrText xml:space="preserve"> SEQ Table \* ARABIC \r1 </w:instrText>
      </w:r>
      <w:r w:rsidR="00B4396A">
        <w:fldChar w:fldCharType="separate"/>
      </w:r>
      <w:r w:rsidR="00FE4664">
        <w:rPr>
          <w:noProof/>
        </w:rPr>
        <w:t>1</w:t>
      </w:r>
      <w:r w:rsidR="00B4396A">
        <w:fldChar w:fldCharType="end"/>
      </w:r>
      <w:bookmarkStart w:id="36" w:name="_Toc62487280"/>
      <w:bookmarkStart w:id="37" w:name="_Toc62723811"/>
      <w:bookmarkEnd w:id="35"/>
      <w:r w:rsidRPr="00663C98">
        <w:tab/>
        <w:t>Drivers of difference from an equal per capita distribution of GST, 2022</w:t>
      </w:r>
      <w:r w:rsidR="0050606F">
        <w:t>–</w:t>
      </w:r>
      <w:r w:rsidRPr="00663C98">
        <w:t>2</w:t>
      </w:r>
      <w:bookmarkEnd w:id="36"/>
      <w:bookmarkEnd w:id="37"/>
      <w:r w:rsidRPr="00663C98">
        <w:t>3</w:t>
      </w:r>
      <w:r w:rsidR="00162F8E">
        <w:rPr>
          <w:noProof/>
        </w:rPr>
        <w:drawing>
          <wp:anchor distT="0" distB="0" distL="114300" distR="114300" simplePos="0" relativeHeight="251658269" behindDoc="1" locked="1" layoutInCell="1" allowOverlap="1" wp14:anchorId="5EF81F73" wp14:editId="294A34C5">
            <wp:simplePos x="0" y="0"/>
            <wp:positionH relativeFrom="page">
              <wp:posOffset>5715</wp:posOffset>
            </wp:positionH>
            <wp:positionV relativeFrom="margin">
              <wp:posOffset>-796925</wp:posOffset>
            </wp:positionV>
            <wp:extent cx="7563485" cy="10691495"/>
            <wp:effectExtent l="0" t="0" r="0" b="0"/>
            <wp:wrapNone/>
            <wp:docPr id="49" name="Picture 4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tbl>
      <w:tblPr>
        <w:tblW w:w="8960" w:type="dxa"/>
        <w:tblLook w:val="04A0" w:firstRow="1" w:lastRow="0" w:firstColumn="1" w:lastColumn="0" w:noHBand="0" w:noVBand="1"/>
      </w:tblPr>
      <w:tblGrid>
        <w:gridCol w:w="2620"/>
        <w:gridCol w:w="700"/>
        <w:gridCol w:w="760"/>
        <w:gridCol w:w="760"/>
        <w:gridCol w:w="760"/>
        <w:gridCol w:w="620"/>
        <w:gridCol w:w="640"/>
        <w:gridCol w:w="700"/>
        <w:gridCol w:w="640"/>
        <w:gridCol w:w="760"/>
      </w:tblGrid>
      <w:tr w:rsidR="000A376B" w:rsidRPr="000A376B" w14:paraId="4560F146" w14:textId="77777777" w:rsidTr="000A376B">
        <w:trPr>
          <w:trHeight w:val="375"/>
        </w:trPr>
        <w:tc>
          <w:tcPr>
            <w:tcW w:w="2620" w:type="dxa"/>
            <w:tcBorders>
              <w:top w:val="nil"/>
              <w:left w:val="nil"/>
              <w:bottom w:val="single" w:sz="4" w:space="0" w:color="ADD6EA"/>
              <w:right w:val="nil"/>
            </w:tcBorders>
            <w:shd w:val="clear" w:color="000000" w:fill="006991"/>
            <w:noWrap/>
            <w:vAlign w:val="center"/>
            <w:hideMark/>
          </w:tcPr>
          <w:p w14:paraId="5E7E173F" w14:textId="77777777" w:rsidR="000A376B" w:rsidRPr="000A376B" w:rsidRDefault="000A376B" w:rsidP="000A376B">
            <w:pPr>
              <w:tabs>
                <w:tab w:val="clear" w:pos="567"/>
              </w:tabs>
              <w:spacing w:before="0" w:line="240" w:lineRule="auto"/>
              <w:rPr>
                <w:rFonts w:ascii="Open Sans Semibold" w:eastAsia="Times New Roman" w:hAnsi="Open Sans Semibold" w:cs="Open Sans Semibold"/>
                <w:color w:val="FFFFFF"/>
                <w:sz w:val="16"/>
                <w:szCs w:val="16"/>
                <w:lang w:eastAsia="en-AU"/>
              </w:rPr>
            </w:pPr>
            <w:r w:rsidRPr="000A376B">
              <w:rPr>
                <w:rFonts w:ascii="Open Sans Semibold" w:eastAsia="Times New Roman" w:hAnsi="Open Sans Semibold" w:cs="Open Sans Semibold"/>
                <w:color w:val="FFFFFF"/>
                <w:sz w:val="16"/>
                <w:szCs w:val="16"/>
                <w:lang w:eastAsia="en-AU"/>
              </w:rPr>
              <w:t> </w:t>
            </w:r>
          </w:p>
        </w:tc>
        <w:tc>
          <w:tcPr>
            <w:tcW w:w="700" w:type="dxa"/>
            <w:tcBorders>
              <w:top w:val="nil"/>
              <w:left w:val="nil"/>
              <w:bottom w:val="single" w:sz="4" w:space="0" w:color="ADD6EA"/>
              <w:right w:val="nil"/>
            </w:tcBorders>
            <w:shd w:val="clear" w:color="000000" w:fill="006991"/>
            <w:noWrap/>
            <w:vAlign w:val="center"/>
            <w:hideMark/>
          </w:tcPr>
          <w:p w14:paraId="264EC0ED"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A376B">
              <w:rPr>
                <w:rFonts w:ascii="Open Sans Semibold" w:eastAsia="Times New Roman" w:hAnsi="Open Sans Semibold" w:cs="Open Sans Semibold"/>
                <w:color w:val="FFFFFF"/>
                <w:sz w:val="16"/>
                <w:szCs w:val="16"/>
                <w:lang w:eastAsia="en-AU"/>
              </w:rPr>
              <w:t>NSW</w:t>
            </w:r>
          </w:p>
        </w:tc>
        <w:tc>
          <w:tcPr>
            <w:tcW w:w="760" w:type="dxa"/>
            <w:tcBorders>
              <w:top w:val="nil"/>
              <w:left w:val="nil"/>
              <w:bottom w:val="single" w:sz="4" w:space="0" w:color="ADD6EA"/>
              <w:right w:val="nil"/>
            </w:tcBorders>
            <w:shd w:val="clear" w:color="000000" w:fill="006991"/>
            <w:noWrap/>
            <w:vAlign w:val="center"/>
            <w:hideMark/>
          </w:tcPr>
          <w:p w14:paraId="364C134C"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A376B">
              <w:rPr>
                <w:rFonts w:ascii="Open Sans Semibold" w:eastAsia="Times New Roman" w:hAnsi="Open Sans Semibold" w:cs="Open Sans Semibold"/>
                <w:color w:val="FFFFFF"/>
                <w:sz w:val="16"/>
                <w:szCs w:val="16"/>
                <w:lang w:eastAsia="en-AU"/>
              </w:rPr>
              <w:t>Vic</w:t>
            </w:r>
          </w:p>
        </w:tc>
        <w:tc>
          <w:tcPr>
            <w:tcW w:w="760" w:type="dxa"/>
            <w:tcBorders>
              <w:top w:val="nil"/>
              <w:left w:val="nil"/>
              <w:bottom w:val="single" w:sz="4" w:space="0" w:color="ADD6EA"/>
              <w:right w:val="nil"/>
            </w:tcBorders>
            <w:shd w:val="clear" w:color="000000" w:fill="006991"/>
            <w:noWrap/>
            <w:vAlign w:val="center"/>
            <w:hideMark/>
          </w:tcPr>
          <w:p w14:paraId="1F8D243A"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A376B">
              <w:rPr>
                <w:rFonts w:ascii="Open Sans Semibold" w:eastAsia="Times New Roman" w:hAnsi="Open Sans Semibold" w:cs="Open Sans Semibold"/>
                <w:color w:val="FFFFFF"/>
                <w:sz w:val="16"/>
                <w:szCs w:val="16"/>
                <w:lang w:eastAsia="en-AU"/>
              </w:rPr>
              <w:t>Qld</w:t>
            </w:r>
          </w:p>
        </w:tc>
        <w:tc>
          <w:tcPr>
            <w:tcW w:w="760" w:type="dxa"/>
            <w:tcBorders>
              <w:top w:val="nil"/>
              <w:left w:val="nil"/>
              <w:bottom w:val="single" w:sz="4" w:space="0" w:color="ADD6EA"/>
              <w:right w:val="nil"/>
            </w:tcBorders>
            <w:shd w:val="clear" w:color="000000" w:fill="006991"/>
            <w:noWrap/>
            <w:vAlign w:val="center"/>
            <w:hideMark/>
          </w:tcPr>
          <w:p w14:paraId="04B381D7"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A376B">
              <w:rPr>
                <w:rFonts w:ascii="Open Sans Semibold" w:eastAsia="Times New Roman" w:hAnsi="Open Sans Semibold" w:cs="Open Sans Semibold"/>
                <w:color w:val="FFFFFF"/>
                <w:sz w:val="16"/>
                <w:szCs w:val="16"/>
                <w:lang w:eastAsia="en-AU"/>
              </w:rPr>
              <w:t>WA</w:t>
            </w:r>
          </w:p>
        </w:tc>
        <w:tc>
          <w:tcPr>
            <w:tcW w:w="620" w:type="dxa"/>
            <w:tcBorders>
              <w:top w:val="nil"/>
              <w:left w:val="nil"/>
              <w:bottom w:val="single" w:sz="4" w:space="0" w:color="ADD6EA"/>
              <w:right w:val="nil"/>
            </w:tcBorders>
            <w:shd w:val="clear" w:color="000000" w:fill="006991"/>
            <w:noWrap/>
            <w:vAlign w:val="center"/>
            <w:hideMark/>
          </w:tcPr>
          <w:p w14:paraId="7588D47E"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A376B">
              <w:rPr>
                <w:rFonts w:ascii="Open Sans Semibold" w:eastAsia="Times New Roman" w:hAnsi="Open Sans Semibold" w:cs="Open Sans Semibold"/>
                <w:color w:val="FFFFFF"/>
                <w:sz w:val="16"/>
                <w:szCs w:val="16"/>
                <w:lang w:eastAsia="en-AU"/>
              </w:rPr>
              <w:t>SA</w:t>
            </w:r>
          </w:p>
        </w:tc>
        <w:tc>
          <w:tcPr>
            <w:tcW w:w="640" w:type="dxa"/>
            <w:tcBorders>
              <w:top w:val="nil"/>
              <w:left w:val="nil"/>
              <w:bottom w:val="single" w:sz="4" w:space="0" w:color="ADD6EA"/>
              <w:right w:val="nil"/>
            </w:tcBorders>
            <w:shd w:val="clear" w:color="000000" w:fill="006991"/>
            <w:noWrap/>
            <w:vAlign w:val="center"/>
            <w:hideMark/>
          </w:tcPr>
          <w:p w14:paraId="1D4CD93E"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A376B">
              <w:rPr>
                <w:rFonts w:ascii="Open Sans Semibold" w:eastAsia="Times New Roman" w:hAnsi="Open Sans Semibold" w:cs="Open Sans Semibold"/>
                <w:color w:val="FFFFFF"/>
                <w:sz w:val="16"/>
                <w:szCs w:val="16"/>
                <w:lang w:eastAsia="en-AU"/>
              </w:rPr>
              <w:t>Tas</w:t>
            </w:r>
          </w:p>
        </w:tc>
        <w:tc>
          <w:tcPr>
            <w:tcW w:w="700" w:type="dxa"/>
            <w:tcBorders>
              <w:top w:val="nil"/>
              <w:left w:val="nil"/>
              <w:bottom w:val="single" w:sz="4" w:space="0" w:color="ADD6EA"/>
              <w:right w:val="nil"/>
            </w:tcBorders>
            <w:shd w:val="clear" w:color="000000" w:fill="006991"/>
            <w:noWrap/>
            <w:vAlign w:val="center"/>
            <w:hideMark/>
          </w:tcPr>
          <w:p w14:paraId="2836CF8E"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A376B">
              <w:rPr>
                <w:rFonts w:ascii="Open Sans Semibold" w:eastAsia="Times New Roman" w:hAnsi="Open Sans Semibold" w:cs="Open Sans Semibold"/>
                <w:color w:val="FFFFFF"/>
                <w:sz w:val="16"/>
                <w:szCs w:val="16"/>
                <w:lang w:eastAsia="en-AU"/>
              </w:rPr>
              <w:t>ACT</w:t>
            </w:r>
          </w:p>
        </w:tc>
        <w:tc>
          <w:tcPr>
            <w:tcW w:w="640" w:type="dxa"/>
            <w:tcBorders>
              <w:top w:val="nil"/>
              <w:left w:val="nil"/>
              <w:bottom w:val="single" w:sz="4" w:space="0" w:color="ADD6EA"/>
              <w:right w:val="nil"/>
            </w:tcBorders>
            <w:shd w:val="clear" w:color="000000" w:fill="006991"/>
            <w:noWrap/>
            <w:vAlign w:val="center"/>
            <w:hideMark/>
          </w:tcPr>
          <w:p w14:paraId="59C53E9F"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A376B">
              <w:rPr>
                <w:rFonts w:ascii="Open Sans Semibold" w:eastAsia="Times New Roman" w:hAnsi="Open Sans Semibold" w:cs="Open Sans Semibold"/>
                <w:color w:val="FFFFFF"/>
                <w:sz w:val="16"/>
                <w:szCs w:val="16"/>
                <w:lang w:eastAsia="en-AU"/>
              </w:rPr>
              <w:t>NT</w:t>
            </w:r>
          </w:p>
        </w:tc>
        <w:tc>
          <w:tcPr>
            <w:tcW w:w="760" w:type="dxa"/>
            <w:tcBorders>
              <w:top w:val="nil"/>
              <w:left w:val="nil"/>
              <w:bottom w:val="single" w:sz="4" w:space="0" w:color="ADD6EA"/>
              <w:right w:val="nil"/>
            </w:tcBorders>
            <w:shd w:val="clear" w:color="000000" w:fill="006991"/>
            <w:noWrap/>
            <w:vAlign w:val="center"/>
            <w:hideMark/>
          </w:tcPr>
          <w:p w14:paraId="7F0030E6" w14:textId="10AB66AE"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A376B">
              <w:rPr>
                <w:rFonts w:ascii="Open Sans Semibold" w:eastAsia="Times New Roman" w:hAnsi="Open Sans Semibold" w:cs="Open Sans Semibold"/>
                <w:color w:val="FFFFFF"/>
                <w:sz w:val="16"/>
                <w:szCs w:val="16"/>
                <w:lang w:eastAsia="en-AU"/>
              </w:rPr>
              <w:t>Redist</w:t>
            </w:r>
          </w:p>
        </w:tc>
      </w:tr>
      <w:tr w:rsidR="000A376B" w:rsidRPr="000A376B" w14:paraId="418FCC39" w14:textId="77777777" w:rsidTr="000A376B">
        <w:trPr>
          <w:trHeight w:val="259"/>
        </w:trPr>
        <w:tc>
          <w:tcPr>
            <w:tcW w:w="2620" w:type="dxa"/>
            <w:tcBorders>
              <w:top w:val="nil"/>
              <w:left w:val="nil"/>
              <w:bottom w:val="single" w:sz="8" w:space="0" w:color="ADD6EA"/>
              <w:right w:val="nil"/>
            </w:tcBorders>
            <w:shd w:val="clear" w:color="000000" w:fill="B6D5E4"/>
            <w:noWrap/>
            <w:vAlign w:val="center"/>
            <w:hideMark/>
          </w:tcPr>
          <w:p w14:paraId="3314DEE0" w14:textId="77777777" w:rsidR="000A376B" w:rsidRPr="000A376B" w:rsidRDefault="000A376B" w:rsidP="000A376B">
            <w:pPr>
              <w:tabs>
                <w:tab w:val="clear" w:pos="567"/>
              </w:tabs>
              <w:spacing w:before="0" w:line="240" w:lineRule="auto"/>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 </w:t>
            </w:r>
          </w:p>
        </w:tc>
        <w:tc>
          <w:tcPr>
            <w:tcW w:w="700" w:type="dxa"/>
            <w:tcBorders>
              <w:top w:val="nil"/>
              <w:left w:val="nil"/>
              <w:bottom w:val="single" w:sz="8" w:space="0" w:color="ADD6EA"/>
              <w:right w:val="nil"/>
            </w:tcBorders>
            <w:shd w:val="clear" w:color="000000" w:fill="B6D5E4"/>
            <w:noWrap/>
            <w:vAlign w:val="center"/>
            <w:hideMark/>
          </w:tcPr>
          <w:p w14:paraId="42B7060D"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026FEFED"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1B540A5A"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021DDB78"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$m</w:t>
            </w:r>
          </w:p>
        </w:tc>
        <w:tc>
          <w:tcPr>
            <w:tcW w:w="620" w:type="dxa"/>
            <w:tcBorders>
              <w:top w:val="nil"/>
              <w:left w:val="nil"/>
              <w:bottom w:val="single" w:sz="8" w:space="0" w:color="ADD6EA"/>
              <w:right w:val="nil"/>
            </w:tcBorders>
            <w:shd w:val="clear" w:color="000000" w:fill="B6D5E4"/>
            <w:noWrap/>
            <w:vAlign w:val="center"/>
            <w:hideMark/>
          </w:tcPr>
          <w:p w14:paraId="4E793A9F"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$m</w:t>
            </w:r>
          </w:p>
        </w:tc>
        <w:tc>
          <w:tcPr>
            <w:tcW w:w="640" w:type="dxa"/>
            <w:tcBorders>
              <w:top w:val="nil"/>
              <w:left w:val="nil"/>
              <w:bottom w:val="single" w:sz="8" w:space="0" w:color="ADD6EA"/>
              <w:right w:val="nil"/>
            </w:tcBorders>
            <w:shd w:val="clear" w:color="000000" w:fill="B6D5E4"/>
            <w:noWrap/>
            <w:vAlign w:val="center"/>
            <w:hideMark/>
          </w:tcPr>
          <w:p w14:paraId="1BCAD02A"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$m</w:t>
            </w:r>
          </w:p>
        </w:tc>
        <w:tc>
          <w:tcPr>
            <w:tcW w:w="700" w:type="dxa"/>
            <w:tcBorders>
              <w:top w:val="nil"/>
              <w:left w:val="nil"/>
              <w:bottom w:val="single" w:sz="8" w:space="0" w:color="ADD6EA"/>
              <w:right w:val="nil"/>
            </w:tcBorders>
            <w:shd w:val="clear" w:color="000000" w:fill="B6D5E4"/>
            <w:noWrap/>
            <w:vAlign w:val="center"/>
            <w:hideMark/>
          </w:tcPr>
          <w:p w14:paraId="4EA0A30A"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$m</w:t>
            </w:r>
          </w:p>
        </w:tc>
        <w:tc>
          <w:tcPr>
            <w:tcW w:w="640" w:type="dxa"/>
            <w:tcBorders>
              <w:top w:val="nil"/>
              <w:left w:val="nil"/>
              <w:bottom w:val="single" w:sz="8" w:space="0" w:color="ADD6EA"/>
              <w:right w:val="nil"/>
            </w:tcBorders>
            <w:shd w:val="clear" w:color="000000" w:fill="B6D5E4"/>
            <w:noWrap/>
            <w:vAlign w:val="center"/>
            <w:hideMark/>
          </w:tcPr>
          <w:p w14:paraId="039B90ED"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021382DB"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$m</w:t>
            </w:r>
          </w:p>
        </w:tc>
      </w:tr>
      <w:tr w:rsidR="000A376B" w:rsidRPr="000A376B" w14:paraId="3D5B2CBC" w14:textId="77777777" w:rsidTr="000A376B">
        <w:trPr>
          <w:trHeight w:val="315"/>
        </w:trPr>
        <w:tc>
          <w:tcPr>
            <w:tcW w:w="2620" w:type="dxa"/>
            <w:tcBorders>
              <w:top w:val="nil"/>
              <w:left w:val="nil"/>
              <w:bottom w:val="single" w:sz="4" w:space="0" w:color="ADD6EA"/>
              <w:right w:val="nil"/>
            </w:tcBorders>
            <w:shd w:val="clear" w:color="auto" w:fill="auto"/>
            <w:noWrap/>
            <w:vAlign w:val="bottom"/>
            <w:hideMark/>
          </w:tcPr>
          <w:p w14:paraId="449A772F"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REVENUE RAISING CAPACITY</w:t>
            </w:r>
          </w:p>
        </w:tc>
        <w:tc>
          <w:tcPr>
            <w:tcW w:w="700" w:type="dxa"/>
            <w:tcBorders>
              <w:top w:val="nil"/>
              <w:left w:val="nil"/>
              <w:bottom w:val="single" w:sz="4" w:space="0" w:color="ADD6EA"/>
              <w:right w:val="nil"/>
            </w:tcBorders>
            <w:shd w:val="clear" w:color="auto" w:fill="auto"/>
            <w:noWrap/>
            <w:vAlign w:val="bottom"/>
            <w:hideMark/>
          </w:tcPr>
          <w:p w14:paraId="74DB13B2"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760" w:type="dxa"/>
            <w:tcBorders>
              <w:top w:val="nil"/>
              <w:left w:val="nil"/>
              <w:bottom w:val="single" w:sz="4" w:space="0" w:color="ADD6EA"/>
              <w:right w:val="nil"/>
            </w:tcBorders>
            <w:shd w:val="clear" w:color="auto" w:fill="auto"/>
            <w:noWrap/>
            <w:vAlign w:val="bottom"/>
            <w:hideMark/>
          </w:tcPr>
          <w:p w14:paraId="138F9AC3"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760" w:type="dxa"/>
            <w:tcBorders>
              <w:top w:val="nil"/>
              <w:left w:val="nil"/>
              <w:bottom w:val="single" w:sz="4" w:space="0" w:color="ADD6EA"/>
              <w:right w:val="nil"/>
            </w:tcBorders>
            <w:shd w:val="clear" w:color="auto" w:fill="auto"/>
            <w:noWrap/>
            <w:vAlign w:val="bottom"/>
            <w:hideMark/>
          </w:tcPr>
          <w:p w14:paraId="0730F180"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760" w:type="dxa"/>
            <w:tcBorders>
              <w:top w:val="nil"/>
              <w:left w:val="nil"/>
              <w:bottom w:val="single" w:sz="4" w:space="0" w:color="ADD6EA"/>
              <w:right w:val="nil"/>
            </w:tcBorders>
            <w:shd w:val="clear" w:color="auto" w:fill="auto"/>
            <w:noWrap/>
            <w:vAlign w:val="bottom"/>
            <w:hideMark/>
          </w:tcPr>
          <w:p w14:paraId="7BAD79FD"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620" w:type="dxa"/>
            <w:tcBorders>
              <w:top w:val="nil"/>
              <w:left w:val="nil"/>
              <w:bottom w:val="single" w:sz="4" w:space="0" w:color="ADD6EA"/>
              <w:right w:val="nil"/>
            </w:tcBorders>
            <w:shd w:val="clear" w:color="auto" w:fill="auto"/>
            <w:noWrap/>
            <w:vAlign w:val="bottom"/>
            <w:hideMark/>
          </w:tcPr>
          <w:p w14:paraId="492DCB7B"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auto" w:fill="auto"/>
            <w:noWrap/>
            <w:vAlign w:val="bottom"/>
            <w:hideMark/>
          </w:tcPr>
          <w:p w14:paraId="7CE40F29"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700" w:type="dxa"/>
            <w:tcBorders>
              <w:top w:val="nil"/>
              <w:left w:val="nil"/>
              <w:bottom w:val="single" w:sz="4" w:space="0" w:color="ADD6EA"/>
              <w:right w:val="nil"/>
            </w:tcBorders>
            <w:shd w:val="clear" w:color="auto" w:fill="auto"/>
            <w:noWrap/>
            <w:vAlign w:val="bottom"/>
            <w:hideMark/>
          </w:tcPr>
          <w:p w14:paraId="5426A429"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auto" w:fill="auto"/>
            <w:noWrap/>
            <w:vAlign w:val="bottom"/>
            <w:hideMark/>
          </w:tcPr>
          <w:p w14:paraId="697493EE"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760" w:type="dxa"/>
            <w:tcBorders>
              <w:top w:val="nil"/>
              <w:left w:val="nil"/>
              <w:bottom w:val="single" w:sz="4" w:space="0" w:color="ADD6EA"/>
              <w:right w:val="nil"/>
            </w:tcBorders>
            <w:shd w:val="clear" w:color="auto" w:fill="auto"/>
            <w:noWrap/>
            <w:vAlign w:val="bottom"/>
            <w:hideMark/>
          </w:tcPr>
          <w:p w14:paraId="385C05E6"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r>
      <w:tr w:rsidR="000A376B" w:rsidRPr="000A376B" w14:paraId="0781392E" w14:textId="77777777" w:rsidTr="000A376B">
        <w:trPr>
          <w:trHeight w:val="315"/>
        </w:trPr>
        <w:tc>
          <w:tcPr>
            <w:tcW w:w="2620" w:type="dxa"/>
            <w:tcBorders>
              <w:top w:val="nil"/>
              <w:left w:val="nil"/>
              <w:bottom w:val="nil"/>
              <w:right w:val="nil"/>
            </w:tcBorders>
            <w:shd w:val="clear" w:color="auto" w:fill="auto"/>
            <w:noWrap/>
            <w:vAlign w:val="bottom"/>
            <w:hideMark/>
          </w:tcPr>
          <w:p w14:paraId="6DCFFC84"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r w:rsidRPr="000A376B">
              <w:rPr>
                <w:rFonts w:eastAsia="Times New Roman" w:cs="Open Sans Light"/>
                <w:color w:val="000000"/>
                <w:sz w:val="16"/>
                <w:szCs w:val="16"/>
                <w:lang w:eastAsia="en-AU"/>
              </w:rPr>
              <w:t>Mining</w:t>
            </w:r>
          </w:p>
        </w:tc>
        <w:tc>
          <w:tcPr>
            <w:tcW w:w="700" w:type="dxa"/>
            <w:tcBorders>
              <w:top w:val="nil"/>
              <w:left w:val="nil"/>
              <w:bottom w:val="nil"/>
              <w:right w:val="nil"/>
            </w:tcBorders>
            <w:shd w:val="clear" w:color="auto" w:fill="auto"/>
            <w:noWrap/>
            <w:vAlign w:val="bottom"/>
            <w:hideMark/>
          </w:tcPr>
          <w:p w14:paraId="5F17341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3,963</w:t>
            </w:r>
          </w:p>
        </w:tc>
        <w:tc>
          <w:tcPr>
            <w:tcW w:w="760" w:type="dxa"/>
            <w:tcBorders>
              <w:top w:val="nil"/>
              <w:left w:val="nil"/>
              <w:bottom w:val="nil"/>
              <w:right w:val="nil"/>
            </w:tcBorders>
            <w:shd w:val="clear" w:color="auto" w:fill="auto"/>
            <w:noWrap/>
            <w:vAlign w:val="bottom"/>
            <w:hideMark/>
          </w:tcPr>
          <w:p w14:paraId="18360BA2"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4,738</w:t>
            </w:r>
          </w:p>
        </w:tc>
        <w:tc>
          <w:tcPr>
            <w:tcW w:w="760" w:type="dxa"/>
            <w:tcBorders>
              <w:top w:val="nil"/>
              <w:left w:val="nil"/>
              <w:bottom w:val="nil"/>
              <w:right w:val="nil"/>
            </w:tcBorders>
            <w:shd w:val="clear" w:color="auto" w:fill="auto"/>
            <w:noWrap/>
            <w:vAlign w:val="bottom"/>
            <w:hideMark/>
          </w:tcPr>
          <w:p w14:paraId="6C68FEF2"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-757</w:t>
            </w:r>
          </w:p>
        </w:tc>
        <w:tc>
          <w:tcPr>
            <w:tcW w:w="760" w:type="dxa"/>
            <w:tcBorders>
              <w:top w:val="nil"/>
              <w:left w:val="nil"/>
              <w:bottom w:val="nil"/>
              <w:right w:val="nil"/>
            </w:tcBorders>
            <w:shd w:val="clear" w:color="auto" w:fill="auto"/>
            <w:noWrap/>
            <w:vAlign w:val="bottom"/>
            <w:hideMark/>
          </w:tcPr>
          <w:p w14:paraId="1309737E"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-9,419</w:t>
            </w:r>
          </w:p>
        </w:tc>
        <w:tc>
          <w:tcPr>
            <w:tcW w:w="620" w:type="dxa"/>
            <w:tcBorders>
              <w:top w:val="nil"/>
              <w:left w:val="nil"/>
              <w:bottom w:val="nil"/>
              <w:right w:val="nil"/>
            </w:tcBorders>
            <w:shd w:val="clear" w:color="auto" w:fill="auto"/>
            <w:noWrap/>
            <w:vAlign w:val="bottom"/>
            <w:hideMark/>
          </w:tcPr>
          <w:p w14:paraId="6CA059B3"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910</w:t>
            </w:r>
          </w:p>
        </w:tc>
        <w:tc>
          <w:tcPr>
            <w:tcW w:w="640" w:type="dxa"/>
            <w:tcBorders>
              <w:top w:val="nil"/>
              <w:left w:val="nil"/>
              <w:bottom w:val="nil"/>
              <w:right w:val="nil"/>
            </w:tcBorders>
            <w:shd w:val="clear" w:color="auto" w:fill="auto"/>
            <w:noWrap/>
            <w:vAlign w:val="bottom"/>
            <w:hideMark/>
          </w:tcPr>
          <w:p w14:paraId="5E9E1951"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316</w:t>
            </w:r>
          </w:p>
        </w:tc>
        <w:tc>
          <w:tcPr>
            <w:tcW w:w="700" w:type="dxa"/>
            <w:tcBorders>
              <w:top w:val="nil"/>
              <w:left w:val="nil"/>
              <w:bottom w:val="nil"/>
              <w:right w:val="nil"/>
            </w:tcBorders>
            <w:shd w:val="clear" w:color="auto" w:fill="auto"/>
            <w:noWrap/>
            <w:vAlign w:val="bottom"/>
            <w:hideMark/>
          </w:tcPr>
          <w:p w14:paraId="723E2AD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326</w:t>
            </w:r>
          </w:p>
        </w:tc>
        <w:tc>
          <w:tcPr>
            <w:tcW w:w="640" w:type="dxa"/>
            <w:tcBorders>
              <w:top w:val="nil"/>
              <w:left w:val="nil"/>
              <w:bottom w:val="nil"/>
              <w:right w:val="nil"/>
            </w:tcBorders>
            <w:shd w:val="clear" w:color="auto" w:fill="auto"/>
            <w:noWrap/>
            <w:vAlign w:val="bottom"/>
            <w:hideMark/>
          </w:tcPr>
          <w:p w14:paraId="55FE61F5"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-76</w:t>
            </w:r>
          </w:p>
        </w:tc>
        <w:tc>
          <w:tcPr>
            <w:tcW w:w="760" w:type="dxa"/>
            <w:tcBorders>
              <w:top w:val="nil"/>
              <w:left w:val="nil"/>
              <w:bottom w:val="nil"/>
              <w:right w:val="nil"/>
            </w:tcBorders>
            <w:shd w:val="clear" w:color="auto" w:fill="auto"/>
            <w:noWrap/>
            <w:vAlign w:val="bottom"/>
            <w:hideMark/>
          </w:tcPr>
          <w:p w14:paraId="1B00C48E"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10,252</w:t>
            </w:r>
          </w:p>
        </w:tc>
      </w:tr>
      <w:tr w:rsidR="000A376B" w:rsidRPr="000A376B" w14:paraId="316A3AFF"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037B5908"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r w:rsidRPr="000A376B">
              <w:rPr>
                <w:rFonts w:eastAsia="Times New Roman" w:cs="Open Sans Light"/>
                <w:color w:val="000000"/>
                <w:sz w:val="16"/>
                <w:szCs w:val="16"/>
                <w:lang w:eastAsia="en-AU"/>
              </w:rPr>
              <w:t>Property sales</w:t>
            </w:r>
          </w:p>
        </w:tc>
        <w:tc>
          <w:tcPr>
            <w:tcW w:w="700" w:type="dxa"/>
            <w:tcBorders>
              <w:top w:val="single" w:sz="4" w:space="0" w:color="ADD6EA"/>
              <w:left w:val="nil"/>
              <w:bottom w:val="nil"/>
              <w:right w:val="nil"/>
            </w:tcBorders>
            <w:shd w:val="clear" w:color="auto" w:fill="auto"/>
            <w:noWrap/>
            <w:vAlign w:val="bottom"/>
            <w:hideMark/>
          </w:tcPr>
          <w:p w14:paraId="2E1327AD"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-1,826</w:t>
            </w:r>
          </w:p>
        </w:tc>
        <w:tc>
          <w:tcPr>
            <w:tcW w:w="760" w:type="dxa"/>
            <w:tcBorders>
              <w:top w:val="single" w:sz="4" w:space="0" w:color="ADD6EA"/>
              <w:left w:val="nil"/>
              <w:bottom w:val="nil"/>
              <w:right w:val="nil"/>
            </w:tcBorders>
            <w:shd w:val="clear" w:color="auto" w:fill="auto"/>
            <w:noWrap/>
            <w:vAlign w:val="bottom"/>
            <w:hideMark/>
          </w:tcPr>
          <w:p w14:paraId="2FE5F24A"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-638</w:t>
            </w:r>
          </w:p>
        </w:tc>
        <w:tc>
          <w:tcPr>
            <w:tcW w:w="760" w:type="dxa"/>
            <w:tcBorders>
              <w:top w:val="single" w:sz="4" w:space="0" w:color="ADD6EA"/>
              <w:left w:val="nil"/>
              <w:bottom w:val="nil"/>
              <w:right w:val="nil"/>
            </w:tcBorders>
            <w:shd w:val="clear" w:color="auto" w:fill="auto"/>
            <w:noWrap/>
            <w:vAlign w:val="bottom"/>
            <w:hideMark/>
          </w:tcPr>
          <w:p w14:paraId="238CBD9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768</w:t>
            </w:r>
          </w:p>
        </w:tc>
        <w:tc>
          <w:tcPr>
            <w:tcW w:w="760" w:type="dxa"/>
            <w:tcBorders>
              <w:top w:val="single" w:sz="4" w:space="0" w:color="ADD6EA"/>
              <w:left w:val="nil"/>
              <w:bottom w:val="nil"/>
              <w:right w:val="nil"/>
            </w:tcBorders>
            <w:shd w:val="clear" w:color="auto" w:fill="auto"/>
            <w:noWrap/>
            <w:vAlign w:val="bottom"/>
            <w:hideMark/>
          </w:tcPr>
          <w:p w14:paraId="69518F2F"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837</w:t>
            </w:r>
          </w:p>
        </w:tc>
        <w:tc>
          <w:tcPr>
            <w:tcW w:w="620" w:type="dxa"/>
            <w:tcBorders>
              <w:top w:val="single" w:sz="4" w:space="0" w:color="ADD6EA"/>
              <w:left w:val="nil"/>
              <w:bottom w:val="nil"/>
              <w:right w:val="nil"/>
            </w:tcBorders>
            <w:shd w:val="clear" w:color="auto" w:fill="auto"/>
            <w:noWrap/>
            <w:vAlign w:val="bottom"/>
            <w:hideMark/>
          </w:tcPr>
          <w:p w14:paraId="78EEF5A8"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589</w:t>
            </w:r>
          </w:p>
        </w:tc>
        <w:tc>
          <w:tcPr>
            <w:tcW w:w="640" w:type="dxa"/>
            <w:tcBorders>
              <w:top w:val="single" w:sz="4" w:space="0" w:color="ADD6EA"/>
              <w:left w:val="nil"/>
              <w:bottom w:val="nil"/>
              <w:right w:val="nil"/>
            </w:tcBorders>
            <w:shd w:val="clear" w:color="auto" w:fill="auto"/>
            <w:noWrap/>
            <w:vAlign w:val="bottom"/>
            <w:hideMark/>
          </w:tcPr>
          <w:p w14:paraId="02532A5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172</w:t>
            </w:r>
          </w:p>
        </w:tc>
        <w:tc>
          <w:tcPr>
            <w:tcW w:w="700" w:type="dxa"/>
            <w:tcBorders>
              <w:top w:val="single" w:sz="4" w:space="0" w:color="ADD6EA"/>
              <w:left w:val="nil"/>
              <w:bottom w:val="nil"/>
              <w:right w:val="nil"/>
            </w:tcBorders>
            <w:shd w:val="clear" w:color="auto" w:fill="auto"/>
            <w:noWrap/>
            <w:vAlign w:val="bottom"/>
            <w:hideMark/>
          </w:tcPr>
          <w:p w14:paraId="4B8C0C45"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w:t>
            </w:r>
          </w:p>
        </w:tc>
        <w:tc>
          <w:tcPr>
            <w:tcW w:w="640" w:type="dxa"/>
            <w:tcBorders>
              <w:top w:val="single" w:sz="4" w:space="0" w:color="ADD6EA"/>
              <w:left w:val="nil"/>
              <w:bottom w:val="nil"/>
              <w:right w:val="nil"/>
            </w:tcBorders>
            <w:shd w:val="clear" w:color="auto" w:fill="auto"/>
            <w:noWrap/>
            <w:vAlign w:val="bottom"/>
            <w:hideMark/>
          </w:tcPr>
          <w:p w14:paraId="56BF838A"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102</w:t>
            </w:r>
          </w:p>
        </w:tc>
        <w:tc>
          <w:tcPr>
            <w:tcW w:w="760" w:type="dxa"/>
            <w:tcBorders>
              <w:top w:val="single" w:sz="4" w:space="0" w:color="ADD6EA"/>
              <w:left w:val="nil"/>
              <w:bottom w:val="nil"/>
              <w:right w:val="nil"/>
            </w:tcBorders>
            <w:shd w:val="clear" w:color="auto" w:fill="auto"/>
            <w:noWrap/>
            <w:vAlign w:val="bottom"/>
            <w:hideMark/>
          </w:tcPr>
          <w:p w14:paraId="0C26392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2,468</w:t>
            </w:r>
          </w:p>
        </w:tc>
      </w:tr>
      <w:tr w:rsidR="000A376B" w:rsidRPr="000A376B" w14:paraId="5824E24C"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53660F38"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r w:rsidRPr="000A376B">
              <w:rPr>
                <w:rFonts w:eastAsia="Times New Roman" w:cs="Open Sans Light"/>
                <w:color w:val="000000"/>
                <w:sz w:val="16"/>
                <w:szCs w:val="16"/>
                <w:lang w:eastAsia="en-AU"/>
              </w:rPr>
              <w:t>Taxable land values</w:t>
            </w:r>
          </w:p>
        </w:tc>
        <w:tc>
          <w:tcPr>
            <w:tcW w:w="700" w:type="dxa"/>
            <w:tcBorders>
              <w:top w:val="single" w:sz="4" w:space="0" w:color="ADD6EA"/>
              <w:left w:val="nil"/>
              <w:bottom w:val="nil"/>
              <w:right w:val="nil"/>
            </w:tcBorders>
            <w:shd w:val="clear" w:color="auto" w:fill="auto"/>
            <w:noWrap/>
            <w:vAlign w:val="bottom"/>
            <w:hideMark/>
          </w:tcPr>
          <w:p w14:paraId="0D62B53B"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-1,316</w:t>
            </w:r>
          </w:p>
        </w:tc>
        <w:tc>
          <w:tcPr>
            <w:tcW w:w="760" w:type="dxa"/>
            <w:tcBorders>
              <w:top w:val="single" w:sz="4" w:space="0" w:color="ADD6EA"/>
              <w:left w:val="nil"/>
              <w:bottom w:val="nil"/>
              <w:right w:val="nil"/>
            </w:tcBorders>
            <w:shd w:val="clear" w:color="auto" w:fill="auto"/>
            <w:noWrap/>
            <w:vAlign w:val="bottom"/>
            <w:hideMark/>
          </w:tcPr>
          <w:p w14:paraId="1ECF62C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-721</w:t>
            </w:r>
          </w:p>
        </w:tc>
        <w:tc>
          <w:tcPr>
            <w:tcW w:w="760" w:type="dxa"/>
            <w:tcBorders>
              <w:top w:val="single" w:sz="4" w:space="0" w:color="ADD6EA"/>
              <w:left w:val="nil"/>
              <w:bottom w:val="nil"/>
              <w:right w:val="nil"/>
            </w:tcBorders>
            <w:shd w:val="clear" w:color="auto" w:fill="auto"/>
            <w:noWrap/>
            <w:vAlign w:val="bottom"/>
            <w:hideMark/>
          </w:tcPr>
          <w:p w14:paraId="150CB3E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1,002</w:t>
            </w:r>
          </w:p>
        </w:tc>
        <w:tc>
          <w:tcPr>
            <w:tcW w:w="760" w:type="dxa"/>
            <w:tcBorders>
              <w:top w:val="single" w:sz="4" w:space="0" w:color="ADD6EA"/>
              <w:left w:val="nil"/>
              <w:bottom w:val="nil"/>
              <w:right w:val="nil"/>
            </w:tcBorders>
            <w:shd w:val="clear" w:color="auto" w:fill="auto"/>
            <w:noWrap/>
            <w:vAlign w:val="bottom"/>
            <w:hideMark/>
          </w:tcPr>
          <w:p w14:paraId="235D5478"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251</w:t>
            </w:r>
          </w:p>
        </w:tc>
        <w:tc>
          <w:tcPr>
            <w:tcW w:w="620" w:type="dxa"/>
            <w:tcBorders>
              <w:top w:val="single" w:sz="4" w:space="0" w:color="ADD6EA"/>
              <w:left w:val="nil"/>
              <w:bottom w:val="nil"/>
              <w:right w:val="nil"/>
            </w:tcBorders>
            <w:shd w:val="clear" w:color="auto" w:fill="auto"/>
            <w:noWrap/>
            <w:vAlign w:val="bottom"/>
            <w:hideMark/>
          </w:tcPr>
          <w:p w14:paraId="4E7E4CFE"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469</w:t>
            </w:r>
          </w:p>
        </w:tc>
        <w:tc>
          <w:tcPr>
            <w:tcW w:w="640" w:type="dxa"/>
            <w:tcBorders>
              <w:top w:val="single" w:sz="4" w:space="0" w:color="ADD6EA"/>
              <w:left w:val="nil"/>
              <w:bottom w:val="nil"/>
              <w:right w:val="nil"/>
            </w:tcBorders>
            <w:shd w:val="clear" w:color="auto" w:fill="auto"/>
            <w:noWrap/>
            <w:vAlign w:val="bottom"/>
            <w:hideMark/>
          </w:tcPr>
          <w:p w14:paraId="5E5C9E7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172</w:t>
            </w:r>
          </w:p>
        </w:tc>
        <w:tc>
          <w:tcPr>
            <w:tcW w:w="700" w:type="dxa"/>
            <w:tcBorders>
              <w:top w:val="single" w:sz="4" w:space="0" w:color="ADD6EA"/>
              <w:left w:val="nil"/>
              <w:bottom w:val="nil"/>
              <w:right w:val="nil"/>
            </w:tcBorders>
            <w:shd w:val="clear" w:color="auto" w:fill="auto"/>
            <w:noWrap/>
            <w:vAlign w:val="bottom"/>
            <w:hideMark/>
          </w:tcPr>
          <w:p w14:paraId="22380E2E"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114</w:t>
            </w:r>
          </w:p>
        </w:tc>
        <w:tc>
          <w:tcPr>
            <w:tcW w:w="640" w:type="dxa"/>
            <w:tcBorders>
              <w:top w:val="single" w:sz="4" w:space="0" w:color="ADD6EA"/>
              <w:left w:val="nil"/>
              <w:bottom w:val="nil"/>
              <w:right w:val="nil"/>
            </w:tcBorders>
            <w:shd w:val="clear" w:color="auto" w:fill="auto"/>
            <w:noWrap/>
            <w:vAlign w:val="bottom"/>
            <w:hideMark/>
          </w:tcPr>
          <w:p w14:paraId="5B84B11C"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28</w:t>
            </w:r>
          </w:p>
        </w:tc>
        <w:tc>
          <w:tcPr>
            <w:tcW w:w="760" w:type="dxa"/>
            <w:tcBorders>
              <w:top w:val="single" w:sz="4" w:space="0" w:color="ADD6EA"/>
              <w:left w:val="nil"/>
              <w:bottom w:val="nil"/>
              <w:right w:val="nil"/>
            </w:tcBorders>
            <w:shd w:val="clear" w:color="auto" w:fill="auto"/>
            <w:noWrap/>
            <w:vAlign w:val="bottom"/>
            <w:hideMark/>
          </w:tcPr>
          <w:p w14:paraId="0C8B5412"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2,037</w:t>
            </w:r>
          </w:p>
        </w:tc>
      </w:tr>
      <w:tr w:rsidR="000A376B" w:rsidRPr="000A376B" w14:paraId="1D313A41"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1A0A5A73"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r w:rsidRPr="000A376B">
              <w:rPr>
                <w:rFonts w:eastAsia="Times New Roman" w:cs="Open Sans Light"/>
                <w:color w:val="000000"/>
                <w:sz w:val="16"/>
                <w:szCs w:val="16"/>
                <w:lang w:eastAsia="en-AU"/>
              </w:rPr>
              <w:t>Taxable payrolls</w:t>
            </w:r>
          </w:p>
        </w:tc>
        <w:tc>
          <w:tcPr>
            <w:tcW w:w="700" w:type="dxa"/>
            <w:tcBorders>
              <w:top w:val="single" w:sz="4" w:space="0" w:color="ADD6EA"/>
              <w:left w:val="nil"/>
              <w:bottom w:val="nil"/>
              <w:right w:val="nil"/>
            </w:tcBorders>
            <w:shd w:val="clear" w:color="auto" w:fill="auto"/>
            <w:noWrap/>
            <w:vAlign w:val="bottom"/>
            <w:hideMark/>
          </w:tcPr>
          <w:p w14:paraId="1A3CA34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-400</w:t>
            </w:r>
          </w:p>
        </w:tc>
        <w:tc>
          <w:tcPr>
            <w:tcW w:w="760" w:type="dxa"/>
            <w:tcBorders>
              <w:top w:val="single" w:sz="4" w:space="0" w:color="ADD6EA"/>
              <w:left w:val="nil"/>
              <w:bottom w:val="nil"/>
              <w:right w:val="nil"/>
            </w:tcBorders>
            <w:shd w:val="clear" w:color="auto" w:fill="auto"/>
            <w:noWrap/>
            <w:vAlign w:val="bottom"/>
            <w:hideMark/>
          </w:tcPr>
          <w:p w14:paraId="2350A8CC"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54</w:t>
            </w:r>
          </w:p>
        </w:tc>
        <w:tc>
          <w:tcPr>
            <w:tcW w:w="760" w:type="dxa"/>
            <w:tcBorders>
              <w:top w:val="single" w:sz="4" w:space="0" w:color="ADD6EA"/>
              <w:left w:val="nil"/>
              <w:bottom w:val="nil"/>
              <w:right w:val="nil"/>
            </w:tcBorders>
            <w:shd w:val="clear" w:color="auto" w:fill="auto"/>
            <w:noWrap/>
            <w:vAlign w:val="bottom"/>
            <w:hideMark/>
          </w:tcPr>
          <w:p w14:paraId="686850F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634</w:t>
            </w:r>
          </w:p>
        </w:tc>
        <w:tc>
          <w:tcPr>
            <w:tcW w:w="760" w:type="dxa"/>
            <w:tcBorders>
              <w:top w:val="single" w:sz="4" w:space="0" w:color="ADD6EA"/>
              <w:left w:val="nil"/>
              <w:bottom w:val="nil"/>
              <w:right w:val="nil"/>
            </w:tcBorders>
            <w:shd w:val="clear" w:color="auto" w:fill="auto"/>
            <w:noWrap/>
            <w:vAlign w:val="bottom"/>
            <w:hideMark/>
          </w:tcPr>
          <w:p w14:paraId="04F69F59"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-939</w:t>
            </w:r>
          </w:p>
        </w:tc>
        <w:tc>
          <w:tcPr>
            <w:tcW w:w="620" w:type="dxa"/>
            <w:tcBorders>
              <w:top w:val="single" w:sz="4" w:space="0" w:color="ADD6EA"/>
              <w:left w:val="nil"/>
              <w:bottom w:val="nil"/>
              <w:right w:val="nil"/>
            </w:tcBorders>
            <w:shd w:val="clear" w:color="auto" w:fill="auto"/>
            <w:noWrap/>
            <w:vAlign w:val="bottom"/>
            <w:hideMark/>
          </w:tcPr>
          <w:p w14:paraId="044BD2BB"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403</w:t>
            </w:r>
          </w:p>
        </w:tc>
        <w:tc>
          <w:tcPr>
            <w:tcW w:w="640" w:type="dxa"/>
            <w:tcBorders>
              <w:top w:val="single" w:sz="4" w:space="0" w:color="ADD6EA"/>
              <w:left w:val="nil"/>
              <w:bottom w:val="nil"/>
              <w:right w:val="nil"/>
            </w:tcBorders>
            <w:shd w:val="clear" w:color="auto" w:fill="auto"/>
            <w:noWrap/>
            <w:vAlign w:val="bottom"/>
            <w:hideMark/>
          </w:tcPr>
          <w:p w14:paraId="6BE008A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216</w:t>
            </w:r>
          </w:p>
        </w:tc>
        <w:tc>
          <w:tcPr>
            <w:tcW w:w="700" w:type="dxa"/>
            <w:tcBorders>
              <w:top w:val="single" w:sz="4" w:space="0" w:color="ADD6EA"/>
              <w:left w:val="nil"/>
              <w:bottom w:val="nil"/>
              <w:right w:val="nil"/>
            </w:tcBorders>
            <w:shd w:val="clear" w:color="auto" w:fill="auto"/>
            <w:noWrap/>
            <w:vAlign w:val="bottom"/>
            <w:hideMark/>
          </w:tcPr>
          <w:p w14:paraId="0CB8DBC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48</w:t>
            </w:r>
          </w:p>
        </w:tc>
        <w:tc>
          <w:tcPr>
            <w:tcW w:w="640" w:type="dxa"/>
            <w:tcBorders>
              <w:top w:val="single" w:sz="4" w:space="0" w:color="ADD6EA"/>
              <w:left w:val="nil"/>
              <w:bottom w:val="nil"/>
              <w:right w:val="nil"/>
            </w:tcBorders>
            <w:shd w:val="clear" w:color="auto" w:fill="auto"/>
            <w:noWrap/>
            <w:vAlign w:val="bottom"/>
            <w:hideMark/>
          </w:tcPr>
          <w:p w14:paraId="2AD3B3AA"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-16</w:t>
            </w:r>
          </w:p>
        </w:tc>
        <w:tc>
          <w:tcPr>
            <w:tcW w:w="760" w:type="dxa"/>
            <w:tcBorders>
              <w:top w:val="single" w:sz="4" w:space="0" w:color="ADD6EA"/>
              <w:left w:val="nil"/>
              <w:bottom w:val="nil"/>
              <w:right w:val="nil"/>
            </w:tcBorders>
            <w:shd w:val="clear" w:color="auto" w:fill="auto"/>
            <w:noWrap/>
            <w:vAlign w:val="bottom"/>
            <w:hideMark/>
          </w:tcPr>
          <w:p w14:paraId="16A042D9"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1,356</w:t>
            </w:r>
          </w:p>
        </w:tc>
      </w:tr>
      <w:tr w:rsidR="000A376B" w:rsidRPr="000A376B" w14:paraId="33DA317A"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049484AB"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r w:rsidRPr="000A376B">
              <w:rPr>
                <w:rFonts w:eastAsia="Times New Roman" w:cs="Open Sans Light"/>
                <w:color w:val="000000"/>
                <w:sz w:val="16"/>
                <w:szCs w:val="16"/>
                <w:lang w:eastAsia="en-AU"/>
              </w:rPr>
              <w:t>Other revenue effects</w:t>
            </w:r>
          </w:p>
        </w:tc>
        <w:tc>
          <w:tcPr>
            <w:tcW w:w="700" w:type="dxa"/>
            <w:tcBorders>
              <w:top w:val="single" w:sz="4" w:space="0" w:color="ADD6EA"/>
              <w:left w:val="nil"/>
              <w:bottom w:val="nil"/>
              <w:right w:val="nil"/>
            </w:tcBorders>
            <w:shd w:val="clear" w:color="auto" w:fill="auto"/>
            <w:noWrap/>
            <w:vAlign w:val="bottom"/>
            <w:hideMark/>
          </w:tcPr>
          <w:p w14:paraId="50B2385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143</w:t>
            </w:r>
          </w:p>
        </w:tc>
        <w:tc>
          <w:tcPr>
            <w:tcW w:w="760" w:type="dxa"/>
            <w:tcBorders>
              <w:top w:val="single" w:sz="4" w:space="0" w:color="ADD6EA"/>
              <w:left w:val="nil"/>
              <w:bottom w:val="nil"/>
              <w:right w:val="nil"/>
            </w:tcBorders>
            <w:shd w:val="clear" w:color="auto" w:fill="auto"/>
            <w:noWrap/>
            <w:vAlign w:val="bottom"/>
            <w:hideMark/>
          </w:tcPr>
          <w:p w14:paraId="602724A2"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137</w:t>
            </w:r>
          </w:p>
        </w:tc>
        <w:tc>
          <w:tcPr>
            <w:tcW w:w="760" w:type="dxa"/>
            <w:tcBorders>
              <w:top w:val="single" w:sz="4" w:space="0" w:color="ADD6EA"/>
              <w:left w:val="nil"/>
              <w:bottom w:val="nil"/>
              <w:right w:val="nil"/>
            </w:tcBorders>
            <w:shd w:val="clear" w:color="auto" w:fill="auto"/>
            <w:noWrap/>
            <w:vAlign w:val="bottom"/>
            <w:hideMark/>
          </w:tcPr>
          <w:p w14:paraId="58B5574E"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-64</w:t>
            </w:r>
          </w:p>
        </w:tc>
        <w:tc>
          <w:tcPr>
            <w:tcW w:w="760" w:type="dxa"/>
            <w:tcBorders>
              <w:top w:val="single" w:sz="4" w:space="0" w:color="ADD6EA"/>
              <w:left w:val="nil"/>
              <w:bottom w:val="nil"/>
              <w:right w:val="nil"/>
            </w:tcBorders>
            <w:shd w:val="clear" w:color="auto" w:fill="auto"/>
            <w:noWrap/>
            <w:vAlign w:val="bottom"/>
            <w:hideMark/>
          </w:tcPr>
          <w:p w14:paraId="3FE34039"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-113</w:t>
            </w:r>
          </w:p>
        </w:tc>
        <w:tc>
          <w:tcPr>
            <w:tcW w:w="620" w:type="dxa"/>
            <w:tcBorders>
              <w:top w:val="single" w:sz="4" w:space="0" w:color="ADD6EA"/>
              <w:left w:val="nil"/>
              <w:bottom w:val="nil"/>
              <w:right w:val="nil"/>
            </w:tcBorders>
            <w:shd w:val="clear" w:color="auto" w:fill="auto"/>
            <w:noWrap/>
            <w:vAlign w:val="bottom"/>
            <w:hideMark/>
          </w:tcPr>
          <w:p w14:paraId="0C23B25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-138</w:t>
            </w:r>
          </w:p>
        </w:tc>
        <w:tc>
          <w:tcPr>
            <w:tcW w:w="640" w:type="dxa"/>
            <w:tcBorders>
              <w:top w:val="single" w:sz="4" w:space="0" w:color="ADD6EA"/>
              <w:left w:val="nil"/>
              <w:bottom w:val="nil"/>
              <w:right w:val="nil"/>
            </w:tcBorders>
            <w:shd w:val="clear" w:color="auto" w:fill="auto"/>
            <w:noWrap/>
            <w:vAlign w:val="bottom"/>
            <w:hideMark/>
          </w:tcPr>
          <w:p w14:paraId="507D48BC"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-16</w:t>
            </w:r>
          </w:p>
        </w:tc>
        <w:tc>
          <w:tcPr>
            <w:tcW w:w="700" w:type="dxa"/>
            <w:tcBorders>
              <w:top w:val="single" w:sz="4" w:space="0" w:color="ADD6EA"/>
              <w:left w:val="nil"/>
              <w:bottom w:val="nil"/>
              <w:right w:val="nil"/>
            </w:tcBorders>
            <w:shd w:val="clear" w:color="auto" w:fill="auto"/>
            <w:noWrap/>
            <w:vAlign w:val="bottom"/>
            <w:hideMark/>
          </w:tcPr>
          <w:p w14:paraId="715C36AD"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40</w:t>
            </w:r>
          </w:p>
        </w:tc>
        <w:tc>
          <w:tcPr>
            <w:tcW w:w="640" w:type="dxa"/>
            <w:tcBorders>
              <w:top w:val="single" w:sz="4" w:space="0" w:color="ADD6EA"/>
              <w:left w:val="nil"/>
              <w:bottom w:val="nil"/>
              <w:right w:val="nil"/>
            </w:tcBorders>
            <w:shd w:val="clear" w:color="auto" w:fill="auto"/>
            <w:noWrap/>
            <w:vAlign w:val="bottom"/>
            <w:hideMark/>
          </w:tcPr>
          <w:p w14:paraId="79AA77A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11</w:t>
            </w:r>
          </w:p>
        </w:tc>
        <w:tc>
          <w:tcPr>
            <w:tcW w:w="760" w:type="dxa"/>
            <w:tcBorders>
              <w:top w:val="single" w:sz="4" w:space="0" w:color="ADD6EA"/>
              <w:left w:val="nil"/>
              <w:bottom w:val="nil"/>
              <w:right w:val="nil"/>
            </w:tcBorders>
            <w:shd w:val="clear" w:color="auto" w:fill="auto"/>
            <w:noWrap/>
            <w:vAlign w:val="bottom"/>
            <w:hideMark/>
          </w:tcPr>
          <w:p w14:paraId="1BBCC4E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331</w:t>
            </w:r>
          </w:p>
        </w:tc>
      </w:tr>
      <w:tr w:rsidR="000A376B" w:rsidRPr="000A376B" w14:paraId="42844659" w14:textId="77777777" w:rsidTr="000A376B">
        <w:trPr>
          <w:trHeight w:val="315"/>
        </w:trPr>
        <w:tc>
          <w:tcPr>
            <w:tcW w:w="2620" w:type="dxa"/>
            <w:tcBorders>
              <w:top w:val="single" w:sz="4" w:space="0" w:color="ADD6EA"/>
              <w:left w:val="nil"/>
              <w:bottom w:val="single" w:sz="4" w:space="0" w:color="ADD6EA"/>
              <w:right w:val="nil"/>
            </w:tcBorders>
            <w:shd w:val="clear" w:color="000000" w:fill="D6E7F0"/>
            <w:noWrap/>
            <w:vAlign w:val="bottom"/>
            <w:hideMark/>
          </w:tcPr>
          <w:p w14:paraId="54A8D635" w14:textId="77777777" w:rsidR="000A376B" w:rsidRPr="000A376B" w:rsidRDefault="000A376B" w:rsidP="000A376B">
            <w:pPr>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TOTAL REVENUE</w:t>
            </w:r>
          </w:p>
        </w:tc>
        <w:tc>
          <w:tcPr>
            <w:tcW w:w="700" w:type="dxa"/>
            <w:tcBorders>
              <w:top w:val="single" w:sz="4" w:space="0" w:color="ADD6EA"/>
              <w:left w:val="nil"/>
              <w:bottom w:val="single" w:sz="4" w:space="0" w:color="ADD6EA"/>
              <w:right w:val="nil"/>
            </w:tcBorders>
            <w:shd w:val="clear" w:color="000000" w:fill="D6E7F0"/>
            <w:noWrap/>
            <w:vAlign w:val="bottom"/>
            <w:hideMark/>
          </w:tcPr>
          <w:p w14:paraId="6C2E94A1"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563</w:t>
            </w:r>
          </w:p>
        </w:tc>
        <w:tc>
          <w:tcPr>
            <w:tcW w:w="760" w:type="dxa"/>
            <w:tcBorders>
              <w:top w:val="single" w:sz="4" w:space="0" w:color="ADD6EA"/>
              <w:left w:val="nil"/>
              <w:bottom w:val="single" w:sz="4" w:space="0" w:color="ADD6EA"/>
              <w:right w:val="nil"/>
            </w:tcBorders>
            <w:shd w:val="clear" w:color="000000" w:fill="D6E7F0"/>
            <w:noWrap/>
            <w:vAlign w:val="bottom"/>
            <w:hideMark/>
          </w:tcPr>
          <w:p w14:paraId="5208DB79"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3,570</w:t>
            </w:r>
          </w:p>
        </w:tc>
        <w:tc>
          <w:tcPr>
            <w:tcW w:w="760" w:type="dxa"/>
            <w:tcBorders>
              <w:top w:val="single" w:sz="4" w:space="0" w:color="ADD6EA"/>
              <w:left w:val="nil"/>
              <w:bottom w:val="single" w:sz="4" w:space="0" w:color="ADD6EA"/>
              <w:right w:val="nil"/>
            </w:tcBorders>
            <w:shd w:val="clear" w:color="000000" w:fill="D6E7F0"/>
            <w:noWrap/>
            <w:vAlign w:val="bottom"/>
            <w:hideMark/>
          </w:tcPr>
          <w:p w14:paraId="38D89BE1"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1,583</w:t>
            </w:r>
          </w:p>
        </w:tc>
        <w:tc>
          <w:tcPr>
            <w:tcW w:w="760" w:type="dxa"/>
            <w:tcBorders>
              <w:top w:val="single" w:sz="4" w:space="0" w:color="ADD6EA"/>
              <w:left w:val="nil"/>
              <w:bottom w:val="single" w:sz="4" w:space="0" w:color="ADD6EA"/>
              <w:right w:val="nil"/>
            </w:tcBorders>
            <w:shd w:val="clear" w:color="000000" w:fill="D6E7F0"/>
            <w:noWrap/>
            <w:vAlign w:val="bottom"/>
            <w:hideMark/>
          </w:tcPr>
          <w:p w14:paraId="68E0E84B"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-9,383</w:t>
            </w:r>
          </w:p>
        </w:tc>
        <w:tc>
          <w:tcPr>
            <w:tcW w:w="620" w:type="dxa"/>
            <w:tcBorders>
              <w:top w:val="single" w:sz="4" w:space="0" w:color="ADD6EA"/>
              <w:left w:val="nil"/>
              <w:bottom w:val="single" w:sz="4" w:space="0" w:color="ADD6EA"/>
              <w:right w:val="nil"/>
            </w:tcBorders>
            <w:shd w:val="clear" w:color="000000" w:fill="D6E7F0"/>
            <w:noWrap/>
            <w:vAlign w:val="bottom"/>
            <w:hideMark/>
          </w:tcPr>
          <w:p w14:paraId="173C721F"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2,233</w:t>
            </w:r>
          </w:p>
        </w:tc>
        <w:tc>
          <w:tcPr>
            <w:tcW w:w="640" w:type="dxa"/>
            <w:tcBorders>
              <w:top w:val="single" w:sz="4" w:space="0" w:color="ADD6EA"/>
              <w:left w:val="nil"/>
              <w:bottom w:val="single" w:sz="4" w:space="0" w:color="ADD6EA"/>
              <w:right w:val="nil"/>
            </w:tcBorders>
            <w:shd w:val="clear" w:color="000000" w:fill="D6E7F0"/>
            <w:noWrap/>
            <w:vAlign w:val="bottom"/>
            <w:hideMark/>
          </w:tcPr>
          <w:p w14:paraId="04F2BFD2"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861</w:t>
            </w:r>
          </w:p>
        </w:tc>
        <w:tc>
          <w:tcPr>
            <w:tcW w:w="700" w:type="dxa"/>
            <w:tcBorders>
              <w:top w:val="single" w:sz="4" w:space="0" w:color="ADD6EA"/>
              <w:left w:val="nil"/>
              <w:bottom w:val="single" w:sz="4" w:space="0" w:color="ADD6EA"/>
              <w:right w:val="nil"/>
            </w:tcBorders>
            <w:shd w:val="clear" w:color="000000" w:fill="D6E7F0"/>
            <w:noWrap/>
            <w:vAlign w:val="bottom"/>
            <w:hideMark/>
          </w:tcPr>
          <w:p w14:paraId="6FB58360"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523</w:t>
            </w:r>
          </w:p>
        </w:tc>
        <w:tc>
          <w:tcPr>
            <w:tcW w:w="640" w:type="dxa"/>
            <w:tcBorders>
              <w:top w:val="single" w:sz="4" w:space="0" w:color="ADD6EA"/>
              <w:left w:val="nil"/>
              <w:bottom w:val="single" w:sz="4" w:space="0" w:color="ADD6EA"/>
              <w:right w:val="nil"/>
            </w:tcBorders>
            <w:shd w:val="clear" w:color="000000" w:fill="D6E7F0"/>
            <w:noWrap/>
            <w:vAlign w:val="bottom"/>
            <w:hideMark/>
          </w:tcPr>
          <w:p w14:paraId="217DDA89"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49</w:t>
            </w:r>
          </w:p>
        </w:tc>
        <w:tc>
          <w:tcPr>
            <w:tcW w:w="760" w:type="dxa"/>
            <w:tcBorders>
              <w:top w:val="single" w:sz="4" w:space="0" w:color="ADD6EA"/>
              <w:left w:val="nil"/>
              <w:bottom w:val="single" w:sz="4" w:space="0" w:color="ADD6EA"/>
              <w:right w:val="nil"/>
            </w:tcBorders>
            <w:shd w:val="clear" w:color="000000" w:fill="D6E7F0"/>
            <w:noWrap/>
            <w:vAlign w:val="bottom"/>
            <w:hideMark/>
          </w:tcPr>
          <w:p w14:paraId="74357988"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9,383</w:t>
            </w:r>
          </w:p>
        </w:tc>
      </w:tr>
      <w:tr w:rsidR="000A376B" w:rsidRPr="000A376B" w14:paraId="6BBD5CFC" w14:textId="77777777" w:rsidTr="000A376B">
        <w:trPr>
          <w:trHeight w:val="315"/>
        </w:trPr>
        <w:tc>
          <w:tcPr>
            <w:tcW w:w="2620" w:type="dxa"/>
            <w:tcBorders>
              <w:top w:val="nil"/>
              <w:left w:val="nil"/>
              <w:bottom w:val="nil"/>
              <w:right w:val="nil"/>
            </w:tcBorders>
            <w:shd w:val="clear" w:color="auto" w:fill="auto"/>
            <w:noWrap/>
            <w:vAlign w:val="bottom"/>
            <w:hideMark/>
          </w:tcPr>
          <w:p w14:paraId="678BAC8E"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COMMONWEALTH PAYMENTS</w:t>
            </w:r>
          </w:p>
        </w:tc>
        <w:tc>
          <w:tcPr>
            <w:tcW w:w="700" w:type="dxa"/>
            <w:tcBorders>
              <w:top w:val="nil"/>
              <w:left w:val="nil"/>
              <w:bottom w:val="nil"/>
              <w:right w:val="nil"/>
            </w:tcBorders>
            <w:shd w:val="clear" w:color="auto" w:fill="auto"/>
            <w:noWrap/>
            <w:vAlign w:val="bottom"/>
            <w:hideMark/>
          </w:tcPr>
          <w:p w14:paraId="7467B6D3"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601</w:t>
            </w:r>
          </w:p>
        </w:tc>
        <w:tc>
          <w:tcPr>
            <w:tcW w:w="760" w:type="dxa"/>
            <w:tcBorders>
              <w:top w:val="nil"/>
              <w:left w:val="nil"/>
              <w:bottom w:val="nil"/>
              <w:right w:val="nil"/>
            </w:tcBorders>
            <w:shd w:val="clear" w:color="auto" w:fill="auto"/>
            <w:noWrap/>
            <w:vAlign w:val="bottom"/>
            <w:hideMark/>
          </w:tcPr>
          <w:p w14:paraId="49DDA46E"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1,342</w:t>
            </w:r>
          </w:p>
        </w:tc>
        <w:tc>
          <w:tcPr>
            <w:tcW w:w="760" w:type="dxa"/>
            <w:tcBorders>
              <w:top w:val="nil"/>
              <w:left w:val="nil"/>
              <w:bottom w:val="nil"/>
              <w:right w:val="nil"/>
            </w:tcBorders>
            <w:shd w:val="clear" w:color="auto" w:fill="auto"/>
            <w:noWrap/>
            <w:vAlign w:val="bottom"/>
            <w:hideMark/>
          </w:tcPr>
          <w:p w14:paraId="56F9D97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-1,264</w:t>
            </w:r>
          </w:p>
        </w:tc>
        <w:tc>
          <w:tcPr>
            <w:tcW w:w="760" w:type="dxa"/>
            <w:tcBorders>
              <w:top w:val="nil"/>
              <w:left w:val="nil"/>
              <w:bottom w:val="nil"/>
              <w:right w:val="nil"/>
            </w:tcBorders>
            <w:shd w:val="clear" w:color="auto" w:fill="auto"/>
            <w:noWrap/>
            <w:vAlign w:val="bottom"/>
            <w:hideMark/>
          </w:tcPr>
          <w:p w14:paraId="4A188B5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-88</w:t>
            </w:r>
          </w:p>
        </w:tc>
        <w:tc>
          <w:tcPr>
            <w:tcW w:w="620" w:type="dxa"/>
            <w:tcBorders>
              <w:top w:val="nil"/>
              <w:left w:val="nil"/>
              <w:bottom w:val="nil"/>
              <w:right w:val="nil"/>
            </w:tcBorders>
            <w:shd w:val="clear" w:color="auto" w:fill="auto"/>
            <w:noWrap/>
            <w:vAlign w:val="bottom"/>
            <w:hideMark/>
          </w:tcPr>
          <w:p w14:paraId="2AA64BAB"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-144</w:t>
            </w:r>
          </w:p>
        </w:tc>
        <w:tc>
          <w:tcPr>
            <w:tcW w:w="640" w:type="dxa"/>
            <w:tcBorders>
              <w:top w:val="nil"/>
              <w:left w:val="nil"/>
              <w:bottom w:val="nil"/>
              <w:right w:val="nil"/>
            </w:tcBorders>
            <w:shd w:val="clear" w:color="auto" w:fill="auto"/>
            <w:noWrap/>
            <w:vAlign w:val="bottom"/>
            <w:hideMark/>
          </w:tcPr>
          <w:p w14:paraId="48B1A86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-91</w:t>
            </w:r>
          </w:p>
        </w:tc>
        <w:tc>
          <w:tcPr>
            <w:tcW w:w="700" w:type="dxa"/>
            <w:tcBorders>
              <w:top w:val="nil"/>
              <w:left w:val="nil"/>
              <w:bottom w:val="nil"/>
              <w:right w:val="nil"/>
            </w:tcBorders>
            <w:shd w:val="clear" w:color="auto" w:fill="auto"/>
            <w:noWrap/>
            <w:vAlign w:val="bottom"/>
            <w:hideMark/>
          </w:tcPr>
          <w:p w14:paraId="6296439E"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104</w:t>
            </w:r>
          </w:p>
        </w:tc>
        <w:tc>
          <w:tcPr>
            <w:tcW w:w="640" w:type="dxa"/>
            <w:tcBorders>
              <w:top w:val="nil"/>
              <w:left w:val="nil"/>
              <w:bottom w:val="nil"/>
              <w:right w:val="nil"/>
            </w:tcBorders>
            <w:shd w:val="clear" w:color="auto" w:fill="auto"/>
            <w:noWrap/>
            <w:vAlign w:val="bottom"/>
            <w:hideMark/>
          </w:tcPr>
          <w:p w14:paraId="39ACFA3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-460</w:t>
            </w:r>
          </w:p>
        </w:tc>
        <w:tc>
          <w:tcPr>
            <w:tcW w:w="760" w:type="dxa"/>
            <w:tcBorders>
              <w:top w:val="nil"/>
              <w:left w:val="nil"/>
              <w:bottom w:val="nil"/>
              <w:right w:val="nil"/>
            </w:tcBorders>
            <w:shd w:val="clear" w:color="auto" w:fill="auto"/>
            <w:noWrap/>
            <w:vAlign w:val="bottom"/>
            <w:hideMark/>
          </w:tcPr>
          <w:p w14:paraId="3C06CB98"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2,047</w:t>
            </w:r>
          </w:p>
        </w:tc>
      </w:tr>
      <w:tr w:rsidR="000A376B" w:rsidRPr="000A376B" w14:paraId="52C768FC" w14:textId="77777777" w:rsidTr="000A376B">
        <w:trPr>
          <w:trHeight w:val="315"/>
        </w:trPr>
        <w:tc>
          <w:tcPr>
            <w:tcW w:w="2620" w:type="dxa"/>
            <w:tcBorders>
              <w:top w:val="single" w:sz="8" w:space="0" w:color="ADD6EA"/>
              <w:left w:val="nil"/>
              <w:bottom w:val="single" w:sz="4" w:space="0" w:color="ADD6EA"/>
              <w:right w:val="nil"/>
            </w:tcBorders>
            <w:shd w:val="clear" w:color="auto" w:fill="auto"/>
            <w:noWrap/>
            <w:vAlign w:val="bottom"/>
            <w:hideMark/>
          </w:tcPr>
          <w:p w14:paraId="5AA5166C"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EXPENSE NEEDS</w:t>
            </w:r>
          </w:p>
        </w:tc>
        <w:tc>
          <w:tcPr>
            <w:tcW w:w="700" w:type="dxa"/>
            <w:tcBorders>
              <w:top w:val="single" w:sz="8" w:space="0" w:color="ADD6EA"/>
              <w:left w:val="nil"/>
              <w:bottom w:val="single" w:sz="4" w:space="0" w:color="ADD6EA"/>
              <w:right w:val="nil"/>
            </w:tcBorders>
            <w:shd w:val="clear" w:color="auto" w:fill="auto"/>
            <w:noWrap/>
            <w:vAlign w:val="bottom"/>
            <w:hideMark/>
          </w:tcPr>
          <w:p w14:paraId="0A5A1636"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760" w:type="dxa"/>
            <w:tcBorders>
              <w:top w:val="single" w:sz="8" w:space="0" w:color="ADD6EA"/>
              <w:left w:val="nil"/>
              <w:bottom w:val="single" w:sz="4" w:space="0" w:color="ADD6EA"/>
              <w:right w:val="nil"/>
            </w:tcBorders>
            <w:shd w:val="clear" w:color="auto" w:fill="auto"/>
            <w:noWrap/>
            <w:vAlign w:val="bottom"/>
            <w:hideMark/>
          </w:tcPr>
          <w:p w14:paraId="3D12DB73"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760" w:type="dxa"/>
            <w:tcBorders>
              <w:top w:val="single" w:sz="8" w:space="0" w:color="ADD6EA"/>
              <w:left w:val="nil"/>
              <w:bottom w:val="single" w:sz="4" w:space="0" w:color="ADD6EA"/>
              <w:right w:val="nil"/>
            </w:tcBorders>
            <w:shd w:val="clear" w:color="auto" w:fill="auto"/>
            <w:noWrap/>
            <w:vAlign w:val="bottom"/>
            <w:hideMark/>
          </w:tcPr>
          <w:p w14:paraId="1779AFB5"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760" w:type="dxa"/>
            <w:tcBorders>
              <w:top w:val="single" w:sz="8" w:space="0" w:color="ADD6EA"/>
              <w:left w:val="nil"/>
              <w:bottom w:val="single" w:sz="4" w:space="0" w:color="ADD6EA"/>
              <w:right w:val="nil"/>
            </w:tcBorders>
            <w:shd w:val="clear" w:color="auto" w:fill="auto"/>
            <w:noWrap/>
            <w:vAlign w:val="bottom"/>
            <w:hideMark/>
          </w:tcPr>
          <w:p w14:paraId="32567FEE"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620" w:type="dxa"/>
            <w:tcBorders>
              <w:top w:val="single" w:sz="8" w:space="0" w:color="ADD6EA"/>
              <w:left w:val="nil"/>
              <w:bottom w:val="single" w:sz="4" w:space="0" w:color="ADD6EA"/>
              <w:right w:val="nil"/>
            </w:tcBorders>
            <w:shd w:val="clear" w:color="auto" w:fill="auto"/>
            <w:noWrap/>
            <w:vAlign w:val="bottom"/>
            <w:hideMark/>
          </w:tcPr>
          <w:p w14:paraId="3B76AABF"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640" w:type="dxa"/>
            <w:tcBorders>
              <w:top w:val="single" w:sz="8" w:space="0" w:color="ADD6EA"/>
              <w:left w:val="nil"/>
              <w:bottom w:val="single" w:sz="4" w:space="0" w:color="ADD6EA"/>
              <w:right w:val="nil"/>
            </w:tcBorders>
            <w:shd w:val="clear" w:color="auto" w:fill="auto"/>
            <w:noWrap/>
            <w:vAlign w:val="bottom"/>
            <w:hideMark/>
          </w:tcPr>
          <w:p w14:paraId="528140B2"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700" w:type="dxa"/>
            <w:tcBorders>
              <w:top w:val="single" w:sz="8" w:space="0" w:color="ADD6EA"/>
              <w:left w:val="nil"/>
              <w:bottom w:val="single" w:sz="4" w:space="0" w:color="ADD6EA"/>
              <w:right w:val="nil"/>
            </w:tcBorders>
            <w:shd w:val="clear" w:color="auto" w:fill="auto"/>
            <w:noWrap/>
            <w:vAlign w:val="bottom"/>
            <w:hideMark/>
          </w:tcPr>
          <w:p w14:paraId="439BC84D"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640" w:type="dxa"/>
            <w:tcBorders>
              <w:top w:val="single" w:sz="8" w:space="0" w:color="ADD6EA"/>
              <w:left w:val="nil"/>
              <w:bottom w:val="single" w:sz="4" w:space="0" w:color="ADD6EA"/>
              <w:right w:val="nil"/>
            </w:tcBorders>
            <w:shd w:val="clear" w:color="auto" w:fill="auto"/>
            <w:noWrap/>
            <w:vAlign w:val="bottom"/>
            <w:hideMark/>
          </w:tcPr>
          <w:p w14:paraId="4A60116E"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760" w:type="dxa"/>
            <w:tcBorders>
              <w:top w:val="single" w:sz="8" w:space="0" w:color="ADD6EA"/>
              <w:left w:val="nil"/>
              <w:bottom w:val="single" w:sz="4" w:space="0" w:color="ADD6EA"/>
              <w:right w:val="nil"/>
            </w:tcBorders>
            <w:shd w:val="clear" w:color="auto" w:fill="auto"/>
            <w:noWrap/>
            <w:vAlign w:val="bottom"/>
            <w:hideMark/>
          </w:tcPr>
          <w:p w14:paraId="62899288"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r>
      <w:tr w:rsidR="000A376B" w:rsidRPr="000A376B" w14:paraId="355F60C4" w14:textId="77777777" w:rsidTr="000A376B">
        <w:trPr>
          <w:trHeight w:val="315"/>
        </w:trPr>
        <w:tc>
          <w:tcPr>
            <w:tcW w:w="5600" w:type="dxa"/>
            <w:gridSpan w:val="5"/>
            <w:tcBorders>
              <w:top w:val="single" w:sz="4" w:space="0" w:color="ADD6EA"/>
              <w:left w:val="nil"/>
              <w:bottom w:val="single" w:sz="4" w:space="0" w:color="ADD6EA"/>
              <w:right w:val="nil"/>
            </w:tcBorders>
            <w:shd w:val="clear" w:color="auto" w:fill="auto"/>
            <w:noWrap/>
            <w:vAlign w:val="bottom"/>
            <w:hideMark/>
          </w:tcPr>
          <w:p w14:paraId="471375DF"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r w:rsidRPr="000A376B">
              <w:rPr>
                <w:rFonts w:eastAsia="Times New Roman" w:cs="Open Sans Light"/>
                <w:color w:val="000000"/>
                <w:sz w:val="16"/>
                <w:szCs w:val="16"/>
                <w:lang w:eastAsia="en-AU"/>
              </w:rPr>
              <w:t>Socio-demographic composition (SDC)</w:t>
            </w:r>
          </w:p>
        </w:tc>
        <w:tc>
          <w:tcPr>
            <w:tcW w:w="620" w:type="dxa"/>
            <w:tcBorders>
              <w:top w:val="nil"/>
              <w:left w:val="nil"/>
              <w:bottom w:val="nil"/>
              <w:right w:val="nil"/>
            </w:tcBorders>
            <w:shd w:val="clear" w:color="auto" w:fill="auto"/>
            <w:noWrap/>
            <w:vAlign w:val="bottom"/>
            <w:hideMark/>
          </w:tcPr>
          <w:p w14:paraId="509DBC2F"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p>
        </w:tc>
        <w:tc>
          <w:tcPr>
            <w:tcW w:w="640" w:type="dxa"/>
            <w:tcBorders>
              <w:top w:val="nil"/>
              <w:left w:val="nil"/>
              <w:bottom w:val="nil"/>
              <w:right w:val="nil"/>
            </w:tcBorders>
            <w:shd w:val="clear" w:color="auto" w:fill="auto"/>
            <w:noWrap/>
            <w:vAlign w:val="bottom"/>
            <w:hideMark/>
          </w:tcPr>
          <w:p w14:paraId="4E493E8D" w14:textId="77777777" w:rsidR="000A376B" w:rsidRPr="000A376B" w:rsidRDefault="000A376B" w:rsidP="000A376B">
            <w:pPr>
              <w:tabs>
                <w:tab w:val="clear" w:pos="567"/>
              </w:tabs>
              <w:spacing w:before="0" w:line="240" w:lineRule="auto"/>
              <w:rPr>
                <w:rFonts w:ascii="Times New Roman" w:eastAsia="Times New Roman" w:hAnsi="Times New Roman" w:cs="Times New Roman"/>
                <w:szCs w:val="20"/>
                <w:lang w:eastAsia="en-AU"/>
              </w:rPr>
            </w:pPr>
          </w:p>
        </w:tc>
        <w:tc>
          <w:tcPr>
            <w:tcW w:w="700" w:type="dxa"/>
            <w:tcBorders>
              <w:top w:val="nil"/>
              <w:left w:val="nil"/>
              <w:bottom w:val="nil"/>
              <w:right w:val="nil"/>
            </w:tcBorders>
            <w:shd w:val="clear" w:color="auto" w:fill="auto"/>
            <w:noWrap/>
            <w:vAlign w:val="bottom"/>
            <w:hideMark/>
          </w:tcPr>
          <w:p w14:paraId="6AF17B24" w14:textId="77777777" w:rsidR="000A376B" w:rsidRPr="000A376B" w:rsidRDefault="000A376B" w:rsidP="000A376B">
            <w:pPr>
              <w:tabs>
                <w:tab w:val="clear" w:pos="567"/>
              </w:tabs>
              <w:spacing w:before="0" w:line="240" w:lineRule="auto"/>
              <w:rPr>
                <w:rFonts w:ascii="Times New Roman" w:eastAsia="Times New Roman" w:hAnsi="Times New Roman" w:cs="Times New Roman"/>
                <w:szCs w:val="20"/>
                <w:lang w:eastAsia="en-AU"/>
              </w:rPr>
            </w:pPr>
          </w:p>
        </w:tc>
        <w:tc>
          <w:tcPr>
            <w:tcW w:w="640" w:type="dxa"/>
            <w:tcBorders>
              <w:top w:val="nil"/>
              <w:left w:val="nil"/>
              <w:bottom w:val="nil"/>
              <w:right w:val="nil"/>
            </w:tcBorders>
            <w:shd w:val="clear" w:color="auto" w:fill="auto"/>
            <w:noWrap/>
            <w:vAlign w:val="bottom"/>
            <w:hideMark/>
          </w:tcPr>
          <w:p w14:paraId="4D0DFEB3" w14:textId="77777777" w:rsidR="000A376B" w:rsidRPr="000A376B" w:rsidRDefault="000A376B" w:rsidP="000A376B">
            <w:pPr>
              <w:tabs>
                <w:tab w:val="clear" w:pos="567"/>
              </w:tabs>
              <w:spacing w:before="0" w:line="240" w:lineRule="auto"/>
              <w:rPr>
                <w:rFonts w:ascii="Times New Roman" w:eastAsia="Times New Roman" w:hAnsi="Times New Roman" w:cs="Times New Roman"/>
                <w:szCs w:val="20"/>
                <w:lang w:eastAsia="en-AU"/>
              </w:rPr>
            </w:pPr>
          </w:p>
        </w:tc>
        <w:tc>
          <w:tcPr>
            <w:tcW w:w="760" w:type="dxa"/>
            <w:tcBorders>
              <w:top w:val="nil"/>
              <w:left w:val="nil"/>
              <w:bottom w:val="nil"/>
              <w:right w:val="nil"/>
            </w:tcBorders>
            <w:shd w:val="clear" w:color="auto" w:fill="auto"/>
            <w:noWrap/>
            <w:vAlign w:val="bottom"/>
            <w:hideMark/>
          </w:tcPr>
          <w:p w14:paraId="2CF10526" w14:textId="77777777" w:rsidR="000A376B" w:rsidRPr="000A376B" w:rsidRDefault="000A376B" w:rsidP="000A376B">
            <w:pPr>
              <w:tabs>
                <w:tab w:val="clear" w:pos="567"/>
              </w:tabs>
              <w:spacing w:before="0" w:line="240" w:lineRule="auto"/>
              <w:rPr>
                <w:rFonts w:ascii="Times New Roman" w:eastAsia="Times New Roman" w:hAnsi="Times New Roman" w:cs="Times New Roman"/>
                <w:szCs w:val="20"/>
                <w:lang w:eastAsia="en-AU"/>
              </w:rPr>
            </w:pPr>
          </w:p>
        </w:tc>
      </w:tr>
      <w:tr w:rsidR="000A376B" w:rsidRPr="000A376B" w14:paraId="73F9AED9" w14:textId="77777777" w:rsidTr="000A376B">
        <w:trPr>
          <w:trHeight w:val="315"/>
        </w:trPr>
        <w:tc>
          <w:tcPr>
            <w:tcW w:w="2620" w:type="dxa"/>
            <w:tcBorders>
              <w:top w:val="nil"/>
              <w:left w:val="nil"/>
              <w:bottom w:val="nil"/>
              <w:right w:val="nil"/>
            </w:tcBorders>
            <w:shd w:val="clear" w:color="auto" w:fill="auto"/>
            <w:noWrap/>
            <w:vAlign w:val="bottom"/>
            <w:hideMark/>
          </w:tcPr>
          <w:p w14:paraId="27101081" w14:textId="77777777" w:rsidR="000A376B" w:rsidRPr="000A376B" w:rsidRDefault="000A376B" w:rsidP="000A376B">
            <w:pPr>
              <w:tabs>
                <w:tab w:val="clear" w:pos="567"/>
              </w:tabs>
              <w:spacing w:before="0" w:line="240" w:lineRule="auto"/>
              <w:ind w:firstLineChars="200" w:firstLine="320"/>
              <w:rPr>
                <w:rFonts w:eastAsia="Times New Roman" w:cs="Open Sans Light"/>
                <w:color w:val="000000"/>
                <w:sz w:val="16"/>
                <w:szCs w:val="16"/>
                <w:lang w:eastAsia="en-AU"/>
              </w:rPr>
            </w:pPr>
            <w:r w:rsidRPr="000A376B">
              <w:rPr>
                <w:rFonts w:eastAsia="Times New Roman" w:cs="Open Sans Light"/>
                <w:color w:val="000000"/>
                <w:sz w:val="16"/>
                <w:szCs w:val="16"/>
                <w:lang w:eastAsia="en-AU"/>
              </w:rPr>
              <w:t>Population dispersion</w:t>
            </w:r>
          </w:p>
        </w:tc>
        <w:tc>
          <w:tcPr>
            <w:tcW w:w="700" w:type="dxa"/>
            <w:tcBorders>
              <w:top w:val="nil"/>
              <w:left w:val="nil"/>
              <w:bottom w:val="nil"/>
              <w:right w:val="nil"/>
            </w:tcBorders>
            <w:shd w:val="clear" w:color="auto" w:fill="auto"/>
            <w:noWrap/>
            <w:vAlign w:val="bottom"/>
            <w:hideMark/>
          </w:tcPr>
          <w:p w14:paraId="2E55DB6A"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-1,815</w:t>
            </w:r>
          </w:p>
        </w:tc>
        <w:tc>
          <w:tcPr>
            <w:tcW w:w="760" w:type="dxa"/>
            <w:tcBorders>
              <w:top w:val="nil"/>
              <w:left w:val="nil"/>
              <w:bottom w:val="nil"/>
              <w:right w:val="nil"/>
            </w:tcBorders>
            <w:shd w:val="clear" w:color="auto" w:fill="auto"/>
            <w:noWrap/>
            <w:vAlign w:val="bottom"/>
            <w:hideMark/>
          </w:tcPr>
          <w:p w14:paraId="2ECF2DFA"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-1,591</w:t>
            </w:r>
          </w:p>
        </w:tc>
        <w:tc>
          <w:tcPr>
            <w:tcW w:w="760" w:type="dxa"/>
            <w:tcBorders>
              <w:top w:val="nil"/>
              <w:left w:val="nil"/>
              <w:bottom w:val="nil"/>
              <w:right w:val="nil"/>
            </w:tcBorders>
            <w:shd w:val="clear" w:color="auto" w:fill="auto"/>
            <w:noWrap/>
            <w:vAlign w:val="bottom"/>
            <w:hideMark/>
          </w:tcPr>
          <w:p w14:paraId="5D2399B3"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1,005</w:t>
            </w:r>
          </w:p>
        </w:tc>
        <w:tc>
          <w:tcPr>
            <w:tcW w:w="760" w:type="dxa"/>
            <w:tcBorders>
              <w:top w:val="nil"/>
              <w:left w:val="nil"/>
              <w:bottom w:val="nil"/>
              <w:right w:val="nil"/>
            </w:tcBorders>
            <w:shd w:val="clear" w:color="auto" w:fill="auto"/>
            <w:noWrap/>
            <w:vAlign w:val="bottom"/>
            <w:hideMark/>
          </w:tcPr>
          <w:p w14:paraId="39CC459D"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593</w:t>
            </w:r>
          </w:p>
        </w:tc>
        <w:tc>
          <w:tcPr>
            <w:tcW w:w="620" w:type="dxa"/>
            <w:tcBorders>
              <w:top w:val="single" w:sz="4" w:space="0" w:color="ADD6EA"/>
              <w:left w:val="nil"/>
              <w:bottom w:val="nil"/>
              <w:right w:val="nil"/>
            </w:tcBorders>
            <w:shd w:val="clear" w:color="auto" w:fill="auto"/>
            <w:noWrap/>
            <w:vAlign w:val="bottom"/>
            <w:hideMark/>
          </w:tcPr>
          <w:p w14:paraId="6C976CDA"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104</w:t>
            </w:r>
          </w:p>
        </w:tc>
        <w:tc>
          <w:tcPr>
            <w:tcW w:w="640" w:type="dxa"/>
            <w:tcBorders>
              <w:top w:val="single" w:sz="4" w:space="0" w:color="ADD6EA"/>
              <w:left w:val="nil"/>
              <w:bottom w:val="nil"/>
              <w:right w:val="nil"/>
            </w:tcBorders>
            <w:shd w:val="clear" w:color="auto" w:fill="auto"/>
            <w:noWrap/>
            <w:vAlign w:val="bottom"/>
            <w:hideMark/>
          </w:tcPr>
          <w:p w14:paraId="0837D8B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588</w:t>
            </w:r>
          </w:p>
        </w:tc>
        <w:tc>
          <w:tcPr>
            <w:tcW w:w="700" w:type="dxa"/>
            <w:tcBorders>
              <w:top w:val="single" w:sz="4" w:space="0" w:color="ADD6EA"/>
              <w:left w:val="nil"/>
              <w:bottom w:val="nil"/>
              <w:right w:val="nil"/>
            </w:tcBorders>
            <w:shd w:val="clear" w:color="auto" w:fill="auto"/>
            <w:noWrap/>
            <w:vAlign w:val="bottom"/>
            <w:hideMark/>
          </w:tcPr>
          <w:p w14:paraId="61819F2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-256</w:t>
            </w:r>
          </w:p>
        </w:tc>
        <w:tc>
          <w:tcPr>
            <w:tcW w:w="640" w:type="dxa"/>
            <w:tcBorders>
              <w:top w:val="single" w:sz="4" w:space="0" w:color="ADD6EA"/>
              <w:left w:val="nil"/>
              <w:bottom w:val="nil"/>
              <w:right w:val="nil"/>
            </w:tcBorders>
            <w:shd w:val="clear" w:color="auto" w:fill="auto"/>
            <w:noWrap/>
            <w:vAlign w:val="bottom"/>
            <w:hideMark/>
          </w:tcPr>
          <w:p w14:paraId="44C35743"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1,373</w:t>
            </w:r>
          </w:p>
        </w:tc>
        <w:tc>
          <w:tcPr>
            <w:tcW w:w="760" w:type="dxa"/>
            <w:tcBorders>
              <w:top w:val="single" w:sz="4" w:space="0" w:color="ADD6EA"/>
              <w:left w:val="nil"/>
              <w:bottom w:val="nil"/>
              <w:right w:val="nil"/>
            </w:tcBorders>
            <w:shd w:val="clear" w:color="auto" w:fill="auto"/>
            <w:noWrap/>
            <w:vAlign w:val="bottom"/>
            <w:hideMark/>
          </w:tcPr>
          <w:p w14:paraId="14F772BE"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3,663</w:t>
            </w:r>
          </w:p>
        </w:tc>
      </w:tr>
      <w:tr w:rsidR="000A376B" w:rsidRPr="000A376B" w14:paraId="7395B648"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4CB5B424" w14:textId="77777777" w:rsidR="000A376B" w:rsidRPr="000A376B" w:rsidRDefault="000A376B" w:rsidP="000A376B">
            <w:pPr>
              <w:tabs>
                <w:tab w:val="clear" w:pos="567"/>
              </w:tabs>
              <w:spacing w:before="0" w:line="240" w:lineRule="auto"/>
              <w:ind w:firstLineChars="200" w:firstLine="320"/>
              <w:rPr>
                <w:rFonts w:eastAsia="Times New Roman" w:cs="Open Sans Light"/>
                <w:color w:val="000000"/>
                <w:sz w:val="16"/>
                <w:szCs w:val="16"/>
                <w:lang w:eastAsia="en-AU"/>
              </w:rPr>
            </w:pPr>
            <w:r w:rsidRPr="000A376B">
              <w:rPr>
                <w:rFonts w:eastAsia="Times New Roman" w:cs="Open Sans Light"/>
                <w:color w:val="000000"/>
                <w:sz w:val="16"/>
                <w:szCs w:val="16"/>
                <w:lang w:eastAsia="en-AU"/>
              </w:rPr>
              <w:t>Indigenous status</w:t>
            </w:r>
          </w:p>
        </w:tc>
        <w:tc>
          <w:tcPr>
            <w:tcW w:w="700" w:type="dxa"/>
            <w:tcBorders>
              <w:top w:val="single" w:sz="4" w:space="0" w:color="ADD6EA"/>
              <w:left w:val="nil"/>
              <w:bottom w:val="nil"/>
              <w:right w:val="nil"/>
            </w:tcBorders>
            <w:shd w:val="clear" w:color="auto" w:fill="auto"/>
            <w:noWrap/>
            <w:vAlign w:val="bottom"/>
            <w:hideMark/>
          </w:tcPr>
          <w:p w14:paraId="71CCA5E9"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92</w:t>
            </w:r>
          </w:p>
        </w:tc>
        <w:tc>
          <w:tcPr>
            <w:tcW w:w="760" w:type="dxa"/>
            <w:tcBorders>
              <w:top w:val="single" w:sz="4" w:space="0" w:color="ADD6EA"/>
              <w:left w:val="nil"/>
              <w:bottom w:val="nil"/>
              <w:right w:val="nil"/>
            </w:tcBorders>
            <w:shd w:val="clear" w:color="auto" w:fill="auto"/>
            <w:noWrap/>
            <w:vAlign w:val="bottom"/>
            <w:hideMark/>
          </w:tcPr>
          <w:p w14:paraId="5305DDDE"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-2,296</w:t>
            </w:r>
          </w:p>
        </w:tc>
        <w:tc>
          <w:tcPr>
            <w:tcW w:w="760" w:type="dxa"/>
            <w:tcBorders>
              <w:top w:val="single" w:sz="4" w:space="0" w:color="ADD6EA"/>
              <w:left w:val="nil"/>
              <w:bottom w:val="nil"/>
              <w:right w:val="nil"/>
            </w:tcBorders>
            <w:shd w:val="clear" w:color="auto" w:fill="auto"/>
            <w:noWrap/>
            <w:vAlign w:val="bottom"/>
            <w:hideMark/>
          </w:tcPr>
          <w:p w14:paraId="231D822A"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986</w:t>
            </w:r>
          </w:p>
        </w:tc>
        <w:tc>
          <w:tcPr>
            <w:tcW w:w="760" w:type="dxa"/>
            <w:tcBorders>
              <w:top w:val="single" w:sz="4" w:space="0" w:color="ADD6EA"/>
              <w:left w:val="nil"/>
              <w:bottom w:val="nil"/>
              <w:right w:val="nil"/>
            </w:tcBorders>
            <w:shd w:val="clear" w:color="auto" w:fill="auto"/>
            <w:noWrap/>
            <w:vAlign w:val="bottom"/>
            <w:hideMark/>
          </w:tcPr>
          <w:p w14:paraId="3E174A0B"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277</w:t>
            </w:r>
          </w:p>
        </w:tc>
        <w:tc>
          <w:tcPr>
            <w:tcW w:w="620" w:type="dxa"/>
            <w:tcBorders>
              <w:top w:val="single" w:sz="4" w:space="0" w:color="ADD6EA"/>
              <w:left w:val="nil"/>
              <w:bottom w:val="nil"/>
              <w:right w:val="nil"/>
            </w:tcBorders>
            <w:shd w:val="clear" w:color="auto" w:fill="auto"/>
            <w:noWrap/>
            <w:vAlign w:val="bottom"/>
            <w:hideMark/>
          </w:tcPr>
          <w:p w14:paraId="1E805819"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-202</w:t>
            </w:r>
          </w:p>
        </w:tc>
        <w:tc>
          <w:tcPr>
            <w:tcW w:w="640" w:type="dxa"/>
            <w:tcBorders>
              <w:top w:val="single" w:sz="4" w:space="0" w:color="ADD6EA"/>
              <w:left w:val="nil"/>
              <w:bottom w:val="nil"/>
              <w:right w:val="nil"/>
            </w:tcBorders>
            <w:shd w:val="clear" w:color="auto" w:fill="auto"/>
            <w:noWrap/>
            <w:vAlign w:val="bottom"/>
            <w:hideMark/>
          </w:tcPr>
          <w:p w14:paraId="3CC0713A"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164</w:t>
            </w:r>
          </w:p>
        </w:tc>
        <w:tc>
          <w:tcPr>
            <w:tcW w:w="700" w:type="dxa"/>
            <w:tcBorders>
              <w:top w:val="single" w:sz="4" w:space="0" w:color="ADD6EA"/>
              <w:left w:val="nil"/>
              <w:bottom w:val="nil"/>
              <w:right w:val="nil"/>
            </w:tcBorders>
            <w:shd w:val="clear" w:color="auto" w:fill="auto"/>
            <w:noWrap/>
            <w:vAlign w:val="bottom"/>
            <w:hideMark/>
          </w:tcPr>
          <w:p w14:paraId="3DC4961D"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-91</w:t>
            </w:r>
          </w:p>
        </w:tc>
        <w:tc>
          <w:tcPr>
            <w:tcW w:w="640" w:type="dxa"/>
            <w:tcBorders>
              <w:top w:val="single" w:sz="4" w:space="0" w:color="ADD6EA"/>
              <w:left w:val="nil"/>
              <w:bottom w:val="nil"/>
              <w:right w:val="nil"/>
            </w:tcBorders>
            <w:shd w:val="clear" w:color="auto" w:fill="auto"/>
            <w:noWrap/>
            <w:vAlign w:val="bottom"/>
            <w:hideMark/>
          </w:tcPr>
          <w:p w14:paraId="39BF9A6C"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1,070</w:t>
            </w:r>
          </w:p>
        </w:tc>
        <w:tc>
          <w:tcPr>
            <w:tcW w:w="760" w:type="dxa"/>
            <w:tcBorders>
              <w:top w:val="single" w:sz="4" w:space="0" w:color="ADD6EA"/>
              <w:left w:val="nil"/>
              <w:bottom w:val="nil"/>
              <w:right w:val="nil"/>
            </w:tcBorders>
            <w:shd w:val="clear" w:color="auto" w:fill="auto"/>
            <w:noWrap/>
            <w:vAlign w:val="bottom"/>
            <w:hideMark/>
          </w:tcPr>
          <w:p w14:paraId="0693EA71"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2,589</w:t>
            </w:r>
          </w:p>
        </w:tc>
      </w:tr>
      <w:tr w:rsidR="000A376B" w:rsidRPr="000A376B" w14:paraId="3CFA248F"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517EE210" w14:textId="77777777" w:rsidR="000A376B" w:rsidRPr="000A376B" w:rsidRDefault="000A376B" w:rsidP="000A376B">
            <w:pPr>
              <w:tabs>
                <w:tab w:val="clear" w:pos="567"/>
              </w:tabs>
              <w:spacing w:before="0" w:line="240" w:lineRule="auto"/>
              <w:ind w:firstLineChars="200" w:firstLine="320"/>
              <w:rPr>
                <w:rFonts w:eastAsia="Times New Roman" w:cs="Open Sans Light"/>
                <w:color w:val="000000"/>
                <w:sz w:val="16"/>
                <w:szCs w:val="16"/>
                <w:lang w:eastAsia="en-AU"/>
              </w:rPr>
            </w:pPr>
            <w:r w:rsidRPr="000A376B">
              <w:rPr>
                <w:rFonts w:eastAsia="Times New Roman" w:cs="Open Sans Light"/>
                <w:color w:val="000000"/>
                <w:sz w:val="16"/>
                <w:szCs w:val="16"/>
                <w:lang w:eastAsia="en-AU"/>
              </w:rPr>
              <w:t>Socio-economic status</w:t>
            </w:r>
          </w:p>
        </w:tc>
        <w:tc>
          <w:tcPr>
            <w:tcW w:w="700" w:type="dxa"/>
            <w:tcBorders>
              <w:top w:val="single" w:sz="4" w:space="0" w:color="ADD6EA"/>
              <w:left w:val="nil"/>
              <w:bottom w:val="nil"/>
              <w:right w:val="nil"/>
            </w:tcBorders>
            <w:shd w:val="clear" w:color="auto" w:fill="auto"/>
            <w:noWrap/>
            <w:vAlign w:val="bottom"/>
            <w:hideMark/>
          </w:tcPr>
          <w:p w14:paraId="0BB36E09"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66</w:t>
            </w:r>
          </w:p>
        </w:tc>
        <w:tc>
          <w:tcPr>
            <w:tcW w:w="760" w:type="dxa"/>
            <w:tcBorders>
              <w:top w:val="single" w:sz="4" w:space="0" w:color="ADD6EA"/>
              <w:left w:val="nil"/>
              <w:bottom w:val="nil"/>
              <w:right w:val="nil"/>
            </w:tcBorders>
            <w:shd w:val="clear" w:color="auto" w:fill="auto"/>
            <w:noWrap/>
            <w:vAlign w:val="bottom"/>
            <w:hideMark/>
          </w:tcPr>
          <w:p w14:paraId="7D910A29"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-276</w:t>
            </w:r>
          </w:p>
        </w:tc>
        <w:tc>
          <w:tcPr>
            <w:tcW w:w="760" w:type="dxa"/>
            <w:tcBorders>
              <w:top w:val="single" w:sz="4" w:space="0" w:color="ADD6EA"/>
              <w:left w:val="nil"/>
              <w:bottom w:val="nil"/>
              <w:right w:val="nil"/>
            </w:tcBorders>
            <w:shd w:val="clear" w:color="auto" w:fill="auto"/>
            <w:noWrap/>
            <w:vAlign w:val="bottom"/>
            <w:hideMark/>
          </w:tcPr>
          <w:p w14:paraId="403FBE41"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258</w:t>
            </w:r>
          </w:p>
        </w:tc>
        <w:tc>
          <w:tcPr>
            <w:tcW w:w="760" w:type="dxa"/>
            <w:tcBorders>
              <w:top w:val="single" w:sz="4" w:space="0" w:color="ADD6EA"/>
              <w:left w:val="nil"/>
              <w:bottom w:val="nil"/>
              <w:right w:val="nil"/>
            </w:tcBorders>
            <w:shd w:val="clear" w:color="auto" w:fill="auto"/>
            <w:noWrap/>
            <w:vAlign w:val="bottom"/>
            <w:hideMark/>
          </w:tcPr>
          <w:p w14:paraId="6872AB1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-176</w:t>
            </w:r>
          </w:p>
        </w:tc>
        <w:tc>
          <w:tcPr>
            <w:tcW w:w="620" w:type="dxa"/>
            <w:tcBorders>
              <w:top w:val="single" w:sz="4" w:space="0" w:color="ADD6EA"/>
              <w:left w:val="nil"/>
              <w:bottom w:val="nil"/>
              <w:right w:val="nil"/>
            </w:tcBorders>
            <w:shd w:val="clear" w:color="auto" w:fill="auto"/>
            <w:noWrap/>
            <w:vAlign w:val="bottom"/>
            <w:hideMark/>
          </w:tcPr>
          <w:p w14:paraId="121A654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499</w:t>
            </w:r>
          </w:p>
        </w:tc>
        <w:tc>
          <w:tcPr>
            <w:tcW w:w="640" w:type="dxa"/>
            <w:tcBorders>
              <w:top w:val="single" w:sz="4" w:space="0" w:color="ADD6EA"/>
              <w:left w:val="nil"/>
              <w:bottom w:val="nil"/>
              <w:right w:val="nil"/>
            </w:tcBorders>
            <w:shd w:val="clear" w:color="auto" w:fill="auto"/>
            <w:noWrap/>
            <w:vAlign w:val="bottom"/>
            <w:hideMark/>
          </w:tcPr>
          <w:p w14:paraId="19AC190E"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92</w:t>
            </w:r>
          </w:p>
        </w:tc>
        <w:tc>
          <w:tcPr>
            <w:tcW w:w="700" w:type="dxa"/>
            <w:tcBorders>
              <w:top w:val="single" w:sz="4" w:space="0" w:color="ADD6EA"/>
              <w:left w:val="nil"/>
              <w:bottom w:val="nil"/>
              <w:right w:val="nil"/>
            </w:tcBorders>
            <w:shd w:val="clear" w:color="auto" w:fill="auto"/>
            <w:noWrap/>
            <w:vAlign w:val="bottom"/>
            <w:hideMark/>
          </w:tcPr>
          <w:p w14:paraId="7A49F3C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-306</w:t>
            </w:r>
          </w:p>
        </w:tc>
        <w:tc>
          <w:tcPr>
            <w:tcW w:w="640" w:type="dxa"/>
            <w:tcBorders>
              <w:top w:val="single" w:sz="4" w:space="0" w:color="ADD6EA"/>
              <w:left w:val="nil"/>
              <w:bottom w:val="nil"/>
              <w:right w:val="nil"/>
            </w:tcBorders>
            <w:shd w:val="clear" w:color="auto" w:fill="auto"/>
            <w:noWrap/>
            <w:vAlign w:val="bottom"/>
            <w:hideMark/>
          </w:tcPr>
          <w:p w14:paraId="0219A39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-156</w:t>
            </w:r>
          </w:p>
        </w:tc>
        <w:tc>
          <w:tcPr>
            <w:tcW w:w="760" w:type="dxa"/>
            <w:tcBorders>
              <w:top w:val="single" w:sz="4" w:space="0" w:color="ADD6EA"/>
              <w:left w:val="nil"/>
              <w:bottom w:val="nil"/>
              <w:right w:val="nil"/>
            </w:tcBorders>
            <w:shd w:val="clear" w:color="auto" w:fill="auto"/>
            <w:noWrap/>
            <w:vAlign w:val="bottom"/>
            <w:hideMark/>
          </w:tcPr>
          <w:p w14:paraId="2CA47A72"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915</w:t>
            </w:r>
          </w:p>
        </w:tc>
      </w:tr>
      <w:tr w:rsidR="000A376B" w:rsidRPr="000A376B" w14:paraId="04F9C303"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635954D1" w14:textId="77777777" w:rsidR="000A376B" w:rsidRPr="000A376B" w:rsidRDefault="000A376B" w:rsidP="000A376B">
            <w:pPr>
              <w:tabs>
                <w:tab w:val="clear" w:pos="567"/>
              </w:tabs>
              <w:spacing w:before="0" w:line="240" w:lineRule="auto"/>
              <w:ind w:firstLineChars="200" w:firstLine="320"/>
              <w:rPr>
                <w:rFonts w:eastAsia="Times New Roman" w:cs="Open Sans Light"/>
                <w:color w:val="000000"/>
                <w:sz w:val="16"/>
                <w:szCs w:val="16"/>
                <w:lang w:eastAsia="en-AU"/>
              </w:rPr>
            </w:pPr>
            <w:r w:rsidRPr="000A376B">
              <w:rPr>
                <w:rFonts w:eastAsia="Times New Roman" w:cs="Open Sans Light"/>
                <w:color w:val="000000"/>
                <w:sz w:val="16"/>
                <w:szCs w:val="16"/>
                <w:lang w:eastAsia="en-AU"/>
              </w:rPr>
              <w:t>Age</w:t>
            </w:r>
          </w:p>
        </w:tc>
        <w:tc>
          <w:tcPr>
            <w:tcW w:w="700" w:type="dxa"/>
            <w:tcBorders>
              <w:top w:val="single" w:sz="4" w:space="0" w:color="ADD6EA"/>
              <w:left w:val="nil"/>
              <w:bottom w:val="nil"/>
              <w:right w:val="nil"/>
            </w:tcBorders>
            <w:shd w:val="clear" w:color="auto" w:fill="auto"/>
            <w:noWrap/>
            <w:vAlign w:val="bottom"/>
            <w:hideMark/>
          </w:tcPr>
          <w:p w14:paraId="7517D21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198</w:t>
            </w:r>
          </w:p>
        </w:tc>
        <w:tc>
          <w:tcPr>
            <w:tcW w:w="760" w:type="dxa"/>
            <w:tcBorders>
              <w:top w:val="single" w:sz="4" w:space="0" w:color="ADD6EA"/>
              <w:left w:val="nil"/>
              <w:bottom w:val="nil"/>
              <w:right w:val="nil"/>
            </w:tcBorders>
            <w:shd w:val="clear" w:color="auto" w:fill="auto"/>
            <w:noWrap/>
            <w:vAlign w:val="bottom"/>
            <w:hideMark/>
          </w:tcPr>
          <w:p w14:paraId="2DE348A5"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-98</w:t>
            </w:r>
          </w:p>
        </w:tc>
        <w:tc>
          <w:tcPr>
            <w:tcW w:w="760" w:type="dxa"/>
            <w:tcBorders>
              <w:top w:val="single" w:sz="4" w:space="0" w:color="ADD6EA"/>
              <w:left w:val="nil"/>
              <w:bottom w:val="nil"/>
              <w:right w:val="nil"/>
            </w:tcBorders>
            <w:shd w:val="clear" w:color="auto" w:fill="auto"/>
            <w:noWrap/>
            <w:vAlign w:val="bottom"/>
            <w:hideMark/>
          </w:tcPr>
          <w:p w14:paraId="0366B3B1"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-158</w:t>
            </w:r>
          </w:p>
        </w:tc>
        <w:tc>
          <w:tcPr>
            <w:tcW w:w="760" w:type="dxa"/>
            <w:tcBorders>
              <w:top w:val="single" w:sz="4" w:space="0" w:color="ADD6EA"/>
              <w:left w:val="nil"/>
              <w:bottom w:val="nil"/>
              <w:right w:val="nil"/>
            </w:tcBorders>
            <w:shd w:val="clear" w:color="auto" w:fill="auto"/>
            <w:noWrap/>
            <w:vAlign w:val="bottom"/>
            <w:hideMark/>
          </w:tcPr>
          <w:p w14:paraId="1608474C"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-61</w:t>
            </w:r>
          </w:p>
        </w:tc>
        <w:tc>
          <w:tcPr>
            <w:tcW w:w="620" w:type="dxa"/>
            <w:tcBorders>
              <w:top w:val="single" w:sz="4" w:space="0" w:color="ADD6EA"/>
              <w:left w:val="nil"/>
              <w:bottom w:val="nil"/>
              <w:right w:val="nil"/>
            </w:tcBorders>
            <w:shd w:val="clear" w:color="auto" w:fill="auto"/>
            <w:noWrap/>
            <w:vAlign w:val="bottom"/>
            <w:hideMark/>
          </w:tcPr>
          <w:p w14:paraId="56A3F8B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197</w:t>
            </w:r>
          </w:p>
        </w:tc>
        <w:tc>
          <w:tcPr>
            <w:tcW w:w="640" w:type="dxa"/>
            <w:tcBorders>
              <w:top w:val="single" w:sz="4" w:space="0" w:color="ADD6EA"/>
              <w:left w:val="nil"/>
              <w:bottom w:val="nil"/>
              <w:right w:val="nil"/>
            </w:tcBorders>
            <w:shd w:val="clear" w:color="auto" w:fill="auto"/>
            <w:noWrap/>
            <w:vAlign w:val="bottom"/>
            <w:hideMark/>
          </w:tcPr>
          <w:p w14:paraId="6B89509B"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-8</w:t>
            </w:r>
          </w:p>
        </w:tc>
        <w:tc>
          <w:tcPr>
            <w:tcW w:w="700" w:type="dxa"/>
            <w:tcBorders>
              <w:top w:val="single" w:sz="4" w:space="0" w:color="ADD6EA"/>
              <w:left w:val="nil"/>
              <w:bottom w:val="nil"/>
              <w:right w:val="nil"/>
            </w:tcBorders>
            <w:shd w:val="clear" w:color="auto" w:fill="auto"/>
            <w:noWrap/>
            <w:vAlign w:val="bottom"/>
            <w:hideMark/>
          </w:tcPr>
          <w:p w14:paraId="0DE63922"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-20</w:t>
            </w:r>
          </w:p>
        </w:tc>
        <w:tc>
          <w:tcPr>
            <w:tcW w:w="640" w:type="dxa"/>
            <w:tcBorders>
              <w:top w:val="single" w:sz="4" w:space="0" w:color="ADD6EA"/>
              <w:left w:val="nil"/>
              <w:bottom w:val="nil"/>
              <w:right w:val="nil"/>
            </w:tcBorders>
            <w:shd w:val="clear" w:color="auto" w:fill="auto"/>
            <w:noWrap/>
            <w:vAlign w:val="bottom"/>
            <w:hideMark/>
          </w:tcPr>
          <w:p w14:paraId="542A735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-50</w:t>
            </w:r>
          </w:p>
        </w:tc>
        <w:tc>
          <w:tcPr>
            <w:tcW w:w="760" w:type="dxa"/>
            <w:tcBorders>
              <w:top w:val="single" w:sz="4" w:space="0" w:color="ADD6EA"/>
              <w:left w:val="nil"/>
              <w:bottom w:val="nil"/>
              <w:right w:val="nil"/>
            </w:tcBorders>
            <w:shd w:val="clear" w:color="auto" w:fill="auto"/>
            <w:noWrap/>
            <w:vAlign w:val="bottom"/>
            <w:hideMark/>
          </w:tcPr>
          <w:p w14:paraId="7B97ADF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395</w:t>
            </w:r>
          </w:p>
        </w:tc>
      </w:tr>
      <w:tr w:rsidR="000A376B" w:rsidRPr="000A376B" w14:paraId="211C6000"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7CBAFB50" w14:textId="77777777" w:rsidR="000A376B" w:rsidRPr="000A376B" w:rsidRDefault="000A376B" w:rsidP="000A376B">
            <w:pPr>
              <w:tabs>
                <w:tab w:val="clear" w:pos="567"/>
              </w:tabs>
              <w:spacing w:before="0" w:line="240" w:lineRule="auto"/>
              <w:ind w:firstLineChars="200" w:firstLine="320"/>
              <w:rPr>
                <w:rFonts w:eastAsia="Times New Roman" w:cs="Open Sans Light"/>
                <w:color w:val="000000"/>
                <w:sz w:val="16"/>
                <w:szCs w:val="16"/>
                <w:lang w:eastAsia="en-AU"/>
              </w:rPr>
            </w:pPr>
            <w:r w:rsidRPr="000A376B">
              <w:rPr>
                <w:rFonts w:eastAsia="Times New Roman" w:cs="Open Sans Light"/>
                <w:color w:val="000000"/>
                <w:sz w:val="16"/>
                <w:szCs w:val="16"/>
                <w:lang w:eastAsia="en-AU"/>
              </w:rPr>
              <w:t>Other SDC</w:t>
            </w:r>
          </w:p>
        </w:tc>
        <w:tc>
          <w:tcPr>
            <w:tcW w:w="700" w:type="dxa"/>
            <w:tcBorders>
              <w:top w:val="single" w:sz="4" w:space="0" w:color="ADD6EA"/>
              <w:left w:val="nil"/>
              <w:bottom w:val="nil"/>
              <w:right w:val="nil"/>
            </w:tcBorders>
            <w:shd w:val="clear" w:color="auto" w:fill="auto"/>
            <w:noWrap/>
            <w:vAlign w:val="bottom"/>
            <w:hideMark/>
          </w:tcPr>
          <w:p w14:paraId="2C48393B"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-99</w:t>
            </w:r>
          </w:p>
        </w:tc>
        <w:tc>
          <w:tcPr>
            <w:tcW w:w="760" w:type="dxa"/>
            <w:tcBorders>
              <w:top w:val="single" w:sz="4" w:space="0" w:color="ADD6EA"/>
              <w:left w:val="nil"/>
              <w:bottom w:val="nil"/>
              <w:right w:val="nil"/>
            </w:tcBorders>
            <w:shd w:val="clear" w:color="auto" w:fill="auto"/>
            <w:noWrap/>
            <w:vAlign w:val="bottom"/>
            <w:hideMark/>
          </w:tcPr>
          <w:p w14:paraId="69C8480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-246</w:t>
            </w:r>
          </w:p>
        </w:tc>
        <w:tc>
          <w:tcPr>
            <w:tcW w:w="760" w:type="dxa"/>
            <w:tcBorders>
              <w:top w:val="single" w:sz="4" w:space="0" w:color="ADD6EA"/>
              <w:left w:val="nil"/>
              <w:bottom w:val="nil"/>
              <w:right w:val="nil"/>
            </w:tcBorders>
            <w:shd w:val="clear" w:color="auto" w:fill="auto"/>
            <w:noWrap/>
            <w:vAlign w:val="bottom"/>
            <w:hideMark/>
          </w:tcPr>
          <w:p w14:paraId="437F1159"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180</w:t>
            </w:r>
          </w:p>
        </w:tc>
        <w:tc>
          <w:tcPr>
            <w:tcW w:w="760" w:type="dxa"/>
            <w:tcBorders>
              <w:top w:val="single" w:sz="4" w:space="0" w:color="ADD6EA"/>
              <w:left w:val="nil"/>
              <w:bottom w:val="nil"/>
              <w:right w:val="nil"/>
            </w:tcBorders>
            <w:shd w:val="clear" w:color="auto" w:fill="auto"/>
            <w:noWrap/>
            <w:vAlign w:val="bottom"/>
            <w:hideMark/>
          </w:tcPr>
          <w:p w14:paraId="7CC96C01"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41</w:t>
            </w:r>
          </w:p>
        </w:tc>
        <w:tc>
          <w:tcPr>
            <w:tcW w:w="620" w:type="dxa"/>
            <w:tcBorders>
              <w:top w:val="single" w:sz="4" w:space="0" w:color="ADD6EA"/>
              <w:left w:val="nil"/>
              <w:bottom w:val="nil"/>
              <w:right w:val="nil"/>
            </w:tcBorders>
            <w:shd w:val="clear" w:color="auto" w:fill="auto"/>
            <w:noWrap/>
            <w:vAlign w:val="bottom"/>
            <w:hideMark/>
          </w:tcPr>
          <w:p w14:paraId="5641590C"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25</w:t>
            </w:r>
          </w:p>
        </w:tc>
        <w:tc>
          <w:tcPr>
            <w:tcW w:w="640" w:type="dxa"/>
            <w:tcBorders>
              <w:top w:val="single" w:sz="4" w:space="0" w:color="ADD6EA"/>
              <w:left w:val="nil"/>
              <w:bottom w:val="nil"/>
              <w:right w:val="nil"/>
            </w:tcBorders>
            <w:shd w:val="clear" w:color="auto" w:fill="auto"/>
            <w:noWrap/>
            <w:vAlign w:val="bottom"/>
            <w:hideMark/>
          </w:tcPr>
          <w:p w14:paraId="240216C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29</w:t>
            </w:r>
          </w:p>
        </w:tc>
        <w:tc>
          <w:tcPr>
            <w:tcW w:w="700" w:type="dxa"/>
            <w:tcBorders>
              <w:top w:val="single" w:sz="4" w:space="0" w:color="ADD6EA"/>
              <w:left w:val="nil"/>
              <w:bottom w:val="nil"/>
              <w:right w:val="nil"/>
            </w:tcBorders>
            <w:shd w:val="clear" w:color="auto" w:fill="auto"/>
            <w:noWrap/>
            <w:vAlign w:val="bottom"/>
            <w:hideMark/>
          </w:tcPr>
          <w:p w14:paraId="7F30759B"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-21</w:t>
            </w:r>
          </w:p>
        </w:tc>
        <w:tc>
          <w:tcPr>
            <w:tcW w:w="640" w:type="dxa"/>
            <w:tcBorders>
              <w:top w:val="single" w:sz="4" w:space="0" w:color="ADD6EA"/>
              <w:left w:val="nil"/>
              <w:bottom w:val="nil"/>
              <w:right w:val="nil"/>
            </w:tcBorders>
            <w:shd w:val="clear" w:color="auto" w:fill="auto"/>
            <w:noWrap/>
            <w:vAlign w:val="bottom"/>
            <w:hideMark/>
          </w:tcPr>
          <w:p w14:paraId="011CA6AF"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90</w:t>
            </w:r>
          </w:p>
        </w:tc>
        <w:tc>
          <w:tcPr>
            <w:tcW w:w="760" w:type="dxa"/>
            <w:tcBorders>
              <w:top w:val="single" w:sz="4" w:space="0" w:color="ADD6EA"/>
              <w:left w:val="nil"/>
              <w:bottom w:val="nil"/>
              <w:right w:val="nil"/>
            </w:tcBorders>
            <w:shd w:val="clear" w:color="auto" w:fill="auto"/>
            <w:noWrap/>
            <w:vAlign w:val="bottom"/>
            <w:hideMark/>
          </w:tcPr>
          <w:p w14:paraId="4333464A"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366</w:t>
            </w:r>
          </w:p>
        </w:tc>
      </w:tr>
      <w:tr w:rsidR="000A376B" w:rsidRPr="000A376B" w14:paraId="4F5A6A41" w14:textId="77777777" w:rsidTr="000A376B">
        <w:trPr>
          <w:trHeight w:val="315"/>
        </w:trPr>
        <w:tc>
          <w:tcPr>
            <w:tcW w:w="2620" w:type="dxa"/>
            <w:tcBorders>
              <w:top w:val="single" w:sz="4" w:space="0" w:color="ADD6EA"/>
              <w:left w:val="nil"/>
              <w:bottom w:val="single" w:sz="4" w:space="0" w:color="ADD6EA"/>
              <w:right w:val="nil"/>
            </w:tcBorders>
            <w:shd w:val="clear" w:color="000000" w:fill="D6E7F0"/>
            <w:noWrap/>
            <w:vAlign w:val="bottom"/>
            <w:hideMark/>
          </w:tcPr>
          <w:p w14:paraId="589B9A25" w14:textId="77777777" w:rsidR="000A376B" w:rsidRPr="000A376B" w:rsidRDefault="000A376B" w:rsidP="000A376B">
            <w:pPr>
              <w:tabs>
                <w:tab w:val="clear" w:pos="567"/>
              </w:tabs>
              <w:spacing w:before="0" w:line="240" w:lineRule="auto"/>
              <w:ind w:firstLineChars="200" w:firstLine="320"/>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Total SDC</w:t>
            </w:r>
          </w:p>
        </w:tc>
        <w:tc>
          <w:tcPr>
            <w:tcW w:w="700" w:type="dxa"/>
            <w:tcBorders>
              <w:top w:val="single" w:sz="4" w:space="0" w:color="ADD6EA"/>
              <w:left w:val="nil"/>
              <w:bottom w:val="single" w:sz="4" w:space="0" w:color="ADD6EA"/>
              <w:right w:val="nil"/>
            </w:tcBorders>
            <w:shd w:val="clear" w:color="000000" w:fill="D6E7F0"/>
            <w:noWrap/>
            <w:vAlign w:val="bottom"/>
            <w:hideMark/>
          </w:tcPr>
          <w:p w14:paraId="6475557B"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-1,559</w:t>
            </w:r>
          </w:p>
        </w:tc>
        <w:tc>
          <w:tcPr>
            <w:tcW w:w="760" w:type="dxa"/>
            <w:tcBorders>
              <w:top w:val="single" w:sz="4" w:space="0" w:color="ADD6EA"/>
              <w:left w:val="nil"/>
              <w:bottom w:val="single" w:sz="4" w:space="0" w:color="ADD6EA"/>
              <w:right w:val="nil"/>
            </w:tcBorders>
            <w:shd w:val="clear" w:color="000000" w:fill="D6E7F0"/>
            <w:noWrap/>
            <w:vAlign w:val="bottom"/>
            <w:hideMark/>
          </w:tcPr>
          <w:p w14:paraId="045D39F0"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-4,508</w:t>
            </w:r>
          </w:p>
        </w:tc>
        <w:tc>
          <w:tcPr>
            <w:tcW w:w="760" w:type="dxa"/>
            <w:tcBorders>
              <w:top w:val="single" w:sz="4" w:space="0" w:color="ADD6EA"/>
              <w:left w:val="nil"/>
              <w:bottom w:val="single" w:sz="4" w:space="0" w:color="ADD6EA"/>
              <w:right w:val="nil"/>
            </w:tcBorders>
            <w:shd w:val="clear" w:color="000000" w:fill="D6E7F0"/>
            <w:noWrap/>
            <w:vAlign w:val="bottom"/>
            <w:hideMark/>
          </w:tcPr>
          <w:p w14:paraId="07844F08"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2,271</w:t>
            </w:r>
          </w:p>
        </w:tc>
        <w:tc>
          <w:tcPr>
            <w:tcW w:w="760" w:type="dxa"/>
            <w:tcBorders>
              <w:top w:val="single" w:sz="4" w:space="0" w:color="ADD6EA"/>
              <w:left w:val="nil"/>
              <w:bottom w:val="single" w:sz="4" w:space="0" w:color="ADD6EA"/>
              <w:right w:val="nil"/>
            </w:tcBorders>
            <w:shd w:val="clear" w:color="000000" w:fill="D6E7F0"/>
            <w:noWrap/>
            <w:vAlign w:val="bottom"/>
            <w:hideMark/>
          </w:tcPr>
          <w:p w14:paraId="79D8AB23"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674</w:t>
            </w:r>
          </w:p>
        </w:tc>
        <w:tc>
          <w:tcPr>
            <w:tcW w:w="620" w:type="dxa"/>
            <w:tcBorders>
              <w:top w:val="single" w:sz="4" w:space="0" w:color="ADD6EA"/>
              <w:left w:val="nil"/>
              <w:bottom w:val="single" w:sz="4" w:space="0" w:color="ADD6EA"/>
              <w:right w:val="nil"/>
            </w:tcBorders>
            <w:shd w:val="clear" w:color="000000" w:fill="D6E7F0"/>
            <w:noWrap/>
            <w:vAlign w:val="bottom"/>
            <w:hideMark/>
          </w:tcPr>
          <w:p w14:paraId="082A57A0"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623</w:t>
            </w:r>
          </w:p>
        </w:tc>
        <w:tc>
          <w:tcPr>
            <w:tcW w:w="640" w:type="dxa"/>
            <w:tcBorders>
              <w:top w:val="single" w:sz="4" w:space="0" w:color="ADD6EA"/>
              <w:left w:val="nil"/>
              <w:bottom w:val="single" w:sz="4" w:space="0" w:color="ADD6EA"/>
              <w:right w:val="nil"/>
            </w:tcBorders>
            <w:shd w:val="clear" w:color="000000" w:fill="D6E7F0"/>
            <w:noWrap/>
            <w:vAlign w:val="bottom"/>
            <w:hideMark/>
          </w:tcPr>
          <w:p w14:paraId="5B705CFB"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866</w:t>
            </w:r>
          </w:p>
        </w:tc>
        <w:tc>
          <w:tcPr>
            <w:tcW w:w="700" w:type="dxa"/>
            <w:tcBorders>
              <w:top w:val="single" w:sz="4" w:space="0" w:color="ADD6EA"/>
              <w:left w:val="nil"/>
              <w:bottom w:val="single" w:sz="4" w:space="0" w:color="ADD6EA"/>
              <w:right w:val="nil"/>
            </w:tcBorders>
            <w:shd w:val="clear" w:color="000000" w:fill="D6E7F0"/>
            <w:noWrap/>
            <w:vAlign w:val="bottom"/>
            <w:hideMark/>
          </w:tcPr>
          <w:p w14:paraId="00ABEA72"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-694</w:t>
            </w:r>
          </w:p>
        </w:tc>
        <w:tc>
          <w:tcPr>
            <w:tcW w:w="640" w:type="dxa"/>
            <w:tcBorders>
              <w:top w:val="single" w:sz="4" w:space="0" w:color="ADD6EA"/>
              <w:left w:val="nil"/>
              <w:bottom w:val="single" w:sz="4" w:space="0" w:color="ADD6EA"/>
              <w:right w:val="nil"/>
            </w:tcBorders>
            <w:shd w:val="clear" w:color="000000" w:fill="D6E7F0"/>
            <w:noWrap/>
            <w:vAlign w:val="bottom"/>
            <w:hideMark/>
          </w:tcPr>
          <w:p w14:paraId="5E4DC20C"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2,328</w:t>
            </w:r>
          </w:p>
        </w:tc>
        <w:tc>
          <w:tcPr>
            <w:tcW w:w="760" w:type="dxa"/>
            <w:tcBorders>
              <w:top w:val="single" w:sz="4" w:space="0" w:color="ADD6EA"/>
              <w:left w:val="nil"/>
              <w:bottom w:val="single" w:sz="4" w:space="0" w:color="ADD6EA"/>
              <w:right w:val="nil"/>
            </w:tcBorders>
            <w:shd w:val="clear" w:color="000000" w:fill="D6E7F0"/>
            <w:noWrap/>
            <w:vAlign w:val="bottom"/>
            <w:hideMark/>
          </w:tcPr>
          <w:p w14:paraId="681A2DC2"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6,761</w:t>
            </w:r>
          </w:p>
        </w:tc>
      </w:tr>
      <w:tr w:rsidR="000A376B" w:rsidRPr="000A376B" w14:paraId="20695165" w14:textId="77777777" w:rsidTr="000A376B">
        <w:trPr>
          <w:trHeight w:val="315"/>
        </w:trPr>
        <w:tc>
          <w:tcPr>
            <w:tcW w:w="2620" w:type="dxa"/>
            <w:tcBorders>
              <w:top w:val="nil"/>
              <w:left w:val="nil"/>
              <w:bottom w:val="nil"/>
              <w:right w:val="nil"/>
            </w:tcBorders>
            <w:shd w:val="clear" w:color="auto" w:fill="auto"/>
            <w:noWrap/>
            <w:vAlign w:val="bottom"/>
            <w:hideMark/>
          </w:tcPr>
          <w:p w14:paraId="5AAB2657"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r w:rsidRPr="000A376B">
              <w:rPr>
                <w:rFonts w:eastAsia="Times New Roman" w:cs="Open Sans Light"/>
                <w:color w:val="000000"/>
                <w:sz w:val="16"/>
                <w:szCs w:val="16"/>
                <w:lang w:eastAsia="en-AU"/>
              </w:rPr>
              <w:t>Urban centre characteristics</w:t>
            </w:r>
          </w:p>
        </w:tc>
        <w:tc>
          <w:tcPr>
            <w:tcW w:w="700" w:type="dxa"/>
            <w:tcBorders>
              <w:top w:val="nil"/>
              <w:left w:val="nil"/>
              <w:bottom w:val="nil"/>
              <w:right w:val="nil"/>
            </w:tcBorders>
            <w:shd w:val="clear" w:color="auto" w:fill="auto"/>
            <w:noWrap/>
            <w:vAlign w:val="bottom"/>
            <w:hideMark/>
          </w:tcPr>
          <w:p w14:paraId="72EAB291"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1,385</w:t>
            </w:r>
          </w:p>
        </w:tc>
        <w:tc>
          <w:tcPr>
            <w:tcW w:w="760" w:type="dxa"/>
            <w:tcBorders>
              <w:top w:val="nil"/>
              <w:left w:val="nil"/>
              <w:bottom w:val="nil"/>
              <w:right w:val="nil"/>
            </w:tcBorders>
            <w:shd w:val="clear" w:color="auto" w:fill="auto"/>
            <w:noWrap/>
            <w:vAlign w:val="bottom"/>
            <w:hideMark/>
          </w:tcPr>
          <w:p w14:paraId="30D1522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575</w:t>
            </w:r>
          </w:p>
        </w:tc>
        <w:tc>
          <w:tcPr>
            <w:tcW w:w="760" w:type="dxa"/>
            <w:tcBorders>
              <w:top w:val="nil"/>
              <w:left w:val="nil"/>
              <w:bottom w:val="nil"/>
              <w:right w:val="nil"/>
            </w:tcBorders>
            <w:shd w:val="clear" w:color="auto" w:fill="auto"/>
            <w:noWrap/>
            <w:vAlign w:val="bottom"/>
            <w:hideMark/>
          </w:tcPr>
          <w:p w14:paraId="69493DD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-887</w:t>
            </w:r>
          </w:p>
        </w:tc>
        <w:tc>
          <w:tcPr>
            <w:tcW w:w="760" w:type="dxa"/>
            <w:tcBorders>
              <w:top w:val="nil"/>
              <w:left w:val="nil"/>
              <w:bottom w:val="nil"/>
              <w:right w:val="nil"/>
            </w:tcBorders>
            <w:shd w:val="clear" w:color="auto" w:fill="auto"/>
            <w:noWrap/>
            <w:vAlign w:val="bottom"/>
            <w:hideMark/>
          </w:tcPr>
          <w:p w14:paraId="39D555BD"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-343</w:t>
            </w:r>
          </w:p>
        </w:tc>
        <w:tc>
          <w:tcPr>
            <w:tcW w:w="620" w:type="dxa"/>
            <w:tcBorders>
              <w:top w:val="nil"/>
              <w:left w:val="nil"/>
              <w:bottom w:val="nil"/>
              <w:right w:val="nil"/>
            </w:tcBorders>
            <w:shd w:val="clear" w:color="auto" w:fill="auto"/>
            <w:noWrap/>
            <w:vAlign w:val="bottom"/>
            <w:hideMark/>
          </w:tcPr>
          <w:p w14:paraId="48471332"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-320</w:t>
            </w:r>
          </w:p>
        </w:tc>
        <w:tc>
          <w:tcPr>
            <w:tcW w:w="640" w:type="dxa"/>
            <w:tcBorders>
              <w:top w:val="nil"/>
              <w:left w:val="nil"/>
              <w:bottom w:val="nil"/>
              <w:right w:val="nil"/>
            </w:tcBorders>
            <w:shd w:val="clear" w:color="auto" w:fill="auto"/>
            <w:noWrap/>
            <w:vAlign w:val="bottom"/>
            <w:hideMark/>
          </w:tcPr>
          <w:p w14:paraId="69B82F5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-235</w:t>
            </w:r>
          </w:p>
        </w:tc>
        <w:tc>
          <w:tcPr>
            <w:tcW w:w="700" w:type="dxa"/>
            <w:tcBorders>
              <w:top w:val="nil"/>
              <w:left w:val="nil"/>
              <w:bottom w:val="nil"/>
              <w:right w:val="nil"/>
            </w:tcBorders>
            <w:shd w:val="clear" w:color="auto" w:fill="auto"/>
            <w:noWrap/>
            <w:vAlign w:val="bottom"/>
            <w:hideMark/>
          </w:tcPr>
          <w:p w14:paraId="59FD161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-72</w:t>
            </w:r>
          </w:p>
        </w:tc>
        <w:tc>
          <w:tcPr>
            <w:tcW w:w="640" w:type="dxa"/>
            <w:tcBorders>
              <w:top w:val="nil"/>
              <w:left w:val="nil"/>
              <w:bottom w:val="nil"/>
              <w:right w:val="nil"/>
            </w:tcBorders>
            <w:shd w:val="clear" w:color="auto" w:fill="auto"/>
            <w:noWrap/>
            <w:vAlign w:val="bottom"/>
            <w:hideMark/>
          </w:tcPr>
          <w:p w14:paraId="5D444E82"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-103</w:t>
            </w:r>
          </w:p>
        </w:tc>
        <w:tc>
          <w:tcPr>
            <w:tcW w:w="760" w:type="dxa"/>
            <w:tcBorders>
              <w:top w:val="nil"/>
              <w:left w:val="nil"/>
              <w:bottom w:val="nil"/>
              <w:right w:val="nil"/>
            </w:tcBorders>
            <w:shd w:val="clear" w:color="auto" w:fill="auto"/>
            <w:noWrap/>
            <w:vAlign w:val="bottom"/>
            <w:hideMark/>
          </w:tcPr>
          <w:p w14:paraId="2084C43E"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1,960</w:t>
            </w:r>
          </w:p>
        </w:tc>
      </w:tr>
      <w:tr w:rsidR="000A376B" w:rsidRPr="000A376B" w14:paraId="1FCC2B92"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0364657D"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r w:rsidRPr="000A376B">
              <w:rPr>
                <w:rFonts w:eastAsia="Times New Roman" w:cs="Open Sans Light"/>
                <w:color w:val="000000"/>
                <w:sz w:val="16"/>
                <w:szCs w:val="16"/>
                <w:lang w:eastAsia="en-AU"/>
              </w:rPr>
              <w:t>Wage costs</w:t>
            </w:r>
          </w:p>
        </w:tc>
        <w:tc>
          <w:tcPr>
            <w:tcW w:w="700" w:type="dxa"/>
            <w:tcBorders>
              <w:top w:val="single" w:sz="4" w:space="0" w:color="ADD6EA"/>
              <w:left w:val="nil"/>
              <w:bottom w:val="nil"/>
              <w:right w:val="nil"/>
            </w:tcBorders>
            <w:shd w:val="clear" w:color="auto" w:fill="auto"/>
            <w:noWrap/>
            <w:vAlign w:val="bottom"/>
            <w:hideMark/>
          </w:tcPr>
          <w:p w14:paraId="3D961F1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632</w:t>
            </w:r>
          </w:p>
        </w:tc>
        <w:tc>
          <w:tcPr>
            <w:tcW w:w="760" w:type="dxa"/>
            <w:tcBorders>
              <w:top w:val="single" w:sz="4" w:space="0" w:color="ADD6EA"/>
              <w:left w:val="nil"/>
              <w:bottom w:val="nil"/>
              <w:right w:val="nil"/>
            </w:tcBorders>
            <w:shd w:val="clear" w:color="auto" w:fill="auto"/>
            <w:noWrap/>
            <w:vAlign w:val="bottom"/>
            <w:hideMark/>
          </w:tcPr>
          <w:p w14:paraId="43327A8F"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-345</w:t>
            </w:r>
          </w:p>
        </w:tc>
        <w:tc>
          <w:tcPr>
            <w:tcW w:w="760" w:type="dxa"/>
            <w:tcBorders>
              <w:top w:val="single" w:sz="4" w:space="0" w:color="ADD6EA"/>
              <w:left w:val="nil"/>
              <w:bottom w:val="nil"/>
              <w:right w:val="nil"/>
            </w:tcBorders>
            <w:shd w:val="clear" w:color="auto" w:fill="auto"/>
            <w:noWrap/>
            <w:vAlign w:val="bottom"/>
            <w:hideMark/>
          </w:tcPr>
          <w:p w14:paraId="0294A05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-583</w:t>
            </w:r>
          </w:p>
        </w:tc>
        <w:tc>
          <w:tcPr>
            <w:tcW w:w="760" w:type="dxa"/>
            <w:tcBorders>
              <w:top w:val="single" w:sz="4" w:space="0" w:color="ADD6EA"/>
              <w:left w:val="nil"/>
              <w:bottom w:val="nil"/>
              <w:right w:val="nil"/>
            </w:tcBorders>
            <w:shd w:val="clear" w:color="auto" w:fill="auto"/>
            <w:noWrap/>
            <w:vAlign w:val="bottom"/>
            <w:hideMark/>
          </w:tcPr>
          <w:p w14:paraId="1AD6C0CE"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712</w:t>
            </w:r>
          </w:p>
        </w:tc>
        <w:tc>
          <w:tcPr>
            <w:tcW w:w="620" w:type="dxa"/>
            <w:tcBorders>
              <w:top w:val="single" w:sz="4" w:space="0" w:color="ADD6EA"/>
              <w:left w:val="nil"/>
              <w:bottom w:val="nil"/>
              <w:right w:val="nil"/>
            </w:tcBorders>
            <w:shd w:val="clear" w:color="auto" w:fill="auto"/>
            <w:noWrap/>
            <w:vAlign w:val="bottom"/>
            <w:hideMark/>
          </w:tcPr>
          <w:p w14:paraId="3BAF6AF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-422</w:t>
            </w:r>
          </w:p>
        </w:tc>
        <w:tc>
          <w:tcPr>
            <w:tcW w:w="640" w:type="dxa"/>
            <w:tcBorders>
              <w:top w:val="single" w:sz="4" w:space="0" w:color="ADD6EA"/>
              <w:left w:val="nil"/>
              <w:bottom w:val="nil"/>
              <w:right w:val="nil"/>
            </w:tcBorders>
            <w:shd w:val="clear" w:color="auto" w:fill="auto"/>
            <w:noWrap/>
            <w:vAlign w:val="bottom"/>
            <w:hideMark/>
          </w:tcPr>
          <w:p w14:paraId="53A7653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-193</w:t>
            </w:r>
          </w:p>
        </w:tc>
        <w:tc>
          <w:tcPr>
            <w:tcW w:w="700" w:type="dxa"/>
            <w:tcBorders>
              <w:top w:val="single" w:sz="4" w:space="0" w:color="ADD6EA"/>
              <w:left w:val="nil"/>
              <w:bottom w:val="nil"/>
              <w:right w:val="nil"/>
            </w:tcBorders>
            <w:shd w:val="clear" w:color="auto" w:fill="auto"/>
            <w:noWrap/>
            <w:vAlign w:val="bottom"/>
            <w:hideMark/>
          </w:tcPr>
          <w:p w14:paraId="57E1CC03"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118</w:t>
            </w:r>
          </w:p>
        </w:tc>
        <w:tc>
          <w:tcPr>
            <w:tcW w:w="640" w:type="dxa"/>
            <w:tcBorders>
              <w:top w:val="single" w:sz="4" w:space="0" w:color="ADD6EA"/>
              <w:left w:val="nil"/>
              <w:bottom w:val="nil"/>
              <w:right w:val="nil"/>
            </w:tcBorders>
            <w:shd w:val="clear" w:color="auto" w:fill="auto"/>
            <w:noWrap/>
            <w:vAlign w:val="bottom"/>
            <w:hideMark/>
          </w:tcPr>
          <w:p w14:paraId="0C5C664F"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81</w:t>
            </w:r>
          </w:p>
        </w:tc>
        <w:tc>
          <w:tcPr>
            <w:tcW w:w="760" w:type="dxa"/>
            <w:tcBorders>
              <w:top w:val="single" w:sz="4" w:space="0" w:color="ADD6EA"/>
              <w:left w:val="nil"/>
              <w:bottom w:val="nil"/>
              <w:right w:val="nil"/>
            </w:tcBorders>
            <w:shd w:val="clear" w:color="auto" w:fill="auto"/>
            <w:noWrap/>
            <w:vAlign w:val="bottom"/>
            <w:hideMark/>
          </w:tcPr>
          <w:p w14:paraId="4FCDA8A9"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1,543</w:t>
            </w:r>
          </w:p>
        </w:tc>
      </w:tr>
      <w:tr w:rsidR="000A376B" w:rsidRPr="000A376B" w14:paraId="1CAFFF19"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76B04126"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r w:rsidRPr="000A376B">
              <w:rPr>
                <w:rFonts w:eastAsia="Times New Roman" w:cs="Open Sans Light"/>
                <w:color w:val="000000"/>
                <w:sz w:val="16"/>
                <w:szCs w:val="16"/>
                <w:lang w:eastAsia="en-AU"/>
              </w:rPr>
              <w:t>Administrative scale</w:t>
            </w:r>
          </w:p>
        </w:tc>
        <w:tc>
          <w:tcPr>
            <w:tcW w:w="700" w:type="dxa"/>
            <w:tcBorders>
              <w:top w:val="single" w:sz="4" w:space="0" w:color="ADD6EA"/>
              <w:left w:val="nil"/>
              <w:bottom w:val="nil"/>
              <w:right w:val="nil"/>
            </w:tcBorders>
            <w:shd w:val="clear" w:color="auto" w:fill="auto"/>
            <w:noWrap/>
            <w:vAlign w:val="bottom"/>
            <w:hideMark/>
          </w:tcPr>
          <w:p w14:paraId="62C0491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-663</w:t>
            </w:r>
          </w:p>
        </w:tc>
        <w:tc>
          <w:tcPr>
            <w:tcW w:w="760" w:type="dxa"/>
            <w:tcBorders>
              <w:top w:val="single" w:sz="4" w:space="0" w:color="ADD6EA"/>
              <w:left w:val="nil"/>
              <w:bottom w:val="nil"/>
              <w:right w:val="nil"/>
            </w:tcBorders>
            <w:shd w:val="clear" w:color="auto" w:fill="auto"/>
            <w:noWrap/>
            <w:vAlign w:val="bottom"/>
            <w:hideMark/>
          </w:tcPr>
          <w:p w14:paraId="05C0BB9E"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-463</w:t>
            </w:r>
          </w:p>
        </w:tc>
        <w:tc>
          <w:tcPr>
            <w:tcW w:w="760" w:type="dxa"/>
            <w:tcBorders>
              <w:top w:val="single" w:sz="4" w:space="0" w:color="ADD6EA"/>
              <w:left w:val="nil"/>
              <w:bottom w:val="nil"/>
              <w:right w:val="nil"/>
            </w:tcBorders>
            <w:shd w:val="clear" w:color="auto" w:fill="auto"/>
            <w:noWrap/>
            <w:vAlign w:val="bottom"/>
            <w:hideMark/>
          </w:tcPr>
          <w:p w14:paraId="4DEA6215"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-268</w:t>
            </w:r>
          </w:p>
        </w:tc>
        <w:tc>
          <w:tcPr>
            <w:tcW w:w="760" w:type="dxa"/>
            <w:tcBorders>
              <w:top w:val="single" w:sz="4" w:space="0" w:color="ADD6EA"/>
              <w:left w:val="nil"/>
              <w:bottom w:val="nil"/>
              <w:right w:val="nil"/>
            </w:tcBorders>
            <w:shd w:val="clear" w:color="auto" w:fill="auto"/>
            <w:noWrap/>
            <w:vAlign w:val="bottom"/>
            <w:hideMark/>
          </w:tcPr>
          <w:p w14:paraId="33C1969F"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75</w:t>
            </w:r>
          </w:p>
        </w:tc>
        <w:tc>
          <w:tcPr>
            <w:tcW w:w="620" w:type="dxa"/>
            <w:tcBorders>
              <w:top w:val="single" w:sz="4" w:space="0" w:color="ADD6EA"/>
              <w:left w:val="nil"/>
              <w:bottom w:val="nil"/>
              <w:right w:val="nil"/>
            </w:tcBorders>
            <w:shd w:val="clear" w:color="auto" w:fill="auto"/>
            <w:noWrap/>
            <w:vAlign w:val="bottom"/>
            <w:hideMark/>
          </w:tcPr>
          <w:p w14:paraId="24BC272F"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194</w:t>
            </w:r>
          </w:p>
        </w:tc>
        <w:tc>
          <w:tcPr>
            <w:tcW w:w="640" w:type="dxa"/>
            <w:tcBorders>
              <w:top w:val="single" w:sz="4" w:space="0" w:color="ADD6EA"/>
              <w:left w:val="nil"/>
              <w:bottom w:val="nil"/>
              <w:right w:val="nil"/>
            </w:tcBorders>
            <w:shd w:val="clear" w:color="auto" w:fill="auto"/>
            <w:noWrap/>
            <w:vAlign w:val="bottom"/>
            <w:hideMark/>
          </w:tcPr>
          <w:p w14:paraId="6137EC3F"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361</w:t>
            </w:r>
          </w:p>
        </w:tc>
        <w:tc>
          <w:tcPr>
            <w:tcW w:w="700" w:type="dxa"/>
            <w:tcBorders>
              <w:top w:val="single" w:sz="4" w:space="0" w:color="ADD6EA"/>
              <w:left w:val="nil"/>
              <w:bottom w:val="nil"/>
              <w:right w:val="nil"/>
            </w:tcBorders>
            <w:shd w:val="clear" w:color="auto" w:fill="auto"/>
            <w:noWrap/>
            <w:vAlign w:val="bottom"/>
            <w:hideMark/>
          </w:tcPr>
          <w:p w14:paraId="396F133D"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362</w:t>
            </w:r>
          </w:p>
        </w:tc>
        <w:tc>
          <w:tcPr>
            <w:tcW w:w="640" w:type="dxa"/>
            <w:tcBorders>
              <w:top w:val="single" w:sz="4" w:space="0" w:color="ADD6EA"/>
              <w:left w:val="nil"/>
              <w:bottom w:val="nil"/>
              <w:right w:val="nil"/>
            </w:tcBorders>
            <w:shd w:val="clear" w:color="auto" w:fill="auto"/>
            <w:noWrap/>
            <w:vAlign w:val="bottom"/>
            <w:hideMark/>
          </w:tcPr>
          <w:p w14:paraId="7541E9A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403</w:t>
            </w:r>
          </w:p>
        </w:tc>
        <w:tc>
          <w:tcPr>
            <w:tcW w:w="760" w:type="dxa"/>
            <w:tcBorders>
              <w:top w:val="single" w:sz="4" w:space="0" w:color="ADD6EA"/>
              <w:left w:val="nil"/>
              <w:bottom w:val="nil"/>
              <w:right w:val="nil"/>
            </w:tcBorders>
            <w:shd w:val="clear" w:color="auto" w:fill="auto"/>
            <w:noWrap/>
            <w:vAlign w:val="bottom"/>
            <w:hideMark/>
          </w:tcPr>
          <w:p w14:paraId="7CAD3AA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1,395</w:t>
            </w:r>
          </w:p>
        </w:tc>
      </w:tr>
      <w:tr w:rsidR="000A376B" w:rsidRPr="000A376B" w14:paraId="74A98D9A"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26DA2140"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r w:rsidRPr="000A376B">
              <w:rPr>
                <w:rFonts w:eastAsia="Times New Roman" w:cs="Open Sans Light"/>
                <w:color w:val="000000"/>
                <w:sz w:val="16"/>
                <w:szCs w:val="16"/>
                <w:lang w:eastAsia="en-AU"/>
              </w:rPr>
              <w:t>Student populations</w:t>
            </w:r>
          </w:p>
        </w:tc>
        <w:tc>
          <w:tcPr>
            <w:tcW w:w="700" w:type="dxa"/>
            <w:tcBorders>
              <w:top w:val="single" w:sz="4" w:space="0" w:color="ADD6EA"/>
              <w:left w:val="nil"/>
              <w:bottom w:val="nil"/>
              <w:right w:val="nil"/>
            </w:tcBorders>
            <w:shd w:val="clear" w:color="auto" w:fill="auto"/>
            <w:noWrap/>
            <w:vAlign w:val="bottom"/>
            <w:hideMark/>
          </w:tcPr>
          <w:p w14:paraId="193A4C73"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-237</w:t>
            </w:r>
          </w:p>
        </w:tc>
        <w:tc>
          <w:tcPr>
            <w:tcW w:w="760" w:type="dxa"/>
            <w:tcBorders>
              <w:top w:val="single" w:sz="4" w:space="0" w:color="ADD6EA"/>
              <w:left w:val="nil"/>
              <w:bottom w:val="nil"/>
              <w:right w:val="nil"/>
            </w:tcBorders>
            <w:shd w:val="clear" w:color="auto" w:fill="auto"/>
            <w:noWrap/>
            <w:vAlign w:val="bottom"/>
            <w:hideMark/>
          </w:tcPr>
          <w:p w14:paraId="6C939418"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-425</w:t>
            </w:r>
          </w:p>
        </w:tc>
        <w:tc>
          <w:tcPr>
            <w:tcW w:w="760" w:type="dxa"/>
            <w:tcBorders>
              <w:top w:val="single" w:sz="4" w:space="0" w:color="ADD6EA"/>
              <w:left w:val="nil"/>
              <w:bottom w:val="nil"/>
              <w:right w:val="nil"/>
            </w:tcBorders>
            <w:shd w:val="clear" w:color="auto" w:fill="auto"/>
            <w:noWrap/>
            <w:vAlign w:val="bottom"/>
            <w:hideMark/>
          </w:tcPr>
          <w:p w14:paraId="74A53F0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439</w:t>
            </w:r>
          </w:p>
        </w:tc>
        <w:tc>
          <w:tcPr>
            <w:tcW w:w="760" w:type="dxa"/>
            <w:tcBorders>
              <w:top w:val="single" w:sz="4" w:space="0" w:color="ADD6EA"/>
              <w:left w:val="nil"/>
              <w:bottom w:val="nil"/>
              <w:right w:val="nil"/>
            </w:tcBorders>
            <w:shd w:val="clear" w:color="auto" w:fill="auto"/>
            <w:noWrap/>
            <w:vAlign w:val="bottom"/>
            <w:hideMark/>
          </w:tcPr>
          <w:p w14:paraId="026FAF03"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170</w:t>
            </w:r>
          </w:p>
        </w:tc>
        <w:tc>
          <w:tcPr>
            <w:tcW w:w="620" w:type="dxa"/>
            <w:tcBorders>
              <w:top w:val="single" w:sz="4" w:space="0" w:color="ADD6EA"/>
              <w:left w:val="nil"/>
              <w:bottom w:val="nil"/>
              <w:right w:val="nil"/>
            </w:tcBorders>
            <w:shd w:val="clear" w:color="auto" w:fill="auto"/>
            <w:noWrap/>
            <w:vAlign w:val="bottom"/>
            <w:hideMark/>
          </w:tcPr>
          <w:p w14:paraId="1199B3E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-29</w:t>
            </w:r>
          </w:p>
        </w:tc>
        <w:tc>
          <w:tcPr>
            <w:tcW w:w="640" w:type="dxa"/>
            <w:tcBorders>
              <w:top w:val="single" w:sz="4" w:space="0" w:color="ADD6EA"/>
              <w:left w:val="nil"/>
              <w:bottom w:val="nil"/>
              <w:right w:val="nil"/>
            </w:tcBorders>
            <w:shd w:val="clear" w:color="auto" w:fill="auto"/>
            <w:noWrap/>
            <w:vAlign w:val="bottom"/>
            <w:hideMark/>
          </w:tcPr>
          <w:p w14:paraId="50964B2E"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11</w:t>
            </w:r>
          </w:p>
        </w:tc>
        <w:tc>
          <w:tcPr>
            <w:tcW w:w="700" w:type="dxa"/>
            <w:tcBorders>
              <w:top w:val="single" w:sz="4" w:space="0" w:color="ADD6EA"/>
              <w:left w:val="nil"/>
              <w:bottom w:val="nil"/>
              <w:right w:val="nil"/>
            </w:tcBorders>
            <w:shd w:val="clear" w:color="auto" w:fill="auto"/>
            <w:noWrap/>
            <w:vAlign w:val="bottom"/>
            <w:hideMark/>
          </w:tcPr>
          <w:p w14:paraId="30CEF409"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25</w:t>
            </w:r>
          </w:p>
        </w:tc>
        <w:tc>
          <w:tcPr>
            <w:tcW w:w="640" w:type="dxa"/>
            <w:tcBorders>
              <w:top w:val="single" w:sz="4" w:space="0" w:color="ADD6EA"/>
              <w:left w:val="nil"/>
              <w:bottom w:val="nil"/>
              <w:right w:val="nil"/>
            </w:tcBorders>
            <w:shd w:val="clear" w:color="auto" w:fill="auto"/>
            <w:noWrap/>
            <w:vAlign w:val="bottom"/>
            <w:hideMark/>
          </w:tcPr>
          <w:p w14:paraId="0E74CC52"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45</w:t>
            </w:r>
          </w:p>
        </w:tc>
        <w:tc>
          <w:tcPr>
            <w:tcW w:w="760" w:type="dxa"/>
            <w:tcBorders>
              <w:top w:val="single" w:sz="4" w:space="0" w:color="ADD6EA"/>
              <w:left w:val="nil"/>
              <w:bottom w:val="nil"/>
              <w:right w:val="nil"/>
            </w:tcBorders>
            <w:shd w:val="clear" w:color="auto" w:fill="auto"/>
            <w:noWrap/>
            <w:vAlign w:val="bottom"/>
            <w:hideMark/>
          </w:tcPr>
          <w:p w14:paraId="31CF3178"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691</w:t>
            </w:r>
          </w:p>
        </w:tc>
      </w:tr>
      <w:tr w:rsidR="000A376B" w:rsidRPr="000A376B" w14:paraId="2B78CC45"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27AA31F3"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r w:rsidRPr="000A376B">
              <w:rPr>
                <w:rFonts w:eastAsia="Times New Roman" w:cs="Open Sans Light"/>
                <w:color w:val="000000"/>
                <w:sz w:val="16"/>
                <w:szCs w:val="16"/>
                <w:lang w:eastAsia="en-AU"/>
              </w:rPr>
              <w:t>Non-state health sector</w:t>
            </w:r>
          </w:p>
        </w:tc>
        <w:tc>
          <w:tcPr>
            <w:tcW w:w="700" w:type="dxa"/>
            <w:tcBorders>
              <w:top w:val="single" w:sz="4" w:space="0" w:color="ADD6EA"/>
              <w:left w:val="nil"/>
              <w:bottom w:val="nil"/>
              <w:right w:val="nil"/>
            </w:tcBorders>
            <w:shd w:val="clear" w:color="auto" w:fill="auto"/>
            <w:noWrap/>
            <w:vAlign w:val="bottom"/>
            <w:hideMark/>
          </w:tcPr>
          <w:p w14:paraId="474B0B6C"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-190</w:t>
            </w:r>
          </w:p>
        </w:tc>
        <w:tc>
          <w:tcPr>
            <w:tcW w:w="760" w:type="dxa"/>
            <w:tcBorders>
              <w:top w:val="single" w:sz="4" w:space="0" w:color="ADD6EA"/>
              <w:left w:val="nil"/>
              <w:bottom w:val="nil"/>
              <w:right w:val="nil"/>
            </w:tcBorders>
            <w:shd w:val="clear" w:color="auto" w:fill="auto"/>
            <w:noWrap/>
            <w:vAlign w:val="bottom"/>
            <w:hideMark/>
          </w:tcPr>
          <w:p w14:paraId="2502076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172</w:t>
            </w:r>
          </w:p>
        </w:tc>
        <w:tc>
          <w:tcPr>
            <w:tcW w:w="760" w:type="dxa"/>
            <w:tcBorders>
              <w:top w:val="single" w:sz="4" w:space="0" w:color="ADD6EA"/>
              <w:left w:val="nil"/>
              <w:bottom w:val="nil"/>
              <w:right w:val="nil"/>
            </w:tcBorders>
            <w:shd w:val="clear" w:color="auto" w:fill="auto"/>
            <w:noWrap/>
            <w:vAlign w:val="bottom"/>
            <w:hideMark/>
          </w:tcPr>
          <w:p w14:paraId="59E2B3BD"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-213</w:t>
            </w:r>
          </w:p>
        </w:tc>
        <w:tc>
          <w:tcPr>
            <w:tcW w:w="760" w:type="dxa"/>
            <w:tcBorders>
              <w:top w:val="single" w:sz="4" w:space="0" w:color="ADD6EA"/>
              <w:left w:val="nil"/>
              <w:bottom w:val="nil"/>
              <w:right w:val="nil"/>
            </w:tcBorders>
            <w:shd w:val="clear" w:color="auto" w:fill="auto"/>
            <w:noWrap/>
            <w:vAlign w:val="bottom"/>
            <w:hideMark/>
          </w:tcPr>
          <w:p w14:paraId="691631C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181</w:t>
            </w:r>
          </w:p>
        </w:tc>
        <w:tc>
          <w:tcPr>
            <w:tcW w:w="620" w:type="dxa"/>
            <w:tcBorders>
              <w:top w:val="single" w:sz="4" w:space="0" w:color="ADD6EA"/>
              <w:left w:val="nil"/>
              <w:bottom w:val="nil"/>
              <w:right w:val="nil"/>
            </w:tcBorders>
            <w:shd w:val="clear" w:color="auto" w:fill="auto"/>
            <w:noWrap/>
            <w:vAlign w:val="bottom"/>
            <w:hideMark/>
          </w:tcPr>
          <w:p w14:paraId="13806A2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w:t>
            </w:r>
          </w:p>
        </w:tc>
        <w:tc>
          <w:tcPr>
            <w:tcW w:w="640" w:type="dxa"/>
            <w:tcBorders>
              <w:top w:val="single" w:sz="4" w:space="0" w:color="ADD6EA"/>
              <w:left w:val="nil"/>
              <w:bottom w:val="nil"/>
              <w:right w:val="nil"/>
            </w:tcBorders>
            <w:shd w:val="clear" w:color="auto" w:fill="auto"/>
            <w:noWrap/>
            <w:vAlign w:val="bottom"/>
            <w:hideMark/>
          </w:tcPr>
          <w:p w14:paraId="4074F8E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18</w:t>
            </w:r>
          </w:p>
        </w:tc>
        <w:tc>
          <w:tcPr>
            <w:tcW w:w="700" w:type="dxa"/>
            <w:tcBorders>
              <w:top w:val="single" w:sz="4" w:space="0" w:color="ADD6EA"/>
              <w:left w:val="nil"/>
              <w:bottom w:val="nil"/>
              <w:right w:val="nil"/>
            </w:tcBorders>
            <w:shd w:val="clear" w:color="auto" w:fill="auto"/>
            <w:noWrap/>
            <w:vAlign w:val="bottom"/>
            <w:hideMark/>
          </w:tcPr>
          <w:p w14:paraId="627D086F"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98</w:t>
            </w:r>
          </w:p>
        </w:tc>
        <w:tc>
          <w:tcPr>
            <w:tcW w:w="640" w:type="dxa"/>
            <w:tcBorders>
              <w:top w:val="single" w:sz="4" w:space="0" w:color="ADD6EA"/>
              <w:left w:val="nil"/>
              <w:bottom w:val="nil"/>
              <w:right w:val="nil"/>
            </w:tcBorders>
            <w:shd w:val="clear" w:color="auto" w:fill="auto"/>
            <w:noWrap/>
            <w:vAlign w:val="bottom"/>
            <w:hideMark/>
          </w:tcPr>
          <w:p w14:paraId="71B980B5"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-62</w:t>
            </w:r>
          </w:p>
        </w:tc>
        <w:tc>
          <w:tcPr>
            <w:tcW w:w="760" w:type="dxa"/>
            <w:tcBorders>
              <w:top w:val="single" w:sz="4" w:space="0" w:color="ADD6EA"/>
              <w:left w:val="nil"/>
              <w:bottom w:val="nil"/>
              <w:right w:val="nil"/>
            </w:tcBorders>
            <w:shd w:val="clear" w:color="auto" w:fill="auto"/>
            <w:noWrap/>
            <w:vAlign w:val="bottom"/>
            <w:hideMark/>
          </w:tcPr>
          <w:p w14:paraId="748B9FA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469</w:t>
            </w:r>
          </w:p>
        </w:tc>
      </w:tr>
      <w:tr w:rsidR="000A376B" w:rsidRPr="000A376B" w14:paraId="2C4120E4"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54413D9F"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r w:rsidRPr="000A376B">
              <w:rPr>
                <w:rFonts w:eastAsia="Times New Roman" w:cs="Open Sans Light"/>
                <w:color w:val="000000"/>
                <w:sz w:val="16"/>
                <w:szCs w:val="16"/>
                <w:lang w:eastAsia="en-AU"/>
              </w:rPr>
              <w:t>Other expenses</w:t>
            </w:r>
          </w:p>
        </w:tc>
        <w:tc>
          <w:tcPr>
            <w:tcW w:w="700" w:type="dxa"/>
            <w:tcBorders>
              <w:top w:val="single" w:sz="4" w:space="0" w:color="ADD6EA"/>
              <w:left w:val="nil"/>
              <w:bottom w:val="nil"/>
              <w:right w:val="nil"/>
            </w:tcBorders>
            <w:shd w:val="clear" w:color="auto" w:fill="auto"/>
            <w:noWrap/>
            <w:vAlign w:val="bottom"/>
            <w:hideMark/>
          </w:tcPr>
          <w:p w14:paraId="65E5CC55"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-495</w:t>
            </w:r>
          </w:p>
        </w:tc>
        <w:tc>
          <w:tcPr>
            <w:tcW w:w="760" w:type="dxa"/>
            <w:tcBorders>
              <w:top w:val="single" w:sz="4" w:space="0" w:color="ADD6EA"/>
              <w:left w:val="nil"/>
              <w:bottom w:val="nil"/>
              <w:right w:val="nil"/>
            </w:tcBorders>
            <w:shd w:val="clear" w:color="auto" w:fill="auto"/>
            <w:noWrap/>
            <w:vAlign w:val="bottom"/>
            <w:hideMark/>
          </w:tcPr>
          <w:p w14:paraId="3BDCD55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-808</w:t>
            </w:r>
          </w:p>
        </w:tc>
        <w:tc>
          <w:tcPr>
            <w:tcW w:w="760" w:type="dxa"/>
            <w:tcBorders>
              <w:top w:val="single" w:sz="4" w:space="0" w:color="ADD6EA"/>
              <w:left w:val="nil"/>
              <w:bottom w:val="nil"/>
              <w:right w:val="nil"/>
            </w:tcBorders>
            <w:shd w:val="clear" w:color="auto" w:fill="auto"/>
            <w:noWrap/>
            <w:vAlign w:val="bottom"/>
            <w:hideMark/>
          </w:tcPr>
          <w:p w14:paraId="21F112C5"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407</w:t>
            </w:r>
          </w:p>
        </w:tc>
        <w:tc>
          <w:tcPr>
            <w:tcW w:w="760" w:type="dxa"/>
            <w:tcBorders>
              <w:top w:val="single" w:sz="4" w:space="0" w:color="ADD6EA"/>
              <w:left w:val="nil"/>
              <w:bottom w:val="nil"/>
              <w:right w:val="nil"/>
            </w:tcBorders>
            <w:shd w:val="clear" w:color="auto" w:fill="auto"/>
            <w:noWrap/>
            <w:vAlign w:val="bottom"/>
            <w:hideMark/>
          </w:tcPr>
          <w:p w14:paraId="3869D0D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640</w:t>
            </w:r>
          </w:p>
        </w:tc>
        <w:tc>
          <w:tcPr>
            <w:tcW w:w="620" w:type="dxa"/>
            <w:tcBorders>
              <w:top w:val="single" w:sz="4" w:space="0" w:color="ADD6EA"/>
              <w:left w:val="nil"/>
              <w:bottom w:val="nil"/>
              <w:right w:val="nil"/>
            </w:tcBorders>
            <w:shd w:val="clear" w:color="auto" w:fill="auto"/>
            <w:noWrap/>
            <w:vAlign w:val="bottom"/>
            <w:hideMark/>
          </w:tcPr>
          <w:p w14:paraId="4E7D36DF"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111</w:t>
            </w:r>
          </w:p>
        </w:tc>
        <w:tc>
          <w:tcPr>
            <w:tcW w:w="640" w:type="dxa"/>
            <w:tcBorders>
              <w:top w:val="single" w:sz="4" w:space="0" w:color="ADD6EA"/>
              <w:left w:val="nil"/>
              <w:bottom w:val="nil"/>
              <w:right w:val="nil"/>
            </w:tcBorders>
            <w:shd w:val="clear" w:color="auto" w:fill="auto"/>
            <w:noWrap/>
            <w:vAlign w:val="bottom"/>
            <w:hideMark/>
          </w:tcPr>
          <w:p w14:paraId="34AEEB65"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89</w:t>
            </w:r>
          </w:p>
        </w:tc>
        <w:tc>
          <w:tcPr>
            <w:tcW w:w="700" w:type="dxa"/>
            <w:tcBorders>
              <w:top w:val="single" w:sz="4" w:space="0" w:color="ADD6EA"/>
              <w:left w:val="nil"/>
              <w:bottom w:val="nil"/>
              <w:right w:val="nil"/>
            </w:tcBorders>
            <w:shd w:val="clear" w:color="auto" w:fill="auto"/>
            <w:noWrap/>
            <w:vAlign w:val="bottom"/>
            <w:hideMark/>
          </w:tcPr>
          <w:p w14:paraId="3589482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-98</w:t>
            </w:r>
          </w:p>
        </w:tc>
        <w:tc>
          <w:tcPr>
            <w:tcW w:w="640" w:type="dxa"/>
            <w:tcBorders>
              <w:top w:val="single" w:sz="4" w:space="0" w:color="ADD6EA"/>
              <w:left w:val="nil"/>
              <w:bottom w:val="nil"/>
              <w:right w:val="nil"/>
            </w:tcBorders>
            <w:shd w:val="clear" w:color="auto" w:fill="auto"/>
            <w:noWrap/>
            <w:vAlign w:val="bottom"/>
            <w:hideMark/>
          </w:tcPr>
          <w:p w14:paraId="6EA0C392"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153</w:t>
            </w:r>
          </w:p>
        </w:tc>
        <w:tc>
          <w:tcPr>
            <w:tcW w:w="760" w:type="dxa"/>
            <w:tcBorders>
              <w:top w:val="single" w:sz="4" w:space="0" w:color="ADD6EA"/>
              <w:left w:val="nil"/>
              <w:bottom w:val="nil"/>
              <w:right w:val="nil"/>
            </w:tcBorders>
            <w:shd w:val="clear" w:color="auto" w:fill="auto"/>
            <w:noWrap/>
            <w:vAlign w:val="bottom"/>
            <w:hideMark/>
          </w:tcPr>
          <w:p w14:paraId="287BB0FA"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1,401</w:t>
            </w:r>
          </w:p>
        </w:tc>
      </w:tr>
      <w:tr w:rsidR="000A376B" w:rsidRPr="000A376B" w14:paraId="2395889D" w14:textId="77777777" w:rsidTr="000A376B">
        <w:trPr>
          <w:trHeight w:val="315"/>
        </w:trPr>
        <w:tc>
          <w:tcPr>
            <w:tcW w:w="2620" w:type="dxa"/>
            <w:tcBorders>
              <w:top w:val="single" w:sz="4" w:space="0" w:color="ADD6EA"/>
              <w:left w:val="nil"/>
              <w:bottom w:val="single" w:sz="4" w:space="0" w:color="ADD6EA"/>
              <w:right w:val="nil"/>
            </w:tcBorders>
            <w:shd w:val="clear" w:color="000000" w:fill="D6E7F0"/>
            <w:noWrap/>
            <w:vAlign w:val="bottom"/>
            <w:hideMark/>
          </w:tcPr>
          <w:p w14:paraId="59979BE6" w14:textId="77777777" w:rsidR="000A376B" w:rsidRPr="000A376B" w:rsidRDefault="000A376B" w:rsidP="000A376B">
            <w:pPr>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TOTAL EXPENSES</w:t>
            </w:r>
          </w:p>
        </w:tc>
        <w:tc>
          <w:tcPr>
            <w:tcW w:w="700" w:type="dxa"/>
            <w:tcBorders>
              <w:top w:val="single" w:sz="4" w:space="0" w:color="ADD6EA"/>
              <w:left w:val="nil"/>
              <w:bottom w:val="single" w:sz="4" w:space="0" w:color="ADD6EA"/>
              <w:right w:val="nil"/>
            </w:tcBorders>
            <w:shd w:val="clear" w:color="000000" w:fill="D6E7F0"/>
            <w:noWrap/>
            <w:vAlign w:val="bottom"/>
            <w:hideMark/>
          </w:tcPr>
          <w:p w14:paraId="2844B4ED"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-1,128</w:t>
            </w:r>
          </w:p>
        </w:tc>
        <w:tc>
          <w:tcPr>
            <w:tcW w:w="760" w:type="dxa"/>
            <w:tcBorders>
              <w:top w:val="single" w:sz="4" w:space="0" w:color="ADD6EA"/>
              <w:left w:val="nil"/>
              <w:bottom w:val="single" w:sz="4" w:space="0" w:color="ADD6EA"/>
              <w:right w:val="nil"/>
            </w:tcBorders>
            <w:shd w:val="clear" w:color="000000" w:fill="D6E7F0"/>
            <w:noWrap/>
            <w:vAlign w:val="bottom"/>
            <w:hideMark/>
          </w:tcPr>
          <w:p w14:paraId="6EDDB0ED"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-5,803</w:t>
            </w:r>
          </w:p>
        </w:tc>
        <w:tc>
          <w:tcPr>
            <w:tcW w:w="760" w:type="dxa"/>
            <w:tcBorders>
              <w:top w:val="single" w:sz="4" w:space="0" w:color="ADD6EA"/>
              <w:left w:val="nil"/>
              <w:bottom w:val="single" w:sz="4" w:space="0" w:color="ADD6EA"/>
              <w:right w:val="nil"/>
            </w:tcBorders>
            <w:shd w:val="clear" w:color="000000" w:fill="D6E7F0"/>
            <w:noWrap/>
            <w:vAlign w:val="bottom"/>
            <w:hideMark/>
          </w:tcPr>
          <w:p w14:paraId="49D96337"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1,166</w:t>
            </w:r>
          </w:p>
        </w:tc>
        <w:tc>
          <w:tcPr>
            <w:tcW w:w="760" w:type="dxa"/>
            <w:tcBorders>
              <w:top w:val="single" w:sz="4" w:space="0" w:color="ADD6EA"/>
              <w:left w:val="nil"/>
              <w:bottom w:val="single" w:sz="4" w:space="0" w:color="ADD6EA"/>
              <w:right w:val="nil"/>
            </w:tcBorders>
            <w:shd w:val="clear" w:color="000000" w:fill="D6E7F0"/>
            <w:noWrap/>
            <w:vAlign w:val="bottom"/>
            <w:hideMark/>
          </w:tcPr>
          <w:p w14:paraId="33C01D35"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2,111</w:t>
            </w:r>
          </w:p>
        </w:tc>
        <w:tc>
          <w:tcPr>
            <w:tcW w:w="620" w:type="dxa"/>
            <w:tcBorders>
              <w:top w:val="single" w:sz="4" w:space="0" w:color="ADD6EA"/>
              <w:left w:val="nil"/>
              <w:bottom w:val="single" w:sz="4" w:space="0" w:color="ADD6EA"/>
              <w:right w:val="nil"/>
            </w:tcBorders>
            <w:shd w:val="clear" w:color="000000" w:fill="D6E7F0"/>
            <w:noWrap/>
            <w:vAlign w:val="bottom"/>
            <w:hideMark/>
          </w:tcPr>
          <w:p w14:paraId="6C2D4721"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153</w:t>
            </w:r>
          </w:p>
        </w:tc>
        <w:tc>
          <w:tcPr>
            <w:tcW w:w="640" w:type="dxa"/>
            <w:tcBorders>
              <w:top w:val="single" w:sz="4" w:space="0" w:color="ADD6EA"/>
              <w:left w:val="nil"/>
              <w:bottom w:val="single" w:sz="4" w:space="0" w:color="ADD6EA"/>
              <w:right w:val="nil"/>
            </w:tcBorders>
            <w:shd w:val="clear" w:color="000000" w:fill="D6E7F0"/>
            <w:noWrap/>
            <w:vAlign w:val="bottom"/>
            <w:hideMark/>
          </w:tcPr>
          <w:p w14:paraId="200EA4C4"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917</w:t>
            </w:r>
          </w:p>
        </w:tc>
        <w:tc>
          <w:tcPr>
            <w:tcW w:w="700" w:type="dxa"/>
            <w:tcBorders>
              <w:top w:val="single" w:sz="4" w:space="0" w:color="ADD6EA"/>
              <w:left w:val="nil"/>
              <w:bottom w:val="single" w:sz="4" w:space="0" w:color="ADD6EA"/>
              <w:right w:val="nil"/>
            </w:tcBorders>
            <w:shd w:val="clear" w:color="000000" w:fill="D6E7F0"/>
            <w:noWrap/>
            <w:vAlign w:val="bottom"/>
            <w:hideMark/>
          </w:tcPr>
          <w:p w14:paraId="6CD3BCB5"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-261</w:t>
            </w:r>
          </w:p>
        </w:tc>
        <w:tc>
          <w:tcPr>
            <w:tcW w:w="640" w:type="dxa"/>
            <w:tcBorders>
              <w:top w:val="single" w:sz="4" w:space="0" w:color="ADD6EA"/>
              <w:left w:val="nil"/>
              <w:bottom w:val="single" w:sz="4" w:space="0" w:color="ADD6EA"/>
              <w:right w:val="nil"/>
            </w:tcBorders>
            <w:shd w:val="clear" w:color="000000" w:fill="D6E7F0"/>
            <w:noWrap/>
            <w:vAlign w:val="bottom"/>
            <w:hideMark/>
          </w:tcPr>
          <w:p w14:paraId="11FB4CDD"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2,845</w:t>
            </w:r>
          </w:p>
        </w:tc>
        <w:tc>
          <w:tcPr>
            <w:tcW w:w="760" w:type="dxa"/>
            <w:tcBorders>
              <w:top w:val="single" w:sz="4" w:space="0" w:color="ADD6EA"/>
              <w:left w:val="nil"/>
              <w:bottom w:val="single" w:sz="4" w:space="0" w:color="ADD6EA"/>
              <w:right w:val="nil"/>
            </w:tcBorders>
            <w:shd w:val="clear" w:color="000000" w:fill="D6E7F0"/>
            <w:noWrap/>
            <w:vAlign w:val="bottom"/>
            <w:hideMark/>
          </w:tcPr>
          <w:p w14:paraId="70C07D58"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7,192</w:t>
            </w:r>
          </w:p>
        </w:tc>
      </w:tr>
      <w:tr w:rsidR="000A376B" w:rsidRPr="000A376B" w14:paraId="09D9E08A" w14:textId="77777777" w:rsidTr="000A376B">
        <w:trPr>
          <w:trHeight w:val="315"/>
        </w:trPr>
        <w:tc>
          <w:tcPr>
            <w:tcW w:w="2620" w:type="dxa"/>
            <w:tcBorders>
              <w:top w:val="nil"/>
              <w:left w:val="nil"/>
              <w:bottom w:val="nil"/>
              <w:right w:val="nil"/>
            </w:tcBorders>
            <w:shd w:val="clear" w:color="auto" w:fill="auto"/>
            <w:noWrap/>
            <w:vAlign w:val="bottom"/>
            <w:hideMark/>
          </w:tcPr>
          <w:p w14:paraId="3AA6BB63"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INVESTMENT</w:t>
            </w:r>
          </w:p>
        </w:tc>
        <w:tc>
          <w:tcPr>
            <w:tcW w:w="700" w:type="dxa"/>
            <w:tcBorders>
              <w:top w:val="nil"/>
              <w:left w:val="nil"/>
              <w:bottom w:val="nil"/>
              <w:right w:val="nil"/>
            </w:tcBorders>
            <w:shd w:val="clear" w:color="auto" w:fill="auto"/>
            <w:noWrap/>
            <w:vAlign w:val="bottom"/>
            <w:hideMark/>
          </w:tcPr>
          <w:p w14:paraId="296FA25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 </w:t>
            </w:r>
          </w:p>
        </w:tc>
        <w:tc>
          <w:tcPr>
            <w:tcW w:w="760" w:type="dxa"/>
            <w:tcBorders>
              <w:top w:val="nil"/>
              <w:left w:val="nil"/>
              <w:bottom w:val="nil"/>
              <w:right w:val="nil"/>
            </w:tcBorders>
            <w:shd w:val="clear" w:color="auto" w:fill="auto"/>
            <w:noWrap/>
            <w:vAlign w:val="bottom"/>
            <w:hideMark/>
          </w:tcPr>
          <w:p w14:paraId="3AB3306E" w14:textId="77777777" w:rsidR="000A376B" w:rsidRPr="000A376B" w:rsidRDefault="000A376B" w:rsidP="000A376B">
            <w:pPr>
              <w:tabs>
                <w:tab w:val="clear" w:pos="567"/>
              </w:tabs>
              <w:spacing w:before="0" w:line="240" w:lineRule="auto"/>
              <w:rPr>
                <w:rFonts w:eastAsia="Times New Roman" w:cs="Open Sans Light"/>
                <w:b/>
                <w:bCs/>
                <w:color w:val="000000"/>
                <w:sz w:val="16"/>
                <w:szCs w:val="16"/>
                <w:lang w:eastAsia="en-AU"/>
              </w:rPr>
            </w:pPr>
            <w:r w:rsidRPr="000A376B">
              <w:rPr>
                <w:rFonts w:eastAsia="Times New Roman" w:cs="Open Sans Light"/>
                <w:b/>
                <w:bCs/>
                <w:color w:val="000000"/>
                <w:sz w:val="16"/>
                <w:szCs w:val="16"/>
                <w:lang w:eastAsia="en-AU"/>
              </w:rPr>
              <w:t> </w:t>
            </w:r>
          </w:p>
        </w:tc>
        <w:tc>
          <w:tcPr>
            <w:tcW w:w="760" w:type="dxa"/>
            <w:tcBorders>
              <w:top w:val="nil"/>
              <w:left w:val="nil"/>
              <w:bottom w:val="nil"/>
              <w:right w:val="nil"/>
            </w:tcBorders>
            <w:shd w:val="clear" w:color="auto" w:fill="auto"/>
            <w:noWrap/>
            <w:vAlign w:val="bottom"/>
            <w:hideMark/>
          </w:tcPr>
          <w:p w14:paraId="0755C37B" w14:textId="77777777" w:rsidR="000A376B" w:rsidRPr="000A376B" w:rsidRDefault="000A376B" w:rsidP="000A376B">
            <w:pPr>
              <w:tabs>
                <w:tab w:val="clear" w:pos="567"/>
              </w:tabs>
              <w:spacing w:before="0" w:line="240" w:lineRule="auto"/>
              <w:rPr>
                <w:rFonts w:eastAsia="Times New Roman" w:cs="Open Sans Light"/>
                <w:b/>
                <w:bCs/>
                <w:color w:val="000000"/>
                <w:sz w:val="16"/>
                <w:szCs w:val="16"/>
                <w:lang w:eastAsia="en-AU"/>
              </w:rPr>
            </w:pPr>
            <w:r w:rsidRPr="000A376B">
              <w:rPr>
                <w:rFonts w:eastAsia="Times New Roman" w:cs="Open Sans Light"/>
                <w:b/>
                <w:bCs/>
                <w:color w:val="000000"/>
                <w:sz w:val="16"/>
                <w:szCs w:val="16"/>
                <w:lang w:eastAsia="en-AU"/>
              </w:rPr>
              <w:t> </w:t>
            </w:r>
          </w:p>
        </w:tc>
        <w:tc>
          <w:tcPr>
            <w:tcW w:w="760" w:type="dxa"/>
            <w:tcBorders>
              <w:top w:val="nil"/>
              <w:left w:val="nil"/>
              <w:bottom w:val="nil"/>
              <w:right w:val="nil"/>
            </w:tcBorders>
            <w:shd w:val="clear" w:color="auto" w:fill="auto"/>
            <w:noWrap/>
            <w:vAlign w:val="bottom"/>
            <w:hideMark/>
          </w:tcPr>
          <w:p w14:paraId="0038FF28" w14:textId="77777777" w:rsidR="000A376B" w:rsidRPr="000A376B" w:rsidRDefault="000A376B" w:rsidP="000A376B">
            <w:pPr>
              <w:tabs>
                <w:tab w:val="clear" w:pos="567"/>
              </w:tabs>
              <w:spacing w:before="0" w:line="240" w:lineRule="auto"/>
              <w:rPr>
                <w:rFonts w:eastAsia="Times New Roman" w:cs="Open Sans Light"/>
                <w:b/>
                <w:bCs/>
                <w:color w:val="000000"/>
                <w:sz w:val="16"/>
                <w:szCs w:val="16"/>
                <w:lang w:eastAsia="en-AU"/>
              </w:rPr>
            </w:pPr>
            <w:r w:rsidRPr="000A376B">
              <w:rPr>
                <w:rFonts w:eastAsia="Times New Roman" w:cs="Open Sans Light"/>
                <w:b/>
                <w:bCs/>
                <w:color w:val="000000"/>
                <w:sz w:val="16"/>
                <w:szCs w:val="16"/>
                <w:lang w:eastAsia="en-AU"/>
              </w:rPr>
              <w:t> </w:t>
            </w:r>
          </w:p>
        </w:tc>
        <w:tc>
          <w:tcPr>
            <w:tcW w:w="620" w:type="dxa"/>
            <w:tcBorders>
              <w:top w:val="nil"/>
              <w:left w:val="nil"/>
              <w:bottom w:val="nil"/>
              <w:right w:val="nil"/>
            </w:tcBorders>
            <w:shd w:val="clear" w:color="auto" w:fill="auto"/>
            <w:noWrap/>
            <w:vAlign w:val="bottom"/>
            <w:hideMark/>
          </w:tcPr>
          <w:p w14:paraId="25A16139" w14:textId="77777777" w:rsidR="000A376B" w:rsidRPr="000A376B" w:rsidRDefault="000A376B" w:rsidP="000A376B">
            <w:pPr>
              <w:tabs>
                <w:tab w:val="clear" w:pos="567"/>
              </w:tabs>
              <w:spacing w:before="0" w:line="240" w:lineRule="auto"/>
              <w:rPr>
                <w:rFonts w:eastAsia="Times New Roman" w:cs="Open Sans Light"/>
                <w:b/>
                <w:bCs/>
                <w:color w:val="000000"/>
                <w:sz w:val="16"/>
                <w:szCs w:val="16"/>
                <w:lang w:eastAsia="en-AU"/>
              </w:rPr>
            </w:pPr>
            <w:r w:rsidRPr="000A376B">
              <w:rPr>
                <w:rFonts w:eastAsia="Times New Roman" w:cs="Open Sans Light"/>
                <w:b/>
                <w:bCs/>
                <w:color w:val="000000"/>
                <w:sz w:val="16"/>
                <w:szCs w:val="16"/>
                <w:lang w:eastAsia="en-AU"/>
              </w:rPr>
              <w:t> </w:t>
            </w:r>
          </w:p>
        </w:tc>
        <w:tc>
          <w:tcPr>
            <w:tcW w:w="640" w:type="dxa"/>
            <w:tcBorders>
              <w:top w:val="nil"/>
              <w:left w:val="nil"/>
              <w:bottom w:val="nil"/>
              <w:right w:val="nil"/>
            </w:tcBorders>
            <w:shd w:val="clear" w:color="auto" w:fill="auto"/>
            <w:noWrap/>
            <w:vAlign w:val="bottom"/>
            <w:hideMark/>
          </w:tcPr>
          <w:p w14:paraId="3B1B8A52" w14:textId="77777777" w:rsidR="000A376B" w:rsidRPr="000A376B" w:rsidRDefault="000A376B" w:rsidP="000A376B">
            <w:pPr>
              <w:tabs>
                <w:tab w:val="clear" w:pos="567"/>
              </w:tabs>
              <w:spacing w:before="0" w:line="240" w:lineRule="auto"/>
              <w:rPr>
                <w:rFonts w:eastAsia="Times New Roman" w:cs="Open Sans Light"/>
                <w:b/>
                <w:bCs/>
                <w:color w:val="000000"/>
                <w:sz w:val="16"/>
                <w:szCs w:val="16"/>
                <w:lang w:eastAsia="en-AU"/>
              </w:rPr>
            </w:pPr>
            <w:r w:rsidRPr="000A376B">
              <w:rPr>
                <w:rFonts w:eastAsia="Times New Roman" w:cs="Open Sans Light"/>
                <w:b/>
                <w:bCs/>
                <w:color w:val="000000"/>
                <w:sz w:val="16"/>
                <w:szCs w:val="16"/>
                <w:lang w:eastAsia="en-AU"/>
              </w:rPr>
              <w:t> </w:t>
            </w:r>
          </w:p>
        </w:tc>
        <w:tc>
          <w:tcPr>
            <w:tcW w:w="700" w:type="dxa"/>
            <w:tcBorders>
              <w:top w:val="nil"/>
              <w:left w:val="nil"/>
              <w:bottom w:val="nil"/>
              <w:right w:val="nil"/>
            </w:tcBorders>
            <w:shd w:val="clear" w:color="auto" w:fill="auto"/>
            <w:noWrap/>
            <w:vAlign w:val="bottom"/>
            <w:hideMark/>
          </w:tcPr>
          <w:p w14:paraId="2A964003" w14:textId="77777777" w:rsidR="000A376B" w:rsidRPr="000A376B" w:rsidRDefault="000A376B" w:rsidP="000A376B">
            <w:pPr>
              <w:tabs>
                <w:tab w:val="clear" w:pos="567"/>
              </w:tabs>
              <w:spacing w:before="0" w:line="240" w:lineRule="auto"/>
              <w:rPr>
                <w:rFonts w:eastAsia="Times New Roman" w:cs="Open Sans Light"/>
                <w:b/>
                <w:bCs/>
                <w:color w:val="000000"/>
                <w:sz w:val="16"/>
                <w:szCs w:val="16"/>
                <w:lang w:eastAsia="en-AU"/>
              </w:rPr>
            </w:pPr>
            <w:r w:rsidRPr="000A376B">
              <w:rPr>
                <w:rFonts w:eastAsia="Times New Roman" w:cs="Open Sans Light"/>
                <w:b/>
                <w:bCs/>
                <w:color w:val="000000"/>
                <w:sz w:val="16"/>
                <w:szCs w:val="16"/>
                <w:lang w:eastAsia="en-AU"/>
              </w:rPr>
              <w:t> </w:t>
            </w:r>
          </w:p>
        </w:tc>
        <w:tc>
          <w:tcPr>
            <w:tcW w:w="640" w:type="dxa"/>
            <w:tcBorders>
              <w:top w:val="nil"/>
              <w:left w:val="nil"/>
              <w:bottom w:val="nil"/>
              <w:right w:val="nil"/>
            </w:tcBorders>
            <w:shd w:val="clear" w:color="auto" w:fill="auto"/>
            <w:noWrap/>
            <w:vAlign w:val="bottom"/>
            <w:hideMark/>
          </w:tcPr>
          <w:p w14:paraId="61226CDC" w14:textId="77777777" w:rsidR="000A376B" w:rsidRPr="000A376B" w:rsidRDefault="000A376B" w:rsidP="000A376B">
            <w:pPr>
              <w:tabs>
                <w:tab w:val="clear" w:pos="567"/>
              </w:tabs>
              <w:spacing w:before="0" w:line="240" w:lineRule="auto"/>
              <w:rPr>
                <w:rFonts w:eastAsia="Times New Roman" w:cs="Open Sans Light"/>
                <w:b/>
                <w:bCs/>
                <w:color w:val="000000"/>
                <w:sz w:val="16"/>
                <w:szCs w:val="16"/>
                <w:lang w:eastAsia="en-AU"/>
              </w:rPr>
            </w:pPr>
            <w:r w:rsidRPr="000A376B">
              <w:rPr>
                <w:rFonts w:eastAsia="Times New Roman" w:cs="Open Sans Light"/>
                <w:b/>
                <w:bCs/>
                <w:color w:val="000000"/>
                <w:sz w:val="16"/>
                <w:szCs w:val="16"/>
                <w:lang w:eastAsia="en-AU"/>
              </w:rPr>
              <w:t> </w:t>
            </w:r>
          </w:p>
        </w:tc>
        <w:tc>
          <w:tcPr>
            <w:tcW w:w="760" w:type="dxa"/>
            <w:tcBorders>
              <w:top w:val="nil"/>
              <w:left w:val="nil"/>
              <w:bottom w:val="nil"/>
              <w:right w:val="nil"/>
            </w:tcBorders>
            <w:shd w:val="clear" w:color="auto" w:fill="auto"/>
            <w:noWrap/>
            <w:vAlign w:val="bottom"/>
            <w:hideMark/>
          </w:tcPr>
          <w:p w14:paraId="00B70F7D" w14:textId="77777777" w:rsidR="000A376B" w:rsidRPr="000A376B" w:rsidRDefault="000A376B" w:rsidP="000A376B">
            <w:pPr>
              <w:tabs>
                <w:tab w:val="clear" w:pos="567"/>
              </w:tabs>
              <w:spacing w:before="0" w:line="240" w:lineRule="auto"/>
              <w:rPr>
                <w:rFonts w:eastAsia="Times New Roman" w:cs="Open Sans Light"/>
                <w:b/>
                <w:bCs/>
                <w:color w:val="000000"/>
                <w:sz w:val="16"/>
                <w:szCs w:val="16"/>
                <w:lang w:eastAsia="en-AU"/>
              </w:rPr>
            </w:pPr>
            <w:r w:rsidRPr="000A376B">
              <w:rPr>
                <w:rFonts w:eastAsia="Times New Roman" w:cs="Open Sans Light"/>
                <w:b/>
                <w:bCs/>
                <w:color w:val="000000"/>
                <w:sz w:val="16"/>
                <w:szCs w:val="16"/>
                <w:lang w:eastAsia="en-AU"/>
              </w:rPr>
              <w:t> </w:t>
            </w:r>
          </w:p>
        </w:tc>
      </w:tr>
      <w:tr w:rsidR="000A376B" w:rsidRPr="000A376B" w14:paraId="71B56580"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0687D578"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r w:rsidRPr="000A376B">
              <w:rPr>
                <w:rFonts w:eastAsia="Times New Roman" w:cs="Open Sans Light"/>
                <w:color w:val="000000"/>
                <w:sz w:val="16"/>
                <w:szCs w:val="16"/>
                <w:lang w:eastAsia="en-AU"/>
              </w:rPr>
              <w:t>Capital improvements</w:t>
            </w:r>
          </w:p>
        </w:tc>
        <w:tc>
          <w:tcPr>
            <w:tcW w:w="700" w:type="dxa"/>
            <w:tcBorders>
              <w:top w:val="single" w:sz="4" w:space="0" w:color="ADD6EA"/>
              <w:left w:val="nil"/>
              <w:bottom w:val="nil"/>
              <w:right w:val="nil"/>
            </w:tcBorders>
            <w:shd w:val="clear" w:color="auto" w:fill="auto"/>
            <w:noWrap/>
            <w:vAlign w:val="bottom"/>
            <w:hideMark/>
          </w:tcPr>
          <w:p w14:paraId="24151893"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319</w:t>
            </w:r>
          </w:p>
        </w:tc>
        <w:tc>
          <w:tcPr>
            <w:tcW w:w="760" w:type="dxa"/>
            <w:tcBorders>
              <w:top w:val="single" w:sz="4" w:space="0" w:color="ADD6EA"/>
              <w:left w:val="nil"/>
              <w:bottom w:val="nil"/>
              <w:right w:val="nil"/>
            </w:tcBorders>
            <w:shd w:val="clear" w:color="auto" w:fill="auto"/>
            <w:noWrap/>
            <w:vAlign w:val="bottom"/>
            <w:hideMark/>
          </w:tcPr>
          <w:p w14:paraId="585C9588"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-403</w:t>
            </w:r>
          </w:p>
        </w:tc>
        <w:tc>
          <w:tcPr>
            <w:tcW w:w="760" w:type="dxa"/>
            <w:tcBorders>
              <w:top w:val="single" w:sz="4" w:space="0" w:color="ADD6EA"/>
              <w:left w:val="nil"/>
              <w:bottom w:val="nil"/>
              <w:right w:val="nil"/>
            </w:tcBorders>
            <w:shd w:val="clear" w:color="auto" w:fill="auto"/>
            <w:noWrap/>
            <w:vAlign w:val="bottom"/>
            <w:hideMark/>
          </w:tcPr>
          <w:p w14:paraId="72E16798"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-75</w:t>
            </w:r>
          </w:p>
        </w:tc>
        <w:tc>
          <w:tcPr>
            <w:tcW w:w="760" w:type="dxa"/>
            <w:tcBorders>
              <w:top w:val="single" w:sz="4" w:space="0" w:color="ADD6EA"/>
              <w:left w:val="nil"/>
              <w:bottom w:val="nil"/>
              <w:right w:val="nil"/>
            </w:tcBorders>
            <w:shd w:val="clear" w:color="auto" w:fill="auto"/>
            <w:noWrap/>
            <w:vAlign w:val="bottom"/>
            <w:hideMark/>
          </w:tcPr>
          <w:p w14:paraId="4C502B01"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142</w:t>
            </w:r>
          </w:p>
        </w:tc>
        <w:tc>
          <w:tcPr>
            <w:tcW w:w="620" w:type="dxa"/>
            <w:tcBorders>
              <w:top w:val="single" w:sz="4" w:space="0" w:color="ADD6EA"/>
              <w:left w:val="nil"/>
              <w:bottom w:val="nil"/>
              <w:right w:val="nil"/>
            </w:tcBorders>
            <w:shd w:val="clear" w:color="auto" w:fill="auto"/>
            <w:noWrap/>
            <w:vAlign w:val="bottom"/>
            <w:hideMark/>
          </w:tcPr>
          <w:p w14:paraId="3A8E97B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-131</w:t>
            </w:r>
          </w:p>
        </w:tc>
        <w:tc>
          <w:tcPr>
            <w:tcW w:w="640" w:type="dxa"/>
            <w:tcBorders>
              <w:top w:val="single" w:sz="4" w:space="0" w:color="ADD6EA"/>
              <w:left w:val="nil"/>
              <w:bottom w:val="nil"/>
              <w:right w:val="nil"/>
            </w:tcBorders>
            <w:shd w:val="clear" w:color="auto" w:fill="auto"/>
            <w:noWrap/>
            <w:vAlign w:val="bottom"/>
            <w:hideMark/>
          </w:tcPr>
          <w:p w14:paraId="0B5EEC8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-88</w:t>
            </w:r>
          </w:p>
        </w:tc>
        <w:tc>
          <w:tcPr>
            <w:tcW w:w="700" w:type="dxa"/>
            <w:tcBorders>
              <w:top w:val="single" w:sz="4" w:space="0" w:color="ADD6EA"/>
              <w:left w:val="nil"/>
              <w:bottom w:val="nil"/>
              <w:right w:val="nil"/>
            </w:tcBorders>
            <w:shd w:val="clear" w:color="auto" w:fill="auto"/>
            <w:noWrap/>
            <w:vAlign w:val="bottom"/>
            <w:hideMark/>
          </w:tcPr>
          <w:p w14:paraId="53A393A2"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-161</w:t>
            </w:r>
          </w:p>
        </w:tc>
        <w:tc>
          <w:tcPr>
            <w:tcW w:w="640" w:type="dxa"/>
            <w:tcBorders>
              <w:top w:val="single" w:sz="4" w:space="0" w:color="ADD6EA"/>
              <w:left w:val="nil"/>
              <w:bottom w:val="nil"/>
              <w:right w:val="nil"/>
            </w:tcBorders>
            <w:shd w:val="clear" w:color="auto" w:fill="auto"/>
            <w:noWrap/>
            <w:vAlign w:val="bottom"/>
            <w:hideMark/>
          </w:tcPr>
          <w:p w14:paraId="4563A35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398</w:t>
            </w:r>
          </w:p>
        </w:tc>
        <w:tc>
          <w:tcPr>
            <w:tcW w:w="760" w:type="dxa"/>
            <w:tcBorders>
              <w:top w:val="single" w:sz="4" w:space="0" w:color="ADD6EA"/>
              <w:left w:val="nil"/>
              <w:bottom w:val="nil"/>
              <w:right w:val="nil"/>
            </w:tcBorders>
            <w:shd w:val="clear" w:color="auto" w:fill="auto"/>
            <w:noWrap/>
            <w:vAlign w:val="bottom"/>
            <w:hideMark/>
          </w:tcPr>
          <w:p w14:paraId="1A7E1341"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858</w:t>
            </w:r>
          </w:p>
        </w:tc>
      </w:tr>
      <w:tr w:rsidR="000A376B" w:rsidRPr="000A376B" w14:paraId="0B7F3BF2"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5703C4E0"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r w:rsidRPr="000A376B">
              <w:rPr>
                <w:rFonts w:eastAsia="Times New Roman" w:cs="Open Sans Light"/>
                <w:color w:val="000000"/>
                <w:sz w:val="16"/>
                <w:szCs w:val="16"/>
                <w:lang w:eastAsia="en-AU"/>
              </w:rPr>
              <w:t>Cost of construction</w:t>
            </w:r>
          </w:p>
        </w:tc>
        <w:tc>
          <w:tcPr>
            <w:tcW w:w="700" w:type="dxa"/>
            <w:tcBorders>
              <w:top w:val="single" w:sz="4" w:space="0" w:color="ADD6EA"/>
              <w:left w:val="nil"/>
              <w:bottom w:val="nil"/>
              <w:right w:val="nil"/>
            </w:tcBorders>
            <w:shd w:val="clear" w:color="auto" w:fill="auto"/>
            <w:noWrap/>
            <w:vAlign w:val="bottom"/>
            <w:hideMark/>
          </w:tcPr>
          <w:p w14:paraId="46A4BC7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238</w:t>
            </w:r>
          </w:p>
        </w:tc>
        <w:tc>
          <w:tcPr>
            <w:tcW w:w="760" w:type="dxa"/>
            <w:tcBorders>
              <w:top w:val="single" w:sz="4" w:space="0" w:color="ADD6EA"/>
              <w:left w:val="nil"/>
              <w:bottom w:val="nil"/>
              <w:right w:val="nil"/>
            </w:tcBorders>
            <w:shd w:val="clear" w:color="auto" w:fill="auto"/>
            <w:noWrap/>
            <w:vAlign w:val="bottom"/>
            <w:hideMark/>
          </w:tcPr>
          <w:p w14:paraId="38DDE03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-625</w:t>
            </w:r>
          </w:p>
        </w:tc>
        <w:tc>
          <w:tcPr>
            <w:tcW w:w="760" w:type="dxa"/>
            <w:tcBorders>
              <w:top w:val="single" w:sz="4" w:space="0" w:color="ADD6EA"/>
              <w:left w:val="nil"/>
              <w:bottom w:val="nil"/>
              <w:right w:val="nil"/>
            </w:tcBorders>
            <w:shd w:val="clear" w:color="auto" w:fill="auto"/>
            <w:noWrap/>
            <w:vAlign w:val="bottom"/>
            <w:hideMark/>
          </w:tcPr>
          <w:p w14:paraId="32EF7B6B"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-128</w:t>
            </w:r>
          </w:p>
        </w:tc>
        <w:tc>
          <w:tcPr>
            <w:tcW w:w="760" w:type="dxa"/>
            <w:tcBorders>
              <w:top w:val="single" w:sz="4" w:space="0" w:color="ADD6EA"/>
              <w:left w:val="nil"/>
              <w:bottom w:val="nil"/>
              <w:right w:val="nil"/>
            </w:tcBorders>
            <w:shd w:val="clear" w:color="auto" w:fill="auto"/>
            <w:noWrap/>
            <w:vAlign w:val="bottom"/>
            <w:hideMark/>
          </w:tcPr>
          <w:p w14:paraId="285E7EC1"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413</w:t>
            </w:r>
          </w:p>
        </w:tc>
        <w:tc>
          <w:tcPr>
            <w:tcW w:w="620" w:type="dxa"/>
            <w:tcBorders>
              <w:top w:val="single" w:sz="4" w:space="0" w:color="ADD6EA"/>
              <w:left w:val="nil"/>
              <w:bottom w:val="nil"/>
              <w:right w:val="nil"/>
            </w:tcBorders>
            <w:shd w:val="clear" w:color="auto" w:fill="auto"/>
            <w:noWrap/>
            <w:vAlign w:val="bottom"/>
            <w:hideMark/>
          </w:tcPr>
          <w:p w14:paraId="4C318582"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-25</w:t>
            </w:r>
          </w:p>
        </w:tc>
        <w:tc>
          <w:tcPr>
            <w:tcW w:w="640" w:type="dxa"/>
            <w:tcBorders>
              <w:top w:val="single" w:sz="4" w:space="0" w:color="ADD6EA"/>
              <w:left w:val="nil"/>
              <w:bottom w:val="nil"/>
              <w:right w:val="nil"/>
            </w:tcBorders>
            <w:shd w:val="clear" w:color="auto" w:fill="auto"/>
            <w:noWrap/>
            <w:vAlign w:val="bottom"/>
            <w:hideMark/>
          </w:tcPr>
          <w:p w14:paraId="22DBAC70"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-50</w:t>
            </w:r>
          </w:p>
        </w:tc>
        <w:tc>
          <w:tcPr>
            <w:tcW w:w="700" w:type="dxa"/>
            <w:tcBorders>
              <w:top w:val="single" w:sz="4" w:space="0" w:color="ADD6EA"/>
              <w:left w:val="nil"/>
              <w:bottom w:val="nil"/>
              <w:right w:val="nil"/>
            </w:tcBorders>
            <w:shd w:val="clear" w:color="auto" w:fill="auto"/>
            <w:noWrap/>
            <w:vAlign w:val="bottom"/>
            <w:hideMark/>
          </w:tcPr>
          <w:p w14:paraId="607300DA"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16</w:t>
            </w:r>
          </w:p>
        </w:tc>
        <w:tc>
          <w:tcPr>
            <w:tcW w:w="640" w:type="dxa"/>
            <w:tcBorders>
              <w:top w:val="single" w:sz="4" w:space="0" w:color="ADD6EA"/>
              <w:left w:val="nil"/>
              <w:bottom w:val="nil"/>
              <w:right w:val="nil"/>
            </w:tcBorders>
            <w:shd w:val="clear" w:color="auto" w:fill="auto"/>
            <w:noWrap/>
            <w:vAlign w:val="bottom"/>
            <w:hideMark/>
          </w:tcPr>
          <w:p w14:paraId="36F4A5EE"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161</w:t>
            </w:r>
          </w:p>
        </w:tc>
        <w:tc>
          <w:tcPr>
            <w:tcW w:w="760" w:type="dxa"/>
            <w:tcBorders>
              <w:top w:val="single" w:sz="4" w:space="0" w:color="ADD6EA"/>
              <w:left w:val="nil"/>
              <w:bottom w:val="nil"/>
              <w:right w:val="nil"/>
            </w:tcBorders>
            <w:shd w:val="clear" w:color="auto" w:fill="auto"/>
            <w:noWrap/>
            <w:vAlign w:val="bottom"/>
            <w:hideMark/>
          </w:tcPr>
          <w:p w14:paraId="628E632A"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827</w:t>
            </w:r>
          </w:p>
        </w:tc>
      </w:tr>
      <w:tr w:rsidR="000A376B" w:rsidRPr="000A376B" w14:paraId="61F46CBE" w14:textId="77777777" w:rsidTr="000A376B">
        <w:trPr>
          <w:trHeight w:val="315"/>
        </w:trPr>
        <w:tc>
          <w:tcPr>
            <w:tcW w:w="2620" w:type="dxa"/>
            <w:tcBorders>
              <w:top w:val="single" w:sz="4" w:space="0" w:color="ADD6EA"/>
              <w:left w:val="nil"/>
              <w:bottom w:val="nil"/>
              <w:right w:val="nil"/>
            </w:tcBorders>
            <w:shd w:val="clear" w:color="auto" w:fill="auto"/>
            <w:noWrap/>
            <w:vAlign w:val="bottom"/>
            <w:hideMark/>
          </w:tcPr>
          <w:p w14:paraId="2B2B65CB" w14:textId="77777777" w:rsidR="000A376B" w:rsidRPr="000A376B" w:rsidRDefault="000A376B" w:rsidP="000A376B">
            <w:pPr>
              <w:tabs>
                <w:tab w:val="clear" w:pos="567"/>
              </w:tabs>
              <w:spacing w:before="0" w:line="240" w:lineRule="auto"/>
              <w:ind w:firstLineChars="100" w:firstLine="160"/>
              <w:rPr>
                <w:rFonts w:eastAsia="Times New Roman" w:cs="Open Sans Light"/>
                <w:color w:val="000000"/>
                <w:sz w:val="16"/>
                <w:szCs w:val="16"/>
                <w:lang w:eastAsia="en-AU"/>
              </w:rPr>
            </w:pPr>
            <w:r w:rsidRPr="000A376B">
              <w:rPr>
                <w:rFonts w:eastAsia="Times New Roman" w:cs="Open Sans Light"/>
                <w:color w:val="000000"/>
                <w:sz w:val="16"/>
                <w:szCs w:val="16"/>
                <w:lang w:eastAsia="en-AU"/>
              </w:rPr>
              <w:t>Population growth</w:t>
            </w:r>
          </w:p>
        </w:tc>
        <w:tc>
          <w:tcPr>
            <w:tcW w:w="700" w:type="dxa"/>
            <w:tcBorders>
              <w:top w:val="single" w:sz="4" w:space="0" w:color="ADD6EA"/>
              <w:left w:val="nil"/>
              <w:bottom w:val="nil"/>
              <w:right w:val="nil"/>
            </w:tcBorders>
            <w:shd w:val="clear" w:color="auto" w:fill="auto"/>
            <w:noWrap/>
            <w:vAlign w:val="bottom"/>
            <w:hideMark/>
          </w:tcPr>
          <w:p w14:paraId="3AECDD09"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-371</w:t>
            </w:r>
          </w:p>
        </w:tc>
        <w:tc>
          <w:tcPr>
            <w:tcW w:w="760" w:type="dxa"/>
            <w:tcBorders>
              <w:top w:val="single" w:sz="4" w:space="0" w:color="ADD6EA"/>
              <w:left w:val="nil"/>
              <w:bottom w:val="nil"/>
              <w:right w:val="nil"/>
            </w:tcBorders>
            <w:shd w:val="clear" w:color="auto" w:fill="auto"/>
            <w:noWrap/>
            <w:vAlign w:val="bottom"/>
            <w:hideMark/>
          </w:tcPr>
          <w:p w14:paraId="2BE8764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399</w:t>
            </w:r>
          </w:p>
        </w:tc>
        <w:tc>
          <w:tcPr>
            <w:tcW w:w="760" w:type="dxa"/>
            <w:tcBorders>
              <w:top w:val="single" w:sz="4" w:space="0" w:color="ADD6EA"/>
              <w:left w:val="nil"/>
              <w:bottom w:val="nil"/>
              <w:right w:val="nil"/>
            </w:tcBorders>
            <w:shd w:val="clear" w:color="auto" w:fill="auto"/>
            <w:noWrap/>
            <w:vAlign w:val="bottom"/>
            <w:hideMark/>
          </w:tcPr>
          <w:p w14:paraId="100DD9EF"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420</w:t>
            </w:r>
          </w:p>
        </w:tc>
        <w:tc>
          <w:tcPr>
            <w:tcW w:w="760" w:type="dxa"/>
            <w:tcBorders>
              <w:top w:val="single" w:sz="4" w:space="0" w:color="ADD6EA"/>
              <w:left w:val="nil"/>
              <w:bottom w:val="nil"/>
              <w:right w:val="nil"/>
            </w:tcBorders>
            <w:shd w:val="clear" w:color="auto" w:fill="auto"/>
            <w:noWrap/>
            <w:vAlign w:val="bottom"/>
            <w:hideMark/>
          </w:tcPr>
          <w:p w14:paraId="7E6E6762"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-23</w:t>
            </w:r>
          </w:p>
        </w:tc>
        <w:tc>
          <w:tcPr>
            <w:tcW w:w="620" w:type="dxa"/>
            <w:tcBorders>
              <w:top w:val="single" w:sz="4" w:space="0" w:color="ADD6EA"/>
              <w:left w:val="nil"/>
              <w:bottom w:val="nil"/>
              <w:right w:val="nil"/>
            </w:tcBorders>
            <w:shd w:val="clear" w:color="auto" w:fill="auto"/>
            <w:noWrap/>
            <w:vAlign w:val="bottom"/>
            <w:hideMark/>
          </w:tcPr>
          <w:p w14:paraId="6C81185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-278</w:t>
            </w:r>
          </w:p>
        </w:tc>
        <w:tc>
          <w:tcPr>
            <w:tcW w:w="640" w:type="dxa"/>
            <w:tcBorders>
              <w:top w:val="single" w:sz="4" w:space="0" w:color="ADD6EA"/>
              <w:left w:val="nil"/>
              <w:bottom w:val="nil"/>
              <w:right w:val="nil"/>
            </w:tcBorders>
            <w:shd w:val="clear" w:color="auto" w:fill="auto"/>
            <w:noWrap/>
            <w:vAlign w:val="bottom"/>
            <w:hideMark/>
          </w:tcPr>
          <w:p w14:paraId="2F8F46ED"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-57</w:t>
            </w:r>
          </w:p>
        </w:tc>
        <w:tc>
          <w:tcPr>
            <w:tcW w:w="700" w:type="dxa"/>
            <w:tcBorders>
              <w:top w:val="single" w:sz="4" w:space="0" w:color="ADD6EA"/>
              <w:left w:val="nil"/>
              <w:bottom w:val="nil"/>
              <w:right w:val="nil"/>
            </w:tcBorders>
            <w:shd w:val="clear" w:color="auto" w:fill="auto"/>
            <w:noWrap/>
            <w:vAlign w:val="bottom"/>
            <w:hideMark/>
          </w:tcPr>
          <w:p w14:paraId="26A0C80B"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-18</w:t>
            </w:r>
          </w:p>
        </w:tc>
        <w:tc>
          <w:tcPr>
            <w:tcW w:w="640" w:type="dxa"/>
            <w:tcBorders>
              <w:top w:val="single" w:sz="4" w:space="0" w:color="ADD6EA"/>
              <w:left w:val="nil"/>
              <w:bottom w:val="nil"/>
              <w:right w:val="nil"/>
            </w:tcBorders>
            <w:shd w:val="clear" w:color="auto" w:fill="auto"/>
            <w:noWrap/>
            <w:vAlign w:val="bottom"/>
            <w:hideMark/>
          </w:tcPr>
          <w:p w14:paraId="01270E97"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-72</w:t>
            </w:r>
          </w:p>
        </w:tc>
        <w:tc>
          <w:tcPr>
            <w:tcW w:w="760" w:type="dxa"/>
            <w:tcBorders>
              <w:top w:val="single" w:sz="4" w:space="0" w:color="ADD6EA"/>
              <w:left w:val="nil"/>
              <w:bottom w:val="nil"/>
              <w:right w:val="nil"/>
            </w:tcBorders>
            <w:shd w:val="clear" w:color="auto" w:fill="auto"/>
            <w:noWrap/>
            <w:vAlign w:val="bottom"/>
            <w:hideMark/>
          </w:tcPr>
          <w:p w14:paraId="526759FF"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819</w:t>
            </w:r>
          </w:p>
        </w:tc>
      </w:tr>
      <w:tr w:rsidR="000A376B" w:rsidRPr="000A376B" w14:paraId="65D3137E" w14:textId="77777777" w:rsidTr="000A376B">
        <w:trPr>
          <w:trHeight w:val="315"/>
        </w:trPr>
        <w:tc>
          <w:tcPr>
            <w:tcW w:w="2620" w:type="dxa"/>
            <w:tcBorders>
              <w:top w:val="single" w:sz="4" w:space="0" w:color="ADD6EA"/>
              <w:left w:val="nil"/>
              <w:bottom w:val="single" w:sz="4" w:space="0" w:color="ADD6EA"/>
              <w:right w:val="nil"/>
            </w:tcBorders>
            <w:shd w:val="clear" w:color="000000" w:fill="D6E7F0"/>
            <w:noWrap/>
            <w:vAlign w:val="bottom"/>
            <w:hideMark/>
          </w:tcPr>
          <w:p w14:paraId="78FCA9E9" w14:textId="77777777" w:rsidR="000A376B" w:rsidRPr="000A376B" w:rsidRDefault="000A376B" w:rsidP="000A376B">
            <w:pPr>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TOTAL INVESTMENT</w:t>
            </w:r>
          </w:p>
        </w:tc>
        <w:tc>
          <w:tcPr>
            <w:tcW w:w="700" w:type="dxa"/>
            <w:tcBorders>
              <w:top w:val="single" w:sz="4" w:space="0" w:color="ADD6EA"/>
              <w:left w:val="nil"/>
              <w:bottom w:val="single" w:sz="4" w:space="0" w:color="ADD6EA"/>
              <w:right w:val="nil"/>
            </w:tcBorders>
            <w:shd w:val="clear" w:color="000000" w:fill="D6E7F0"/>
            <w:noWrap/>
            <w:vAlign w:val="bottom"/>
            <w:hideMark/>
          </w:tcPr>
          <w:p w14:paraId="100F3746"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186</w:t>
            </w:r>
          </w:p>
        </w:tc>
        <w:tc>
          <w:tcPr>
            <w:tcW w:w="760" w:type="dxa"/>
            <w:tcBorders>
              <w:top w:val="single" w:sz="4" w:space="0" w:color="ADD6EA"/>
              <w:left w:val="nil"/>
              <w:bottom w:val="single" w:sz="4" w:space="0" w:color="ADD6EA"/>
              <w:right w:val="nil"/>
            </w:tcBorders>
            <w:shd w:val="clear" w:color="000000" w:fill="D6E7F0"/>
            <w:noWrap/>
            <w:vAlign w:val="bottom"/>
            <w:hideMark/>
          </w:tcPr>
          <w:p w14:paraId="32C83400"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-628</w:t>
            </w:r>
          </w:p>
        </w:tc>
        <w:tc>
          <w:tcPr>
            <w:tcW w:w="760" w:type="dxa"/>
            <w:tcBorders>
              <w:top w:val="single" w:sz="4" w:space="0" w:color="ADD6EA"/>
              <w:left w:val="nil"/>
              <w:bottom w:val="single" w:sz="4" w:space="0" w:color="ADD6EA"/>
              <w:right w:val="nil"/>
            </w:tcBorders>
            <w:shd w:val="clear" w:color="000000" w:fill="D6E7F0"/>
            <w:noWrap/>
            <w:vAlign w:val="bottom"/>
            <w:hideMark/>
          </w:tcPr>
          <w:p w14:paraId="457FA6FC"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218</w:t>
            </w:r>
          </w:p>
        </w:tc>
        <w:tc>
          <w:tcPr>
            <w:tcW w:w="760" w:type="dxa"/>
            <w:tcBorders>
              <w:top w:val="single" w:sz="4" w:space="0" w:color="ADD6EA"/>
              <w:left w:val="nil"/>
              <w:bottom w:val="single" w:sz="4" w:space="0" w:color="ADD6EA"/>
              <w:right w:val="nil"/>
            </w:tcBorders>
            <w:shd w:val="clear" w:color="000000" w:fill="D6E7F0"/>
            <w:noWrap/>
            <w:vAlign w:val="bottom"/>
            <w:hideMark/>
          </w:tcPr>
          <w:p w14:paraId="4D35FA39"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531</w:t>
            </w:r>
          </w:p>
        </w:tc>
        <w:tc>
          <w:tcPr>
            <w:tcW w:w="620" w:type="dxa"/>
            <w:tcBorders>
              <w:top w:val="single" w:sz="4" w:space="0" w:color="ADD6EA"/>
              <w:left w:val="nil"/>
              <w:bottom w:val="single" w:sz="4" w:space="0" w:color="ADD6EA"/>
              <w:right w:val="nil"/>
            </w:tcBorders>
            <w:shd w:val="clear" w:color="000000" w:fill="D6E7F0"/>
            <w:noWrap/>
            <w:vAlign w:val="bottom"/>
            <w:hideMark/>
          </w:tcPr>
          <w:p w14:paraId="2ACD2D08"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-435</w:t>
            </w:r>
          </w:p>
        </w:tc>
        <w:tc>
          <w:tcPr>
            <w:tcW w:w="640" w:type="dxa"/>
            <w:tcBorders>
              <w:top w:val="single" w:sz="4" w:space="0" w:color="ADD6EA"/>
              <w:left w:val="nil"/>
              <w:bottom w:val="single" w:sz="4" w:space="0" w:color="ADD6EA"/>
              <w:right w:val="nil"/>
            </w:tcBorders>
            <w:shd w:val="clear" w:color="000000" w:fill="D6E7F0"/>
            <w:noWrap/>
            <w:vAlign w:val="bottom"/>
            <w:hideMark/>
          </w:tcPr>
          <w:p w14:paraId="1C455AF5"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-194</w:t>
            </w:r>
          </w:p>
        </w:tc>
        <w:tc>
          <w:tcPr>
            <w:tcW w:w="700" w:type="dxa"/>
            <w:tcBorders>
              <w:top w:val="single" w:sz="4" w:space="0" w:color="ADD6EA"/>
              <w:left w:val="nil"/>
              <w:bottom w:val="single" w:sz="4" w:space="0" w:color="ADD6EA"/>
              <w:right w:val="nil"/>
            </w:tcBorders>
            <w:shd w:val="clear" w:color="000000" w:fill="D6E7F0"/>
            <w:noWrap/>
            <w:vAlign w:val="bottom"/>
            <w:hideMark/>
          </w:tcPr>
          <w:p w14:paraId="2BBF34AF"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-164</w:t>
            </w:r>
          </w:p>
        </w:tc>
        <w:tc>
          <w:tcPr>
            <w:tcW w:w="640" w:type="dxa"/>
            <w:tcBorders>
              <w:top w:val="single" w:sz="4" w:space="0" w:color="ADD6EA"/>
              <w:left w:val="nil"/>
              <w:bottom w:val="single" w:sz="4" w:space="0" w:color="ADD6EA"/>
              <w:right w:val="nil"/>
            </w:tcBorders>
            <w:shd w:val="clear" w:color="000000" w:fill="D6E7F0"/>
            <w:noWrap/>
            <w:vAlign w:val="bottom"/>
            <w:hideMark/>
          </w:tcPr>
          <w:p w14:paraId="6154E295"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486</w:t>
            </w:r>
          </w:p>
        </w:tc>
        <w:tc>
          <w:tcPr>
            <w:tcW w:w="760" w:type="dxa"/>
            <w:tcBorders>
              <w:top w:val="single" w:sz="4" w:space="0" w:color="ADD6EA"/>
              <w:left w:val="nil"/>
              <w:bottom w:val="single" w:sz="4" w:space="0" w:color="ADD6EA"/>
              <w:right w:val="nil"/>
            </w:tcBorders>
            <w:shd w:val="clear" w:color="000000" w:fill="D6E7F0"/>
            <w:noWrap/>
            <w:vAlign w:val="bottom"/>
            <w:hideMark/>
          </w:tcPr>
          <w:p w14:paraId="10855323"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1,421</w:t>
            </w:r>
          </w:p>
        </w:tc>
      </w:tr>
      <w:tr w:rsidR="000A376B" w:rsidRPr="000A376B" w14:paraId="40F0CC45" w14:textId="77777777" w:rsidTr="000A376B">
        <w:trPr>
          <w:trHeight w:val="315"/>
        </w:trPr>
        <w:tc>
          <w:tcPr>
            <w:tcW w:w="2620" w:type="dxa"/>
            <w:tcBorders>
              <w:top w:val="nil"/>
              <w:left w:val="nil"/>
              <w:bottom w:val="nil"/>
              <w:right w:val="nil"/>
            </w:tcBorders>
            <w:shd w:val="clear" w:color="auto" w:fill="auto"/>
            <w:noWrap/>
            <w:vAlign w:val="bottom"/>
            <w:hideMark/>
          </w:tcPr>
          <w:p w14:paraId="6D9FC84D"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NET BORROWING</w:t>
            </w:r>
          </w:p>
        </w:tc>
        <w:tc>
          <w:tcPr>
            <w:tcW w:w="700" w:type="dxa"/>
            <w:tcBorders>
              <w:top w:val="nil"/>
              <w:left w:val="nil"/>
              <w:bottom w:val="nil"/>
              <w:right w:val="nil"/>
            </w:tcBorders>
            <w:shd w:val="clear" w:color="auto" w:fill="auto"/>
            <w:noWrap/>
            <w:vAlign w:val="bottom"/>
            <w:hideMark/>
          </w:tcPr>
          <w:p w14:paraId="25D411A8"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123</w:t>
            </w:r>
          </w:p>
        </w:tc>
        <w:tc>
          <w:tcPr>
            <w:tcW w:w="760" w:type="dxa"/>
            <w:tcBorders>
              <w:top w:val="nil"/>
              <w:left w:val="nil"/>
              <w:bottom w:val="nil"/>
              <w:right w:val="nil"/>
            </w:tcBorders>
            <w:shd w:val="clear" w:color="auto" w:fill="auto"/>
            <w:noWrap/>
            <w:vAlign w:val="bottom"/>
            <w:hideMark/>
          </w:tcPr>
          <w:p w14:paraId="53B63239"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-39</w:t>
            </w:r>
          </w:p>
        </w:tc>
        <w:tc>
          <w:tcPr>
            <w:tcW w:w="760" w:type="dxa"/>
            <w:tcBorders>
              <w:top w:val="nil"/>
              <w:left w:val="nil"/>
              <w:bottom w:val="nil"/>
              <w:right w:val="nil"/>
            </w:tcBorders>
            <w:shd w:val="clear" w:color="auto" w:fill="auto"/>
            <w:noWrap/>
            <w:vAlign w:val="bottom"/>
            <w:hideMark/>
          </w:tcPr>
          <w:p w14:paraId="0FB18688"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-163</w:t>
            </w:r>
          </w:p>
        </w:tc>
        <w:tc>
          <w:tcPr>
            <w:tcW w:w="760" w:type="dxa"/>
            <w:tcBorders>
              <w:top w:val="nil"/>
              <w:left w:val="nil"/>
              <w:bottom w:val="nil"/>
              <w:right w:val="nil"/>
            </w:tcBorders>
            <w:shd w:val="clear" w:color="auto" w:fill="auto"/>
            <w:noWrap/>
            <w:vAlign w:val="bottom"/>
            <w:hideMark/>
          </w:tcPr>
          <w:p w14:paraId="2882D05F"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-5</w:t>
            </w:r>
          </w:p>
        </w:tc>
        <w:tc>
          <w:tcPr>
            <w:tcW w:w="620" w:type="dxa"/>
            <w:tcBorders>
              <w:top w:val="nil"/>
              <w:left w:val="nil"/>
              <w:bottom w:val="nil"/>
              <w:right w:val="nil"/>
            </w:tcBorders>
            <w:shd w:val="clear" w:color="auto" w:fill="auto"/>
            <w:noWrap/>
            <w:vAlign w:val="bottom"/>
            <w:hideMark/>
          </w:tcPr>
          <w:p w14:paraId="3D80927F"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52</w:t>
            </w:r>
          </w:p>
        </w:tc>
        <w:tc>
          <w:tcPr>
            <w:tcW w:w="640" w:type="dxa"/>
            <w:tcBorders>
              <w:top w:val="nil"/>
              <w:left w:val="nil"/>
              <w:bottom w:val="nil"/>
              <w:right w:val="nil"/>
            </w:tcBorders>
            <w:shd w:val="clear" w:color="auto" w:fill="auto"/>
            <w:noWrap/>
            <w:vAlign w:val="bottom"/>
            <w:hideMark/>
          </w:tcPr>
          <w:p w14:paraId="0880DEA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8</w:t>
            </w:r>
          </w:p>
        </w:tc>
        <w:tc>
          <w:tcPr>
            <w:tcW w:w="700" w:type="dxa"/>
            <w:tcBorders>
              <w:top w:val="nil"/>
              <w:left w:val="nil"/>
              <w:bottom w:val="nil"/>
              <w:right w:val="nil"/>
            </w:tcBorders>
            <w:shd w:val="clear" w:color="auto" w:fill="auto"/>
            <w:noWrap/>
            <w:vAlign w:val="bottom"/>
            <w:hideMark/>
          </w:tcPr>
          <w:p w14:paraId="52E9FE83"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0</w:t>
            </w:r>
          </w:p>
        </w:tc>
        <w:tc>
          <w:tcPr>
            <w:tcW w:w="640" w:type="dxa"/>
            <w:tcBorders>
              <w:top w:val="nil"/>
              <w:left w:val="nil"/>
              <w:bottom w:val="nil"/>
              <w:right w:val="nil"/>
            </w:tcBorders>
            <w:shd w:val="clear" w:color="auto" w:fill="auto"/>
            <w:noWrap/>
            <w:vAlign w:val="bottom"/>
            <w:hideMark/>
          </w:tcPr>
          <w:p w14:paraId="75D5C59F"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24</w:t>
            </w:r>
          </w:p>
        </w:tc>
        <w:tc>
          <w:tcPr>
            <w:tcW w:w="760" w:type="dxa"/>
            <w:tcBorders>
              <w:top w:val="nil"/>
              <w:left w:val="nil"/>
              <w:bottom w:val="nil"/>
              <w:right w:val="nil"/>
            </w:tcBorders>
            <w:shd w:val="clear" w:color="auto" w:fill="auto"/>
            <w:noWrap/>
            <w:vAlign w:val="bottom"/>
            <w:hideMark/>
          </w:tcPr>
          <w:p w14:paraId="250B636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207</w:t>
            </w:r>
          </w:p>
        </w:tc>
      </w:tr>
      <w:tr w:rsidR="000A376B" w:rsidRPr="000A376B" w14:paraId="733CBE5A" w14:textId="77777777" w:rsidTr="000A376B">
        <w:trPr>
          <w:trHeight w:val="555"/>
        </w:trPr>
        <w:tc>
          <w:tcPr>
            <w:tcW w:w="2620" w:type="dxa"/>
            <w:tcBorders>
              <w:top w:val="single" w:sz="4" w:space="0" w:color="ADD6EA"/>
              <w:left w:val="nil"/>
              <w:bottom w:val="single" w:sz="4" w:space="0" w:color="ADD6EA"/>
              <w:right w:val="nil"/>
            </w:tcBorders>
            <w:shd w:val="clear" w:color="000000" w:fill="D6E7F0"/>
            <w:vAlign w:val="bottom"/>
            <w:hideMark/>
          </w:tcPr>
          <w:p w14:paraId="70D93DD8" w14:textId="77777777" w:rsidR="000A376B" w:rsidRPr="000A376B" w:rsidRDefault="000A376B" w:rsidP="000A376B">
            <w:pPr>
              <w:tabs>
                <w:tab w:val="clear" w:pos="567"/>
              </w:tabs>
              <w:spacing w:before="0" w:line="240" w:lineRule="auto"/>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Total effect of assessed relativities (a)</w:t>
            </w:r>
          </w:p>
        </w:tc>
        <w:tc>
          <w:tcPr>
            <w:tcW w:w="700" w:type="dxa"/>
            <w:tcBorders>
              <w:top w:val="single" w:sz="4" w:space="0" w:color="ADD6EA"/>
              <w:left w:val="nil"/>
              <w:bottom w:val="single" w:sz="4" w:space="0" w:color="ADD6EA"/>
              <w:right w:val="nil"/>
            </w:tcBorders>
            <w:shd w:val="clear" w:color="000000" w:fill="D6E7F0"/>
            <w:noWrap/>
            <w:vAlign w:val="bottom"/>
            <w:hideMark/>
          </w:tcPr>
          <w:p w14:paraId="59266BF2"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345</w:t>
            </w:r>
          </w:p>
        </w:tc>
        <w:tc>
          <w:tcPr>
            <w:tcW w:w="760" w:type="dxa"/>
            <w:tcBorders>
              <w:top w:val="single" w:sz="4" w:space="0" w:color="ADD6EA"/>
              <w:left w:val="nil"/>
              <w:bottom w:val="single" w:sz="4" w:space="0" w:color="ADD6EA"/>
              <w:right w:val="nil"/>
            </w:tcBorders>
            <w:shd w:val="clear" w:color="000000" w:fill="D6E7F0"/>
            <w:noWrap/>
            <w:vAlign w:val="bottom"/>
            <w:hideMark/>
          </w:tcPr>
          <w:p w14:paraId="32081315"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-1,558</w:t>
            </w:r>
          </w:p>
        </w:tc>
        <w:tc>
          <w:tcPr>
            <w:tcW w:w="760" w:type="dxa"/>
            <w:tcBorders>
              <w:top w:val="single" w:sz="4" w:space="0" w:color="ADD6EA"/>
              <w:left w:val="nil"/>
              <w:bottom w:val="single" w:sz="4" w:space="0" w:color="ADD6EA"/>
              <w:right w:val="nil"/>
            </w:tcBorders>
            <w:shd w:val="clear" w:color="000000" w:fill="D6E7F0"/>
            <w:noWrap/>
            <w:vAlign w:val="bottom"/>
            <w:hideMark/>
          </w:tcPr>
          <w:p w14:paraId="7AD0E33E"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1,541</w:t>
            </w:r>
          </w:p>
        </w:tc>
        <w:tc>
          <w:tcPr>
            <w:tcW w:w="760" w:type="dxa"/>
            <w:tcBorders>
              <w:top w:val="single" w:sz="4" w:space="0" w:color="ADD6EA"/>
              <w:left w:val="nil"/>
              <w:bottom w:val="single" w:sz="4" w:space="0" w:color="ADD6EA"/>
              <w:right w:val="nil"/>
            </w:tcBorders>
            <w:shd w:val="clear" w:color="000000" w:fill="D6E7F0"/>
            <w:noWrap/>
            <w:vAlign w:val="bottom"/>
            <w:hideMark/>
          </w:tcPr>
          <w:p w14:paraId="3AAAC0D4"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-6,835</w:t>
            </w:r>
          </w:p>
        </w:tc>
        <w:tc>
          <w:tcPr>
            <w:tcW w:w="620" w:type="dxa"/>
            <w:tcBorders>
              <w:top w:val="single" w:sz="4" w:space="0" w:color="ADD6EA"/>
              <w:left w:val="nil"/>
              <w:bottom w:val="single" w:sz="4" w:space="0" w:color="ADD6EA"/>
              <w:right w:val="nil"/>
            </w:tcBorders>
            <w:shd w:val="clear" w:color="000000" w:fill="D6E7F0"/>
            <w:noWrap/>
            <w:vAlign w:val="bottom"/>
            <w:hideMark/>
          </w:tcPr>
          <w:p w14:paraId="43B44FDE"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1,859</w:t>
            </w:r>
          </w:p>
        </w:tc>
        <w:tc>
          <w:tcPr>
            <w:tcW w:w="640" w:type="dxa"/>
            <w:tcBorders>
              <w:top w:val="single" w:sz="4" w:space="0" w:color="ADD6EA"/>
              <w:left w:val="nil"/>
              <w:bottom w:val="single" w:sz="4" w:space="0" w:color="ADD6EA"/>
              <w:right w:val="nil"/>
            </w:tcBorders>
            <w:shd w:val="clear" w:color="000000" w:fill="D6E7F0"/>
            <w:noWrap/>
            <w:vAlign w:val="bottom"/>
            <w:hideMark/>
          </w:tcPr>
          <w:p w14:paraId="7768E318"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1,502</w:t>
            </w:r>
          </w:p>
        </w:tc>
        <w:tc>
          <w:tcPr>
            <w:tcW w:w="700" w:type="dxa"/>
            <w:tcBorders>
              <w:top w:val="single" w:sz="4" w:space="0" w:color="ADD6EA"/>
              <w:left w:val="nil"/>
              <w:bottom w:val="single" w:sz="4" w:space="0" w:color="ADD6EA"/>
              <w:right w:val="nil"/>
            </w:tcBorders>
            <w:shd w:val="clear" w:color="000000" w:fill="D6E7F0"/>
            <w:noWrap/>
            <w:vAlign w:val="bottom"/>
            <w:hideMark/>
          </w:tcPr>
          <w:p w14:paraId="0DDCFBB2"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203</w:t>
            </w:r>
          </w:p>
        </w:tc>
        <w:tc>
          <w:tcPr>
            <w:tcW w:w="640" w:type="dxa"/>
            <w:tcBorders>
              <w:top w:val="single" w:sz="4" w:space="0" w:color="ADD6EA"/>
              <w:left w:val="nil"/>
              <w:bottom w:val="single" w:sz="4" w:space="0" w:color="ADD6EA"/>
              <w:right w:val="nil"/>
            </w:tcBorders>
            <w:shd w:val="clear" w:color="000000" w:fill="D6E7F0"/>
            <w:noWrap/>
            <w:vAlign w:val="bottom"/>
            <w:hideMark/>
          </w:tcPr>
          <w:p w14:paraId="71B08565"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2,944</w:t>
            </w:r>
          </w:p>
        </w:tc>
        <w:tc>
          <w:tcPr>
            <w:tcW w:w="760" w:type="dxa"/>
            <w:tcBorders>
              <w:top w:val="single" w:sz="4" w:space="0" w:color="ADD6EA"/>
              <w:left w:val="nil"/>
              <w:bottom w:val="single" w:sz="4" w:space="0" w:color="ADD6EA"/>
              <w:right w:val="nil"/>
            </w:tcBorders>
            <w:shd w:val="clear" w:color="000000" w:fill="D6E7F0"/>
            <w:noWrap/>
            <w:vAlign w:val="bottom"/>
            <w:hideMark/>
          </w:tcPr>
          <w:p w14:paraId="1BFA7A91"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8,393</w:t>
            </w:r>
          </w:p>
        </w:tc>
      </w:tr>
      <w:tr w:rsidR="000A376B" w:rsidRPr="000A376B" w14:paraId="74145A32" w14:textId="77777777" w:rsidTr="000A376B">
        <w:trPr>
          <w:trHeight w:val="315"/>
        </w:trPr>
        <w:tc>
          <w:tcPr>
            <w:tcW w:w="2620" w:type="dxa"/>
            <w:tcBorders>
              <w:top w:val="nil"/>
              <w:left w:val="nil"/>
              <w:bottom w:val="nil"/>
              <w:right w:val="nil"/>
            </w:tcBorders>
            <w:shd w:val="clear" w:color="auto" w:fill="auto"/>
            <w:vAlign w:val="bottom"/>
            <w:hideMark/>
          </w:tcPr>
          <w:p w14:paraId="7C5F6CF1" w14:textId="77777777" w:rsidR="000A376B" w:rsidRPr="000A376B" w:rsidRDefault="000A376B" w:rsidP="000A376B">
            <w:pPr>
              <w:tabs>
                <w:tab w:val="clear" w:pos="567"/>
              </w:tabs>
              <w:spacing w:before="0" w:line="240" w:lineRule="auto"/>
              <w:rPr>
                <w:rFonts w:eastAsia="Times New Roman" w:cs="Open Sans Light"/>
                <w:color w:val="000000"/>
                <w:sz w:val="16"/>
                <w:szCs w:val="16"/>
                <w:lang w:eastAsia="en-AU"/>
              </w:rPr>
            </w:pPr>
            <w:r w:rsidRPr="000A376B">
              <w:rPr>
                <w:rFonts w:eastAsia="Times New Roman" w:cs="Open Sans Light"/>
                <w:color w:val="000000"/>
                <w:sz w:val="16"/>
                <w:szCs w:val="16"/>
                <w:lang w:eastAsia="en-AU"/>
              </w:rPr>
              <w:t xml:space="preserve">Blended relativities &amp; GST floor </w:t>
            </w:r>
          </w:p>
        </w:tc>
        <w:tc>
          <w:tcPr>
            <w:tcW w:w="700" w:type="dxa"/>
            <w:tcBorders>
              <w:top w:val="nil"/>
              <w:left w:val="nil"/>
              <w:bottom w:val="nil"/>
              <w:right w:val="nil"/>
            </w:tcBorders>
            <w:shd w:val="clear" w:color="auto" w:fill="auto"/>
            <w:noWrap/>
            <w:vAlign w:val="bottom"/>
            <w:hideMark/>
          </w:tcPr>
          <w:p w14:paraId="73E3494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-1,550</w:t>
            </w:r>
          </w:p>
        </w:tc>
        <w:tc>
          <w:tcPr>
            <w:tcW w:w="760" w:type="dxa"/>
            <w:tcBorders>
              <w:top w:val="nil"/>
              <w:left w:val="nil"/>
              <w:bottom w:val="nil"/>
              <w:right w:val="nil"/>
            </w:tcBorders>
            <w:shd w:val="clear" w:color="auto" w:fill="auto"/>
            <w:noWrap/>
            <w:vAlign w:val="bottom"/>
            <w:hideMark/>
          </w:tcPr>
          <w:p w14:paraId="717EAF4F"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-1,269</w:t>
            </w:r>
          </w:p>
        </w:tc>
        <w:tc>
          <w:tcPr>
            <w:tcW w:w="760" w:type="dxa"/>
            <w:tcBorders>
              <w:top w:val="nil"/>
              <w:left w:val="nil"/>
              <w:bottom w:val="nil"/>
              <w:right w:val="nil"/>
            </w:tcBorders>
            <w:shd w:val="clear" w:color="auto" w:fill="auto"/>
            <w:noWrap/>
            <w:vAlign w:val="bottom"/>
            <w:hideMark/>
          </w:tcPr>
          <w:p w14:paraId="24186269"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-1,006</w:t>
            </w:r>
          </w:p>
        </w:tc>
        <w:tc>
          <w:tcPr>
            <w:tcW w:w="760" w:type="dxa"/>
            <w:tcBorders>
              <w:top w:val="nil"/>
              <w:left w:val="nil"/>
              <w:bottom w:val="nil"/>
              <w:right w:val="nil"/>
            </w:tcBorders>
            <w:shd w:val="clear" w:color="auto" w:fill="auto"/>
            <w:noWrap/>
            <w:vAlign w:val="bottom"/>
            <w:hideMark/>
          </w:tcPr>
          <w:p w14:paraId="56842199"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4,400</w:t>
            </w:r>
          </w:p>
        </w:tc>
        <w:tc>
          <w:tcPr>
            <w:tcW w:w="620" w:type="dxa"/>
            <w:tcBorders>
              <w:top w:val="nil"/>
              <w:left w:val="nil"/>
              <w:bottom w:val="nil"/>
              <w:right w:val="nil"/>
            </w:tcBorders>
            <w:shd w:val="clear" w:color="auto" w:fill="auto"/>
            <w:noWrap/>
            <w:vAlign w:val="bottom"/>
            <w:hideMark/>
          </w:tcPr>
          <w:p w14:paraId="2609C10D"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-340</w:t>
            </w:r>
          </w:p>
        </w:tc>
        <w:tc>
          <w:tcPr>
            <w:tcW w:w="640" w:type="dxa"/>
            <w:tcBorders>
              <w:top w:val="nil"/>
              <w:left w:val="nil"/>
              <w:bottom w:val="nil"/>
              <w:right w:val="nil"/>
            </w:tcBorders>
            <w:shd w:val="clear" w:color="auto" w:fill="auto"/>
            <w:noWrap/>
            <w:vAlign w:val="bottom"/>
            <w:hideMark/>
          </w:tcPr>
          <w:p w14:paraId="5F3FDAB9"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-104</w:t>
            </w:r>
          </w:p>
        </w:tc>
        <w:tc>
          <w:tcPr>
            <w:tcW w:w="700" w:type="dxa"/>
            <w:tcBorders>
              <w:top w:val="nil"/>
              <w:left w:val="nil"/>
              <w:bottom w:val="nil"/>
              <w:right w:val="nil"/>
            </w:tcBorders>
            <w:shd w:val="clear" w:color="auto" w:fill="auto"/>
            <w:noWrap/>
            <w:vAlign w:val="bottom"/>
            <w:hideMark/>
          </w:tcPr>
          <w:p w14:paraId="2FB6E498"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-83</w:t>
            </w:r>
          </w:p>
        </w:tc>
        <w:tc>
          <w:tcPr>
            <w:tcW w:w="640" w:type="dxa"/>
            <w:tcBorders>
              <w:top w:val="nil"/>
              <w:left w:val="nil"/>
              <w:bottom w:val="nil"/>
              <w:right w:val="nil"/>
            </w:tcBorders>
            <w:shd w:val="clear" w:color="auto" w:fill="auto"/>
            <w:noWrap/>
            <w:vAlign w:val="bottom"/>
            <w:hideMark/>
          </w:tcPr>
          <w:p w14:paraId="166C5896"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-48</w:t>
            </w:r>
          </w:p>
        </w:tc>
        <w:tc>
          <w:tcPr>
            <w:tcW w:w="760" w:type="dxa"/>
            <w:tcBorders>
              <w:top w:val="nil"/>
              <w:left w:val="nil"/>
              <w:bottom w:val="nil"/>
              <w:right w:val="nil"/>
            </w:tcBorders>
            <w:shd w:val="clear" w:color="auto" w:fill="auto"/>
            <w:noWrap/>
            <w:vAlign w:val="bottom"/>
            <w:hideMark/>
          </w:tcPr>
          <w:p w14:paraId="558F4344" w14:textId="77777777" w:rsidR="000A376B" w:rsidRPr="000A376B" w:rsidRDefault="000A376B" w:rsidP="000A376B">
            <w:pPr>
              <w:tabs>
                <w:tab w:val="clear" w:pos="567"/>
              </w:tabs>
              <w:spacing w:before="0" w:line="240" w:lineRule="auto"/>
              <w:jc w:val="right"/>
              <w:rPr>
                <w:rFonts w:eastAsia="Times New Roman" w:cs="Open Sans Light"/>
                <w:color w:val="000000"/>
                <w:sz w:val="16"/>
                <w:szCs w:val="16"/>
                <w:lang w:eastAsia="en-AU"/>
              </w:rPr>
            </w:pPr>
            <w:r w:rsidRPr="000A376B">
              <w:rPr>
                <w:rFonts w:eastAsia="Times New Roman" w:cs="Open Sans Light"/>
                <w:color w:val="000000"/>
                <w:sz w:val="16"/>
                <w:szCs w:val="16"/>
                <w:lang w:eastAsia="en-AU"/>
              </w:rPr>
              <w:t>4,400</w:t>
            </w:r>
          </w:p>
        </w:tc>
      </w:tr>
      <w:tr w:rsidR="000A376B" w:rsidRPr="000A376B" w14:paraId="19AC563E" w14:textId="77777777" w:rsidTr="000A376B">
        <w:trPr>
          <w:trHeight w:val="315"/>
        </w:trPr>
        <w:tc>
          <w:tcPr>
            <w:tcW w:w="2620" w:type="dxa"/>
            <w:tcBorders>
              <w:top w:val="single" w:sz="4" w:space="0" w:color="ADD6EA"/>
              <w:left w:val="nil"/>
              <w:bottom w:val="single" w:sz="4" w:space="0" w:color="ADD6EA"/>
              <w:right w:val="nil"/>
            </w:tcBorders>
            <w:shd w:val="clear" w:color="000000" w:fill="D6E7F0"/>
            <w:noWrap/>
            <w:vAlign w:val="bottom"/>
            <w:hideMark/>
          </w:tcPr>
          <w:p w14:paraId="4BD52FD7" w14:textId="77777777" w:rsidR="000A376B" w:rsidRPr="000A376B" w:rsidRDefault="000A376B" w:rsidP="000A376B">
            <w:pPr>
              <w:tabs>
                <w:tab w:val="clear" w:pos="567"/>
              </w:tabs>
              <w:spacing w:before="0" w:line="240" w:lineRule="auto"/>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TOTAL</w:t>
            </w:r>
          </w:p>
        </w:tc>
        <w:tc>
          <w:tcPr>
            <w:tcW w:w="700" w:type="dxa"/>
            <w:tcBorders>
              <w:top w:val="single" w:sz="4" w:space="0" w:color="ADD6EA"/>
              <w:left w:val="nil"/>
              <w:bottom w:val="single" w:sz="4" w:space="0" w:color="ADD6EA"/>
              <w:right w:val="nil"/>
            </w:tcBorders>
            <w:shd w:val="clear" w:color="000000" w:fill="D6E7F0"/>
            <w:noWrap/>
            <w:vAlign w:val="bottom"/>
            <w:hideMark/>
          </w:tcPr>
          <w:p w14:paraId="4C9938BA"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-1,205</w:t>
            </w:r>
          </w:p>
        </w:tc>
        <w:tc>
          <w:tcPr>
            <w:tcW w:w="760" w:type="dxa"/>
            <w:tcBorders>
              <w:top w:val="single" w:sz="4" w:space="0" w:color="ADD6EA"/>
              <w:left w:val="nil"/>
              <w:bottom w:val="single" w:sz="4" w:space="0" w:color="ADD6EA"/>
              <w:right w:val="nil"/>
            </w:tcBorders>
            <w:shd w:val="clear" w:color="000000" w:fill="D6E7F0"/>
            <w:noWrap/>
            <w:vAlign w:val="bottom"/>
            <w:hideMark/>
          </w:tcPr>
          <w:p w14:paraId="2D220772"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-2,827</w:t>
            </w:r>
          </w:p>
        </w:tc>
        <w:tc>
          <w:tcPr>
            <w:tcW w:w="760" w:type="dxa"/>
            <w:tcBorders>
              <w:top w:val="single" w:sz="4" w:space="0" w:color="ADD6EA"/>
              <w:left w:val="nil"/>
              <w:bottom w:val="single" w:sz="4" w:space="0" w:color="ADD6EA"/>
              <w:right w:val="nil"/>
            </w:tcBorders>
            <w:shd w:val="clear" w:color="000000" w:fill="D6E7F0"/>
            <w:noWrap/>
            <w:vAlign w:val="bottom"/>
            <w:hideMark/>
          </w:tcPr>
          <w:p w14:paraId="0D846C05"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535</w:t>
            </w:r>
          </w:p>
        </w:tc>
        <w:tc>
          <w:tcPr>
            <w:tcW w:w="760" w:type="dxa"/>
            <w:tcBorders>
              <w:top w:val="single" w:sz="4" w:space="0" w:color="ADD6EA"/>
              <w:left w:val="nil"/>
              <w:bottom w:val="single" w:sz="4" w:space="0" w:color="ADD6EA"/>
              <w:right w:val="nil"/>
            </w:tcBorders>
            <w:shd w:val="clear" w:color="000000" w:fill="D6E7F0"/>
            <w:noWrap/>
            <w:vAlign w:val="bottom"/>
            <w:hideMark/>
          </w:tcPr>
          <w:p w14:paraId="2C30B9DC"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-2,435</w:t>
            </w:r>
          </w:p>
        </w:tc>
        <w:tc>
          <w:tcPr>
            <w:tcW w:w="620" w:type="dxa"/>
            <w:tcBorders>
              <w:top w:val="single" w:sz="4" w:space="0" w:color="ADD6EA"/>
              <w:left w:val="nil"/>
              <w:bottom w:val="single" w:sz="4" w:space="0" w:color="ADD6EA"/>
              <w:right w:val="nil"/>
            </w:tcBorders>
            <w:shd w:val="clear" w:color="000000" w:fill="D6E7F0"/>
            <w:noWrap/>
            <w:vAlign w:val="bottom"/>
            <w:hideMark/>
          </w:tcPr>
          <w:p w14:paraId="6456EFAE"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1,519</w:t>
            </w:r>
          </w:p>
        </w:tc>
        <w:tc>
          <w:tcPr>
            <w:tcW w:w="640" w:type="dxa"/>
            <w:tcBorders>
              <w:top w:val="single" w:sz="4" w:space="0" w:color="ADD6EA"/>
              <w:left w:val="nil"/>
              <w:bottom w:val="single" w:sz="4" w:space="0" w:color="ADD6EA"/>
              <w:right w:val="nil"/>
            </w:tcBorders>
            <w:shd w:val="clear" w:color="000000" w:fill="D6E7F0"/>
            <w:noWrap/>
            <w:vAlign w:val="bottom"/>
            <w:hideMark/>
          </w:tcPr>
          <w:p w14:paraId="7635E057"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1,397</w:t>
            </w:r>
          </w:p>
        </w:tc>
        <w:tc>
          <w:tcPr>
            <w:tcW w:w="700" w:type="dxa"/>
            <w:tcBorders>
              <w:top w:val="single" w:sz="4" w:space="0" w:color="ADD6EA"/>
              <w:left w:val="nil"/>
              <w:bottom w:val="single" w:sz="4" w:space="0" w:color="ADD6EA"/>
              <w:right w:val="nil"/>
            </w:tcBorders>
            <w:shd w:val="clear" w:color="000000" w:fill="D6E7F0"/>
            <w:noWrap/>
            <w:vAlign w:val="bottom"/>
            <w:hideMark/>
          </w:tcPr>
          <w:p w14:paraId="0BEC6CA9"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120</w:t>
            </w:r>
          </w:p>
        </w:tc>
        <w:tc>
          <w:tcPr>
            <w:tcW w:w="640" w:type="dxa"/>
            <w:tcBorders>
              <w:top w:val="single" w:sz="4" w:space="0" w:color="ADD6EA"/>
              <w:left w:val="nil"/>
              <w:bottom w:val="single" w:sz="4" w:space="0" w:color="ADD6EA"/>
              <w:right w:val="nil"/>
            </w:tcBorders>
            <w:shd w:val="clear" w:color="000000" w:fill="D6E7F0"/>
            <w:noWrap/>
            <w:vAlign w:val="bottom"/>
            <w:hideMark/>
          </w:tcPr>
          <w:p w14:paraId="08113709"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2,895</w:t>
            </w:r>
          </w:p>
        </w:tc>
        <w:tc>
          <w:tcPr>
            <w:tcW w:w="760" w:type="dxa"/>
            <w:tcBorders>
              <w:top w:val="single" w:sz="4" w:space="0" w:color="ADD6EA"/>
              <w:left w:val="nil"/>
              <w:bottom w:val="single" w:sz="4" w:space="0" w:color="ADD6EA"/>
              <w:right w:val="nil"/>
            </w:tcBorders>
            <w:shd w:val="clear" w:color="000000" w:fill="D6E7F0"/>
            <w:noWrap/>
            <w:vAlign w:val="bottom"/>
            <w:hideMark/>
          </w:tcPr>
          <w:p w14:paraId="17790B1F" w14:textId="77777777" w:rsidR="000A376B" w:rsidRPr="000A376B" w:rsidRDefault="000A376B" w:rsidP="000A376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A376B">
              <w:rPr>
                <w:rFonts w:ascii="Open Sans Semibold" w:eastAsia="Times New Roman" w:hAnsi="Open Sans Semibold" w:cs="Open Sans Semibold"/>
                <w:color w:val="000000"/>
                <w:sz w:val="16"/>
                <w:szCs w:val="16"/>
                <w:lang w:eastAsia="en-AU"/>
              </w:rPr>
              <w:t>6,467</w:t>
            </w:r>
          </w:p>
        </w:tc>
      </w:tr>
    </w:tbl>
    <w:p w14:paraId="27C50FD0" w14:textId="68324778" w:rsidR="005568EB" w:rsidRPr="004378D6" w:rsidRDefault="005568EB" w:rsidP="00A3659E">
      <w:pPr>
        <w:pStyle w:val="CGCTablenote"/>
        <w:keepNext/>
        <w:keepLines/>
        <w:widowControl w:val="0"/>
        <w:rPr>
          <w:rStyle w:val="FootnoteReference"/>
        </w:rPr>
      </w:pPr>
      <w:r w:rsidRPr="004378D6">
        <w:t>Note:</w:t>
      </w:r>
      <w:r>
        <w:tab/>
      </w:r>
      <w:r w:rsidRPr="004378D6">
        <w:t>This table shows the drivers that lead to each state receiving more or less than an equal per capita share of GST in 2022</w:t>
      </w:r>
      <w:r w:rsidR="0050606F">
        <w:t>–</w:t>
      </w:r>
      <w:r w:rsidRPr="004378D6">
        <w:t>2</w:t>
      </w:r>
      <w:r w:rsidR="003E53CC">
        <w:t>3</w:t>
      </w:r>
      <w:r w:rsidRPr="004378D6">
        <w:t xml:space="preserve">. </w:t>
      </w:r>
    </w:p>
    <w:p w14:paraId="38F6A272" w14:textId="7802963C" w:rsidR="00CE4066" w:rsidRDefault="005568EB" w:rsidP="00A3659E">
      <w:pPr>
        <w:pStyle w:val="CGCTablenote"/>
        <w:keepNext/>
        <w:keepLines/>
        <w:widowControl w:val="0"/>
      </w:pPr>
      <w:r>
        <w:t>(a)</w:t>
      </w:r>
      <w:r>
        <w:tab/>
      </w:r>
      <w:r w:rsidR="00CE4066">
        <w:t xml:space="preserve">Assessed relativities reflect the GST each state needs </w:t>
      </w:r>
      <w:r w:rsidR="00CE4066" w:rsidRPr="00DB27E4">
        <w:t xml:space="preserve">to </w:t>
      </w:r>
      <w:r w:rsidR="00B65AE9" w:rsidRPr="004378D6">
        <w:t xml:space="preserve">have the same capacity to </w:t>
      </w:r>
      <w:r w:rsidR="00CE4066" w:rsidRPr="007C2043">
        <w:t>provide</w:t>
      </w:r>
      <w:r w:rsidR="00CE4066" w:rsidRPr="00DB27E4">
        <w:t xml:space="preserve"> </w:t>
      </w:r>
      <w:r w:rsidR="00CE4066" w:rsidRPr="0036082A">
        <w:t>service</w:t>
      </w:r>
      <w:r w:rsidR="00CE4066">
        <w:t>s</w:t>
      </w:r>
      <w:r w:rsidR="00B65AE9" w:rsidRPr="004378D6">
        <w:t xml:space="preserve"> as the other states</w:t>
      </w:r>
      <w:r w:rsidR="00CE4066">
        <w:t>. Legislation specifies how these are adjusted to derive GST relativities, which determine GST distribution.</w:t>
      </w:r>
    </w:p>
    <w:p w14:paraId="296DF2AB" w14:textId="77777777" w:rsidR="00A3659E" w:rsidRDefault="005568EB" w:rsidP="00A3659E">
      <w:pPr>
        <w:pStyle w:val="CGCTablenote"/>
        <w:keepNext/>
        <w:keepLines/>
        <w:widowControl w:val="0"/>
      </w:pPr>
      <w:r>
        <w:t>Source</w:t>
      </w:r>
      <w:r>
        <w:tab/>
        <w:t>Commission calculation.</w:t>
      </w:r>
    </w:p>
    <w:p w14:paraId="0CE75185" w14:textId="77777777" w:rsidR="005D02C9" w:rsidRDefault="005D02C9">
      <w:pPr>
        <w:tabs>
          <w:tab w:val="clear" w:pos="567"/>
        </w:tabs>
        <w:spacing w:before="0" w:line="240" w:lineRule="auto"/>
        <w:rPr>
          <w:rFonts w:ascii="Work Sans" w:eastAsiaTheme="majorEastAsia" w:hAnsi="Work Sans" w:cs="Open Sans"/>
          <w:b/>
          <w:bCs/>
          <w:color w:val="006991"/>
          <w:sz w:val="36"/>
          <w:szCs w:val="36"/>
        </w:rPr>
      </w:pPr>
      <w:r>
        <w:br w:type="page"/>
      </w:r>
    </w:p>
    <w:p w14:paraId="1419EF81" w14:textId="30238BE9" w:rsidR="00CE4066" w:rsidRDefault="00CE4066" w:rsidP="000D6032">
      <w:pPr>
        <w:pStyle w:val="Heading2"/>
      </w:pPr>
      <w:r>
        <w:t>Why GST shares have changed</w:t>
      </w:r>
      <w:r w:rsidR="00162F8E">
        <w:rPr>
          <w:noProof/>
        </w:rPr>
        <w:drawing>
          <wp:anchor distT="0" distB="0" distL="114300" distR="114300" simplePos="0" relativeHeight="251658272" behindDoc="1" locked="1" layoutInCell="1" allowOverlap="1" wp14:anchorId="04FD3502" wp14:editId="2EF57D7B">
            <wp:simplePos x="0" y="0"/>
            <wp:positionH relativeFrom="page">
              <wp:posOffset>0</wp:posOffset>
            </wp:positionH>
            <wp:positionV relativeFrom="margin">
              <wp:posOffset>-795020</wp:posOffset>
            </wp:positionV>
            <wp:extent cx="7563485" cy="10691495"/>
            <wp:effectExtent l="0" t="0" r="0" b="0"/>
            <wp:wrapNone/>
            <wp:docPr id="57" name="Picture 5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4205DBDD" w14:textId="0019404C" w:rsidR="00CE4066" w:rsidRPr="002476E9" w:rsidRDefault="00CE4066" w:rsidP="0004064D">
      <w:pPr>
        <w:pStyle w:val="CGCBodyCopy"/>
      </w:pPr>
      <w:r>
        <w:t xml:space="preserve">In this update, the Commission has used the latest available data to reflect the latest circumstances of states. </w:t>
      </w:r>
      <w:r w:rsidRPr="000F672F">
        <w:t xml:space="preserve">It has </w:t>
      </w:r>
      <w:r w:rsidR="00E023C2" w:rsidRPr="000F672F">
        <w:t>a</w:t>
      </w:r>
      <w:r w:rsidR="001F6ECB" w:rsidRPr="000F672F">
        <w:t>pplied the methods</w:t>
      </w:r>
      <w:r w:rsidR="00862134" w:rsidRPr="000F672F">
        <w:t xml:space="preserve"> developed in the 2020 Review </w:t>
      </w:r>
      <w:r w:rsidR="00BF521D" w:rsidRPr="000F672F">
        <w:t>and</w:t>
      </w:r>
      <w:r w:rsidR="001F6ECB">
        <w:t xml:space="preserve"> </w:t>
      </w:r>
      <w:r>
        <w:t>continued the phased implementation of the 2018</w:t>
      </w:r>
      <w:r w:rsidR="006B199F">
        <w:t> </w:t>
      </w:r>
      <w:r>
        <w:t>legislated arrangements. Changes in assessed needs mainly relate to changes in revenue raising capacity, which tends to be more volatile than expenditure needs</w:t>
      </w:r>
      <w:r w:rsidRPr="002476E9">
        <w:t>.</w:t>
      </w:r>
    </w:p>
    <w:p w14:paraId="75D0895E" w14:textId="1AA8DF87" w:rsidR="00CE4066" w:rsidRDefault="00CE4066" w:rsidP="00CE4066">
      <w:pPr>
        <w:pStyle w:val="Caption"/>
      </w:pPr>
      <w:bookmarkStart w:id="38" w:name="_Ref94275800"/>
      <w:bookmarkStart w:id="39" w:name="_Toc62487273"/>
      <w:bookmarkStart w:id="40" w:name="_Toc62723804"/>
      <w:r w:rsidRPr="002476E9">
        <w:t>Table 2</w:t>
      </w:r>
      <w:r>
        <w:t>-</w:t>
      </w:r>
      <w:r>
        <w:fldChar w:fldCharType="begin"/>
      </w:r>
      <w:r>
        <w:instrText>SEQ Table \* ARABIC</w:instrText>
      </w:r>
      <w:r>
        <w:fldChar w:fldCharType="separate"/>
      </w:r>
      <w:r w:rsidR="00FE4664">
        <w:rPr>
          <w:noProof/>
        </w:rPr>
        <w:t>2</w:t>
      </w:r>
      <w:r>
        <w:fldChar w:fldCharType="end"/>
      </w:r>
      <w:bookmarkEnd w:id="38"/>
      <w:r w:rsidRPr="002476E9">
        <w:tab/>
        <w:t>Composition of estimated changes in GST distribution, 202</w:t>
      </w:r>
      <w:r>
        <w:t>1</w:t>
      </w:r>
      <w:r w:rsidR="002875F7">
        <w:t>–</w:t>
      </w:r>
      <w:r w:rsidRPr="002476E9">
        <w:t>2</w:t>
      </w:r>
      <w:r>
        <w:t>2</w:t>
      </w:r>
      <w:r w:rsidRPr="002476E9">
        <w:t xml:space="preserve"> to 202</w:t>
      </w:r>
      <w:r>
        <w:t>2</w:t>
      </w:r>
      <w:r w:rsidR="002875F7">
        <w:t>–</w:t>
      </w:r>
      <w:r w:rsidRPr="002476E9">
        <w:t>2</w:t>
      </w:r>
      <w:bookmarkEnd w:id="39"/>
      <w:bookmarkEnd w:id="40"/>
      <w:r>
        <w:t>3</w:t>
      </w:r>
    </w:p>
    <w:tbl>
      <w:tblPr>
        <w:tblW w:w="8980" w:type="dxa"/>
        <w:tblLook w:val="04A0" w:firstRow="1" w:lastRow="0" w:firstColumn="1" w:lastColumn="0" w:noHBand="0" w:noVBand="1"/>
      </w:tblPr>
      <w:tblGrid>
        <w:gridCol w:w="2780"/>
        <w:gridCol w:w="760"/>
        <w:gridCol w:w="760"/>
        <w:gridCol w:w="640"/>
        <w:gridCol w:w="760"/>
        <w:gridCol w:w="640"/>
        <w:gridCol w:w="640"/>
        <w:gridCol w:w="640"/>
        <w:gridCol w:w="580"/>
        <w:gridCol w:w="780"/>
      </w:tblGrid>
      <w:tr w:rsidR="0029218A" w:rsidRPr="0029218A" w14:paraId="79E90B17" w14:textId="77777777" w:rsidTr="0029218A">
        <w:trPr>
          <w:trHeight w:val="379"/>
        </w:trPr>
        <w:tc>
          <w:tcPr>
            <w:tcW w:w="2780" w:type="dxa"/>
            <w:tcBorders>
              <w:top w:val="nil"/>
              <w:left w:val="nil"/>
              <w:bottom w:val="single" w:sz="4" w:space="0" w:color="ADD6EA"/>
              <w:right w:val="nil"/>
            </w:tcBorders>
            <w:shd w:val="clear" w:color="000000" w:fill="006991"/>
            <w:noWrap/>
            <w:vAlign w:val="center"/>
            <w:hideMark/>
          </w:tcPr>
          <w:p w14:paraId="00C2687A"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b/>
                <w:bCs/>
                <w:color w:val="FFFFFF"/>
                <w:sz w:val="16"/>
                <w:szCs w:val="16"/>
                <w:lang w:eastAsia="en-AU"/>
              </w:rPr>
            </w:pPr>
            <w:bookmarkStart w:id="41" w:name="RANGE!A2:J9"/>
            <w:bookmarkStart w:id="42" w:name="RANGE!A2:J11"/>
            <w:bookmarkEnd w:id="41"/>
            <w:r w:rsidRPr="0029218A">
              <w:rPr>
                <w:rFonts w:ascii="Open Sans Semibold" w:eastAsia="Times New Roman" w:hAnsi="Open Sans Semibold" w:cs="Open Sans Semibold"/>
                <w:b/>
                <w:bCs/>
                <w:color w:val="FFFFFF"/>
                <w:sz w:val="16"/>
                <w:szCs w:val="16"/>
                <w:lang w:eastAsia="en-AU"/>
              </w:rPr>
              <w:t> </w:t>
            </w:r>
            <w:bookmarkEnd w:id="42"/>
          </w:p>
        </w:tc>
        <w:tc>
          <w:tcPr>
            <w:tcW w:w="760" w:type="dxa"/>
            <w:tcBorders>
              <w:top w:val="nil"/>
              <w:left w:val="nil"/>
              <w:bottom w:val="single" w:sz="4" w:space="0" w:color="ADD6EA"/>
              <w:right w:val="nil"/>
            </w:tcBorders>
            <w:shd w:val="clear" w:color="000000" w:fill="006991"/>
            <w:noWrap/>
            <w:vAlign w:val="center"/>
            <w:hideMark/>
          </w:tcPr>
          <w:p w14:paraId="3D2EAEF7"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9218A">
              <w:rPr>
                <w:rFonts w:ascii="Open Sans Semibold" w:eastAsia="Times New Roman" w:hAnsi="Open Sans Semibold" w:cs="Open Sans Semibold"/>
                <w:color w:val="FFFFFF"/>
                <w:sz w:val="16"/>
                <w:szCs w:val="16"/>
                <w:lang w:eastAsia="en-AU"/>
              </w:rPr>
              <w:t>NSW</w:t>
            </w:r>
          </w:p>
        </w:tc>
        <w:tc>
          <w:tcPr>
            <w:tcW w:w="760" w:type="dxa"/>
            <w:tcBorders>
              <w:top w:val="nil"/>
              <w:left w:val="nil"/>
              <w:bottom w:val="single" w:sz="4" w:space="0" w:color="ADD6EA"/>
              <w:right w:val="nil"/>
            </w:tcBorders>
            <w:shd w:val="clear" w:color="000000" w:fill="006991"/>
            <w:noWrap/>
            <w:vAlign w:val="center"/>
            <w:hideMark/>
          </w:tcPr>
          <w:p w14:paraId="42FB1EBC"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9218A">
              <w:rPr>
                <w:rFonts w:ascii="Open Sans Semibold" w:eastAsia="Times New Roman" w:hAnsi="Open Sans Semibold" w:cs="Open Sans Semibold"/>
                <w:color w:val="FFFFFF"/>
                <w:sz w:val="16"/>
                <w:szCs w:val="16"/>
                <w:lang w:eastAsia="en-AU"/>
              </w:rPr>
              <w:t>Vic</w:t>
            </w:r>
          </w:p>
        </w:tc>
        <w:tc>
          <w:tcPr>
            <w:tcW w:w="640" w:type="dxa"/>
            <w:tcBorders>
              <w:top w:val="nil"/>
              <w:left w:val="nil"/>
              <w:bottom w:val="single" w:sz="4" w:space="0" w:color="ADD6EA"/>
              <w:right w:val="nil"/>
            </w:tcBorders>
            <w:shd w:val="clear" w:color="000000" w:fill="006991"/>
            <w:noWrap/>
            <w:vAlign w:val="center"/>
            <w:hideMark/>
          </w:tcPr>
          <w:p w14:paraId="36D6F1E8"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9218A">
              <w:rPr>
                <w:rFonts w:ascii="Open Sans Semibold" w:eastAsia="Times New Roman" w:hAnsi="Open Sans Semibold" w:cs="Open Sans Semibold"/>
                <w:color w:val="FFFFFF"/>
                <w:sz w:val="16"/>
                <w:szCs w:val="16"/>
                <w:lang w:eastAsia="en-AU"/>
              </w:rPr>
              <w:t>Qld</w:t>
            </w:r>
          </w:p>
        </w:tc>
        <w:tc>
          <w:tcPr>
            <w:tcW w:w="760" w:type="dxa"/>
            <w:tcBorders>
              <w:top w:val="nil"/>
              <w:left w:val="nil"/>
              <w:bottom w:val="single" w:sz="4" w:space="0" w:color="ADD6EA"/>
              <w:right w:val="nil"/>
            </w:tcBorders>
            <w:shd w:val="clear" w:color="000000" w:fill="006991"/>
            <w:noWrap/>
            <w:vAlign w:val="center"/>
            <w:hideMark/>
          </w:tcPr>
          <w:p w14:paraId="6F0B226D"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9218A">
              <w:rPr>
                <w:rFonts w:ascii="Open Sans Semibold" w:eastAsia="Times New Roman" w:hAnsi="Open Sans Semibold" w:cs="Open Sans Semibold"/>
                <w:color w:val="FFFFFF"/>
                <w:sz w:val="16"/>
                <w:szCs w:val="16"/>
                <w:lang w:eastAsia="en-AU"/>
              </w:rPr>
              <w:t>WA</w:t>
            </w:r>
          </w:p>
        </w:tc>
        <w:tc>
          <w:tcPr>
            <w:tcW w:w="640" w:type="dxa"/>
            <w:tcBorders>
              <w:top w:val="nil"/>
              <w:left w:val="nil"/>
              <w:bottom w:val="single" w:sz="4" w:space="0" w:color="ADD6EA"/>
              <w:right w:val="nil"/>
            </w:tcBorders>
            <w:shd w:val="clear" w:color="000000" w:fill="006991"/>
            <w:noWrap/>
            <w:vAlign w:val="center"/>
            <w:hideMark/>
          </w:tcPr>
          <w:p w14:paraId="1934A4F0"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9218A">
              <w:rPr>
                <w:rFonts w:ascii="Open Sans Semibold" w:eastAsia="Times New Roman" w:hAnsi="Open Sans Semibold" w:cs="Open Sans Semibold"/>
                <w:color w:val="FFFFFF"/>
                <w:sz w:val="16"/>
                <w:szCs w:val="16"/>
                <w:lang w:eastAsia="en-AU"/>
              </w:rPr>
              <w:t>SA</w:t>
            </w:r>
          </w:p>
        </w:tc>
        <w:tc>
          <w:tcPr>
            <w:tcW w:w="640" w:type="dxa"/>
            <w:tcBorders>
              <w:top w:val="nil"/>
              <w:left w:val="nil"/>
              <w:bottom w:val="single" w:sz="4" w:space="0" w:color="ADD6EA"/>
              <w:right w:val="nil"/>
            </w:tcBorders>
            <w:shd w:val="clear" w:color="000000" w:fill="006991"/>
            <w:noWrap/>
            <w:vAlign w:val="center"/>
            <w:hideMark/>
          </w:tcPr>
          <w:p w14:paraId="13A8500D"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9218A">
              <w:rPr>
                <w:rFonts w:ascii="Open Sans Semibold" w:eastAsia="Times New Roman" w:hAnsi="Open Sans Semibold" w:cs="Open Sans Semibold"/>
                <w:color w:val="FFFFFF"/>
                <w:sz w:val="16"/>
                <w:szCs w:val="16"/>
                <w:lang w:eastAsia="en-AU"/>
              </w:rPr>
              <w:t>Tas</w:t>
            </w:r>
          </w:p>
        </w:tc>
        <w:tc>
          <w:tcPr>
            <w:tcW w:w="640" w:type="dxa"/>
            <w:tcBorders>
              <w:top w:val="nil"/>
              <w:left w:val="nil"/>
              <w:bottom w:val="single" w:sz="4" w:space="0" w:color="ADD6EA"/>
              <w:right w:val="nil"/>
            </w:tcBorders>
            <w:shd w:val="clear" w:color="000000" w:fill="006991"/>
            <w:noWrap/>
            <w:vAlign w:val="center"/>
            <w:hideMark/>
          </w:tcPr>
          <w:p w14:paraId="3B13B36D"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9218A">
              <w:rPr>
                <w:rFonts w:ascii="Open Sans Semibold" w:eastAsia="Times New Roman" w:hAnsi="Open Sans Semibold" w:cs="Open Sans Semibold"/>
                <w:color w:val="FFFFFF"/>
                <w:sz w:val="16"/>
                <w:szCs w:val="16"/>
                <w:lang w:eastAsia="en-AU"/>
              </w:rPr>
              <w:t>ACT</w:t>
            </w:r>
          </w:p>
        </w:tc>
        <w:tc>
          <w:tcPr>
            <w:tcW w:w="580" w:type="dxa"/>
            <w:tcBorders>
              <w:top w:val="nil"/>
              <w:left w:val="nil"/>
              <w:bottom w:val="single" w:sz="4" w:space="0" w:color="ADD6EA"/>
              <w:right w:val="nil"/>
            </w:tcBorders>
            <w:shd w:val="clear" w:color="000000" w:fill="006991"/>
            <w:noWrap/>
            <w:vAlign w:val="center"/>
            <w:hideMark/>
          </w:tcPr>
          <w:p w14:paraId="7DD738FB"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9218A">
              <w:rPr>
                <w:rFonts w:ascii="Open Sans Semibold" w:eastAsia="Times New Roman" w:hAnsi="Open Sans Semibold" w:cs="Open Sans Semibold"/>
                <w:color w:val="FFFFFF"/>
                <w:sz w:val="16"/>
                <w:szCs w:val="16"/>
                <w:lang w:eastAsia="en-AU"/>
              </w:rPr>
              <w:t>NT</w:t>
            </w:r>
          </w:p>
        </w:tc>
        <w:tc>
          <w:tcPr>
            <w:tcW w:w="780" w:type="dxa"/>
            <w:tcBorders>
              <w:top w:val="nil"/>
              <w:left w:val="nil"/>
              <w:bottom w:val="single" w:sz="4" w:space="0" w:color="ADD6EA"/>
              <w:right w:val="nil"/>
            </w:tcBorders>
            <w:shd w:val="clear" w:color="000000" w:fill="006991"/>
            <w:noWrap/>
            <w:vAlign w:val="center"/>
            <w:hideMark/>
          </w:tcPr>
          <w:p w14:paraId="44B1F3F6"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9218A">
              <w:rPr>
                <w:rFonts w:ascii="Open Sans Semibold" w:eastAsia="Times New Roman" w:hAnsi="Open Sans Semibold" w:cs="Open Sans Semibold"/>
                <w:color w:val="FFFFFF"/>
                <w:sz w:val="16"/>
                <w:szCs w:val="16"/>
                <w:lang w:eastAsia="en-AU"/>
              </w:rPr>
              <w:t>Redist</w:t>
            </w:r>
          </w:p>
        </w:tc>
      </w:tr>
      <w:tr w:rsidR="0029218A" w:rsidRPr="0029218A" w14:paraId="766421D7" w14:textId="77777777" w:rsidTr="0029218A">
        <w:trPr>
          <w:trHeight w:val="259"/>
        </w:trPr>
        <w:tc>
          <w:tcPr>
            <w:tcW w:w="2780" w:type="dxa"/>
            <w:tcBorders>
              <w:top w:val="nil"/>
              <w:left w:val="nil"/>
              <w:bottom w:val="nil"/>
              <w:right w:val="nil"/>
            </w:tcBorders>
            <w:shd w:val="clear" w:color="000000" w:fill="B6D5E4"/>
            <w:noWrap/>
            <w:vAlign w:val="bottom"/>
            <w:hideMark/>
          </w:tcPr>
          <w:p w14:paraId="7C5B72AE"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 </w:t>
            </w:r>
          </w:p>
        </w:tc>
        <w:tc>
          <w:tcPr>
            <w:tcW w:w="760" w:type="dxa"/>
            <w:tcBorders>
              <w:top w:val="nil"/>
              <w:left w:val="nil"/>
              <w:bottom w:val="nil"/>
              <w:right w:val="nil"/>
            </w:tcBorders>
            <w:shd w:val="clear" w:color="000000" w:fill="B6D5E4"/>
            <w:noWrap/>
            <w:vAlign w:val="bottom"/>
            <w:hideMark/>
          </w:tcPr>
          <w:p w14:paraId="5B4B6AD4"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$m</w:t>
            </w:r>
          </w:p>
        </w:tc>
        <w:tc>
          <w:tcPr>
            <w:tcW w:w="760" w:type="dxa"/>
            <w:tcBorders>
              <w:top w:val="nil"/>
              <w:left w:val="nil"/>
              <w:bottom w:val="nil"/>
              <w:right w:val="nil"/>
            </w:tcBorders>
            <w:shd w:val="clear" w:color="000000" w:fill="B6D5E4"/>
            <w:noWrap/>
            <w:vAlign w:val="bottom"/>
            <w:hideMark/>
          </w:tcPr>
          <w:p w14:paraId="774E3D53"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$m</w:t>
            </w:r>
          </w:p>
        </w:tc>
        <w:tc>
          <w:tcPr>
            <w:tcW w:w="640" w:type="dxa"/>
            <w:tcBorders>
              <w:top w:val="nil"/>
              <w:left w:val="nil"/>
              <w:bottom w:val="nil"/>
              <w:right w:val="nil"/>
            </w:tcBorders>
            <w:shd w:val="clear" w:color="000000" w:fill="B6D5E4"/>
            <w:noWrap/>
            <w:vAlign w:val="bottom"/>
            <w:hideMark/>
          </w:tcPr>
          <w:p w14:paraId="0F939217"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$m</w:t>
            </w:r>
          </w:p>
        </w:tc>
        <w:tc>
          <w:tcPr>
            <w:tcW w:w="760" w:type="dxa"/>
            <w:tcBorders>
              <w:top w:val="nil"/>
              <w:left w:val="nil"/>
              <w:bottom w:val="nil"/>
              <w:right w:val="nil"/>
            </w:tcBorders>
            <w:shd w:val="clear" w:color="000000" w:fill="B6D5E4"/>
            <w:noWrap/>
            <w:vAlign w:val="bottom"/>
            <w:hideMark/>
          </w:tcPr>
          <w:p w14:paraId="2B58366D"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$m</w:t>
            </w:r>
          </w:p>
        </w:tc>
        <w:tc>
          <w:tcPr>
            <w:tcW w:w="640" w:type="dxa"/>
            <w:tcBorders>
              <w:top w:val="nil"/>
              <w:left w:val="nil"/>
              <w:bottom w:val="nil"/>
              <w:right w:val="nil"/>
            </w:tcBorders>
            <w:shd w:val="clear" w:color="000000" w:fill="B6D5E4"/>
            <w:noWrap/>
            <w:vAlign w:val="bottom"/>
            <w:hideMark/>
          </w:tcPr>
          <w:p w14:paraId="722CC4AB"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$m</w:t>
            </w:r>
          </w:p>
        </w:tc>
        <w:tc>
          <w:tcPr>
            <w:tcW w:w="640" w:type="dxa"/>
            <w:tcBorders>
              <w:top w:val="nil"/>
              <w:left w:val="nil"/>
              <w:bottom w:val="nil"/>
              <w:right w:val="nil"/>
            </w:tcBorders>
            <w:shd w:val="clear" w:color="000000" w:fill="B6D5E4"/>
            <w:noWrap/>
            <w:vAlign w:val="bottom"/>
            <w:hideMark/>
          </w:tcPr>
          <w:p w14:paraId="3A81C27E"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$m</w:t>
            </w:r>
          </w:p>
        </w:tc>
        <w:tc>
          <w:tcPr>
            <w:tcW w:w="640" w:type="dxa"/>
            <w:tcBorders>
              <w:top w:val="nil"/>
              <w:left w:val="nil"/>
              <w:bottom w:val="nil"/>
              <w:right w:val="nil"/>
            </w:tcBorders>
            <w:shd w:val="clear" w:color="000000" w:fill="B6D5E4"/>
            <w:noWrap/>
            <w:vAlign w:val="bottom"/>
            <w:hideMark/>
          </w:tcPr>
          <w:p w14:paraId="1F0F24AE"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$m</w:t>
            </w:r>
          </w:p>
        </w:tc>
        <w:tc>
          <w:tcPr>
            <w:tcW w:w="580" w:type="dxa"/>
            <w:tcBorders>
              <w:top w:val="nil"/>
              <w:left w:val="nil"/>
              <w:bottom w:val="nil"/>
              <w:right w:val="nil"/>
            </w:tcBorders>
            <w:shd w:val="clear" w:color="000000" w:fill="B6D5E4"/>
            <w:noWrap/>
            <w:vAlign w:val="bottom"/>
            <w:hideMark/>
          </w:tcPr>
          <w:p w14:paraId="22FEF6F0"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$m</w:t>
            </w:r>
          </w:p>
        </w:tc>
        <w:tc>
          <w:tcPr>
            <w:tcW w:w="780" w:type="dxa"/>
            <w:tcBorders>
              <w:top w:val="nil"/>
              <w:left w:val="nil"/>
              <w:bottom w:val="nil"/>
              <w:right w:val="nil"/>
            </w:tcBorders>
            <w:shd w:val="clear" w:color="000000" w:fill="B6D5E4"/>
            <w:noWrap/>
            <w:vAlign w:val="bottom"/>
            <w:hideMark/>
          </w:tcPr>
          <w:p w14:paraId="2A5412DB"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$m</w:t>
            </w:r>
          </w:p>
        </w:tc>
      </w:tr>
      <w:tr w:rsidR="0029218A" w:rsidRPr="0029218A" w14:paraId="1BD64790" w14:textId="77777777" w:rsidTr="0029218A">
        <w:trPr>
          <w:trHeight w:val="315"/>
        </w:trPr>
        <w:tc>
          <w:tcPr>
            <w:tcW w:w="2780" w:type="dxa"/>
            <w:tcBorders>
              <w:top w:val="nil"/>
              <w:left w:val="nil"/>
              <w:bottom w:val="single" w:sz="4" w:space="0" w:color="ADD6EA"/>
              <w:right w:val="nil"/>
            </w:tcBorders>
            <w:shd w:val="clear" w:color="auto" w:fill="auto"/>
            <w:noWrap/>
            <w:vAlign w:val="bottom"/>
            <w:hideMark/>
          </w:tcPr>
          <w:p w14:paraId="7A731D7A" w14:textId="77777777" w:rsidR="0029218A" w:rsidRPr="0029218A" w:rsidRDefault="0029218A" w:rsidP="0029218A">
            <w:pPr>
              <w:tabs>
                <w:tab w:val="clear" w:pos="567"/>
              </w:tabs>
              <w:spacing w:before="0" w:line="240" w:lineRule="auto"/>
              <w:rPr>
                <w:rFonts w:eastAsia="Times New Roman" w:cs="Open Sans Light"/>
                <w:color w:val="000000"/>
                <w:sz w:val="16"/>
                <w:szCs w:val="16"/>
                <w:lang w:eastAsia="en-AU"/>
              </w:rPr>
            </w:pPr>
            <w:r w:rsidRPr="0029218A">
              <w:rPr>
                <w:rFonts w:eastAsia="Times New Roman" w:cs="Open Sans Light"/>
                <w:color w:val="000000"/>
                <w:sz w:val="16"/>
                <w:szCs w:val="16"/>
                <w:lang w:eastAsia="en-AU"/>
              </w:rPr>
              <w:t>Expense needs</w:t>
            </w:r>
          </w:p>
        </w:tc>
        <w:tc>
          <w:tcPr>
            <w:tcW w:w="760" w:type="dxa"/>
            <w:tcBorders>
              <w:top w:val="nil"/>
              <w:left w:val="nil"/>
              <w:bottom w:val="single" w:sz="4" w:space="0" w:color="ADD6EA"/>
              <w:right w:val="nil"/>
            </w:tcBorders>
            <w:shd w:val="clear" w:color="auto" w:fill="auto"/>
            <w:noWrap/>
            <w:vAlign w:val="bottom"/>
            <w:hideMark/>
          </w:tcPr>
          <w:p w14:paraId="2D3ED293"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169</w:t>
            </w:r>
          </w:p>
        </w:tc>
        <w:tc>
          <w:tcPr>
            <w:tcW w:w="760" w:type="dxa"/>
            <w:tcBorders>
              <w:top w:val="nil"/>
              <w:left w:val="nil"/>
              <w:bottom w:val="single" w:sz="4" w:space="0" w:color="ADD6EA"/>
              <w:right w:val="nil"/>
            </w:tcBorders>
            <w:shd w:val="clear" w:color="auto" w:fill="auto"/>
            <w:noWrap/>
            <w:vAlign w:val="bottom"/>
            <w:hideMark/>
          </w:tcPr>
          <w:p w14:paraId="5E21119D"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-231</w:t>
            </w:r>
          </w:p>
        </w:tc>
        <w:tc>
          <w:tcPr>
            <w:tcW w:w="640" w:type="dxa"/>
            <w:tcBorders>
              <w:top w:val="nil"/>
              <w:left w:val="nil"/>
              <w:bottom w:val="single" w:sz="4" w:space="0" w:color="ADD6EA"/>
              <w:right w:val="nil"/>
            </w:tcBorders>
            <w:shd w:val="clear" w:color="auto" w:fill="auto"/>
            <w:noWrap/>
            <w:vAlign w:val="bottom"/>
            <w:hideMark/>
          </w:tcPr>
          <w:p w14:paraId="35ADA76D"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-301</w:t>
            </w:r>
          </w:p>
        </w:tc>
        <w:tc>
          <w:tcPr>
            <w:tcW w:w="760" w:type="dxa"/>
            <w:tcBorders>
              <w:top w:val="nil"/>
              <w:left w:val="nil"/>
              <w:bottom w:val="single" w:sz="4" w:space="0" w:color="ADD6EA"/>
              <w:right w:val="nil"/>
            </w:tcBorders>
            <w:shd w:val="clear" w:color="auto" w:fill="auto"/>
            <w:noWrap/>
            <w:vAlign w:val="bottom"/>
            <w:hideMark/>
          </w:tcPr>
          <w:p w14:paraId="61FCCFF2"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422</w:t>
            </w:r>
          </w:p>
        </w:tc>
        <w:tc>
          <w:tcPr>
            <w:tcW w:w="640" w:type="dxa"/>
            <w:tcBorders>
              <w:top w:val="nil"/>
              <w:left w:val="nil"/>
              <w:bottom w:val="single" w:sz="4" w:space="0" w:color="ADD6EA"/>
              <w:right w:val="nil"/>
            </w:tcBorders>
            <w:shd w:val="clear" w:color="auto" w:fill="auto"/>
            <w:noWrap/>
            <w:vAlign w:val="bottom"/>
            <w:hideMark/>
          </w:tcPr>
          <w:p w14:paraId="3AC25E77"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-15</w:t>
            </w:r>
          </w:p>
        </w:tc>
        <w:tc>
          <w:tcPr>
            <w:tcW w:w="640" w:type="dxa"/>
            <w:tcBorders>
              <w:top w:val="nil"/>
              <w:left w:val="nil"/>
              <w:bottom w:val="single" w:sz="4" w:space="0" w:color="ADD6EA"/>
              <w:right w:val="nil"/>
            </w:tcBorders>
            <w:shd w:val="clear" w:color="auto" w:fill="auto"/>
            <w:noWrap/>
            <w:vAlign w:val="bottom"/>
            <w:hideMark/>
          </w:tcPr>
          <w:p w14:paraId="4DAED61E"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-39</w:t>
            </w:r>
          </w:p>
        </w:tc>
        <w:tc>
          <w:tcPr>
            <w:tcW w:w="640" w:type="dxa"/>
            <w:tcBorders>
              <w:top w:val="nil"/>
              <w:left w:val="nil"/>
              <w:bottom w:val="single" w:sz="4" w:space="0" w:color="ADD6EA"/>
              <w:right w:val="nil"/>
            </w:tcBorders>
            <w:shd w:val="clear" w:color="auto" w:fill="auto"/>
            <w:noWrap/>
            <w:vAlign w:val="bottom"/>
            <w:hideMark/>
          </w:tcPr>
          <w:p w14:paraId="47592366"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-37</w:t>
            </w:r>
          </w:p>
        </w:tc>
        <w:tc>
          <w:tcPr>
            <w:tcW w:w="580" w:type="dxa"/>
            <w:tcBorders>
              <w:top w:val="nil"/>
              <w:left w:val="nil"/>
              <w:bottom w:val="single" w:sz="4" w:space="0" w:color="ADD6EA"/>
              <w:right w:val="nil"/>
            </w:tcBorders>
            <w:shd w:val="clear" w:color="auto" w:fill="auto"/>
            <w:noWrap/>
            <w:vAlign w:val="bottom"/>
            <w:hideMark/>
          </w:tcPr>
          <w:p w14:paraId="41AFEC7A"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32</w:t>
            </w:r>
          </w:p>
        </w:tc>
        <w:tc>
          <w:tcPr>
            <w:tcW w:w="780" w:type="dxa"/>
            <w:tcBorders>
              <w:top w:val="nil"/>
              <w:left w:val="nil"/>
              <w:bottom w:val="single" w:sz="4" w:space="0" w:color="ADD6EA"/>
              <w:right w:val="nil"/>
            </w:tcBorders>
            <w:shd w:val="clear" w:color="auto" w:fill="auto"/>
            <w:noWrap/>
            <w:vAlign w:val="bottom"/>
            <w:hideMark/>
          </w:tcPr>
          <w:p w14:paraId="150FD7CB"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624</w:t>
            </w:r>
          </w:p>
        </w:tc>
      </w:tr>
      <w:tr w:rsidR="0029218A" w:rsidRPr="0029218A" w14:paraId="4BD0F310" w14:textId="77777777" w:rsidTr="0029218A">
        <w:trPr>
          <w:trHeight w:val="315"/>
        </w:trPr>
        <w:tc>
          <w:tcPr>
            <w:tcW w:w="2780" w:type="dxa"/>
            <w:tcBorders>
              <w:top w:val="nil"/>
              <w:left w:val="nil"/>
              <w:bottom w:val="single" w:sz="4" w:space="0" w:color="ADD6EA"/>
              <w:right w:val="nil"/>
            </w:tcBorders>
            <w:shd w:val="clear" w:color="auto" w:fill="auto"/>
            <w:noWrap/>
            <w:vAlign w:val="bottom"/>
            <w:hideMark/>
          </w:tcPr>
          <w:p w14:paraId="0684175D" w14:textId="77777777" w:rsidR="0029218A" w:rsidRPr="0029218A" w:rsidRDefault="0029218A" w:rsidP="0029218A">
            <w:pPr>
              <w:tabs>
                <w:tab w:val="clear" w:pos="567"/>
              </w:tabs>
              <w:spacing w:before="0" w:line="240" w:lineRule="auto"/>
              <w:rPr>
                <w:rFonts w:eastAsia="Times New Roman" w:cs="Open Sans Light"/>
                <w:color w:val="000000"/>
                <w:sz w:val="16"/>
                <w:szCs w:val="16"/>
                <w:lang w:eastAsia="en-AU"/>
              </w:rPr>
            </w:pPr>
            <w:r w:rsidRPr="0029218A">
              <w:rPr>
                <w:rFonts w:eastAsia="Times New Roman" w:cs="Open Sans Light"/>
                <w:color w:val="000000"/>
                <w:sz w:val="16"/>
                <w:szCs w:val="16"/>
                <w:lang w:eastAsia="en-AU"/>
              </w:rPr>
              <w:t>Investment needs</w:t>
            </w:r>
          </w:p>
        </w:tc>
        <w:tc>
          <w:tcPr>
            <w:tcW w:w="760" w:type="dxa"/>
            <w:tcBorders>
              <w:top w:val="nil"/>
              <w:left w:val="nil"/>
              <w:bottom w:val="single" w:sz="4" w:space="0" w:color="ADD6EA"/>
              <w:right w:val="nil"/>
            </w:tcBorders>
            <w:shd w:val="clear" w:color="auto" w:fill="auto"/>
            <w:noWrap/>
            <w:vAlign w:val="bottom"/>
            <w:hideMark/>
          </w:tcPr>
          <w:p w14:paraId="1480F92B"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259</w:t>
            </w:r>
          </w:p>
        </w:tc>
        <w:tc>
          <w:tcPr>
            <w:tcW w:w="760" w:type="dxa"/>
            <w:tcBorders>
              <w:top w:val="nil"/>
              <w:left w:val="nil"/>
              <w:bottom w:val="single" w:sz="4" w:space="0" w:color="ADD6EA"/>
              <w:right w:val="nil"/>
            </w:tcBorders>
            <w:shd w:val="clear" w:color="auto" w:fill="auto"/>
            <w:noWrap/>
            <w:vAlign w:val="bottom"/>
            <w:hideMark/>
          </w:tcPr>
          <w:p w14:paraId="32E3AACF"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-707</w:t>
            </w:r>
          </w:p>
        </w:tc>
        <w:tc>
          <w:tcPr>
            <w:tcW w:w="640" w:type="dxa"/>
            <w:tcBorders>
              <w:top w:val="nil"/>
              <w:left w:val="nil"/>
              <w:bottom w:val="single" w:sz="4" w:space="0" w:color="ADD6EA"/>
              <w:right w:val="nil"/>
            </w:tcBorders>
            <w:shd w:val="clear" w:color="auto" w:fill="auto"/>
            <w:noWrap/>
            <w:vAlign w:val="bottom"/>
            <w:hideMark/>
          </w:tcPr>
          <w:p w14:paraId="631C85EA"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99</w:t>
            </w:r>
          </w:p>
        </w:tc>
        <w:tc>
          <w:tcPr>
            <w:tcW w:w="760" w:type="dxa"/>
            <w:tcBorders>
              <w:top w:val="nil"/>
              <w:left w:val="nil"/>
              <w:bottom w:val="single" w:sz="4" w:space="0" w:color="ADD6EA"/>
              <w:right w:val="nil"/>
            </w:tcBorders>
            <w:shd w:val="clear" w:color="auto" w:fill="auto"/>
            <w:noWrap/>
            <w:vAlign w:val="bottom"/>
            <w:hideMark/>
          </w:tcPr>
          <w:p w14:paraId="584A3D1F"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343</w:t>
            </w:r>
          </w:p>
        </w:tc>
        <w:tc>
          <w:tcPr>
            <w:tcW w:w="640" w:type="dxa"/>
            <w:tcBorders>
              <w:top w:val="nil"/>
              <w:left w:val="nil"/>
              <w:bottom w:val="single" w:sz="4" w:space="0" w:color="ADD6EA"/>
              <w:right w:val="nil"/>
            </w:tcBorders>
            <w:shd w:val="clear" w:color="auto" w:fill="auto"/>
            <w:noWrap/>
            <w:vAlign w:val="bottom"/>
            <w:hideMark/>
          </w:tcPr>
          <w:p w14:paraId="3317A34E"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43</w:t>
            </w:r>
          </w:p>
        </w:tc>
        <w:tc>
          <w:tcPr>
            <w:tcW w:w="640" w:type="dxa"/>
            <w:tcBorders>
              <w:top w:val="nil"/>
              <w:left w:val="nil"/>
              <w:bottom w:val="single" w:sz="4" w:space="0" w:color="ADD6EA"/>
              <w:right w:val="nil"/>
            </w:tcBorders>
            <w:shd w:val="clear" w:color="auto" w:fill="auto"/>
            <w:noWrap/>
            <w:vAlign w:val="bottom"/>
            <w:hideMark/>
          </w:tcPr>
          <w:p w14:paraId="2CE0C765"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-43</w:t>
            </w:r>
          </w:p>
        </w:tc>
        <w:tc>
          <w:tcPr>
            <w:tcW w:w="640" w:type="dxa"/>
            <w:tcBorders>
              <w:top w:val="nil"/>
              <w:left w:val="nil"/>
              <w:bottom w:val="single" w:sz="4" w:space="0" w:color="ADD6EA"/>
              <w:right w:val="nil"/>
            </w:tcBorders>
            <w:shd w:val="clear" w:color="auto" w:fill="auto"/>
            <w:noWrap/>
            <w:vAlign w:val="bottom"/>
            <w:hideMark/>
          </w:tcPr>
          <w:p w14:paraId="464E4249"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3</w:t>
            </w:r>
          </w:p>
        </w:tc>
        <w:tc>
          <w:tcPr>
            <w:tcW w:w="580" w:type="dxa"/>
            <w:tcBorders>
              <w:top w:val="nil"/>
              <w:left w:val="nil"/>
              <w:bottom w:val="single" w:sz="4" w:space="0" w:color="ADD6EA"/>
              <w:right w:val="nil"/>
            </w:tcBorders>
            <w:shd w:val="clear" w:color="auto" w:fill="auto"/>
            <w:noWrap/>
            <w:vAlign w:val="bottom"/>
            <w:hideMark/>
          </w:tcPr>
          <w:p w14:paraId="4351C722"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2</w:t>
            </w:r>
          </w:p>
        </w:tc>
        <w:tc>
          <w:tcPr>
            <w:tcW w:w="780" w:type="dxa"/>
            <w:tcBorders>
              <w:top w:val="nil"/>
              <w:left w:val="nil"/>
              <w:bottom w:val="single" w:sz="4" w:space="0" w:color="ADD6EA"/>
              <w:right w:val="nil"/>
            </w:tcBorders>
            <w:shd w:val="clear" w:color="auto" w:fill="auto"/>
            <w:noWrap/>
            <w:vAlign w:val="bottom"/>
            <w:hideMark/>
          </w:tcPr>
          <w:p w14:paraId="33512A4F"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750</w:t>
            </w:r>
          </w:p>
        </w:tc>
      </w:tr>
      <w:tr w:rsidR="0029218A" w:rsidRPr="0029218A" w14:paraId="6E154C4C" w14:textId="77777777" w:rsidTr="0029218A">
        <w:trPr>
          <w:trHeight w:val="315"/>
        </w:trPr>
        <w:tc>
          <w:tcPr>
            <w:tcW w:w="2780" w:type="dxa"/>
            <w:tcBorders>
              <w:top w:val="nil"/>
              <w:left w:val="nil"/>
              <w:bottom w:val="single" w:sz="4" w:space="0" w:color="ADD6EA"/>
              <w:right w:val="nil"/>
            </w:tcBorders>
            <w:shd w:val="clear" w:color="auto" w:fill="auto"/>
            <w:noWrap/>
            <w:vAlign w:val="bottom"/>
            <w:hideMark/>
          </w:tcPr>
          <w:p w14:paraId="2A0988E7" w14:textId="77777777" w:rsidR="0029218A" w:rsidRPr="0029218A" w:rsidRDefault="0029218A" w:rsidP="0029218A">
            <w:pPr>
              <w:tabs>
                <w:tab w:val="clear" w:pos="567"/>
              </w:tabs>
              <w:spacing w:before="0" w:line="240" w:lineRule="auto"/>
              <w:rPr>
                <w:rFonts w:eastAsia="Times New Roman" w:cs="Open Sans Light"/>
                <w:color w:val="000000"/>
                <w:sz w:val="16"/>
                <w:szCs w:val="16"/>
                <w:lang w:eastAsia="en-AU"/>
              </w:rPr>
            </w:pPr>
            <w:r w:rsidRPr="0029218A">
              <w:rPr>
                <w:rFonts w:eastAsia="Times New Roman" w:cs="Open Sans Light"/>
                <w:color w:val="000000"/>
                <w:sz w:val="16"/>
                <w:szCs w:val="16"/>
                <w:lang w:eastAsia="en-AU"/>
              </w:rPr>
              <w:t>Net borrowing</w:t>
            </w:r>
          </w:p>
        </w:tc>
        <w:tc>
          <w:tcPr>
            <w:tcW w:w="760" w:type="dxa"/>
            <w:tcBorders>
              <w:top w:val="nil"/>
              <w:left w:val="nil"/>
              <w:bottom w:val="single" w:sz="4" w:space="0" w:color="ADD6EA"/>
              <w:right w:val="nil"/>
            </w:tcBorders>
            <w:shd w:val="clear" w:color="auto" w:fill="auto"/>
            <w:noWrap/>
            <w:vAlign w:val="bottom"/>
            <w:hideMark/>
          </w:tcPr>
          <w:p w14:paraId="4AD5C276"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-6</w:t>
            </w:r>
          </w:p>
        </w:tc>
        <w:tc>
          <w:tcPr>
            <w:tcW w:w="760" w:type="dxa"/>
            <w:tcBorders>
              <w:top w:val="nil"/>
              <w:left w:val="nil"/>
              <w:bottom w:val="single" w:sz="4" w:space="0" w:color="ADD6EA"/>
              <w:right w:val="nil"/>
            </w:tcBorders>
            <w:shd w:val="clear" w:color="auto" w:fill="auto"/>
            <w:noWrap/>
            <w:vAlign w:val="bottom"/>
            <w:hideMark/>
          </w:tcPr>
          <w:p w14:paraId="0591F9B8"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241</w:t>
            </w:r>
          </w:p>
        </w:tc>
        <w:tc>
          <w:tcPr>
            <w:tcW w:w="640" w:type="dxa"/>
            <w:tcBorders>
              <w:top w:val="nil"/>
              <w:left w:val="nil"/>
              <w:bottom w:val="single" w:sz="4" w:space="0" w:color="ADD6EA"/>
              <w:right w:val="nil"/>
            </w:tcBorders>
            <w:shd w:val="clear" w:color="auto" w:fill="auto"/>
            <w:noWrap/>
            <w:vAlign w:val="bottom"/>
            <w:hideMark/>
          </w:tcPr>
          <w:p w14:paraId="4C25BAF2"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-103</w:t>
            </w:r>
          </w:p>
        </w:tc>
        <w:tc>
          <w:tcPr>
            <w:tcW w:w="760" w:type="dxa"/>
            <w:tcBorders>
              <w:top w:val="nil"/>
              <w:left w:val="nil"/>
              <w:bottom w:val="single" w:sz="4" w:space="0" w:color="ADD6EA"/>
              <w:right w:val="nil"/>
            </w:tcBorders>
            <w:shd w:val="clear" w:color="auto" w:fill="auto"/>
            <w:noWrap/>
            <w:vAlign w:val="bottom"/>
            <w:hideMark/>
          </w:tcPr>
          <w:p w14:paraId="5E81AB1B"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-77</w:t>
            </w:r>
          </w:p>
        </w:tc>
        <w:tc>
          <w:tcPr>
            <w:tcW w:w="640" w:type="dxa"/>
            <w:tcBorders>
              <w:top w:val="nil"/>
              <w:left w:val="nil"/>
              <w:bottom w:val="single" w:sz="4" w:space="0" w:color="ADD6EA"/>
              <w:right w:val="nil"/>
            </w:tcBorders>
            <w:shd w:val="clear" w:color="auto" w:fill="auto"/>
            <w:noWrap/>
            <w:vAlign w:val="bottom"/>
            <w:hideMark/>
          </w:tcPr>
          <w:p w14:paraId="2F8E18CE"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-36</w:t>
            </w:r>
          </w:p>
        </w:tc>
        <w:tc>
          <w:tcPr>
            <w:tcW w:w="640" w:type="dxa"/>
            <w:tcBorders>
              <w:top w:val="nil"/>
              <w:left w:val="nil"/>
              <w:bottom w:val="single" w:sz="4" w:space="0" w:color="ADD6EA"/>
              <w:right w:val="nil"/>
            </w:tcBorders>
            <w:shd w:val="clear" w:color="auto" w:fill="auto"/>
            <w:noWrap/>
            <w:vAlign w:val="bottom"/>
            <w:hideMark/>
          </w:tcPr>
          <w:p w14:paraId="795A632F"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-7</w:t>
            </w:r>
          </w:p>
        </w:tc>
        <w:tc>
          <w:tcPr>
            <w:tcW w:w="640" w:type="dxa"/>
            <w:tcBorders>
              <w:top w:val="nil"/>
              <w:left w:val="nil"/>
              <w:bottom w:val="single" w:sz="4" w:space="0" w:color="ADD6EA"/>
              <w:right w:val="nil"/>
            </w:tcBorders>
            <w:shd w:val="clear" w:color="auto" w:fill="auto"/>
            <w:noWrap/>
            <w:vAlign w:val="bottom"/>
            <w:hideMark/>
          </w:tcPr>
          <w:p w14:paraId="1B9C05CD"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-2</w:t>
            </w:r>
          </w:p>
        </w:tc>
        <w:tc>
          <w:tcPr>
            <w:tcW w:w="580" w:type="dxa"/>
            <w:tcBorders>
              <w:top w:val="nil"/>
              <w:left w:val="nil"/>
              <w:bottom w:val="single" w:sz="4" w:space="0" w:color="ADD6EA"/>
              <w:right w:val="nil"/>
            </w:tcBorders>
            <w:shd w:val="clear" w:color="auto" w:fill="auto"/>
            <w:noWrap/>
            <w:vAlign w:val="bottom"/>
            <w:hideMark/>
          </w:tcPr>
          <w:p w14:paraId="4B974989"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-10</w:t>
            </w:r>
          </w:p>
        </w:tc>
        <w:tc>
          <w:tcPr>
            <w:tcW w:w="780" w:type="dxa"/>
            <w:tcBorders>
              <w:top w:val="nil"/>
              <w:left w:val="nil"/>
              <w:bottom w:val="single" w:sz="4" w:space="0" w:color="ADD6EA"/>
              <w:right w:val="nil"/>
            </w:tcBorders>
            <w:shd w:val="clear" w:color="auto" w:fill="auto"/>
            <w:noWrap/>
            <w:vAlign w:val="bottom"/>
            <w:hideMark/>
          </w:tcPr>
          <w:p w14:paraId="05ECF23A"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241</w:t>
            </w:r>
          </w:p>
        </w:tc>
      </w:tr>
      <w:tr w:rsidR="0029218A" w:rsidRPr="0029218A" w14:paraId="1EBE105A" w14:textId="77777777" w:rsidTr="0029218A">
        <w:trPr>
          <w:trHeight w:val="315"/>
        </w:trPr>
        <w:tc>
          <w:tcPr>
            <w:tcW w:w="2780" w:type="dxa"/>
            <w:tcBorders>
              <w:top w:val="nil"/>
              <w:left w:val="nil"/>
              <w:bottom w:val="single" w:sz="4" w:space="0" w:color="ADD6EA"/>
              <w:right w:val="nil"/>
            </w:tcBorders>
            <w:shd w:val="clear" w:color="auto" w:fill="auto"/>
            <w:vAlign w:val="bottom"/>
            <w:hideMark/>
          </w:tcPr>
          <w:p w14:paraId="421CE669" w14:textId="77777777" w:rsidR="0029218A" w:rsidRPr="0029218A" w:rsidRDefault="0029218A" w:rsidP="0029218A">
            <w:pPr>
              <w:tabs>
                <w:tab w:val="clear" w:pos="567"/>
              </w:tabs>
              <w:spacing w:before="0" w:line="240" w:lineRule="auto"/>
              <w:rPr>
                <w:rFonts w:eastAsia="Times New Roman" w:cs="Open Sans Light"/>
                <w:color w:val="000000"/>
                <w:sz w:val="16"/>
                <w:szCs w:val="16"/>
                <w:lang w:eastAsia="en-AU"/>
              </w:rPr>
            </w:pPr>
            <w:r w:rsidRPr="0029218A">
              <w:rPr>
                <w:rFonts w:eastAsia="Times New Roman" w:cs="Open Sans Light"/>
                <w:color w:val="000000"/>
                <w:sz w:val="16"/>
                <w:szCs w:val="16"/>
                <w:lang w:eastAsia="en-AU"/>
              </w:rPr>
              <w:t>Revenue raising capacity</w:t>
            </w:r>
          </w:p>
        </w:tc>
        <w:tc>
          <w:tcPr>
            <w:tcW w:w="760" w:type="dxa"/>
            <w:tcBorders>
              <w:top w:val="nil"/>
              <w:left w:val="nil"/>
              <w:bottom w:val="single" w:sz="4" w:space="0" w:color="ADD6EA"/>
              <w:right w:val="nil"/>
            </w:tcBorders>
            <w:shd w:val="clear" w:color="auto" w:fill="auto"/>
            <w:vAlign w:val="bottom"/>
            <w:hideMark/>
          </w:tcPr>
          <w:p w14:paraId="69C02C13"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704</w:t>
            </w:r>
          </w:p>
        </w:tc>
        <w:tc>
          <w:tcPr>
            <w:tcW w:w="760" w:type="dxa"/>
            <w:tcBorders>
              <w:top w:val="nil"/>
              <w:left w:val="nil"/>
              <w:bottom w:val="single" w:sz="4" w:space="0" w:color="ADD6EA"/>
              <w:right w:val="nil"/>
            </w:tcBorders>
            <w:shd w:val="clear" w:color="auto" w:fill="auto"/>
            <w:vAlign w:val="bottom"/>
            <w:hideMark/>
          </w:tcPr>
          <w:p w14:paraId="0C67BE41"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530</w:t>
            </w:r>
          </w:p>
        </w:tc>
        <w:tc>
          <w:tcPr>
            <w:tcW w:w="640" w:type="dxa"/>
            <w:tcBorders>
              <w:top w:val="nil"/>
              <w:left w:val="nil"/>
              <w:bottom w:val="single" w:sz="4" w:space="0" w:color="ADD6EA"/>
              <w:right w:val="nil"/>
            </w:tcBorders>
            <w:shd w:val="clear" w:color="auto" w:fill="auto"/>
            <w:vAlign w:val="bottom"/>
            <w:hideMark/>
          </w:tcPr>
          <w:p w14:paraId="02FA85EE"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906</w:t>
            </w:r>
          </w:p>
        </w:tc>
        <w:tc>
          <w:tcPr>
            <w:tcW w:w="760" w:type="dxa"/>
            <w:tcBorders>
              <w:top w:val="nil"/>
              <w:left w:val="nil"/>
              <w:bottom w:val="single" w:sz="4" w:space="0" w:color="ADD6EA"/>
              <w:right w:val="nil"/>
            </w:tcBorders>
            <w:shd w:val="clear" w:color="auto" w:fill="auto"/>
            <w:vAlign w:val="bottom"/>
            <w:hideMark/>
          </w:tcPr>
          <w:p w14:paraId="5FF0A56B"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-2,064</w:t>
            </w:r>
          </w:p>
        </w:tc>
        <w:tc>
          <w:tcPr>
            <w:tcW w:w="640" w:type="dxa"/>
            <w:tcBorders>
              <w:top w:val="nil"/>
              <w:left w:val="nil"/>
              <w:bottom w:val="single" w:sz="4" w:space="0" w:color="ADD6EA"/>
              <w:right w:val="nil"/>
            </w:tcBorders>
            <w:shd w:val="clear" w:color="auto" w:fill="auto"/>
            <w:vAlign w:val="bottom"/>
            <w:hideMark/>
          </w:tcPr>
          <w:p w14:paraId="2E06EF4A"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-127</w:t>
            </w:r>
          </w:p>
        </w:tc>
        <w:tc>
          <w:tcPr>
            <w:tcW w:w="640" w:type="dxa"/>
            <w:tcBorders>
              <w:top w:val="nil"/>
              <w:left w:val="nil"/>
              <w:bottom w:val="single" w:sz="4" w:space="0" w:color="ADD6EA"/>
              <w:right w:val="nil"/>
            </w:tcBorders>
            <w:shd w:val="clear" w:color="auto" w:fill="auto"/>
            <w:vAlign w:val="bottom"/>
            <w:hideMark/>
          </w:tcPr>
          <w:p w14:paraId="5B16A633"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-8</w:t>
            </w:r>
          </w:p>
        </w:tc>
        <w:tc>
          <w:tcPr>
            <w:tcW w:w="640" w:type="dxa"/>
            <w:tcBorders>
              <w:top w:val="nil"/>
              <w:left w:val="nil"/>
              <w:bottom w:val="single" w:sz="4" w:space="0" w:color="ADD6EA"/>
              <w:right w:val="nil"/>
            </w:tcBorders>
            <w:shd w:val="clear" w:color="auto" w:fill="auto"/>
            <w:vAlign w:val="bottom"/>
            <w:hideMark/>
          </w:tcPr>
          <w:p w14:paraId="0EF2D4D6"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6</w:t>
            </w:r>
          </w:p>
        </w:tc>
        <w:tc>
          <w:tcPr>
            <w:tcW w:w="580" w:type="dxa"/>
            <w:tcBorders>
              <w:top w:val="nil"/>
              <w:left w:val="nil"/>
              <w:bottom w:val="single" w:sz="4" w:space="0" w:color="ADD6EA"/>
              <w:right w:val="nil"/>
            </w:tcBorders>
            <w:shd w:val="clear" w:color="auto" w:fill="auto"/>
            <w:vAlign w:val="bottom"/>
            <w:hideMark/>
          </w:tcPr>
          <w:p w14:paraId="14DBD536"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54</w:t>
            </w:r>
          </w:p>
        </w:tc>
        <w:tc>
          <w:tcPr>
            <w:tcW w:w="780" w:type="dxa"/>
            <w:tcBorders>
              <w:top w:val="nil"/>
              <w:left w:val="nil"/>
              <w:bottom w:val="single" w:sz="4" w:space="0" w:color="ADD6EA"/>
              <w:right w:val="nil"/>
            </w:tcBorders>
            <w:shd w:val="clear" w:color="auto" w:fill="auto"/>
            <w:vAlign w:val="bottom"/>
            <w:hideMark/>
          </w:tcPr>
          <w:p w14:paraId="508F2653"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2,199</w:t>
            </w:r>
          </w:p>
        </w:tc>
      </w:tr>
      <w:tr w:rsidR="0029218A" w:rsidRPr="0029218A" w14:paraId="293994B4" w14:textId="77777777" w:rsidTr="0029218A">
        <w:trPr>
          <w:trHeight w:val="315"/>
        </w:trPr>
        <w:tc>
          <w:tcPr>
            <w:tcW w:w="2780" w:type="dxa"/>
            <w:tcBorders>
              <w:top w:val="nil"/>
              <w:left w:val="nil"/>
              <w:bottom w:val="nil"/>
              <w:right w:val="nil"/>
            </w:tcBorders>
            <w:shd w:val="clear" w:color="auto" w:fill="auto"/>
            <w:noWrap/>
            <w:vAlign w:val="bottom"/>
            <w:hideMark/>
          </w:tcPr>
          <w:p w14:paraId="7C860A22" w14:textId="77777777" w:rsidR="0029218A" w:rsidRPr="0029218A" w:rsidRDefault="0029218A" w:rsidP="0029218A">
            <w:pPr>
              <w:tabs>
                <w:tab w:val="clear" w:pos="567"/>
              </w:tabs>
              <w:spacing w:before="0" w:line="240" w:lineRule="auto"/>
              <w:rPr>
                <w:rFonts w:eastAsia="Times New Roman" w:cs="Open Sans Light"/>
                <w:color w:val="000000"/>
                <w:sz w:val="16"/>
                <w:szCs w:val="16"/>
                <w:lang w:eastAsia="en-AU"/>
              </w:rPr>
            </w:pPr>
            <w:r w:rsidRPr="0029218A">
              <w:rPr>
                <w:rFonts w:eastAsia="Times New Roman" w:cs="Open Sans Light"/>
                <w:color w:val="000000"/>
                <w:sz w:val="16"/>
                <w:szCs w:val="16"/>
                <w:lang w:eastAsia="en-AU"/>
              </w:rPr>
              <w:t>Commonwealth payments</w:t>
            </w:r>
          </w:p>
        </w:tc>
        <w:tc>
          <w:tcPr>
            <w:tcW w:w="760" w:type="dxa"/>
            <w:tcBorders>
              <w:top w:val="nil"/>
              <w:left w:val="nil"/>
              <w:bottom w:val="nil"/>
              <w:right w:val="nil"/>
            </w:tcBorders>
            <w:shd w:val="clear" w:color="auto" w:fill="auto"/>
            <w:noWrap/>
            <w:vAlign w:val="bottom"/>
            <w:hideMark/>
          </w:tcPr>
          <w:p w14:paraId="3D3FB875"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68</w:t>
            </w:r>
          </w:p>
        </w:tc>
        <w:tc>
          <w:tcPr>
            <w:tcW w:w="760" w:type="dxa"/>
            <w:tcBorders>
              <w:top w:val="nil"/>
              <w:left w:val="nil"/>
              <w:bottom w:val="nil"/>
              <w:right w:val="nil"/>
            </w:tcBorders>
            <w:shd w:val="clear" w:color="auto" w:fill="auto"/>
            <w:noWrap/>
            <w:vAlign w:val="bottom"/>
            <w:hideMark/>
          </w:tcPr>
          <w:p w14:paraId="50942EF4"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-38</w:t>
            </w:r>
          </w:p>
        </w:tc>
        <w:tc>
          <w:tcPr>
            <w:tcW w:w="640" w:type="dxa"/>
            <w:tcBorders>
              <w:top w:val="nil"/>
              <w:left w:val="nil"/>
              <w:bottom w:val="nil"/>
              <w:right w:val="nil"/>
            </w:tcBorders>
            <w:shd w:val="clear" w:color="auto" w:fill="auto"/>
            <w:noWrap/>
            <w:vAlign w:val="bottom"/>
            <w:hideMark/>
          </w:tcPr>
          <w:p w14:paraId="5FDA274C"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-141</w:t>
            </w:r>
          </w:p>
        </w:tc>
        <w:tc>
          <w:tcPr>
            <w:tcW w:w="760" w:type="dxa"/>
            <w:tcBorders>
              <w:top w:val="nil"/>
              <w:left w:val="nil"/>
              <w:bottom w:val="nil"/>
              <w:right w:val="nil"/>
            </w:tcBorders>
            <w:shd w:val="clear" w:color="auto" w:fill="auto"/>
            <w:noWrap/>
            <w:vAlign w:val="bottom"/>
            <w:hideMark/>
          </w:tcPr>
          <w:p w14:paraId="4F227496"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-12</w:t>
            </w:r>
          </w:p>
        </w:tc>
        <w:tc>
          <w:tcPr>
            <w:tcW w:w="640" w:type="dxa"/>
            <w:tcBorders>
              <w:top w:val="nil"/>
              <w:left w:val="nil"/>
              <w:bottom w:val="nil"/>
              <w:right w:val="nil"/>
            </w:tcBorders>
            <w:shd w:val="clear" w:color="auto" w:fill="auto"/>
            <w:noWrap/>
            <w:vAlign w:val="bottom"/>
            <w:hideMark/>
          </w:tcPr>
          <w:p w14:paraId="77DF807F"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89</w:t>
            </w:r>
          </w:p>
        </w:tc>
        <w:tc>
          <w:tcPr>
            <w:tcW w:w="640" w:type="dxa"/>
            <w:tcBorders>
              <w:top w:val="nil"/>
              <w:left w:val="nil"/>
              <w:bottom w:val="nil"/>
              <w:right w:val="nil"/>
            </w:tcBorders>
            <w:shd w:val="clear" w:color="auto" w:fill="auto"/>
            <w:noWrap/>
            <w:vAlign w:val="bottom"/>
            <w:hideMark/>
          </w:tcPr>
          <w:p w14:paraId="54517874"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10</w:t>
            </w:r>
          </w:p>
        </w:tc>
        <w:tc>
          <w:tcPr>
            <w:tcW w:w="640" w:type="dxa"/>
            <w:tcBorders>
              <w:top w:val="nil"/>
              <w:left w:val="nil"/>
              <w:bottom w:val="nil"/>
              <w:right w:val="nil"/>
            </w:tcBorders>
            <w:shd w:val="clear" w:color="auto" w:fill="auto"/>
            <w:noWrap/>
            <w:vAlign w:val="bottom"/>
            <w:hideMark/>
          </w:tcPr>
          <w:p w14:paraId="5486DEC5"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10</w:t>
            </w:r>
          </w:p>
        </w:tc>
        <w:tc>
          <w:tcPr>
            <w:tcW w:w="580" w:type="dxa"/>
            <w:tcBorders>
              <w:top w:val="nil"/>
              <w:left w:val="nil"/>
              <w:bottom w:val="nil"/>
              <w:right w:val="nil"/>
            </w:tcBorders>
            <w:shd w:val="clear" w:color="auto" w:fill="auto"/>
            <w:noWrap/>
            <w:vAlign w:val="bottom"/>
            <w:hideMark/>
          </w:tcPr>
          <w:p w14:paraId="551D033B"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14</w:t>
            </w:r>
          </w:p>
        </w:tc>
        <w:tc>
          <w:tcPr>
            <w:tcW w:w="780" w:type="dxa"/>
            <w:tcBorders>
              <w:top w:val="nil"/>
              <w:left w:val="nil"/>
              <w:bottom w:val="nil"/>
              <w:right w:val="nil"/>
            </w:tcBorders>
            <w:shd w:val="clear" w:color="auto" w:fill="auto"/>
            <w:noWrap/>
            <w:vAlign w:val="bottom"/>
            <w:hideMark/>
          </w:tcPr>
          <w:p w14:paraId="5511DC34"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191</w:t>
            </w:r>
          </w:p>
        </w:tc>
      </w:tr>
      <w:tr w:rsidR="0029218A" w:rsidRPr="0029218A" w14:paraId="7F66E50F" w14:textId="77777777" w:rsidTr="0029218A">
        <w:trPr>
          <w:trHeight w:val="315"/>
        </w:trPr>
        <w:tc>
          <w:tcPr>
            <w:tcW w:w="2780" w:type="dxa"/>
            <w:tcBorders>
              <w:top w:val="nil"/>
              <w:left w:val="nil"/>
              <w:bottom w:val="nil"/>
              <w:right w:val="nil"/>
            </w:tcBorders>
            <w:shd w:val="clear" w:color="000000" w:fill="D6E7F0"/>
            <w:vAlign w:val="bottom"/>
            <w:hideMark/>
          </w:tcPr>
          <w:p w14:paraId="210A80C1" w14:textId="77777777" w:rsidR="0029218A" w:rsidRPr="0029218A" w:rsidRDefault="0029218A" w:rsidP="0029218A">
            <w:pPr>
              <w:tabs>
                <w:tab w:val="clear" w:pos="567"/>
              </w:tabs>
              <w:spacing w:before="0" w:line="240" w:lineRule="auto"/>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Change in assessed relativities</w:t>
            </w:r>
          </w:p>
        </w:tc>
        <w:tc>
          <w:tcPr>
            <w:tcW w:w="760" w:type="dxa"/>
            <w:tcBorders>
              <w:top w:val="nil"/>
              <w:left w:val="nil"/>
              <w:bottom w:val="nil"/>
              <w:right w:val="nil"/>
            </w:tcBorders>
            <w:shd w:val="clear" w:color="000000" w:fill="D6E7F0"/>
            <w:vAlign w:val="bottom"/>
            <w:hideMark/>
          </w:tcPr>
          <w:p w14:paraId="2AFA2AE8"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1,195</w:t>
            </w:r>
          </w:p>
        </w:tc>
        <w:tc>
          <w:tcPr>
            <w:tcW w:w="760" w:type="dxa"/>
            <w:tcBorders>
              <w:top w:val="nil"/>
              <w:left w:val="nil"/>
              <w:bottom w:val="nil"/>
              <w:right w:val="nil"/>
            </w:tcBorders>
            <w:shd w:val="clear" w:color="000000" w:fill="D6E7F0"/>
            <w:vAlign w:val="bottom"/>
            <w:hideMark/>
          </w:tcPr>
          <w:p w14:paraId="5A4CC1FF"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-206</w:t>
            </w:r>
          </w:p>
        </w:tc>
        <w:tc>
          <w:tcPr>
            <w:tcW w:w="640" w:type="dxa"/>
            <w:tcBorders>
              <w:top w:val="nil"/>
              <w:left w:val="nil"/>
              <w:bottom w:val="nil"/>
              <w:right w:val="nil"/>
            </w:tcBorders>
            <w:shd w:val="clear" w:color="000000" w:fill="D6E7F0"/>
            <w:vAlign w:val="bottom"/>
            <w:hideMark/>
          </w:tcPr>
          <w:p w14:paraId="4DBB4AEC"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459</w:t>
            </w:r>
          </w:p>
        </w:tc>
        <w:tc>
          <w:tcPr>
            <w:tcW w:w="760" w:type="dxa"/>
            <w:tcBorders>
              <w:top w:val="nil"/>
              <w:left w:val="nil"/>
              <w:bottom w:val="nil"/>
              <w:right w:val="nil"/>
            </w:tcBorders>
            <w:shd w:val="clear" w:color="000000" w:fill="D6E7F0"/>
            <w:vAlign w:val="bottom"/>
            <w:hideMark/>
          </w:tcPr>
          <w:p w14:paraId="2536202B"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-1,387</w:t>
            </w:r>
          </w:p>
        </w:tc>
        <w:tc>
          <w:tcPr>
            <w:tcW w:w="640" w:type="dxa"/>
            <w:tcBorders>
              <w:top w:val="nil"/>
              <w:left w:val="nil"/>
              <w:bottom w:val="nil"/>
              <w:right w:val="nil"/>
            </w:tcBorders>
            <w:shd w:val="clear" w:color="000000" w:fill="D6E7F0"/>
            <w:vAlign w:val="bottom"/>
            <w:hideMark/>
          </w:tcPr>
          <w:p w14:paraId="287CE2B2"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-47</w:t>
            </w:r>
          </w:p>
        </w:tc>
        <w:tc>
          <w:tcPr>
            <w:tcW w:w="640" w:type="dxa"/>
            <w:tcBorders>
              <w:top w:val="nil"/>
              <w:left w:val="nil"/>
              <w:bottom w:val="nil"/>
              <w:right w:val="nil"/>
            </w:tcBorders>
            <w:shd w:val="clear" w:color="000000" w:fill="D6E7F0"/>
            <w:vAlign w:val="bottom"/>
            <w:hideMark/>
          </w:tcPr>
          <w:p w14:paraId="5A118EAB"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-87</w:t>
            </w:r>
          </w:p>
        </w:tc>
        <w:tc>
          <w:tcPr>
            <w:tcW w:w="640" w:type="dxa"/>
            <w:tcBorders>
              <w:top w:val="nil"/>
              <w:left w:val="nil"/>
              <w:bottom w:val="nil"/>
              <w:right w:val="nil"/>
            </w:tcBorders>
            <w:shd w:val="clear" w:color="000000" w:fill="D6E7F0"/>
            <w:vAlign w:val="bottom"/>
            <w:hideMark/>
          </w:tcPr>
          <w:p w14:paraId="6E9B2550"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-21</w:t>
            </w:r>
          </w:p>
        </w:tc>
        <w:tc>
          <w:tcPr>
            <w:tcW w:w="580" w:type="dxa"/>
            <w:tcBorders>
              <w:top w:val="nil"/>
              <w:left w:val="nil"/>
              <w:bottom w:val="nil"/>
              <w:right w:val="nil"/>
            </w:tcBorders>
            <w:shd w:val="clear" w:color="000000" w:fill="D6E7F0"/>
            <w:vAlign w:val="bottom"/>
            <w:hideMark/>
          </w:tcPr>
          <w:p w14:paraId="50F35D2E"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92</w:t>
            </w:r>
          </w:p>
        </w:tc>
        <w:tc>
          <w:tcPr>
            <w:tcW w:w="780" w:type="dxa"/>
            <w:tcBorders>
              <w:top w:val="nil"/>
              <w:left w:val="nil"/>
              <w:bottom w:val="nil"/>
              <w:right w:val="nil"/>
            </w:tcBorders>
            <w:shd w:val="clear" w:color="000000" w:fill="D6E7F0"/>
            <w:vAlign w:val="bottom"/>
            <w:hideMark/>
          </w:tcPr>
          <w:p w14:paraId="234A95F0"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1,747</w:t>
            </w:r>
          </w:p>
        </w:tc>
      </w:tr>
      <w:tr w:rsidR="0029218A" w:rsidRPr="0029218A" w14:paraId="2A95A22C" w14:textId="77777777" w:rsidTr="0029218A">
        <w:trPr>
          <w:trHeight w:val="315"/>
        </w:trPr>
        <w:tc>
          <w:tcPr>
            <w:tcW w:w="2780" w:type="dxa"/>
            <w:tcBorders>
              <w:top w:val="nil"/>
              <w:left w:val="nil"/>
              <w:bottom w:val="nil"/>
              <w:right w:val="nil"/>
            </w:tcBorders>
            <w:shd w:val="clear" w:color="auto" w:fill="auto"/>
            <w:vAlign w:val="bottom"/>
            <w:hideMark/>
          </w:tcPr>
          <w:p w14:paraId="296E7E97" w14:textId="77777777" w:rsidR="0029218A" w:rsidRPr="0029218A" w:rsidRDefault="0029218A" w:rsidP="0029218A">
            <w:pPr>
              <w:tabs>
                <w:tab w:val="clear" w:pos="567"/>
              </w:tabs>
              <w:spacing w:before="0" w:line="240" w:lineRule="auto"/>
              <w:rPr>
                <w:rFonts w:eastAsia="Times New Roman" w:cs="Open Sans Light"/>
                <w:color w:val="000000"/>
                <w:sz w:val="16"/>
                <w:szCs w:val="16"/>
                <w:lang w:eastAsia="en-AU"/>
              </w:rPr>
            </w:pPr>
            <w:r w:rsidRPr="0029218A">
              <w:rPr>
                <w:rFonts w:eastAsia="Times New Roman" w:cs="Open Sans Light"/>
                <w:color w:val="000000"/>
                <w:sz w:val="16"/>
                <w:szCs w:val="16"/>
                <w:lang w:eastAsia="en-AU"/>
              </w:rPr>
              <w:t>Blended relativities and GST floor</w:t>
            </w:r>
          </w:p>
        </w:tc>
        <w:tc>
          <w:tcPr>
            <w:tcW w:w="760" w:type="dxa"/>
            <w:tcBorders>
              <w:top w:val="nil"/>
              <w:left w:val="nil"/>
              <w:bottom w:val="nil"/>
              <w:right w:val="nil"/>
            </w:tcBorders>
            <w:shd w:val="clear" w:color="auto" w:fill="auto"/>
            <w:vAlign w:val="bottom"/>
            <w:hideMark/>
          </w:tcPr>
          <w:p w14:paraId="0EFB305D"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-1,298</w:t>
            </w:r>
          </w:p>
        </w:tc>
        <w:tc>
          <w:tcPr>
            <w:tcW w:w="760" w:type="dxa"/>
            <w:tcBorders>
              <w:top w:val="nil"/>
              <w:left w:val="nil"/>
              <w:bottom w:val="nil"/>
              <w:right w:val="nil"/>
            </w:tcBorders>
            <w:shd w:val="clear" w:color="auto" w:fill="auto"/>
            <w:vAlign w:val="bottom"/>
            <w:hideMark/>
          </w:tcPr>
          <w:p w14:paraId="557B1A87"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-1,063</w:t>
            </w:r>
          </w:p>
        </w:tc>
        <w:tc>
          <w:tcPr>
            <w:tcW w:w="640" w:type="dxa"/>
            <w:tcBorders>
              <w:top w:val="nil"/>
              <w:left w:val="nil"/>
              <w:bottom w:val="nil"/>
              <w:right w:val="nil"/>
            </w:tcBorders>
            <w:shd w:val="clear" w:color="auto" w:fill="auto"/>
            <w:vAlign w:val="bottom"/>
            <w:hideMark/>
          </w:tcPr>
          <w:p w14:paraId="6EB59677"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-839</w:t>
            </w:r>
          </w:p>
        </w:tc>
        <w:tc>
          <w:tcPr>
            <w:tcW w:w="760" w:type="dxa"/>
            <w:tcBorders>
              <w:top w:val="nil"/>
              <w:left w:val="nil"/>
              <w:bottom w:val="nil"/>
              <w:right w:val="nil"/>
            </w:tcBorders>
            <w:shd w:val="clear" w:color="auto" w:fill="auto"/>
            <w:vAlign w:val="bottom"/>
            <w:hideMark/>
          </w:tcPr>
          <w:p w14:paraId="475A42E0"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3,667</w:t>
            </w:r>
          </w:p>
        </w:tc>
        <w:tc>
          <w:tcPr>
            <w:tcW w:w="640" w:type="dxa"/>
            <w:tcBorders>
              <w:top w:val="nil"/>
              <w:left w:val="nil"/>
              <w:bottom w:val="nil"/>
              <w:right w:val="nil"/>
            </w:tcBorders>
            <w:shd w:val="clear" w:color="auto" w:fill="auto"/>
            <w:vAlign w:val="bottom"/>
            <w:hideMark/>
          </w:tcPr>
          <w:p w14:paraId="6CC457B9"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-280</w:t>
            </w:r>
          </w:p>
        </w:tc>
        <w:tc>
          <w:tcPr>
            <w:tcW w:w="640" w:type="dxa"/>
            <w:tcBorders>
              <w:top w:val="nil"/>
              <w:left w:val="nil"/>
              <w:bottom w:val="nil"/>
              <w:right w:val="nil"/>
            </w:tcBorders>
            <w:shd w:val="clear" w:color="auto" w:fill="auto"/>
            <w:vAlign w:val="bottom"/>
            <w:hideMark/>
          </w:tcPr>
          <w:p w14:paraId="436657EE"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-84</w:t>
            </w:r>
          </w:p>
        </w:tc>
        <w:tc>
          <w:tcPr>
            <w:tcW w:w="640" w:type="dxa"/>
            <w:tcBorders>
              <w:top w:val="nil"/>
              <w:left w:val="nil"/>
              <w:bottom w:val="nil"/>
              <w:right w:val="nil"/>
            </w:tcBorders>
            <w:shd w:val="clear" w:color="auto" w:fill="auto"/>
            <w:vAlign w:val="bottom"/>
            <w:hideMark/>
          </w:tcPr>
          <w:p w14:paraId="48482BE3"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-69</w:t>
            </w:r>
          </w:p>
        </w:tc>
        <w:tc>
          <w:tcPr>
            <w:tcW w:w="580" w:type="dxa"/>
            <w:tcBorders>
              <w:top w:val="nil"/>
              <w:left w:val="nil"/>
              <w:bottom w:val="nil"/>
              <w:right w:val="nil"/>
            </w:tcBorders>
            <w:shd w:val="clear" w:color="auto" w:fill="auto"/>
            <w:vAlign w:val="bottom"/>
            <w:hideMark/>
          </w:tcPr>
          <w:p w14:paraId="13C888EC"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-35</w:t>
            </w:r>
          </w:p>
        </w:tc>
        <w:tc>
          <w:tcPr>
            <w:tcW w:w="780" w:type="dxa"/>
            <w:tcBorders>
              <w:top w:val="nil"/>
              <w:left w:val="nil"/>
              <w:bottom w:val="nil"/>
              <w:right w:val="nil"/>
            </w:tcBorders>
            <w:shd w:val="clear" w:color="auto" w:fill="auto"/>
            <w:vAlign w:val="bottom"/>
            <w:hideMark/>
          </w:tcPr>
          <w:p w14:paraId="0F3976F7" w14:textId="77777777" w:rsidR="0029218A" w:rsidRPr="0029218A" w:rsidRDefault="0029218A" w:rsidP="0029218A">
            <w:pPr>
              <w:tabs>
                <w:tab w:val="clear" w:pos="567"/>
              </w:tabs>
              <w:spacing w:before="0" w:line="240" w:lineRule="auto"/>
              <w:jc w:val="right"/>
              <w:rPr>
                <w:rFonts w:eastAsia="Times New Roman" w:cs="Open Sans Light"/>
                <w:color w:val="000000"/>
                <w:sz w:val="16"/>
                <w:szCs w:val="16"/>
                <w:lang w:eastAsia="en-AU"/>
              </w:rPr>
            </w:pPr>
            <w:r w:rsidRPr="0029218A">
              <w:rPr>
                <w:rFonts w:eastAsia="Times New Roman" w:cs="Open Sans Light"/>
                <w:color w:val="000000"/>
                <w:sz w:val="16"/>
                <w:szCs w:val="16"/>
                <w:lang w:eastAsia="en-AU"/>
              </w:rPr>
              <w:t>3,667</w:t>
            </w:r>
          </w:p>
        </w:tc>
      </w:tr>
      <w:tr w:rsidR="0029218A" w:rsidRPr="0029218A" w14:paraId="13AFE5A4" w14:textId="77777777" w:rsidTr="0029218A">
        <w:trPr>
          <w:trHeight w:val="315"/>
        </w:trPr>
        <w:tc>
          <w:tcPr>
            <w:tcW w:w="2780" w:type="dxa"/>
            <w:tcBorders>
              <w:top w:val="nil"/>
              <w:left w:val="nil"/>
              <w:bottom w:val="nil"/>
              <w:right w:val="nil"/>
            </w:tcBorders>
            <w:shd w:val="clear" w:color="000000" w:fill="D6E7F0"/>
            <w:vAlign w:val="bottom"/>
            <w:hideMark/>
          </w:tcPr>
          <w:p w14:paraId="497B2D8D" w14:textId="77777777" w:rsidR="0029218A" w:rsidRPr="0029218A" w:rsidRDefault="0029218A" w:rsidP="0029218A">
            <w:pPr>
              <w:tabs>
                <w:tab w:val="clear" w:pos="567"/>
              </w:tabs>
              <w:spacing w:before="0" w:line="240" w:lineRule="auto"/>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Change in GST relativities</w:t>
            </w:r>
          </w:p>
        </w:tc>
        <w:tc>
          <w:tcPr>
            <w:tcW w:w="760" w:type="dxa"/>
            <w:tcBorders>
              <w:top w:val="nil"/>
              <w:left w:val="nil"/>
              <w:bottom w:val="nil"/>
              <w:right w:val="nil"/>
            </w:tcBorders>
            <w:shd w:val="clear" w:color="000000" w:fill="D6E7F0"/>
            <w:noWrap/>
            <w:vAlign w:val="bottom"/>
            <w:hideMark/>
          </w:tcPr>
          <w:p w14:paraId="158F6393"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-102</w:t>
            </w:r>
          </w:p>
        </w:tc>
        <w:tc>
          <w:tcPr>
            <w:tcW w:w="760" w:type="dxa"/>
            <w:tcBorders>
              <w:top w:val="nil"/>
              <w:left w:val="nil"/>
              <w:bottom w:val="nil"/>
              <w:right w:val="nil"/>
            </w:tcBorders>
            <w:shd w:val="clear" w:color="000000" w:fill="D6E7F0"/>
            <w:noWrap/>
            <w:vAlign w:val="bottom"/>
            <w:hideMark/>
          </w:tcPr>
          <w:p w14:paraId="38EBC0B7"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-1,269</w:t>
            </w:r>
          </w:p>
        </w:tc>
        <w:tc>
          <w:tcPr>
            <w:tcW w:w="640" w:type="dxa"/>
            <w:tcBorders>
              <w:top w:val="nil"/>
              <w:left w:val="nil"/>
              <w:bottom w:val="nil"/>
              <w:right w:val="nil"/>
            </w:tcBorders>
            <w:shd w:val="clear" w:color="000000" w:fill="D6E7F0"/>
            <w:noWrap/>
            <w:vAlign w:val="bottom"/>
            <w:hideMark/>
          </w:tcPr>
          <w:p w14:paraId="474CFCCE"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-379</w:t>
            </w:r>
          </w:p>
        </w:tc>
        <w:tc>
          <w:tcPr>
            <w:tcW w:w="760" w:type="dxa"/>
            <w:tcBorders>
              <w:top w:val="nil"/>
              <w:left w:val="nil"/>
              <w:bottom w:val="nil"/>
              <w:right w:val="nil"/>
            </w:tcBorders>
            <w:shd w:val="clear" w:color="000000" w:fill="D6E7F0"/>
            <w:noWrap/>
            <w:vAlign w:val="bottom"/>
            <w:hideMark/>
          </w:tcPr>
          <w:p w14:paraId="6F8B39E2"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2,280</w:t>
            </w:r>
          </w:p>
        </w:tc>
        <w:tc>
          <w:tcPr>
            <w:tcW w:w="640" w:type="dxa"/>
            <w:tcBorders>
              <w:top w:val="nil"/>
              <w:left w:val="nil"/>
              <w:bottom w:val="nil"/>
              <w:right w:val="nil"/>
            </w:tcBorders>
            <w:shd w:val="clear" w:color="000000" w:fill="D6E7F0"/>
            <w:noWrap/>
            <w:vAlign w:val="bottom"/>
            <w:hideMark/>
          </w:tcPr>
          <w:p w14:paraId="4B388524"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-327</w:t>
            </w:r>
          </w:p>
        </w:tc>
        <w:tc>
          <w:tcPr>
            <w:tcW w:w="640" w:type="dxa"/>
            <w:tcBorders>
              <w:top w:val="nil"/>
              <w:left w:val="nil"/>
              <w:bottom w:val="nil"/>
              <w:right w:val="nil"/>
            </w:tcBorders>
            <w:shd w:val="clear" w:color="000000" w:fill="D6E7F0"/>
            <w:noWrap/>
            <w:vAlign w:val="bottom"/>
            <w:hideMark/>
          </w:tcPr>
          <w:p w14:paraId="5258A199"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-171</w:t>
            </w:r>
          </w:p>
        </w:tc>
        <w:tc>
          <w:tcPr>
            <w:tcW w:w="640" w:type="dxa"/>
            <w:tcBorders>
              <w:top w:val="nil"/>
              <w:left w:val="nil"/>
              <w:bottom w:val="nil"/>
              <w:right w:val="nil"/>
            </w:tcBorders>
            <w:shd w:val="clear" w:color="000000" w:fill="D6E7F0"/>
            <w:noWrap/>
            <w:vAlign w:val="bottom"/>
            <w:hideMark/>
          </w:tcPr>
          <w:p w14:paraId="2D3C5D86"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-89</w:t>
            </w:r>
          </w:p>
        </w:tc>
        <w:tc>
          <w:tcPr>
            <w:tcW w:w="580" w:type="dxa"/>
            <w:tcBorders>
              <w:top w:val="nil"/>
              <w:left w:val="nil"/>
              <w:bottom w:val="nil"/>
              <w:right w:val="nil"/>
            </w:tcBorders>
            <w:shd w:val="clear" w:color="000000" w:fill="D6E7F0"/>
            <w:noWrap/>
            <w:vAlign w:val="bottom"/>
            <w:hideMark/>
          </w:tcPr>
          <w:p w14:paraId="7FDCA994"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57</w:t>
            </w:r>
          </w:p>
        </w:tc>
        <w:tc>
          <w:tcPr>
            <w:tcW w:w="780" w:type="dxa"/>
            <w:tcBorders>
              <w:top w:val="nil"/>
              <w:left w:val="nil"/>
              <w:bottom w:val="nil"/>
              <w:right w:val="nil"/>
            </w:tcBorders>
            <w:shd w:val="clear" w:color="000000" w:fill="D6E7F0"/>
            <w:noWrap/>
            <w:vAlign w:val="bottom"/>
            <w:hideMark/>
          </w:tcPr>
          <w:p w14:paraId="4F62930B" w14:textId="77777777" w:rsidR="0029218A" w:rsidRPr="0029218A" w:rsidRDefault="0029218A" w:rsidP="0029218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9218A">
              <w:rPr>
                <w:rFonts w:ascii="Open Sans Semibold" w:eastAsia="Times New Roman" w:hAnsi="Open Sans Semibold" w:cs="Open Sans Semibold"/>
                <w:color w:val="000000"/>
                <w:sz w:val="16"/>
                <w:szCs w:val="16"/>
                <w:lang w:eastAsia="en-AU"/>
              </w:rPr>
              <w:t>2,337</w:t>
            </w:r>
          </w:p>
        </w:tc>
      </w:tr>
    </w:tbl>
    <w:p w14:paraId="2B6ED295" w14:textId="016B1756" w:rsidR="00D8486A" w:rsidRDefault="00D8486A" w:rsidP="00D8486A">
      <w:pPr>
        <w:pStyle w:val="CGCTablenote"/>
        <w:keepNext/>
        <w:keepLines/>
        <w:widowControl w:val="0"/>
      </w:pPr>
      <w:r>
        <w:t>Source</w:t>
      </w:r>
      <w:r w:rsidR="00101879">
        <w:t>:</w:t>
      </w:r>
      <w:r>
        <w:tab/>
        <w:t>Commission calculation.</w:t>
      </w:r>
    </w:p>
    <w:p w14:paraId="77BDF409" w14:textId="77777777" w:rsidR="00CE4066" w:rsidRPr="007F4712" w:rsidRDefault="00CE4066" w:rsidP="0004064D">
      <w:pPr>
        <w:pStyle w:val="CGCBodyCopy"/>
      </w:pPr>
      <w:r w:rsidRPr="007F4712">
        <w:t xml:space="preserve">Changes in states’ </w:t>
      </w:r>
      <w:r>
        <w:t xml:space="preserve">GST shares </w:t>
      </w:r>
      <w:r w:rsidRPr="007F4712">
        <w:t xml:space="preserve">occurred for </w:t>
      </w:r>
      <w:r>
        <w:t xml:space="preserve">three </w:t>
      </w:r>
      <w:r w:rsidRPr="007F4712">
        <w:t>reasons.</w:t>
      </w:r>
    </w:p>
    <w:p w14:paraId="4D47F8D3" w14:textId="77777777" w:rsidR="00CE4066" w:rsidRPr="007F4712" w:rsidRDefault="00CE4066" w:rsidP="00D8486A">
      <w:pPr>
        <w:pStyle w:val="BodyText"/>
      </w:pPr>
      <w:r w:rsidRPr="007F4712">
        <w:t>Some data used in the 202</w:t>
      </w:r>
      <w:r>
        <w:t>1</w:t>
      </w:r>
      <w:r w:rsidRPr="007F4712">
        <w:t> </w:t>
      </w:r>
      <w:r>
        <w:t>Update</w:t>
      </w:r>
      <w:r w:rsidRPr="007F4712">
        <w:t xml:space="preserve"> were revised</w:t>
      </w:r>
      <w:r>
        <w:t xml:space="preserve"> when more recent</w:t>
      </w:r>
      <w:r w:rsidRPr="007F4712">
        <w:t xml:space="preserve"> data bec</w:t>
      </w:r>
      <w:r>
        <w:t>a</w:t>
      </w:r>
      <w:r w:rsidRPr="007F4712">
        <w:t>me available.</w:t>
      </w:r>
      <w:r w:rsidRPr="007F4712">
        <w:rPr>
          <w:vertAlign w:val="superscript"/>
        </w:rPr>
        <w:footnoteReference w:id="8"/>
      </w:r>
    </w:p>
    <w:p w14:paraId="5D21A4B8" w14:textId="3F374E36" w:rsidR="00CE4066" w:rsidRDefault="00CE4066" w:rsidP="00522CDD">
      <w:pPr>
        <w:pStyle w:val="BodyText"/>
      </w:pPr>
      <w:r w:rsidRPr="007F4712">
        <w:t xml:space="preserve">States’ </w:t>
      </w:r>
      <w:r w:rsidRPr="00522CDD">
        <w:t>economic</w:t>
      </w:r>
      <w:r w:rsidRPr="007F4712">
        <w:t xml:space="preserve"> and </w:t>
      </w:r>
      <w:r>
        <w:t>socio-</w:t>
      </w:r>
      <w:r w:rsidRPr="007F4712">
        <w:t>demographic circumstances change</w:t>
      </w:r>
      <w:r>
        <w:t xml:space="preserve"> over time.</w:t>
      </w:r>
      <w:r w:rsidRPr="007F4712">
        <w:t xml:space="preserve"> The 202</w:t>
      </w:r>
      <w:r>
        <w:t>2</w:t>
      </w:r>
      <w:r w:rsidRPr="007F4712">
        <w:t xml:space="preserve"> Update </w:t>
      </w:r>
      <w:r>
        <w:t>assessed states’ needs using</w:t>
      </w:r>
      <w:r w:rsidRPr="007F4712">
        <w:t xml:space="preserve"> an average of data for </w:t>
      </w:r>
      <w:r w:rsidR="00900366">
        <w:t xml:space="preserve">the three years </w:t>
      </w:r>
      <w:r w:rsidRPr="007F4712">
        <w:t>201</w:t>
      </w:r>
      <w:r>
        <w:t>8</w:t>
      </w:r>
      <w:r w:rsidR="00AA7356">
        <w:t>–</w:t>
      </w:r>
      <w:r w:rsidRPr="007F4712">
        <w:t>1</w:t>
      </w:r>
      <w:r>
        <w:t>9</w:t>
      </w:r>
      <w:r w:rsidRPr="007F4712">
        <w:t xml:space="preserve"> to 20</w:t>
      </w:r>
      <w:r>
        <w:t>20</w:t>
      </w:r>
      <w:r w:rsidR="00AA7356">
        <w:t>–</w:t>
      </w:r>
      <w:r w:rsidRPr="007F4712">
        <w:t>2</w:t>
      </w:r>
      <w:r>
        <w:t>1. T</w:t>
      </w:r>
      <w:r w:rsidRPr="007F4712">
        <w:t>he 202</w:t>
      </w:r>
      <w:r>
        <w:t>1</w:t>
      </w:r>
      <w:r w:rsidRPr="007F4712">
        <w:t> </w:t>
      </w:r>
      <w:r>
        <w:t>Update</w:t>
      </w:r>
      <w:r w:rsidRPr="007F4712">
        <w:t xml:space="preserve"> </w:t>
      </w:r>
      <w:r>
        <w:t>used</w:t>
      </w:r>
      <w:r w:rsidRPr="007F4712">
        <w:t xml:space="preserve"> data for 201</w:t>
      </w:r>
      <w:r>
        <w:t>7</w:t>
      </w:r>
      <w:r w:rsidR="00AA7356">
        <w:t>–</w:t>
      </w:r>
      <w:r w:rsidRPr="007F4712">
        <w:t>1</w:t>
      </w:r>
      <w:r>
        <w:t>8</w:t>
      </w:r>
      <w:r w:rsidRPr="007F4712">
        <w:t xml:space="preserve"> to 201</w:t>
      </w:r>
      <w:r>
        <w:t>9</w:t>
      </w:r>
      <w:r w:rsidR="00AA7356">
        <w:t>–</w:t>
      </w:r>
      <w:r>
        <w:t>20</w:t>
      </w:r>
      <w:r w:rsidRPr="007F4712">
        <w:t xml:space="preserve">. Differences between the year brought into the </w:t>
      </w:r>
      <w:r w:rsidR="001D168D">
        <w:t>3</w:t>
      </w:r>
      <w:r w:rsidRPr="007F4712">
        <w:t>-year average (20</w:t>
      </w:r>
      <w:r>
        <w:t>20</w:t>
      </w:r>
      <w:r w:rsidR="00AA7356">
        <w:t>–</w:t>
      </w:r>
      <w:r w:rsidRPr="007F4712">
        <w:t>2</w:t>
      </w:r>
      <w:r>
        <w:t>1</w:t>
      </w:r>
      <w:r w:rsidRPr="007F4712">
        <w:t>) and the year removed (201</w:t>
      </w:r>
      <w:r>
        <w:t>7</w:t>
      </w:r>
      <w:r w:rsidR="00AA7356">
        <w:t>–</w:t>
      </w:r>
      <w:r w:rsidRPr="007F4712">
        <w:t>1</w:t>
      </w:r>
      <w:r>
        <w:t>8</w:t>
      </w:r>
      <w:r w:rsidRPr="007F4712">
        <w:t xml:space="preserve">) changed </w:t>
      </w:r>
      <w:r>
        <w:t>states’ relative</w:t>
      </w:r>
      <w:r w:rsidRPr="007F4712">
        <w:t xml:space="preserve"> </w:t>
      </w:r>
      <w:r>
        <w:t>needs</w:t>
      </w:r>
      <w:r w:rsidRPr="007F4712">
        <w:t xml:space="preserve">. </w:t>
      </w:r>
    </w:p>
    <w:p w14:paraId="6EB92086" w14:textId="7695919C" w:rsidR="00CE4066" w:rsidRDefault="00CE4066" w:rsidP="00522CDD">
      <w:pPr>
        <w:pStyle w:val="BodyText"/>
      </w:pPr>
      <w:r>
        <w:t xml:space="preserve">Legislated </w:t>
      </w:r>
      <w:r w:rsidRPr="00522CDD">
        <w:t>arrangements</w:t>
      </w:r>
      <w:r>
        <w:t xml:space="preserve"> for GST distribution are also being phased in. For the 2022 Update, each state’s GST relativity must be at least 0.7</w:t>
      </w:r>
      <w:r w:rsidR="00D162FC">
        <w:t>.</w:t>
      </w:r>
      <w:r w:rsidRPr="00D162FC">
        <w:rPr>
          <w:rStyle w:val="FootnoteReference"/>
          <w:sz w:val="24"/>
          <w:szCs w:val="24"/>
          <w:vertAlign w:val="superscript"/>
        </w:rPr>
        <w:footnoteReference w:id="9"/>
      </w:r>
      <w:r w:rsidR="0063518E">
        <w:t xml:space="preserve"> </w:t>
      </w:r>
      <w:r>
        <w:t>This, along with blended relativities, affects each state’s GST share.</w:t>
      </w:r>
    </w:p>
    <w:p w14:paraId="4F21B448" w14:textId="5EE7DAEB" w:rsidR="00CE4066" w:rsidRPr="007F4712" w:rsidRDefault="00CE4066" w:rsidP="0004064D">
      <w:pPr>
        <w:pStyle w:val="CGCBodyCopy"/>
      </w:pPr>
      <w:r w:rsidRPr="006F52C6">
        <w:fldChar w:fldCharType="begin"/>
      </w:r>
      <w:r w:rsidRPr="006F52C6">
        <w:instrText xml:space="preserve"> REF _Ref94276145 \h </w:instrText>
      </w:r>
      <w:r>
        <w:instrText xml:space="preserve"> \* MERGEFORMAT </w:instrText>
      </w:r>
      <w:r w:rsidRPr="006F52C6">
        <w:fldChar w:fldCharType="separate"/>
      </w:r>
      <w:r w:rsidR="00FE4664" w:rsidRPr="007F4712">
        <w:t>Table 2</w:t>
      </w:r>
      <w:r w:rsidR="00FE4664">
        <w:t>-3</w:t>
      </w:r>
      <w:r w:rsidRPr="006F52C6">
        <w:fldChar w:fldCharType="end"/>
      </w:r>
      <w:r w:rsidRPr="007F4712">
        <w:t xml:space="preserve"> shows the </w:t>
      </w:r>
      <w:r>
        <w:t>impact</w:t>
      </w:r>
      <w:r w:rsidR="002806AC">
        <w:t>s</w:t>
      </w:r>
      <w:r>
        <w:t xml:space="preserve"> of</w:t>
      </w:r>
      <w:r w:rsidRPr="007F4712">
        <w:t xml:space="preserve"> data revisions and changes in </w:t>
      </w:r>
      <w:r>
        <w:t xml:space="preserve">state </w:t>
      </w:r>
      <w:r w:rsidRPr="007F4712">
        <w:t xml:space="preserve">circumstances. The main </w:t>
      </w:r>
      <w:r>
        <w:t>drivers</w:t>
      </w:r>
      <w:r w:rsidRPr="007F4712">
        <w:t xml:space="preserve"> are discussed below.</w:t>
      </w:r>
    </w:p>
    <w:p w14:paraId="4643FD10" w14:textId="730CB490" w:rsidR="00CE4066" w:rsidRPr="007F4712" w:rsidRDefault="006700BC" w:rsidP="001A367C">
      <w:pPr>
        <w:pStyle w:val="Caption"/>
        <w:widowControl w:val="0"/>
      </w:pPr>
      <w:bookmarkStart w:id="43" w:name="_Ref30429109"/>
      <w:bookmarkStart w:id="44" w:name="_Ref94276145"/>
      <w:bookmarkStart w:id="45" w:name="_Toc62487274"/>
      <w:bookmarkStart w:id="46" w:name="_Toc62723805"/>
      <w:bookmarkStart w:id="47" w:name="_Ref94276124"/>
      <w:r>
        <w:rPr>
          <w:noProof/>
        </w:rPr>
        <w:drawing>
          <wp:anchor distT="0" distB="0" distL="114300" distR="114300" simplePos="0" relativeHeight="251658270" behindDoc="1" locked="1" layoutInCell="1" allowOverlap="1" wp14:anchorId="67D6F90B" wp14:editId="3834914E">
            <wp:simplePos x="0" y="0"/>
            <wp:positionH relativeFrom="page">
              <wp:posOffset>-13970</wp:posOffset>
            </wp:positionH>
            <wp:positionV relativeFrom="margin">
              <wp:posOffset>-794385</wp:posOffset>
            </wp:positionV>
            <wp:extent cx="7563485" cy="10691495"/>
            <wp:effectExtent l="0" t="0" r="0" b="0"/>
            <wp:wrapNone/>
            <wp:docPr id="67" name="Picture 6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CE4066" w:rsidRPr="007F4712">
        <w:t>Table 2</w:t>
      </w:r>
      <w:bookmarkEnd w:id="43"/>
      <w:r w:rsidR="00CE4066">
        <w:t>-</w:t>
      </w:r>
      <w:r>
        <w:fldChar w:fldCharType="begin"/>
      </w:r>
      <w:r>
        <w:instrText>SEQ Table \* ARABIC</w:instrText>
      </w:r>
      <w:r>
        <w:fldChar w:fldCharType="separate"/>
      </w:r>
      <w:r w:rsidR="00FE4664">
        <w:rPr>
          <w:noProof/>
        </w:rPr>
        <w:t>3</w:t>
      </w:r>
      <w:r>
        <w:fldChar w:fldCharType="end"/>
      </w:r>
      <w:bookmarkEnd w:id="44"/>
      <w:r w:rsidR="00CE4066" w:rsidRPr="007F4712">
        <w:tab/>
        <w:t xml:space="preserve">Change in the estimated GST distribution by source of change, </w:t>
      </w:r>
      <w:r w:rsidR="00CE4066">
        <w:t>2021</w:t>
      </w:r>
      <w:r w:rsidR="002E1DA1">
        <w:t>–</w:t>
      </w:r>
      <w:r w:rsidR="00CE4066">
        <w:t xml:space="preserve">22 to </w:t>
      </w:r>
      <w:r w:rsidR="00CE4066" w:rsidRPr="007F4712">
        <w:t>202</w:t>
      </w:r>
      <w:r w:rsidR="00CE4066">
        <w:t>2</w:t>
      </w:r>
      <w:r w:rsidR="002E1DA1">
        <w:t>–</w:t>
      </w:r>
      <w:r w:rsidR="00CE4066" w:rsidRPr="007F4712">
        <w:t>2</w:t>
      </w:r>
      <w:bookmarkEnd w:id="45"/>
      <w:bookmarkEnd w:id="46"/>
      <w:r w:rsidR="00CE4066">
        <w:t>3</w:t>
      </w:r>
      <w:bookmarkEnd w:id="47"/>
    </w:p>
    <w:tbl>
      <w:tblPr>
        <w:tblW w:w="8960" w:type="dxa"/>
        <w:tblLook w:val="04A0" w:firstRow="1" w:lastRow="0" w:firstColumn="1" w:lastColumn="0" w:noHBand="0" w:noVBand="1"/>
      </w:tblPr>
      <w:tblGrid>
        <w:gridCol w:w="2740"/>
        <w:gridCol w:w="740"/>
        <w:gridCol w:w="700"/>
        <w:gridCol w:w="700"/>
        <w:gridCol w:w="700"/>
        <w:gridCol w:w="640"/>
        <w:gridCol w:w="640"/>
        <w:gridCol w:w="660"/>
        <w:gridCol w:w="640"/>
        <w:gridCol w:w="800"/>
      </w:tblGrid>
      <w:tr w:rsidR="00F71B8B" w:rsidRPr="00F71B8B" w14:paraId="7B5D1468" w14:textId="77777777" w:rsidTr="00F71B8B">
        <w:trPr>
          <w:trHeight w:val="375"/>
        </w:trPr>
        <w:tc>
          <w:tcPr>
            <w:tcW w:w="2740" w:type="dxa"/>
            <w:tcBorders>
              <w:top w:val="nil"/>
              <w:left w:val="nil"/>
              <w:bottom w:val="nil"/>
              <w:right w:val="nil"/>
            </w:tcBorders>
            <w:shd w:val="clear" w:color="000000" w:fill="006991"/>
            <w:vAlign w:val="bottom"/>
            <w:hideMark/>
          </w:tcPr>
          <w:p w14:paraId="45DF73BD" w14:textId="77777777" w:rsidR="00F71B8B" w:rsidRPr="00F71B8B" w:rsidRDefault="00F71B8B" w:rsidP="00F71B8B">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bookmarkStart w:id="48" w:name="RANGE!A19:J23"/>
            <w:r w:rsidRPr="00F71B8B">
              <w:rPr>
                <w:rFonts w:ascii="Open Sans Semibold" w:eastAsia="Times New Roman" w:hAnsi="Open Sans Semibold" w:cs="Open Sans Semibold"/>
                <w:color w:val="FFFFFF"/>
                <w:sz w:val="16"/>
                <w:szCs w:val="16"/>
                <w:lang w:eastAsia="en-AU"/>
              </w:rPr>
              <w:t> </w:t>
            </w:r>
            <w:bookmarkEnd w:id="48"/>
          </w:p>
        </w:tc>
        <w:tc>
          <w:tcPr>
            <w:tcW w:w="740" w:type="dxa"/>
            <w:tcBorders>
              <w:top w:val="nil"/>
              <w:left w:val="nil"/>
              <w:bottom w:val="nil"/>
              <w:right w:val="nil"/>
            </w:tcBorders>
            <w:shd w:val="clear" w:color="000000" w:fill="006991"/>
            <w:vAlign w:val="center"/>
            <w:hideMark/>
          </w:tcPr>
          <w:p w14:paraId="2867F407"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1B8B">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37096644"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1B8B">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7EA5219B"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1B8B">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20072E86"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1B8B">
              <w:rPr>
                <w:rFonts w:ascii="Open Sans Semibold" w:eastAsia="Times New Roman" w:hAnsi="Open Sans Semibold" w:cs="Open Sans Semibold"/>
                <w:color w:val="FFFFFF"/>
                <w:sz w:val="16"/>
                <w:szCs w:val="16"/>
                <w:lang w:eastAsia="en-AU"/>
              </w:rPr>
              <w:t>WA</w:t>
            </w:r>
          </w:p>
        </w:tc>
        <w:tc>
          <w:tcPr>
            <w:tcW w:w="640" w:type="dxa"/>
            <w:tcBorders>
              <w:top w:val="nil"/>
              <w:left w:val="nil"/>
              <w:bottom w:val="nil"/>
              <w:right w:val="nil"/>
            </w:tcBorders>
            <w:shd w:val="clear" w:color="000000" w:fill="006991"/>
            <w:vAlign w:val="center"/>
            <w:hideMark/>
          </w:tcPr>
          <w:p w14:paraId="4E907DDB"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1B8B">
              <w:rPr>
                <w:rFonts w:ascii="Open Sans Semibold" w:eastAsia="Times New Roman" w:hAnsi="Open Sans Semibold" w:cs="Open Sans Semibold"/>
                <w:color w:val="FFFFFF"/>
                <w:sz w:val="16"/>
                <w:szCs w:val="16"/>
                <w:lang w:eastAsia="en-AU"/>
              </w:rPr>
              <w:t>SA</w:t>
            </w:r>
          </w:p>
        </w:tc>
        <w:tc>
          <w:tcPr>
            <w:tcW w:w="640" w:type="dxa"/>
            <w:tcBorders>
              <w:top w:val="nil"/>
              <w:left w:val="nil"/>
              <w:bottom w:val="nil"/>
              <w:right w:val="nil"/>
            </w:tcBorders>
            <w:shd w:val="clear" w:color="000000" w:fill="006991"/>
            <w:vAlign w:val="center"/>
            <w:hideMark/>
          </w:tcPr>
          <w:p w14:paraId="183916B9"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1B8B">
              <w:rPr>
                <w:rFonts w:ascii="Open Sans Semibold" w:eastAsia="Times New Roman" w:hAnsi="Open Sans Semibold" w:cs="Open Sans Semibold"/>
                <w:color w:val="FFFFFF"/>
                <w:sz w:val="16"/>
                <w:szCs w:val="16"/>
                <w:lang w:eastAsia="en-AU"/>
              </w:rPr>
              <w:t>Tas</w:t>
            </w:r>
          </w:p>
        </w:tc>
        <w:tc>
          <w:tcPr>
            <w:tcW w:w="660" w:type="dxa"/>
            <w:tcBorders>
              <w:top w:val="nil"/>
              <w:left w:val="nil"/>
              <w:bottom w:val="nil"/>
              <w:right w:val="nil"/>
            </w:tcBorders>
            <w:shd w:val="clear" w:color="000000" w:fill="006991"/>
            <w:vAlign w:val="center"/>
            <w:hideMark/>
          </w:tcPr>
          <w:p w14:paraId="61297AB7"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1B8B">
              <w:rPr>
                <w:rFonts w:ascii="Open Sans Semibold" w:eastAsia="Times New Roman" w:hAnsi="Open Sans Semibold" w:cs="Open Sans Semibold"/>
                <w:color w:val="FFFFFF"/>
                <w:sz w:val="16"/>
                <w:szCs w:val="16"/>
                <w:lang w:eastAsia="en-AU"/>
              </w:rPr>
              <w:t>ACT</w:t>
            </w:r>
          </w:p>
        </w:tc>
        <w:tc>
          <w:tcPr>
            <w:tcW w:w="640" w:type="dxa"/>
            <w:tcBorders>
              <w:top w:val="nil"/>
              <w:left w:val="nil"/>
              <w:bottom w:val="nil"/>
              <w:right w:val="nil"/>
            </w:tcBorders>
            <w:shd w:val="clear" w:color="000000" w:fill="006991"/>
            <w:vAlign w:val="center"/>
            <w:hideMark/>
          </w:tcPr>
          <w:p w14:paraId="0F55B193"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1B8B">
              <w:rPr>
                <w:rFonts w:ascii="Open Sans Semibold" w:eastAsia="Times New Roman" w:hAnsi="Open Sans Semibold" w:cs="Open Sans Semibold"/>
                <w:color w:val="FFFFFF"/>
                <w:sz w:val="16"/>
                <w:szCs w:val="16"/>
                <w:lang w:eastAsia="en-AU"/>
              </w:rPr>
              <w:t>NT</w:t>
            </w:r>
          </w:p>
        </w:tc>
        <w:tc>
          <w:tcPr>
            <w:tcW w:w="800" w:type="dxa"/>
            <w:tcBorders>
              <w:top w:val="nil"/>
              <w:left w:val="nil"/>
              <w:bottom w:val="nil"/>
              <w:right w:val="nil"/>
            </w:tcBorders>
            <w:shd w:val="clear" w:color="000000" w:fill="006991"/>
            <w:vAlign w:val="center"/>
            <w:hideMark/>
          </w:tcPr>
          <w:p w14:paraId="658A07E0"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1B8B">
              <w:rPr>
                <w:rFonts w:ascii="Open Sans Semibold" w:eastAsia="Times New Roman" w:hAnsi="Open Sans Semibold" w:cs="Open Sans Semibold"/>
                <w:color w:val="FFFFFF"/>
                <w:sz w:val="16"/>
                <w:szCs w:val="16"/>
                <w:lang w:eastAsia="en-AU"/>
              </w:rPr>
              <w:t>Redist</w:t>
            </w:r>
          </w:p>
        </w:tc>
      </w:tr>
      <w:tr w:rsidR="00F71B8B" w:rsidRPr="00F71B8B" w14:paraId="5BB29DA2" w14:textId="77777777" w:rsidTr="00F71B8B">
        <w:trPr>
          <w:trHeight w:val="259"/>
        </w:trPr>
        <w:tc>
          <w:tcPr>
            <w:tcW w:w="2740" w:type="dxa"/>
            <w:tcBorders>
              <w:top w:val="single" w:sz="4" w:space="0" w:color="ADD6EA"/>
              <w:left w:val="nil"/>
              <w:bottom w:val="nil"/>
              <w:right w:val="nil"/>
            </w:tcBorders>
            <w:shd w:val="clear" w:color="000000" w:fill="B6D5E4"/>
            <w:vAlign w:val="bottom"/>
            <w:hideMark/>
          </w:tcPr>
          <w:p w14:paraId="3CE4D989" w14:textId="77777777" w:rsidR="00F71B8B" w:rsidRPr="00F71B8B" w:rsidRDefault="00F71B8B" w:rsidP="00F71B8B">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 </w:t>
            </w:r>
          </w:p>
        </w:tc>
        <w:tc>
          <w:tcPr>
            <w:tcW w:w="740" w:type="dxa"/>
            <w:tcBorders>
              <w:top w:val="single" w:sz="4" w:space="0" w:color="ADD6EA"/>
              <w:left w:val="nil"/>
              <w:bottom w:val="nil"/>
              <w:right w:val="nil"/>
            </w:tcBorders>
            <w:shd w:val="clear" w:color="000000" w:fill="B6D5E4"/>
            <w:noWrap/>
            <w:vAlign w:val="bottom"/>
            <w:hideMark/>
          </w:tcPr>
          <w:p w14:paraId="327A2B12"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13D32443"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2622E633"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23E5ED6C"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noWrap/>
            <w:vAlign w:val="bottom"/>
            <w:hideMark/>
          </w:tcPr>
          <w:p w14:paraId="46D2193B"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noWrap/>
            <w:vAlign w:val="bottom"/>
            <w:hideMark/>
          </w:tcPr>
          <w:p w14:paraId="051ED3D7"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$m</w:t>
            </w:r>
          </w:p>
        </w:tc>
        <w:tc>
          <w:tcPr>
            <w:tcW w:w="660" w:type="dxa"/>
            <w:tcBorders>
              <w:top w:val="single" w:sz="4" w:space="0" w:color="ADD6EA"/>
              <w:left w:val="nil"/>
              <w:bottom w:val="nil"/>
              <w:right w:val="nil"/>
            </w:tcBorders>
            <w:shd w:val="clear" w:color="000000" w:fill="B6D5E4"/>
            <w:noWrap/>
            <w:vAlign w:val="bottom"/>
            <w:hideMark/>
          </w:tcPr>
          <w:p w14:paraId="0AB185B2"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noWrap/>
            <w:vAlign w:val="bottom"/>
            <w:hideMark/>
          </w:tcPr>
          <w:p w14:paraId="5762C60B"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$m</w:t>
            </w:r>
          </w:p>
        </w:tc>
        <w:tc>
          <w:tcPr>
            <w:tcW w:w="800" w:type="dxa"/>
            <w:tcBorders>
              <w:top w:val="single" w:sz="4" w:space="0" w:color="ADD6EA"/>
              <w:left w:val="nil"/>
              <w:bottom w:val="nil"/>
              <w:right w:val="nil"/>
            </w:tcBorders>
            <w:shd w:val="clear" w:color="000000" w:fill="B6D5E4"/>
            <w:noWrap/>
            <w:vAlign w:val="bottom"/>
            <w:hideMark/>
          </w:tcPr>
          <w:p w14:paraId="03547FAC"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$m</w:t>
            </w:r>
          </w:p>
        </w:tc>
      </w:tr>
      <w:tr w:rsidR="00F71B8B" w:rsidRPr="00F71B8B" w14:paraId="18609581" w14:textId="77777777" w:rsidTr="00F71B8B">
        <w:trPr>
          <w:trHeight w:val="315"/>
        </w:trPr>
        <w:tc>
          <w:tcPr>
            <w:tcW w:w="2740" w:type="dxa"/>
            <w:tcBorders>
              <w:top w:val="single" w:sz="4" w:space="0" w:color="ADD6EA"/>
              <w:left w:val="nil"/>
              <w:bottom w:val="nil"/>
              <w:right w:val="nil"/>
            </w:tcBorders>
            <w:shd w:val="clear" w:color="auto" w:fill="auto"/>
            <w:vAlign w:val="bottom"/>
            <w:hideMark/>
          </w:tcPr>
          <w:p w14:paraId="6E5639E0" w14:textId="77777777" w:rsidR="00F71B8B" w:rsidRPr="00F71B8B" w:rsidRDefault="00F71B8B" w:rsidP="00F71B8B">
            <w:pPr>
              <w:keepNext/>
              <w:keepLines/>
              <w:tabs>
                <w:tab w:val="clear" w:pos="567"/>
              </w:tabs>
              <w:spacing w:before="0" w:line="240" w:lineRule="auto"/>
              <w:rPr>
                <w:rFonts w:eastAsia="Times New Roman" w:cs="Open Sans Light"/>
                <w:color w:val="000000"/>
                <w:sz w:val="16"/>
                <w:szCs w:val="16"/>
                <w:lang w:eastAsia="en-AU"/>
              </w:rPr>
            </w:pPr>
            <w:r w:rsidRPr="00F71B8B">
              <w:rPr>
                <w:rFonts w:eastAsia="Times New Roman" w:cs="Open Sans Light"/>
                <w:color w:val="000000"/>
                <w:sz w:val="16"/>
                <w:szCs w:val="16"/>
                <w:lang w:eastAsia="en-AU"/>
              </w:rPr>
              <w:t>Data revisions</w:t>
            </w:r>
          </w:p>
        </w:tc>
        <w:tc>
          <w:tcPr>
            <w:tcW w:w="740" w:type="dxa"/>
            <w:tcBorders>
              <w:top w:val="single" w:sz="4" w:space="0" w:color="ADD6EA"/>
              <w:left w:val="nil"/>
              <w:bottom w:val="nil"/>
              <w:right w:val="nil"/>
            </w:tcBorders>
            <w:shd w:val="clear" w:color="auto" w:fill="auto"/>
            <w:noWrap/>
            <w:vAlign w:val="bottom"/>
            <w:hideMark/>
          </w:tcPr>
          <w:p w14:paraId="7CF7380A"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135</w:t>
            </w:r>
          </w:p>
        </w:tc>
        <w:tc>
          <w:tcPr>
            <w:tcW w:w="700" w:type="dxa"/>
            <w:tcBorders>
              <w:top w:val="single" w:sz="4" w:space="0" w:color="ADD6EA"/>
              <w:left w:val="nil"/>
              <w:bottom w:val="nil"/>
              <w:right w:val="nil"/>
            </w:tcBorders>
            <w:shd w:val="clear" w:color="auto" w:fill="auto"/>
            <w:noWrap/>
            <w:vAlign w:val="bottom"/>
            <w:hideMark/>
          </w:tcPr>
          <w:p w14:paraId="332DC69A"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46</w:t>
            </w:r>
          </w:p>
        </w:tc>
        <w:tc>
          <w:tcPr>
            <w:tcW w:w="700" w:type="dxa"/>
            <w:tcBorders>
              <w:top w:val="single" w:sz="4" w:space="0" w:color="ADD6EA"/>
              <w:left w:val="nil"/>
              <w:bottom w:val="nil"/>
              <w:right w:val="nil"/>
            </w:tcBorders>
            <w:shd w:val="clear" w:color="auto" w:fill="auto"/>
            <w:noWrap/>
            <w:vAlign w:val="bottom"/>
            <w:hideMark/>
          </w:tcPr>
          <w:p w14:paraId="7E28DC3B"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-73</w:t>
            </w:r>
          </w:p>
        </w:tc>
        <w:tc>
          <w:tcPr>
            <w:tcW w:w="700" w:type="dxa"/>
            <w:tcBorders>
              <w:top w:val="single" w:sz="4" w:space="0" w:color="ADD6EA"/>
              <w:left w:val="nil"/>
              <w:bottom w:val="nil"/>
              <w:right w:val="nil"/>
            </w:tcBorders>
            <w:shd w:val="clear" w:color="auto" w:fill="auto"/>
            <w:noWrap/>
            <w:vAlign w:val="bottom"/>
            <w:hideMark/>
          </w:tcPr>
          <w:p w14:paraId="0095BEEB"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-11</w:t>
            </w:r>
          </w:p>
        </w:tc>
        <w:tc>
          <w:tcPr>
            <w:tcW w:w="640" w:type="dxa"/>
            <w:tcBorders>
              <w:top w:val="single" w:sz="4" w:space="0" w:color="ADD6EA"/>
              <w:left w:val="nil"/>
              <w:bottom w:val="nil"/>
              <w:right w:val="nil"/>
            </w:tcBorders>
            <w:shd w:val="clear" w:color="auto" w:fill="auto"/>
            <w:noWrap/>
            <w:vAlign w:val="bottom"/>
            <w:hideMark/>
          </w:tcPr>
          <w:p w14:paraId="0BC9FE0A"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-74</w:t>
            </w:r>
          </w:p>
        </w:tc>
        <w:tc>
          <w:tcPr>
            <w:tcW w:w="640" w:type="dxa"/>
            <w:tcBorders>
              <w:top w:val="single" w:sz="4" w:space="0" w:color="ADD6EA"/>
              <w:left w:val="nil"/>
              <w:bottom w:val="nil"/>
              <w:right w:val="nil"/>
            </w:tcBorders>
            <w:shd w:val="clear" w:color="auto" w:fill="auto"/>
            <w:noWrap/>
            <w:vAlign w:val="bottom"/>
            <w:hideMark/>
          </w:tcPr>
          <w:p w14:paraId="5F236FBE"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-54</w:t>
            </w:r>
          </w:p>
        </w:tc>
        <w:tc>
          <w:tcPr>
            <w:tcW w:w="660" w:type="dxa"/>
            <w:tcBorders>
              <w:top w:val="single" w:sz="4" w:space="0" w:color="ADD6EA"/>
              <w:left w:val="nil"/>
              <w:bottom w:val="nil"/>
              <w:right w:val="nil"/>
            </w:tcBorders>
            <w:shd w:val="clear" w:color="auto" w:fill="auto"/>
            <w:noWrap/>
            <w:vAlign w:val="bottom"/>
            <w:hideMark/>
          </w:tcPr>
          <w:p w14:paraId="6D82B482"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-18</w:t>
            </w:r>
          </w:p>
        </w:tc>
        <w:tc>
          <w:tcPr>
            <w:tcW w:w="640" w:type="dxa"/>
            <w:tcBorders>
              <w:top w:val="single" w:sz="4" w:space="0" w:color="ADD6EA"/>
              <w:left w:val="nil"/>
              <w:bottom w:val="nil"/>
              <w:right w:val="nil"/>
            </w:tcBorders>
            <w:shd w:val="clear" w:color="auto" w:fill="auto"/>
            <w:noWrap/>
            <w:vAlign w:val="bottom"/>
            <w:hideMark/>
          </w:tcPr>
          <w:p w14:paraId="4A53D7B6"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50</w:t>
            </w:r>
          </w:p>
        </w:tc>
        <w:tc>
          <w:tcPr>
            <w:tcW w:w="800" w:type="dxa"/>
            <w:tcBorders>
              <w:top w:val="single" w:sz="4" w:space="0" w:color="ADD6EA"/>
              <w:left w:val="nil"/>
              <w:bottom w:val="nil"/>
              <w:right w:val="nil"/>
            </w:tcBorders>
            <w:shd w:val="clear" w:color="auto" w:fill="auto"/>
            <w:noWrap/>
            <w:vAlign w:val="bottom"/>
            <w:hideMark/>
          </w:tcPr>
          <w:p w14:paraId="0D873DF5"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230</w:t>
            </w:r>
          </w:p>
        </w:tc>
      </w:tr>
      <w:tr w:rsidR="00F71B8B" w:rsidRPr="00F71B8B" w14:paraId="037A2ED3" w14:textId="77777777" w:rsidTr="00F71B8B">
        <w:trPr>
          <w:trHeight w:val="315"/>
        </w:trPr>
        <w:tc>
          <w:tcPr>
            <w:tcW w:w="2740" w:type="dxa"/>
            <w:tcBorders>
              <w:top w:val="single" w:sz="4" w:space="0" w:color="ADD6EA"/>
              <w:left w:val="nil"/>
              <w:bottom w:val="nil"/>
              <w:right w:val="nil"/>
            </w:tcBorders>
            <w:shd w:val="clear" w:color="auto" w:fill="auto"/>
            <w:vAlign w:val="bottom"/>
            <w:hideMark/>
          </w:tcPr>
          <w:p w14:paraId="4C5443DD" w14:textId="77777777" w:rsidR="00F71B8B" w:rsidRPr="00F71B8B" w:rsidRDefault="00F71B8B" w:rsidP="00F71B8B">
            <w:pPr>
              <w:keepNext/>
              <w:keepLines/>
              <w:tabs>
                <w:tab w:val="clear" w:pos="567"/>
              </w:tabs>
              <w:spacing w:before="0" w:line="240" w:lineRule="auto"/>
              <w:rPr>
                <w:rFonts w:eastAsia="Times New Roman" w:cs="Open Sans Light"/>
                <w:color w:val="000000"/>
                <w:sz w:val="16"/>
                <w:szCs w:val="16"/>
                <w:lang w:eastAsia="en-AU"/>
              </w:rPr>
            </w:pPr>
            <w:r w:rsidRPr="00F71B8B">
              <w:rPr>
                <w:rFonts w:eastAsia="Times New Roman" w:cs="Open Sans Light"/>
                <w:color w:val="000000"/>
                <w:sz w:val="16"/>
                <w:szCs w:val="16"/>
                <w:lang w:eastAsia="en-AU"/>
              </w:rPr>
              <w:t>Changes in state circumstances (a)</w:t>
            </w:r>
          </w:p>
        </w:tc>
        <w:tc>
          <w:tcPr>
            <w:tcW w:w="740" w:type="dxa"/>
            <w:tcBorders>
              <w:top w:val="single" w:sz="4" w:space="0" w:color="ADD6EA"/>
              <w:left w:val="nil"/>
              <w:bottom w:val="nil"/>
              <w:right w:val="nil"/>
            </w:tcBorders>
            <w:shd w:val="clear" w:color="auto" w:fill="auto"/>
            <w:vAlign w:val="bottom"/>
            <w:hideMark/>
          </w:tcPr>
          <w:p w14:paraId="57BC527F"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1,061</w:t>
            </w:r>
          </w:p>
        </w:tc>
        <w:tc>
          <w:tcPr>
            <w:tcW w:w="700" w:type="dxa"/>
            <w:tcBorders>
              <w:top w:val="single" w:sz="4" w:space="0" w:color="ADD6EA"/>
              <w:left w:val="nil"/>
              <w:bottom w:val="nil"/>
              <w:right w:val="nil"/>
            </w:tcBorders>
            <w:shd w:val="clear" w:color="auto" w:fill="auto"/>
            <w:vAlign w:val="bottom"/>
            <w:hideMark/>
          </w:tcPr>
          <w:p w14:paraId="6EB5AA7A"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-251</w:t>
            </w:r>
          </w:p>
        </w:tc>
        <w:tc>
          <w:tcPr>
            <w:tcW w:w="700" w:type="dxa"/>
            <w:tcBorders>
              <w:top w:val="single" w:sz="4" w:space="0" w:color="ADD6EA"/>
              <w:left w:val="nil"/>
              <w:bottom w:val="nil"/>
              <w:right w:val="nil"/>
            </w:tcBorders>
            <w:shd w:val="clear" w:color="auto" w:fill="auto"/>
            <w:vAlign w:val="bottom"/>
            <w:hideMark/>
          </w:tcPr>
          <w:p w14:paraId="4A59EA14"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533</w:t>
            </w:r>
          </w:p>
        </w:tc>
        <w:tc>
          <w:tcPr>
            <w:tcW w:w="700" w:type="dxa"/>
            <w:tcBorders>
              <w:top w:val="single" w:sz="4" w:space="0" w:color="ADD6EA"/>
              <w:left w:val="nil"/>
              <w:bottom w:val="nil"/>
              <w:right w:val="nil"/>
            </w:tcBorders>
            <w:shd w:val="clear" w:color="auto" w:fill="auto"/>
            <w:vAlign w:val="bottom"/>
            <w:hideMark/>
          </w:tcPr>
          <w:p w14:paraId="7675E07F"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-1,376</w:t>
            </w:r>
          </w:p>
        </w:tc>
        <w:tc>
          <w:tcPr>
            <w:tcW w:w="640" w:type="dxa"/>
            <w:tcBorders>
              <w:top w:val="single" w:sz="4" w:space="0" w:color="ADD6EA"/>
              <w:left w:val="nil"/>
              <w:bottom w:val="nil"/>
              <w:right w:val="nil"/>
            </w:tcBorders>
            <w:shd w:val="clear" w:color="auto" w:fill="auto"/>
            <w:vAlign w:val="bottom"/>
            <w:hideMark/>
          </w:tcPr>
          <w:p w14:paraId="2332632C"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27</w:t>
            </w:r>
          </w:p>
        </w:tc>
        <w:tc>
          <w:tcPr>
            <w:tcW w:w="640" w:type="dxa"/>
            <w:tcBorders>
              <w:top w:val="single" w:sz="4" w:space="0" w:color="ADD6EA"/>
              <w:left w:val="nil"/>
              <w:bottom w:val="nil"/>
              <w:right w:val="nil"/>
            </w:tcBorders>
            <w:shd w:val="clear" w:color="auto" w:fill="auto"/>
            <w:vAlign w:val="bottom"/>
            <w:hideMark/>
          </w:tcPr>
          <w:p w14:paraId="5F134C59"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-33</w:t>
            </w:r>
          </w:p>
        </w:tc>
        <w:tc>
          <w:tcPr>
            <w:tcW w:w="660" w:type="dxa"/>
            <w:tcBorders>
              <w:top w:val="single" w:sz="4" w:space="0" w:color="ADD6EA"/>
              <w:left w:val="nil"/>
              <w:bottom w:val="nil"/>
              <w:right w:val="nil"/>
            </w:tcBorders>
            <w:shd w:val="clear" w:color="auto" w:fill="auto"/>
            <w:vAlign w:val="bottom"/>
            <w:hideMark/>
          </w:tcPr>
          <w:p w14:paraId="0264E979"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-3</w:t>
            </w:r>
          </w:p>
        </w:tc>
        <w:tc>
          <w:tcPr>
            <w:tcW w:w="640" w:type="dxa"/>
            <w:tcBorders>
              <w:top w:val="single" w:sz="4" w:space="0" w:color="ADD6EA"/>
              <w:left w:val="nil"/>
              <w:bottom w:val="nil"/>
              <w:right w:val="nil"/>
            </w:tcBorders>
            <w:shd w:val="clear" w:color="auto" w:fill="auto"/>
            <w:vAlign w:val="bottom"/>
            <w:hideMark/>
          </w:tcPr>
          <w:p w14:paraId="745D7316"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42</w:t>
            </w:r>
          </w:p>
        </w:tc>
        <w:tc>
          <w:tcPr>
            <w:tcW w:w="800" w:type="dxa"/>
            <w:tcBorders>
              <w:top w:val="single" w:sz="4" w:space="0" w:color="ADD6EA"/>
              <w:left w:val="nil"/>
              <w:bottom w:val="nil"/>
              <w:right w:val="nil"/>
            </w:tcBorders>
            <w:shd w:val="clear" w:color="auto" w:fill="auto"/>
            <w:vAlign w:val="bottom"/>
            <w:hideMark/>
          </w:tcPr>
          <w:p w14:paraId="401512AC" w14:textId="77777777" w:rsidR="00F71B8B" w:rsidRPr="00F71B8B" w:rsidRDefault="00F71B8B" w:rsidP="00F71B8B">
            <w:pPr>
              <w:keepNext/>
              <w:keepLines/>
              <w:tabs>
                <w:tab w:val="clear" w:pos="567"/>
              </w:tabs>
              <w:spacing w:before="0" w:line="240" w:lineRule="auto"/>
              <w:jc w:val="right"/>
              <w:rPr>
                <w:rFonts w:eastAsia="Times New Roman" w:cs="Open Sans Light"/>
                <w:color w:val="000000"/>
                <w:sz w:val="16"/>
                <w:szCs w:val="16"/>
                <w:lang w:eastAsia="en-AU"/>
              </w:rPr>
            </w:pPr>
            <w:r w:rsidRPr="00F71B8B">
              <w:rPr>
                <w:rFonts w:eastAsia="Times New Roman" w:cs="Open Sans Light"/>
                <w:color w:val="000000"/>
                <w:sz w:val="16"/>
                <w:szCs w:val="16"/>
                <w:lang w:eastAsia="en-AU"/>
              </w:rPr>
              <w:t>1,663</w:t>
            </w:r>
          </w:p>
        </w:tc>
      </w:tr>
      <w:tr w:rsidR="00F71B8B" w:rsidRPr="00F71B8B" w14:paraId="0EA4529F" w14:textId="77777777" w:rsidTr="00F71B8B">
        <w:trPr>
          <w:trHeight w:val="315"/>
        </w:trPr>
        <w:tc>
          <w:tcPr>
            <w:tcW w:w="2740" w:type="dxa"/>
            <w:tcBorders>
              <w:top w:val="single" w:sz="4" w:space="0" w:color="ADD6EA"/>
              <w:left w:val="nil"/>
              <w:bottom w:val="single" w:sz="4" w:space="0" w:color="ADD6EA"/>
              <w:right w:val="nil"/>
            </w:tcBorders>
            <w:shd w:val="clear" w:color="000000" w:fill="D6E7F0"/>
            <w:vAlign w:val="bottom"/>
            <w:hideMark/>
          </w:tcPr>
          <w:p w14:paraId="0162FC12" w14:textId="77777777" w:rsidR="00F71B8B" w:rsidRPr="00F71B8B" w:rsidRDefault="00F71B8B" w:rsidP="00F71B8B">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Total</w:t>
            </w:r>
          </w:p>
        </w:tc>
        <w:tc>
          <w:tcPr>
            <w:tcW w:w="740" w:type="dxa"/>
            <w:tcBorders>
              <w:top w:val="single" w:sz="4" w:space="0" w:color="ADD6EA"/>
              <w:left w:val="nil"/>
              <w:bottom w:val="single" w:sz="4" w:space="0" w:color="ADD6EA"/>
              <w:right w:val="nil"/>
            </w:tcBorders>
            <w:shd w:val="clear" w:color="000000" w:fill="D6E7F0"/>
            <w:noWrap/>
            <w:vAlign w:val="bottom"/>
            <w:hideMark/>
          </w:tcPr>
          <w:p w14:paraId="4D6CE07B"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1,195</w:t>
            </w:r>
          </w:p>
        </w:tc>
        <w:tc>
          <w:tcPr>
            <w:tcW w:w="700" w:type="dxa"/>
            <w:tcBorders>
              <w:top w:val="single" w:sz="4" w:space="0" w:color="ADD6EA"/>
              <w:left w:val="nil"/>
              <w:bottom w:val="single" w:sz="4" w:space="0" w:color="ADD6EA"/>
              <w:right w:val="nil"/>
            </w:tcBorders>
            <w:shd w:val="clear" w:color="000000" w:fill="D6E7F0"/>
            <w:noWrap/>
            <w:vAlign w:val="bottom"/>
            <w:hideMark/>
          </w:tcPr>
          <w:p w14:paraId="64ECB363"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-206</w:t>
            </w:r>
          </w:p>
        </w:tc>
        <w:tc>
          <w:tcPr>
            <w:tcW w:w="700" w:type="dxa"/>
            <w:tcBorders>
              <w:top w:val="single" w:sz="4" w:space="0" w:color="ADD6EA"/>
              <w:left w:val="nil"/>
              <w:bottom w:val="single" w:sz="4" w:space="0" w:color="ADD6EA"/>
              <w:right w:val="nil"/>
            </w:tcBorders>
            <w:shd w:val="clear" w:color="000000" w:fill="D6E7F0"/>
            <w:noWrap/>
            <w:vAlign w:val="bottom"/>
            <w:hideMark/>
          </w:tcPr>
          <w:p w14:paraId="67AAC710"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459</w:t>
            </w:r>
          </w:p>
        </w:tc>
        <w:tc>
          <w:tcPr>
            <w:tcW w:w="700" w:type="dxa"/>
            <w:tcBorders>
              <w:top w:val="single" w:sz="4" w:space="0" w:color="ADD6EA"/>
              <w:left w:val="nil"/>
              <w:bottom w:val="single" w:sz="4" w:space="0" w:color="ADD6EA"/>
              <w:right w:val="nil"/>
            </w:tcBorders>
            <w:shd w:val="clear" w:color="000000" w:fill="D6E7F0"/>
            <w:noWrap/>
            <w:vAlign w:val="bottom"/>
            <w:hideMark/>
          </w:tcPr>
          <w:p w14:paraId="1DA39272"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-1,387</w:t>
            </w:r>
          </w:p>
        </w:tc>
        <w:tc>
          <w:tcPr>
            <w:tcW w:w="640" w:type="dxa"/>
            <w:tcBorders>
              <w:top w:val="single" w:sz="4" w:space="0" w:color="ADD6EA"/>
              <w:left w:val="nil"/>
              <w:bottom w:val="single" w:sz="4" w:space="0" w:color="ADD6EA"/>
              <w:right w:val="nil"/>
            </w:tcBorders>
            <w:shd w:val="clear" w:color="000000" w:fill="D6E7F0"/>
            <w:noWrap/>
            <w:vAlign w:val="bottom"/>
            <w:hideMark/>
          </w:tcPr>
          <w:p w14:paraId="2735ECE4"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-47</w:t>
            </w:r>
          </w:p>
        </w:tc>
        <w:tc>
          <w:tcPr>
            <w:tcW w:w="640" w:type="dxa"/>
            <w:tcBorders>
              <w:top w:val="single" w:sz="4" w:space="0" w:color="ADD6EA"/>
              <w:left w:val="nil"/>
              <w:bottom w:val="single" w:sz="4" w:space="0" w:color="ADD6EA"/>
              <w:right w:val="nil"/>
            </w:tcBorders>
            <w:shd w:val="clear" w:color="000000" w:fill="D6E7F0"/>
            <w:noWrap/>
            <w:vAlign w:val="bottom"/>
            <w:hideMark/>
          </w:tcPr>
          <w:p w14:paraId="5ACDB99F"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-87</w:t>
            </w:r>
          </w:p>
        </w:tc>
        <w:tc>
          <w:tcPr>
            <w:tcW w:w="660" w:type="dxa"/>
            <w:tcBorders>
              <w:top w:val="single" w:sz="4" w:space="0" w:color="ADD6EA"/>
              <w:left w:val="nil"/>
              <w:bottom w:val="single" w:sz="4" w:space="0" w:color="ADD6EA"/>
              <w:right w:val="nil"/>
            </w:tcBorders>
            <w:shd w:val="clear" w:color="000000" w:fill="D6E7F0"/>
            <w:noWrap/>
            <w:vAlign w:val="bottom"/>
            <w:hideMark/>
          </w:tcPr>
          <w:p w14:paraId="2156FDF4"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-21</w:t>
            </w:r>
          </w:p>
        </w:tc>
        <w:tc>
          <w:tcPr>
            <w:tcW w:w="640" w:type="dxa"/>
            <w:tcBorders>
              <w:top w:val="single" w:sz="4" w:space="0" w:color="ADD6EA"/>
              <w:left w:val="nil"/>
              <w:bottom w:val="single" w:sz="4" w:space="0" w:color="ADD6EA"/>
              <w:right w:val="nil"/>
            </w:tcBorders>
            <w:shd w:val="clear" w:color="000000" w:fill="D6E7F0"/>
            <w:noWrap/>
            <w:vAlign w:val="bottom"/>
            <w:hideMark/>
          </w:tcPr>
          <w:p w14:paraId="2159306A"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92</w:t>
            </w:r>
          </w:p>
        </w:tc>
        <w:tc>
          <w:tcPr>
            <w:tcW w:w="800" w:type="dxa"/>
            <w:tcBorders>
              <w:top w:val="single" w:sz="4" w:space="0" w:color="ADD6EA"/>
              <w:left w:val="nil"/>
              <w:bottom w:val="single" w:sz="4" w:space="0" w:color="ADD6EA"/>
              <w:right w:val="nil"/>
            </w:tcBorders>
            <w:shd w:val="clear" w:color="000000" w:fill="D6E7F0"/>
            <w:noWrap/>
            <w:vAlign w:val="bottom"/>
            <w:hideMark/>
          </w:tcPr>
          <w:p w14:paraId="75A323E1" w14:textId="77777777" w:rsidR="00F71B8B" w:rsidRPr="00F71B8B" w:rsidRDefault="00F71B8B" w:rsidP="00F71B8B">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71B8B">
              <w:rPr>
                <w:rFonts w:ascii="Open Sans Semibold" w:eastAsia="Times New Roman" w:hAnsi="Open Sans Semibold" w:cs="Open Sans Semibold"/>
                <w:color w:val="000000"/>
                <w:sz w:val="16"/>
                <w:szCs w:val="16"/>
                <w:lang w:eastAsia="en-AU"/>
              </w:rPr>
              <w:t>1,747</w:t>
            </w:r>
          </w:p>
        </w:tc>
      </w:tr>
    </w:tbl>
    <w:p w14:paraId="74FC8A15" w14:textId="4EF5EB72" w:rsidR="00CE4066" w:rsidRDefault="001A367C" w:rsidP="00BC1AF1">
      <w:pPr>
        <w:pStyle w:val="CGCTablenote"/>
        <w:keepNext/>
        <w:keepLines/>
        <w:widowControl w:val="0"/>
        <w:tabs>
          <w:tab w:val="left" w:pos="567"/>
        </w:tabs>
      </w:pPr>
      <w:r>
        <w:t>(a)</w:t>
      </w:r>
      <w:r>
        <w:tab/>
      </w:r>
      <w:r>
        <w:tab/>
      </w:r>
      <w:r w:rsidR="00CE4066">
        <w:t>Includes both the changes in relative state circumstances and changes in how much states collectively spend or raise.</w:t>
      </w:r>
    </w:p>
    <w:p w14:paraId="7E5A17D2" w14:textId="6150DE21" w:rsidR="001A367C" w:rsidRPr="001A367C" w:rsidRDefault="001A367C" w:rsidP="001A367C">
      <w:pPr>
        <w:pStyle w:val="CGCTablenote"/>
        <w:keepNext/>
        <w:keepLines/>
        <w:widowControl w:val="0"/>
      </w:pPr>
      <w:r>
        <w:t>Source</w:t>
      </w:r>
      <w:r>
        <w:tab/>
        <w:t>Commission calculation.</w:t>
      </w:r>
    </w:p>
    <w:p w14:paraId="174A364D" w14:textId="77777777" w:rsidR="00CE4066" w:rsidRDefault="00CE4066" w:rsidP="00214D86">
      <w:pPr>
        <w:pStyle w:val="Heading3"/>
      </w:pPr>
      <w:r>
        <w:t>Data revisions</w:t>
      </w:r>
    </w:p>
    <w:p w14:paraId="1511E664" w14:textId="23305DCC" w:rsidR="00CE4066" w:rsidRPr="007B35EB" w:rsidRDefault="00CE4066" w:rsidP="0004064D">
      <w:pPr>
        <w:pStyle w:val="CGCBodyCopy"/>
      </w:pPr>
      <w:r w:rsidRPr="004378D6">
        <w:t>This section describes the impact of replacing data used in the 2021 Update with the latest available data. Since the 2021</w:t>
      </w:r>
      <w:r>
        <w:t> Update, data providers have released updated data about circumstances in 2017</w:t>
      </w:r>
      <w:r w:rsidR="002875F7">
        <w:t>–</w:t>
      </w:r>
      <w:r>
        <w:t>18, 2018</w:t>
      </w:r>
      <w:r w:rsidR="002875F7">
        <w:t>–</w:t>
      </w:r>
      <w:r>
        <w:t>19 and 2019</w:t>
      </w:r>
      <w:r w:rsidR="00404213">
        <w:noBreakHyphen/>
      </w:r>
      <w:r>
        <w:t>20. The Commission has revised some of its assessments using the latest available data.</w:t>
      </w:r>
    </w:p>
    <w:p w14:paraId="6AC04991" w14:textId="0263A7DE" w:rsidR="00CE4066" w:rsidRPr="00AB4006" w:rsidRDefault="00CE4066" w:rsidP="00042EC6">
      <w:pPr>
        <w:pStyle w:val="Caption"/>
        <w:widowControl w:val="0"/>
      </w:pPr>
      <w:bookmarkStart w:id="49" w:name="_Ref94275703"/>
      <w:bookmarkStart w:id="50" w:name="_Toc62487275"/>
      <w:bookmarkStart w:id="51" w:name="_Toc62723806"/>
      <w:r w:rsidRPr="00DC5B51">
        <w:t>Table 2-</w:t>
      </w:r>
      <w:r w:rsidRPr="00DC5B51">
        <w:fldChar w:fldCharType="begin"/>
      </w:r>
      <w:r w:rsidRPr="00DC5B51">
        <w:instrText>SEQ Table \* ARABIC</w:instrText>
      </w:r>
      <w:r w:rsidRPr="00DC5B51">
        <w:fldChar w:fldCharType="separate"/>
      </w:r>
      <w:r w:rsidR="00FE4664">
        <w:rPr>
          <w:noProof/>
        </w:rPr>
        <w:t>4</w:t>
      </w:r>
      <w:r w:rsidRPr="00DC5B51">
        <w:fldChar w:fldCharType="end"/>
      </w:r>
      <w:bookmarkEnd w:id="49"/>
      <w:r w:rsidRPr="00DC5B51">
        <w:tab/>
        <w:t>Major effects of data revisions, 2021</w:t>
      </w:r>
      <w:r w:rsidR="00307FCD" w:rsidRPr="00DC5B51">
        <w:t>–</w:t>
      </w:r>
      <w:r w:rsidRPr="00DC5B51">
        <w:t>22 to 2022</w:t>
      </w:r>
      <w:r w:rsidR="00307FCD" w:rsidRPr="00DC5B51">
        <w:t>–</w:t>
      </w:r>
      <w:r w:rsidRPr="00DC5B51">
        <w:t>2</w:t>
      </w:r>
      <w:bookmarkEnd w:id="50"/>
      <w:bookmarkEnd w:id="51"/>
      <w:r w:rsidRPr="00DC5B51">
        <w:t>3</w:t>
      </w:r>
    </w:p>
    <w:tbl>
      <w:tblPr>
        <w:tblW w:w="8940" w:type="dxa"/>
        <w:tblLook w:val="04A0" w:firstRow="1" w:lastRow="0" w:firstColumn="1" w:lastColumn="0" w:noHBand="0" w:noVBand="1"/>
      </w:tblPr>
      <w:tblGrid>
        <w:gridCol w:w="1640"/>
        <w:gridCol w:w="880"/>
        <w:gridCol w:w="760"/>
        <w:gridCol w:w="800"/>
        <w:gridCol w:w="760"/>
        <w:gridCol w:w="760"/>
        <w:gridCol w:w="760"/>
        <w:gridCol w:w="820"/>
        <w:gridCol w:w="760"/>
        <w:gridCol w:w="1000"/>
      </w:tblGrid>
      <w:tr w:rsidR="00E03671" w:rsidRPr="00E03671" w14:paraId="31B1FDBD" w14:textId="77777777" w:rsidTr="00E03671">
        <w:trPr>
          <w:trHeight w:val="375"/>
        </w:trPr>
        <w:tc>
          <w:tcPr>
            <w:tcW w:w="1640" w:type="dxa"/>
            <w:tcBorders>
              <w:top w:val="nil"/>
              <w:left w:val="nil"/>
              <w:bottom w:val="single" w:sz="4" w:space="0" w:color="ADD6EA"/>
              <w:right w:val="nil"/>
            </w:tcBorders>
            <w:shd w:val="clear" w:color="000000" w:fill="006991"/>
            <w:vAlign w:val="center"/>
            <w:hideMark/>
          </w:tcPr>
          <w:p w14:paraId="00CEA1B7"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3671">
              <w:rPr>
                <w:rFonts w:ascii="Open Sans Semibold" w:eastAsia="Times New Roman" w:hAnsi="Open Sans Semibold" w:cs="Open Sans Semibold"/>
                <w:color w:val="FFFFFF"/>
                <w:sz w:val="16"/>
                <w:szCs w:val="16"/>
                <w:lang w:eastAsia="en-AU"/>
              </w:rPr>
              <w:t> </w:t>
            </w:r>
          </w:p>
        </w:tc>
        <w:tc>
          <w:tcPr>
            <w:tcW w:w="880" w:type="dxa"/>
            <w:tcBorders>
              <w:top w:val="nil"/>
              <w:left w:val="nil"/>
              <w:bottom w:val="single" w:sz="4" w:space="0" w:color="ADD6EA"/>
              <w:right w:val="nil"/>
            </w:tcBorders>
            <w:shd w:val="clear" w:color="000000" w:fill="006991"/>
            <w:vAlign w:val="center"/>
            <w:hideMark/>
          </w:tcPr>
          <w:p w14:paraId="121E970A"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3671">
              <w:rPr>
                <w:rFonts w:ascii="Open Sans Semibold" w:eastAsia="Times New Roman" w:hAnsi="Open Sans Semibold" w:cs="Open Sans Semibold"/>
                <w:color w:val="FFFFFF"/>
                <w:sz w:val="16"/>
                <w:szCs w:val="16"/>
                <w:lang w:eastAsia="en-AU"/>
              </w:rPr>
              <w:t>NSW</w:t>
            </w:r>
          </w:p>
        </w:tc>
        <w:tc>
          <w:tcPr>
            <w:tcW w:w="760" w:type="dxa"/>
            <w:tcBorders>
              <w:top w:val="nil"/>
              <w:left w:val="nil"/>
              <w:bottom w:val="single" w:sz="4" w:space="0" w:color="ADD6EA"/>
              <w:right w:val="nil"/>
            </w:tcBorders>
            <w:shd w:val="clear" w:color="000000" w:fill="006991"/>
            <w:vAlign w:val="center"/>
            <w:hideMark/>
          </w:tcPr>
          <w:p w14:paraId="3A951EE5"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3671">
              <w:rPr>
                <w:rFonts w:ascii="Open Sans Semibold" w:eastAsia="Times New Roman" w:hAnsi="Open Sans Semibold" w:cs="Open Sans Semibold"/>
                <w:color w:val="FFFFFF"/>
                <w:sz w:val="16"/>
                <w:szCs w:val="16"/>
                <w:lang w:eastAsia="en-AU"/>
              </w:rPr>
              <w:t>Vic</w:t>
            </w:r>
          </w:p>
        </w:tc>
        <w:tc>
          <w:tcPr>
            <w:tcW w:w="800" w:type="dxa"/>
            <w:tcBorders>
              <w:top w:val="nil"/>
              <w:left w:val="nil"/>
              <w:bottom w:val="single" w:sz="4" w:space="0" w:color="ADD6EA"/>
              <w:right w:val="nil"/>
            </w:tcBorders>
            <w:shd w:val="clear" w:color="000000" w:fill="006991"/>
            <w:vAlign w:val="center"/>
            <w:hideMark/>
          </w:tcPr>
          <w:p w14:paraId="05CF0861"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3671">
              <w:rPr>
                <w:rFonts w:ascii="Open Sans Semibold" w:eastAsia="Times New Roman" w:hAnsi="Open Sans Semibold" w:cs="Open Sans Semibold"/>
                <w:color w:val="FFFFFF"/>
                <w:sz w:val="16"/>
                <w:szCs w:val="16"/>
                <w:lang w:eastAsia="en-AU"/>
              </w:rPr>
              <w:t>Qld</w:t>
            </w:r>
          </w:p>
        </w:tc>
        <w:tc>
          <w:tcPr>
            <w:tcW w:w="760" w:type="dxa"/>
            <w:tcBorders>
              <w:top w:val="nil"/>
              <w:left w:val="nil"/>
              <w:bottom w:val="single" w:sz="4" w:space="0" w:color="ADD6EA"/>
              <w:right w:val="nil"/>
            </w:tcBorders>
            <w:shd w:val="clear" w:color="000000" w:fill="006991"/>
            <w:vAlign w:val="center"/>
            <w:hideMark/>
          </w:tcPr>
          <w:p w14:paraId="7281307A"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3671">
              <w:rPr>
                <w:rFonts w:ascii="Open Sans Semibold" w:eastAsia="Times New Roman" w:hAnsi="Open Sans Semibold" w:cs="Open Sans Semibold"/>
                <w:color w:val="FFFFFF"/>
                <w:sz w:val="16"/>
                <w:szCs w:val="16"/>
                <w:lang w:eastAsia="en-AU"/>
              </w:rPr>
              <w:t>WA</w:t>
            </w:r>
          </w:p>
        </w:tc>
        <w:tc>
          <w:tcPr>
            <w:tcW w:w="760" w:type="dxa"/>
            <w:tcBorders>
              <w:top w:val="nil"/>
              <w:left w:val="nil"/>
              <w:bottom w:val="single" w:sz="4" w:space="0" w:color="ADD6EA"/>
              <w:right w:val="nil"/>
            </w:tcBorders>
            <w:shd w:val="clear" w:color="000000" w:fill="006991"/>
            <w:vAlign w:val="center"/>
            <w:hideMark/>
          </w:tcPr>
          <w:p w14:paraId="612D9DD9"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3671">
              <w:rPr>
                <w:rFonts w:ascii="Open Sans Semibold" w:eastAsia="Times New Roman" w:hAnsi="Open Sans Semibold" w:cs="Open Sans Semibold"/>
                <w:color w:val="FFFFFF"/>
                <w:sz w:val="16"/>
                <w:szCs w:val="16"/>
                <w:lang w:eastAsia="en-AU"/>
              </w:rPr>
              <w:t>SA</w:t>
            </w:r>
          </w:p>
        </w:tc>
        <w:tc>
          <w:tcPr>
            <w:tcW w:w="760" w:type="dxa"/>
            <w:tcBorders>
              <w:top w:val="nil"/>
              <w:left w:val="nil"/>
              <w:bottom w:val="single" w:sz="4" w:space="0" w:color="ADD6EA"/>
              <w:right w:val="nil"/>
            </w:tcBorders>
            <w:shd w:val="clear" w:color="000000" w:fill="006991"/>
            <w:vAlign w:val="center"/>
            <w:hideMark/>
          </w:tcPr>
          <w:p w14:paraId="2E0D6C78"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3671">
              <w:rPr>
                <w:rFonts w:ascii="Open Sans Semibold" w:eastAsia="Times New Roman" w:hAnsi="Open Sans Semibold" w:cs="Open Sans Semibold"/>
                <w:color w:val="FFFFFF"/>
                <w:sz w:val="16"/>
                <w:szCs w:val="16"/>
                <w:lang w:eastAsia="en-AU"/>
              </w:rPr>
              <w:t>Tas</w:t>
            </w:r>
          </w:p>
        </w:tc>
        <w:tc>
          <w:tcPr>
            <w:tcW w:w="820" w:type="dxa"/>
            <w:tcBorders>
              <w:top w:val="nil"/>
              <w:left w:val="nil"/>
              <w:bottom w:val="single" w:sz="4" w:space="0" w:color="ADD6EA"/>
              <w:right w:val="nil"/>
            </w:tcBorders>
            <w:shd w:val="clear" w:color="000000" w:fill="006991"/>
            <w:vAlign w:val="center"/>
            <w:hideMark/>
          </w:tcPr>
          <w:p w14:paraId="5406FAE1"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3671">
              <w:rPr>
                <w:rFonts w:ascii="Open Sans Semibold" w:eastAsia="Times New Roman" w:hAnsi="Open Sans Semibold" w:cs="Open Sans Semibold"/>
                <w:color w:val="FFFFFF"/>
                <w:sz w:val="16"/>
                <w:szCs w:val="16"/>
                <w:lang w:eastAsia="en-AU"/>
              </w:rPr>
              <w:t>ACT</w:t>
            </w:r>
          </w:p>
        </w:tc>
        <w:tc>
          <w:tcPr>
            <w:tcW w:w="760" w:type="dxa"/>
            <w:tcBorders>
              <w:top w:val="nil"/>
              <w:left w:val="nil"/>
              <w:bottom w:val="single" w:sz="4" w:space="0" w:color="ADD6EA"/>
              <w:right w:val="nil"/>
            </w:tcBorders>
            <w:shd w:val="clear" w:color="000000" w:fill="006991"/>
            <w:vAlign w:val="center"/>
            <w:hideMark/>
          </w:tcPr>
          <w:p w14:paraId="2AD367ED"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3671">
              <w:rPr>
                <w:rFonts w:ascii="Open Sans Semibold" w:eastAsia="Times New Roman" w:hAnsi="Open Sans Semibold" w:cs="Open Sans Semibold"/>
                <w:color w:val="FFFFFF"/>
                <w:sz w:val="16"/>
                <w:szCs w:val="16"/>
                <w:lang w:eastAsia="en-AU"/>
              </w:rPr>
              <w:t>NT</w:t>
            </w:r>
          </w:p>
        </w:tc>
        <w:tc>
          <w:tcPr>
            <w:tcW w:w="1000" w:type="dxa"/>
            <w:tcBorders>
              <w:top w:val="nil"/>
              <w:left w:val="nil"/>
              <w:bottom w:val="single" w:sz="4" w:space="0" w:color="ADD6EA"/>
              <w:right w:val="nil"/>
            </w:tcBorders>
            <w:shd w:val="clear" w:color="000000" w:fill="006991"/>
            <w:vAlign w:val="center"/>
            <w:hideMark/>
          </w:tcPr>
          <w:p w14:paraId="0B46AEF1"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3671">
              <w:rPr>
                <w:rFonts w:ascii="Open Sans Semibold" w:eastAsia="Times New Roman" w:hAnsi="Open Sans Semibold" w:cs="Open Sans Semibold"/>
                <w:color w:val="FFFFFF"/>
                <w:sz w:val="16"/>
                <w:szCs w:val="16"/>
                <w:lang w:eastAsia="en-AU"/>
              </w:rPr>
              <w:t>Redist</w:t>
            </w:r>
          </w:p>
        </w:tc>
      </w:tr>
      <w:tr w:rsidR="00E03671" w:rsidRPr="00E03671" w14:paraId="75D68905" w14:textId="77777777" w:rsidTr="00E03671">
        <w:trPr>
          <w:trHeight w:val="270"/>
        </w:trPr>
        <w:tc>
          <w:tcPr>
            <w:tcW w:w="1640" w:type="dxa"/>
            <w:tcBorders>
              <w:top w:val="nil"/>
              <w:left w:val="nil"/>
              <w:bottom w:val="single" w:sz="4" w:space="0" w:color="ADD6EA"/>
              <w:right w:val="nil"/>
            </w:tcBorders>
            <w:shd w:val="clear" w:color="000000" w:fill="B6D5E4"/>
            <w:vAlign w:val="bottom"/>
            <w:hideMark/>
          </w:tcPr>
          <w:p w14:paraId="145FF941" w14:textId="77777777" w:rsidR="00E03671" w:rsidRPr="00E03671" w:rsidRDefault="00E03671" w:rsidP="00E03671">
            <w:pPr>
              <w:tabs>
                <w:tab w:val="clear" w:pos="567"/>
              </w:tabs>
              <w:spacing w:before="0" w:line="240" w:lineRule="auto"/>
              <w:rPr>
                <w:rFonts w:eastAsia="Times New Roman" w:cs="Open Sans Light"/>
                <w:sz w:val="16"/>
                <w:szCs w:val="16"/>
                <w:lang w:eastAsia="en-AU"/>
              </w:rPr>
            </w:pPr>
            <w:r w:rsidRPr="00E03671">
              <w:rPr>
                <w:rFonts w:eastAsia="Times New Roman" w:cs="Open Sans Light"/>
                <w:sz w:val="16"/>
                <w:szCs w:val="16"/>
                <w:lang w:eastAsia="en-AU"/>
              </w:rPr>
              <w:t> </w:t>
            </w:r>
          </w:p>
        </w:tc>
        <w:tc>
          <w:tcPr>
            <w:tcW w:w="880" w:type="dxa"/>
            <w:tcBorders>
              <w:top w:val="nil"/>
              <w:left w:val="nil"/>
              <w:bottom w:val="single" w:sz="4" w:space="0" w:color="ADD6EA"/>
              <w:right w:val="nil"/>
            </w:tcBorders>
            <w:shd w:val="clear" w:color="000000" w:fill="B6D5E4"/>
            <w:vAlign w:val="bottom"/>
            <w:hideMark/>
          </w:tcPr>
          <w:p w14:paraId="40E9F1EE"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E03671">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bottom"/>
            <w:hideMark/>
          </w:tcPr>
          <w:p w14:paraId="69F2FD97"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E03671">
              <w:rPr>
                <w:rFonts w:ascii="Open Sans Semibold" w:eastAsia="Times New Roman" w:hAnsi="Open Sans Semibold" w:cs="Open Sans Semibold"/>
                <w:sz w:val="16"/>
                <w:szCs w:val="16"/>
                <w:lang w:eastAsia="en-AU"/>
              </w:rPr>
              <w:t>$m</w:t>
            </w:r>
          </w:p>
        </w:tc>
        <w:tc>
          <w:tcPr>
            <w:tcW w:w="800" w:type="dxa"/>
            <w:tcBorders>
              <w:top w:val="nil"/>
              <w:left w:val="nil"/>
              <w:bottom w:val="single" w:sz="4" w:space="0" w:color="ADD6EA"/>
              <w:right w:val="nil"/>
            </w:tcBorders>
            <w:shd w:val="clear" w:color="000000" w:fill="B6D5E4"/>
            <w:vAlign w:val="bottom"/>
            <w:hideMark/>
          </w:tcPr>
          <w:p w14:paraId="29F78AA9"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E03671">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bottom"/>
            <w:hideMark/>
          </w:tcPr>
          <w:p w14:paraId="188F3217"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E03671">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bottom"/>
            <w:hideMark/>
          </w:tcPr>
          <w:p w14:paraId="488154C7"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E03671">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bottom"/>
            <w:hideMark/>
          </w:tcPr>
          <w:p w14:paraId="249E2784"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E03671">
              <w:rPr>
                <w:rFonts w:ascii="Open Sans Semibold" w:eastAsia="Times New Roman" w:hAnsi="Open Sans Semibold" w:cs="Open Sans Semibold"/>
                <w:sz w:val="16"/>
                <w:szCs w:val="16"/>
                <w:lang w:eastAsia="en-AU"/>
              </w:rPr>
              <w:t>$m</w:t>
            </w:r>
          </w:p>
        </w:tc>
        <w:tc>
          <w:tcPr>
            <w:tcW w:w="820" w:type="dxa"/>
            <w:tcBorders>
              <w:top w:val="nil"/>
              <w:left w:val="nil"/>
              <w:bottom w:val="single" w:sz="4" w:space="0" w:color="ADD6EA"/>
              <w:right w:val="nil"/>
            </w:tcBorders>
            <w:shd w:val="clear" w:color="000000" w:fill="B6D5E4"/>
            <w:vAlign w:val="bottom"/>
            <w:hideMark/>
          </w:tcPr>
          <w:p w14:paraId="625EC8E5"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E03671">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bottom"/>
            <w:hideMark/>
          </w:tcPr>
          <w:p w14:paraId="694DE024"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E03671">
              <w:rPr>
                <w:rFonts w:ascii="Open Sans Semibold" w:eastAsia="Times New Roman" w:hAnsi="Open Sans Semibold" w:cs="Open Sans Semibold"/>
                <w:sz w:val="16"/>
                <w:szCs w:val="16"/>
                <w:lang w:eastAsia="en-AU"/>
              </w:rPr>
              <w:t>$m</w:t>
            </w:r>
          </w:p>
        </w:tc>
        <w:tc>
          <w:tcPr>
            <w:tcW w:w="1000" w:type="dxa"/>
            <w:tcBorders>
              <w:top w:val="nil"/>
              <w:left w:val="nil"/>
              <w:bottom w:val="single" w:sz="4" w:space="0" w:color="ADD6EA"/>
              <w:right w:val="nil"/>
            </w:tcBorders>
            <w:shd w:val="clear" w:color="000000" w:fill="B6D5E4"/>
            <w:vAlign w:val="bottom"/>
            <w:hideMark/>
          </w:tcPr>
          <w:p w14:paraId="6B9CB4F2" w14:textId="77777777" w:rsidR="00E03671" w:rsidRPr="00E0367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E03671">
              <w:rPr>
                <w:rFonts w:ascii="Open Sans Semibold" w:eastAsia="Times New Roman" w:hAnsi="Open Sans Semibold" w:cs="Open Sans Semibold"/>
                <w:sz w:val="16"/>
                <w:szCs w:val="16"/>
                <w:lang w:eastAsia="en-AU"/>
              </w:rPr>
              <w:t>$m</w:t>
            </w:r>
          </w:p>
        </w:tc>
      </w:tr>
      <w:tr w:rsidR="00E03671" w:rsidRPr="00E03671" w14:paraId="781773A6" w14:textId="77777777" w:rsidTr="00E03671">
        <w:trPr>
          <w:trHeight w:val="315"/>
        </w:trPr>
        <w:tc>
          <w:tcPr>
            <w:tcW w:w="1640" w:type="dxa"/>
            <w:tcBorders>
              <w:top w:val="nil"/>
              <w:left w:val="nil"/>
              <w:bottom w:val="single" w:sz="4" w:space="0" w:color="ADD6EA"/>
              <w:right w:val="nil"/>
            </w:tcBorders>
            <w:shd w:val="clear" w:color="auto" w:fill="auto"/>
            <w:vAlign w:val="bottom"/>
            <w:hideMark/>
          </w:tcPr>
          <w:p w14:paraId="42536E3E" w14:textId="77777777" w:rsidR="00E03671" w:rsidRPr="00DC5B51" w:rsidRDefault="00E03671" w:rsidP="00E03671">
            <w:pPr>
              <w:tabs>
                <w:tab w:val="clear" w:pos="567"/>
              </w:tabs>
              <w:spacing w:before="0" w:line="240" w:lineRule="auto"/>
              <w:rPr>
                <w:rFonts w:eastAsia="Times New Roman" w:cs="Open Sans Light"/>
                <w:sz w:val="16"/>
                <w:szCs w:val="16"/>
                <w:lang w:eastAsia="en-AU"/>
              </w:rPr>
            </w:pPr>
            <w:r w:rsidRPr="00DC5B51">
              <w:rPr>
                <w:rFonts w:eastAsia="Times New Roman" w:cs="Open Sans Light"/>
                <w:sz w:val="16"/>
                <w:szCs w:val="16"/>
                <w:lang w:eastAsia="en-AU"/>
              </w:rPr>
              <w:t>Investment</w:t>
            </w:r>
          </w:p>
        </w:tc>
        <w:tc>
          <w:tcPr>
            <w:tcW w:w="880" w:type="dxa"/>
            <w:tcBorders>
              <w:top w:val="nil"/>
              <w:left w:val="nil"/>
              <w:bottom w:val="single" w:sz="4" w:space="0" w:color="ADD6EA"/>
              <w:right w:val="nil"/>
            </w:tcBorders>
            <w:shd w:val="clear" w:color="auto" w:fill="auto"/>
            <w:vAlign w:val="bottom"/>
            <w:hideMark/>
          </w:tcPr>
          <w:p w14:paraId="15B909E2" w14:textId="77777777" w:rsidR="00E03671" w:rsidRPr="00DC5B51" w:rsidRDefault="00E03671" w:rsidP="00E03671">
            <w:pPr>
              <w:tabs>
                <w:tab w:val="clear" w:pos="567"/>
              </w:tabs>
              <w:spacing w:before="0" w:line="240" w:lineRule="auto"/>
              <w:jc w:val="right"/>
              <w:rPr>
                <w:rFonts w:eastAsia="Times New Roman" w:cs="Open Sans Light"/>
                <w:sz w:val="16"/>
                <w:szCs w:val="16"/>
                <w:lang w:eastAsia="en-AU"/>
              </w:rPr>
            </w:pPr>
            <w:r w:rsidRPr="00DC5B51">
              <w:rPr>
                <w:rFonts w:eastAsia="Times New Roman" w:cs="Open Sans Light"/>
                <w:sz w:val="16"/>
                <w:szCs w:val="16"/>
                <w:lang w:eastAsia="en-AU"/>
              </w:rPr>
              <w:t>45</w:t>
            </w:r>
          </w:p>
        </w:tc>
        <w:tc>
          <w:tcPr>
            <w:tcW w:w="760" w:type="dxa"/>
            <w:tcBorders>
              <w:top w:val="nil"/>
              <w:left w:val="nil"/>
              <w:bottom w:val="single" w:sz="4" w:space="0" w:color="ADD6EA"/>
              <w:right w:val="nil"/>
            </w:tcBorders>
            <w:shd w:val="clear" w:color="auto" w:fill="auto"/>
            <w:vAlign w:val="bottom"/>
            <w:hideMark/>
          </w:tcPr>
          <w:p w14:paraId="76BCCFE8" w14:textId="77777777" w:rsidR="00E03671" w:rsidRPr="00DC5B51" w:rsidRDefault="00E03671" w:rsidP="00E03671">
            <w:pPr>
              <w:tabs>
                <w:tab w:val="clear" w:pos="567"/>
              </w:tabs>
              <w:spacing w:before="0" w:line="240" w:lineRule="auto"/>
              <w:jc w:val="right"/>
              <w:rPr>
                <w:rFonts w:eastAsia="Times New Roman" w:cs="Open Sans Light"/>
                <w:sz w:val="16"/>
                <w:szCs w:val="16"/>
                <w:lang w:eastAsia="en-AU"/>
              </w:rPr>
            </w:pPr>
            <w:r w:rsidRPr="00DC5B51">
              <w:rPr>
                <w:rFonts w:eastAsia="Times New Roman" w:cs="Open Sans Light"/>
                <w:sz w:val="16"/>
                <w:szCs w:val="16"/>
                <w:lang w:eastAsia="en-AU"/>
              </w:rPr>
              <w:t>43</w:t>
            </w:r>
          </w:p>
        </w:tc>
        <w:tc>
          <w:tcPr>
            <w:tcW w:w="800" w:type="dxa"/>
            <w:tcBorders>
              <w:top w:val="nil"/>
              <w:left w:val="nil"/>
              <w:bottom w:val="single" w:sz="4" w:space="0" w:color="ADD6EA"/>
              <w:right w:val="nil"/>
            </w:tcBorders>
            <w:shd w:val="clear" w:color="auto" w:fill="auto"/>
            <w:vAlign w:val="bottom"/>
            <w:hideMark/>
          </w:tcPr>
          <w:p w14:paraId="4480E8F3" w14:textId="77777777" w:rsidR="00E03671" w:rsidRPr="00DC5B51" w:rsidRDefault="00E03671" w:rsidP="00E03671">
            <w:pPr>
              <w:tabs>
                <w:tab w:val="clear" w:pos="567"/>
              </w:tabs>
              <w:spacing w:before="0" w:line="240" w:lineRule="auto"/>
              <w:jc w:val="right"/>
              <w:rPr>
                <w:rFonts w:eastAsia="Times New Roman" w:cs="Open Sans Light"/>
                <w:sz w:val="16"/>
                <w:szCs w:val="16"/>
                <w:lang w:eastAsia="en-AU"/>
              </w:rPr>
            </w:pPr>
            <w:r w:rsidRPr="00DC5B51">
              <w:rPr>
                <w:rFonts w:eastAsia="Times New Roman" w:cs="Open Sans Light"/>
                <w:sz w:val="16"/>
                <w:szCs w:val="16"/>
                <w:lang w:eastAsia="en-AU"/>
              </w:rPr>
              <w:t>-49</w:t>
            </w:r>
          </w:p>
        </w:tc>
        <w:tc>
          <w:tcPr>
            <w:tcW w:w="760" w:type="dxa"/>
            <w:tcBorders>
              <w:top w:val="nil"/>
              <w:left w:val="nil"/>
              <w:bottom w:val="single" w:sz="4" w:space="0" w:color="ADD6EA"/>
              <w:right w:val="nil"/>
            </w:tcBorders>
            <w:shd w:val="clear" w:color="auto" w:fill="auto"/>
            <w:vAlign w:val="bottom"/>
            <w:hideMark/>
          </w:tcPr>
          <w:p w14:paraId="20757AE3" w14:textId="77777777" w:rsidR="00E03671" w:rsidRPr="00DC5B51" w:rsidRDefault="00E03671" w:rsidP="00E03671">
            <w:pPr>
              <w:tabs>
                <w:tab w:val="clear" w:pos="567"/>
              </w:tabs>
              <w:spacing w:before="0" w:line="240" w:lineRule="auto"/>
              <w:jc w:val="right"/>
              <w:rPr>
                <w:rFonts w:eastAsia="Times New Roman" w:cs="Open Sans Light"/>
                <w:sz w:val="16"/>
                <w:szCs w:val="16"/>
                <w:lang w:eastAsia="en-AU"/>
              </w:rPr>
            </w:pPr>
            <w:r w:rsidRPr="00DC5B51">
              <w:rPr>
                <w:rFonts w:eastAsia="Times New Roman" w:cs="Open Sans Light"/>
                <w:sz w:val="16"/>
                <w:szCs w:val="16"/>
                <w:lang w:eastAsia="en-AU"/>
              </w:rPr>
              <w:t>28</w:t>
            </w:r>
          </w:p>
        </w:tc>
        <w:tc>
          <w:tcPr>
            <w:tcW w:w="760" w:type="dxa"/>
            <w:tcBorders>
              <w:top w:val="nil"/>
              <w:left w:val="nil"/>
              <w:bottom w:val="single" w:sz="4" w:space="0" w:color="ADD6EA"/>
              <w:right w:val="nil"/>
            </w:tcBorders>
            <w:shd w:val="clear" w:color="auto" w:fill="auto"/>
            <w:vAlign w:val="bottom"/>
            <w:hideMark/>
          </w:tcPr>
          <w:p w14:paraId="55F80A50" w14:textId="77777777" w:rsidR="00E03671" w:rsidRPr="00DC5B51" w:rsidRDefault="00E03671" w:rsidP="00E03671">
            <w:pPr>
              <w:tabs>
                <w:tab w:val="clear" w:pos="567"/>
              </w:tabs>
              <w:spacing w:before="0" w:line="240" w:lineRule="auto"/>
              <w:jc w:val="right"/>
              <w:rPr>
                <w:rFonts w:eastAsia="Times New Roman" w:cs="Open Sans Light"/>
                <w:sz w:val="16"/>
                <w:szCs w:val="16"/>
                <w:lang w:eastAsia="en-AU"/>
              </w:rPr>
            </w:pPr>
            <w:r w:rsidRPr="00DC5B51">
              <w:rPr>
                <w:rFonts w:eastAsia="Times New Roman" w:cs="Open Sans Light"/>
                <w:sz w:val="16"/>
                <w:szCs w:val="16"/>
                <w:lang w:eastAsia="en-AU"/>
              </w:rPr>
              <w:t>-39</w:t>
            </w:r>
          </w:p>
        </w:tc>
        <w:tc>
          <w:tcPr>
            <w:tcW w:w="760" w:type="dxa"/>
            <w:tcBorders>
              <w:top w:val="nil"/>
              <w:left w:val="nil"/>
              <w:bottom w:val="single" w:sz="4" w:space="0" w:color="ADD6EA"/>
              <w:right w:val="nil"/>
            </w:tcBorders>
            <w:shd w:val="clear" w:color="auto" w:fill="auto"/>
            <w:vAlign w:val="bottom"/>
            <w:hideMark/>
          </w:tcPr>
          <w:p w14:paraId="27B09394" w14:textId="77777777" w:rsidR="00E03671" w:rsidRPr="00DC5B51" w:rsidRDefault="00E03671" w:rsidP="00E03671">
            <w:pPr>
              <w:tabs>
                <w:tab w:val="clear" w:pos="567"/>
              </w:tabs>
              <w:spacing w:before="0" w:line="240" w:lineRule="auto"/>
              <w:jc w:val="right"/>
              <w:rPr>
                <w:rFonts w:eastAsia="Times New Roman" w:cs="Open Sans Light"/>
                <w:sz w:val="16"/>
                <w:szCs w:val="16"/>
                <w:lang w:eastAsia="en-AU"/>
              </w:rPr>
            </w:pPr>
            <w:r w:rsidRPr="00DC5B51">
              <w:rPr>
                <w:rFonts w:eastAsia="Times New Roman" w:cs="Open Sans Light"/>
                <w:sz w:val="16"/>
                <w:szCs w:val="16"/>
                <w:lang w:eastAsia="en-AU"/>
              </w:rPr>
              <w:t>-24</w:t>
            </w:r>
          </w:p>
        </w:tc>
        <w:tc>
          <w:tcPr>
            <w:tcW w:w="820" w:type="dxa"/>
            <w:tcBorders>
              <w:top w:val="nil"/>
              <w:left w:val="nil"/>
              <w:bottom w:val="single" w:sz="4" w:space="0" w:color="ADD6EA"/>
              <w:right w:val="nil"/>
            </w:tcBorders>
            <w:shd w:val="clear" w:color="auto" w:fill="auto"/>
            <w:vAlign w:val="bottom"/>
            <w:hideMark/>
          </w:tcPr>
          <w:p w14:paraId="3C1A598D" w14:textId="77777777" w:rsidR="00E03671" w:rsidRPr="00DC5B51" w:rsidRDefault="00E03671" w:rsidP="00E03671">
            <w:pPr>
              <w:tabs>
                <w:tab w:val="clear" w:pos="567"/>
              </w:tabs>
              <w:spacing w:before="0" w:line="240" w:lineRule="auto"/>
              <w:jc w:val="right"/>
              <w:rPr>
                <w:rFonts w:eastAsia="Times New Roman" w:cs="Open Sans Light"/>
                <w:sz w:val="16"/>
                <w:szCs w:val="16"/>
                <w:lang w:eastAsia="en-AU"/>
              </w:rPr>
            </w:pPr>
            <w:r w:rsidRPr="00DC5B51">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vAlign w:val="bottom"/>
            <w:hideMark/>
          </w:tcPr>
          <w:p w14:paraId="59EA4652" w14:textId="77777777" w:rsidR="00E03671" w:rsidRPr="00DC5B51" w:rsidRDefault="00E03671" w:rsidP="00E03671">
            <w:pPr>
              <w:tabs>
                <w:tab w:val="clear" w:pos="567"/>
              </w:tabs>
              <w:spacing w:before="0" w:line="240" w:lineRule="auto"/>
              <w:jc w:val="right"/>
              <w:rPr>
                <w:rFonts w:eastAsia="Times New Roman" w:cs="Open Sans Light"/>
                <w:sz w:val="16"/>
                <w:szCs w:val="16"/>
                <w:lang w:eastAsia="en-AU"/>
              </w:rPr>
            </w:pPr>
            <w:r w:rsidRPr="00DC5B51">
              <w:rPr>
                <w:rFonts w:eastAsia="Times New Roman" w:cs="Open Sans Light"/>
                <w:sz w:val="16"/>
                <w:szCs w:val="16"/>
                <w:lang w:eastAsia="en-AU"/>
              </w:rPr>
              <w:t>1</w:t>
            </w:r>
          </w:p>
        </w:tc>
        <w:tc>
          <w:tcPr>
            <w:tcW w:w="1000" w:type="dxa"/>
            <w:tcBorders>
              <w:top w:val="nil"/>
              <w:left w:val="nil"/>
              <w:bottom w:val="single" w:sz="4" w:space="0" w:color="ADD6EA"/>
              <w:right w:val="nil"/>
            </w:tcBorders>
            <w:shd w:val="clear" w:color="auto" w:fill="auto"/>
            <w:vAlign w:val="bottom"/>
            <w:hideMark/>
          </w:tcPr>
          <w:p w14:paraId="0B98984D" w14:textId="77777777" w:rsidR="00E03671" w:rsidRPr="00DC5B51" w:rsidRDefault="00E03671" w:rsidP="00E03671">
            <w:pPr>
              <w:tabs>
                <w:tab w:val="clear" w:pos="567"/>
              </w:tabs>
              <w:spacing w:before="0" w:line="240" w:lineRule="auto"/>
              <w:jc w:val="right"/>
              <w:rPr>
                <w:rFonts w:eastAsia="Times New Roman" w:cs="Open Sans Light"/>
                <w:sz w:val="16"/>
                <w:szCs w:val="16"/>
                <w:lang w:eastAsia="en-AU"/>
              </w:rPr>
            </w:pPr>
            <w:r w:rsidRPr="00DC5B51">
              <w:rPr>
                <w:rFonts w:eastAsia="Times New Roman" w:cs="Open Sans Light"/>
                <w:sz w:val="16"/>
                <w:szCs w:val="16"/>
                <w:lang w:eastAsia="en-AU"/>
              </w:rPr>
              <w:t>117</w:t>
            </w:r>
          </w:p>
        </w:tc>
      </w:tr>
      <w:tr w:rsidR="00E03671" w:rsidRPr="00E03671" w14:paraId="46467928" w14:textId="77777777" w:rsidTr="00E03671">
        <w:trPr>
          <w:trHeight w:val="315"/>
        </w:trPr>
        <w:tc>
          <w:tcPr>
            <w:tcW w:w="1640" w:type="dxa"/>
            <w:tcBorders>
              <w:top w:val="nil"/>
              <w:left w:val="nil"/>
              <w:bottom w:val="single" w:sz="4" w:space="0" w:color="ADD6EA"/>
              <w:right w:val="nil"/>
            </w:tcBorders>
            <w:shd w:val="clear" w:color="auto" w:fill="auto"/>
            <w:vAlign w:val="bottom"/>
            <w:hideMark/>
          </w:tcPr>
          <w:p w14:paraId="36BC918E" w14:textId="77777777" w:rsidR="00E03671" w:rsidRPr="00E03671" w:rsidRDefault="00E03671" w:rsidP="00E03671">
            <w:pPr>
              <w:tabs>
                <w:tab w:val="clear" w:pos="567"/>
              </w:tabs>
              <w:spacing w:before="0" w:line="240" w:lineRule="auto"/>
              <w:rPr>
                <w:rFonts w:eastAsia="Times New Roman" w:cs="Open Sans Light"/>
                <w:sz w:val="16"/>
                <w:szCs w:val="16"/>
                <w:lang w:eastAsia="en-AU"/>
              </w:rPr>
            </w:pPr>
            <w:r w:rsidRPr="00E03671">
              <w:rPr>
                <w:rFonts w:eastAsia="Times New Roman" w:cs="Open Sans Light"/>
                <w:sz w:val="16"/>
                <w:szCs w:val="16"/>
                <w:lang w:eastAsia="en-AU"/>
              </w:rPr>
              <w:t>Payroll tax</w:t>
            </w:r>
          </w:p>
        </w:tc>
        <w:tc>
          <w:tcPr>
            <w:tcW w:w="880" w:type="dxa"/>
            <w:tcBorders>
              <w:top w:val="nil"/>
              <w:left w:val="nil"/>
              <w:bottom w:val="single" w:sz="4" w:space="0" w:color="ADD6EA"/>
              <w:right w:val="nil"/>
            </w:tcBorders>
            <w:shd w:val="clear" w:color="auto" w:fill="auto"/>
            <w:vAlign w:val="bottom"/>
            <w:hideMark/>
          </w:tcPr>
          <w:p w14:paraId="7B28BDF0"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76</w:t>
            </w:r>
          </w:p>
        </w:tc>
        <w:tc>
          <w:tcPr>
            <w:tcW w:w="760" w:type="dxa"/>
            <w:tcBorders>
              <w:top w:val="nil"/>
              <w:left w:val="nil"/>
              <w:bottom w:val="single" w:sz="4" w:space="0" w:color="ADD6EA"/>
              <w:right w:val="nil"/>
            </w:tcBorders>
            <w:shd w:val="clear" w:color="auto" w:fill="auto"/>
            <w:vAlign w:val="bottom"/>
            <w:hideMark/>
          </w:tcPr>
          <w:p w14:paraId="650B99B8"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0</w:t>
            </w:r>
          </w:p>
        </w:tc>
        <w:tc>
          <w:tcPr>
            <w:tcW w:w="800" w:type="dxa"/>
            <w:tcBorders>
              <w:top w:val="nil"/>
              <w:left w:val="nil"/>
              <w:bottom w:val="single" w:sz="4" w:space="0" w:color="ADD6EA"/>
              <w:right w:val="nil"/>
            </w:tcBorders>
            <w:shd w:val="clear" w:color="auto" w:fill="auto"/>
            <w:vAlign w:val="bottom"/>
            <w:hideMark/>
          </w:tcPr>
          <w:p w14:paraId="091519AA"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-21</w:t>
            </w:r>
          </w:p>
        </w:tc>
        <w:tc>
          <w:tcPr>
            <w:tcW w:w="760" w:type="dxa"/>
            <w:tcBorders>
              <w:top w:val="nil"/>
              <w:left w:val="nil"/>
              <w:bottom w:val="single" w:sz="4" w:space="0" w:color="ADD6EA"/>
              <w:right w:val="nil"/>
            </w:tcBorders>
            <w:shd w:val="clear" w:color="auto" w:fill="auto"/>
            <w:vAlign w:val="bottom"/>
            <w:hideMark/>
          </w:tcPr>
          <w:p w14:paraId="09863EDE"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-26</w:t>
            </w:r>
          </w:p>
        </w:tc>
        <w:tc>
          <w:tcPr>
            <w:tcW w:w="760" w:type="dxa"/>
            <w:tcBorders>
              <w:top w:val="nil"/>
              <w:left w:val="nil"/>
              <w:bottom w:val="single" w:sz="4" w:space="0" w:color="ADD6EA"/>
              <w:right w:val="nil"/>
            </w:tcBorders>
            <w:shd w:val="clear" w:color="auto" w:fill="auto"/>
            <w:vAlign w:val="bottom"/>
            <w:hideMark/>
          </w:tcPr>
          <w:p w14:paraId="7E266F49"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-22</w:t>
            </w:r>
          </w:p>
        </w:tc>
        <w:tc>
          <w:tcPr>
            <w:tcW w:w="760" w:type="dxa"/>
            <w:tcBorders>
              <w:top w:val="nil"/>
              <w:left w:val="nil"/>
              <w:bottom w:val="single" w:sz="4" w:space="0" w:color="ADD6EA"/>
              <w:right w:val="nil"/>
            </w:tcBorders>
            <w:shd w:val="clear" w:color="auto" w:fill="auto"/>
            <w:vAlign w:val="bottom"/>
            <w:hideMark/>
          </w:tcPr>
          <w:p w14:paraId="23883CE8"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-5</w:t>
            </w:r>
          </w:p>
        </w:tc>
        <w:tc>
          <w:tcPr>
            <w:tcW w:w="820" w:type="dxa"/>
            <w:tcBorders>
              <w:top w:val="nil"/>
              <w:left w:val="nil"/>
              <w:bottom w:val="single" w:sz="4" w:space="0" w:color="ADD6EA"/>
              <w:right w:val="nil"/>
            </w:tcBorders>
            <w:shd w:val="clear" w:color="auto" w:fill="auto"/>
            <w:vAlign w:val="bottom"/>
            <w:hideMark/>
          </w:tcPr>
          <w:p w14:paraId="3C954DA6"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auto" w:fill="auto"/>
            <w:vAlign w:val="bottom"/>
            <w:hideMark/>
          </w:tcPr>
          <w:p w14:paraId="46D0AA14"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4</w:t>
            </w:r>
          </w:p>
        </w:tc>
        <w:tc>
          <w:tcPr>
            <w:tcW w:w="1000" w:type="dxa"/>
            <w:tcBorders>
              <w:top w:val="nil"/>
              <w:left w:val="nil"/>
              <w:bottom w:val="single" w:sz="4" w:space="0" w:color="ADD6EA"/>
              <w:right w:val="nil"/>
            </w:tcBorders>
            <w:shd w:val="clear" w:color="auto" w:fill="auto"/>
            <w:vAlign w:val="bottom"/>
            <w:hideMark/>
          </w:tcPr>
          <w:p w14:paraId="4E1993C3"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80</w:t>
            </w:r>
          </w:p>
        </w:tc>
      </w:tr>
      <w:tr w:rsidR="00E03671" w:rsidRPr="00E03671" w14:paraId="60047A47" w14:textId="77777777" w:rsidTr="00E03671">
        <w:trPr>
          <w:trHeight w:val="315"/>
        </w:trPr>
        <w:tc>
          <w:tcPr>
            <w:tcW w:w="1640" w:type="dxa"/>
            <w:tcBorders>
              <w:top w:val="nil"/>
              <w:left w:val="nil"/>
              <w:bottom w:val="single" w:sz="4" w:space="0" w:color="ADD6EA"/>
              <w:right w:val="nil"/>
            </w:tcBorders>
            <w:shd w:val="clear" w:color="auto" w:fill="auto"/>
            <w:vAlign w:val="bottom"/>
            <w:hideMark/>
          </w:tcPr>
          <w:p w14:paraId="18A2BACA" w14:textId="77777777" w:rsidR="00E03671" w:rsidRPr="00E03671" w:rsidRDefault="00E03671" w:rsidP="00E03671">
            <w:pPr>
              <w:tabs>
                <w:tab w:val="clear" w:pos="567"/>
              </w:tabs>
              <w:spacing w:before="0" w:line="240" w:lineRule="auto"/>
              <w:rPr>
                <w:rFonts w:eastAsia="Times New Roman" w:cs="Open Sans Light"/>
                <w:sz w:val="16"/>
                <w:szCs w:val="16"/>
                <w:lang w:eastAsia="en-AU"/>
              </w:rPr>
            </w:pPr>
            <w:r w:rsidRPr="00E03671">
              <w:rPr>
                <w:rFonts w:eastAsia="Times New Roman" w:cs="Open Sans Light"/>
                <w:sz w:val="16"/>
                <w:szCs w:val="16"/>
                <w:lang w:eastAsia="en-AU"/>
              </w:rPr>
              <w:t>Net borrowing</w:t>
            </w:r>
          </w:p>
        </w:tc>
        <w:tc>
          <w:tcPr>
            <w:tcW w:w="880" w:type="dxa"/>
            <w:tcBorders>
              <w:top w:val="nil"/>
              <w:left w:val="nil"/>
              <w:bottom w:val="single" w:sz="4" w:space="0" w:color="ADD6EA"/>
              <w:right w:val="nil"/>
            </w:tcBorders>
            <w:shd w:val="clear" w:color="auto" w:fill="auto"/>
            <w:vAlign w:val="bottom"/>
            <w:hideMark/>
          </w:tcPr>
          <w:p w14:paraId="35E4A742"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-35</w:t>
            </w:r>
          </w:p>
        </w:tc>
        <w:tc>
          <w:tcPr>
            <w:tcW w:w="760" w:type="dxa"/>
            <w:tcBorders>
              <w:top w:val="nil"/>
              <w:left w:val="nil"/>
              <w:bottom w:val="single" w:sz="4" w:space="0" w:color="ADD6EA"/>
              <w:right w:val="nil"/>
            </w:tcBorders>
            <w:shd w:val="clear" w:color="auto" w:fill="auto"/>
            <w:vAlign w:val="bottom"/>
            <w:hideMark/>
          </w:tcPr>
          <w:p w14:paraId="1FF15A95"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49</w:t>
            </w:r>
          </w:p>
        </w:tc>
        <w:tc>
          <w:tcPr>
            <w:tcW w:w="800" w:type="dxa"/>
            <w:tcBorders>
              <w:top w:val="nil"/>
              <w:left w:val="nil"/>
              <w:bottom w:val="single" w:sz="4" w:space="0" w:color="ADD6EA"/>
              <w:right w:val="nil"/>
            </w:tcBorders>
            <w:shd w:val="clear" w:color="auto" w:fill="auto"/>
            <w:vAlign w:val="bottom"/>
            <w:hideMark/>
          </w:tcPr>
          <w:p w14:paraId="092CC42C"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auto" w:fill="auto"/>
            <w:vAlign w:val="bottom"/>
            <w:hideMark/>
          </w:tcPr>
          <w:p w14:paraId="156E8EC0"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4D670928"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auto" w:fill="auto"/>
            <w:vAlign w:val="bottom"/>
            <w:hideMark/>
          </w:tcPr>
          <w:p w14:paraId="04D72039"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-2</w:t>
            </w:r>
          </w:p>
        </w:tc>
        <w:tc>
          <w:tcPr>
            <w:tcW w:w="820" w:type="dxa"/>
            <w:tcBorders>
              <w:top w:val="nil"/>
              <w:left w:val="nil"/>
              <w:bottom w:val="single" w:sz="4" w:space="0" w:color="ADD6EA"/>
              <w:right w:val="nil"/>
            </w:tcBorders>
            <w:shd w:val="clear" w:color="auto" w:fill="auto"/>
            <w:vAlign w:val="bottom"/>
            <w:hideMark/>
          </w:tcPr>
          <w:p w14:paraId="4BFBD245"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16BE7750"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-7</w:t>
            </w:r>
          </w:p>
        </w:tc>
        <w:tc>
          <w:tcPr>
            <w:tcW w:w="1000" w:type="dxa"/>
            <w:tcBorders>
              <w:top w:val="nil"/>
              <w:left w:val="nil"/>
              <w:bottom w:val="single" w:sz="4" w:space="0" w:color="ADD6EA"/>
              <w:right w:val="nil"/>
            </w:tcBorders>
            <w:shd w:val="clear" w:color="auto" w:fill="auto"/>
            <w:vAlign w:val="bottom"/>
            <w:hideMark/>
          </w:tcPr>
          <w:p w14:paraId="23F3EE2A"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64</w:t>
            </w:r>
          </w:p>
        </w:tc>
      </w:tr>
      <w:tr w:rsidR="00E03671" w:rsidRPr="00E03671" w14:paraId="5841E800" w14:textId="77777777" w:rsidTr="00E03671">
        <w:trPr>
          <w:trHeight w:val="315"/>
        </w:trPr>
        <w:tc>
          <w:tcPr>
            <w:tcW w:w="1640" w:type="dxa"/>
            <w:tcBorders>
              <w:top w:val="nil"/>
              <w:left w:val="nil"/>
              <w:bottom w:val="single" w:sz="4" w:space="0" w:color="ADD6EA"/>
              <w:right w:val="nil"/>
            </w:tcBorders>
            <w:shd w:val="clear" w:color="auto" w:fill="auto"/>
            <w:vAlign w:val="bottom"/>
            <w:hideMark/>
          </w:tcPr>
          <w:p w14:paraId="26D3D867" w14:textId="77777777" w:rsidR="00E03671" w:rsidRPr="0099777C" w:rsidRDefault="00E03671" w:rsidP="00E03671">
            <w:pPr>
              <w:tabs>
                <w:tab w:val="clear" w:pos="567"/>
              </w:tabs>
              <w:spacing w:before="0" w:line="240" w:lineRule="auto"/>
              <w:rPr>
                <w:rFonts w:eastAsia="Times New Roman" w:cs="Open Sans Light"/>
                <w:sz w:val="16"/>
                <w:szCs w:val="16"/>
                <w:lang w:eastAsia="en-AU"/>
              </w:rPr>
            </w:pPr>
            <w:r w:rsidRPr="0099777C">
              <w:rPr>
                <w:rFonts w:eastAsia="Times New Roman" w:cs="Open Sans Light"/>
                <w:sz w:val="16"/>
                <w:szCs w:val="16"/>
                <w:lang w:eastAsia="en-AU"/>
              </w:rPr>
              <w:t>Health</w:t>
            </w:r>
          </w:p>
        </w:tc>
        <w:tc>
          <w:tcPr>
            <w:tcW w:w="880" w:type="dxa"/>
            <w:tcBorders>
              <w:top w:val="nil"/>
              <w:left w:val="nil"/>
              <w:bottom w:val="single" w:sz="4" w:space="0" w:color="ADD6EA"/>
              <w:right w:val="nil"/>
            </w:tcBorders>
            <w:shd w:val="clear" w:color="auto" w:fill="auto"/>
            <w:vAlign w:val="bottom"/>
            <w:hideMark/>
          </w:tcPr>
          <w:p w14:paraId="28219C65" w14:textId="77777777" w:rsidR="00E03671" w:rsidRPr="0099777C" w:rsidRDefault="00E03671" w:rsidP="00E03671">
            <w:pPr>
              <w:tabs>
                <w:tab w:val="clear" w:pos="567"/>
              </w:tabs>
              <w:spacing w:before="0" w:line="240" w:lineRule="auto"/>
              <w:jc w:val="right"/>
              <w:rPr>
                <w:rFonts w:eastAsia="Times New Roman" w:cs="Open Sans Light"/>
                <w:sz w:val="16"/>
                <w:szCs w:val="16"/>
                <w:lang w:eastAsia="en-AU"/>
              </w:rPr>
            </w:pPr>
            <w:r w:rsidRPr="0099777C">
              <w:rPr>
                <w:rFonts w:eastAsia="Times New Roman" w:cs="Open Sans Light"/>
                <w:sz w:val="16"/>
                <w:szCs w:val="16"/>
                <w:lang w:eastAsia="en-AU"/>
              </w:rPr>
              <w:t>29</w:t>
            </w:r>
          </w:p>
        </w:tc>
        <w:tc>
          <w:tcPr>
            <w:tcW w:w="760" w:type="dxa"/>
            <w:tcBorders>
              <w:top w:val="nil"/>
              <w:left w:val="nil"/>
              <w:bottom w:val="single" w:sz="4" w:space="0" w:color="ADD6EA"/>
              <w:right w:val="nil"/>
            </w:tcBorders>
            <w:shd w:val="clear" w:color="auto" w:fill="auto"/>
            <w:vAlign w:val="bottom"/>
            <w:hideMark/>
          </w:tcPr>
          <w:p w14:paraId="2C799247" w14:textId="77777777" w:rsidR="00E03671" w:rsidRPr="0099777C" w:rsidRDefault="00E03671" w:rsidP="00E03671">
            <w:pPr>
              <w:tabs>
                <w:tab w:val="clear" w:pos="567"/>
              </w:tabs>
              <w:spacing w:before="0" w:line="240" w:lineRule="auto"/>
              <w:jc w:val="right"/>
              <w:rPr>
                <w:rFonts w:eastAsia="Times New Roman" w:cs="Open Sans Light"/>
                <w:sz w:val="16"/>
                <w:szCs w:val="16"/>
                <w:lang w:eastAsia="en-AU"/>
              </w:rPr>
            </w:pPr>
            <w:r w:rsidRPr="0099777C">
              <w:rPr>
                <w:rFonts w:eastAsia="Times New Roman" w:cs="Open Sans Light"/>
                <w:sz w:val="16"/>
                <w:szCs w:val="16"/>
                <w:lang w:eastAsia="en-AU"/>
              </w:rPr>
              <w:t>-18</w:t>
            </w:r>
          </w:p>
        </w:tc>
        <w:tc>
          <w:tcPr>
            <w:tcW w:w="800" w:type="dxa"/>
            <w:tcBorders>
              <w:top w:val="nil"/>
              <w:left w:val="nil"/>
              <w:bottom w:val="single" w:sz="4" w:space="0" w:color="ADD6EA"/>
              <w:right w:val="nil"/>
            </w:tcBorders>
            <w:shd w:val="clear" w:color="auto" w:fill="auto"/>
            <w:vAlign w:val="bottom"/>
            <w:hideMark/>
          </w:tcPr>
          <w:p w14:paraId="4EED817D" w14:textId="77777777" w:rsidR="00E03671" w:rsidRPr="0099777C" w:rsidRDefault="00E03671" w:rsidP="00E03671">
            <w:pPr>
              <w:tabs>
                <w:tab w:val="clear" w:pos="567"/>
              </w:tabs>
              <w:spacing w:before="0" w:line="240" w:lineRule="auto"/>
              <w:jc w:val="right"/>
              <w:rPr>
                <w:rFonts w:eastAsia="Times New Roman" w:cs="Open Sans Light"/>
                <w:sz w:val="16"/>
                <w:szCs w:val="16"/>
                <w:lang w:eastAsia="en-AU"/>
              </w:rPr>
            </w:pPr>
            <w:r w:rsidRPr="0099777C">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auto" w:fill="auto"/>
            <w:vAlign w:val="bottom"/>
            <w:hideMark/>
          </w:tcPr>
          <w:p w14:paraId="088D6E22" w14:textId="77777777" w:rsidR="00E03671" w:rsidRPr="0099777C" w:rsidRDefault="00E03671" w:rsidP="00E03671">
            <w:pPr>
              <w:tabs>
                <w:tab w:val="clear" w:pos="567"/>
              </w:tabs>
              <w:spacing w:before="0" w:line="240" w:lineRule="auto"/>
              <w:jc w:val="right"/>
              <w:rPr>
                <w:rFonts w:eastAsia="Times New Roman" w:cs="Open Sans Light"/>
                <w:sz w:val="16"/>
                <w:szCs w:val="16"/>
                <w:lang w:eastAsia="en-AU"/>
              </w:rPr>
            </w:pPr>
            <w:r w:rsidRPr="0099777C">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34C6BA09" w14:textId="77777777" w:rsidR="00E03671" w:rsidRPr="0099777C" w:rsidRDefault="00E03671" w:rsidP="00E03671">
            <w:pPr>
              <w:tabs>
                <w:tab w:val="clear" w:pos="567"/>
              </w:tabs>
              <w:spacing w:before="0" w:line="240" w:lineRule="auto"/>
              <w:jc w:val="right"/>
              <w:rPr>
                <w:rFonts w:eastAsia="Times New Roman" w:cs="Open Sans Light"/>
                <w:sz w:val="16"/>
                <w:szCs w:val="16"/>
                <w:lang w:eastAsia="en-AU"/>
              </w:rPr>
            </w:pPr>
            <w:r w:rsidRPr="0099777C">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vAlign w:val="bottom"/>
            <w:hideMark/>
          </w:tcPr>
          <w:p w14:paraId="46DBC123" w14:textId="77777777" w:rsidR="00E03671" w:rsidRPr="0099777C" w:rsidRDefault="00E03671" w:rsidP="00E03671">
            <w:pPr>
              <w:tabs>
                <w:tab w:val="clear" w:pos="567"/>
              </w:tabs>
              <w:spacing w:before="0" w:line="240" w:lineRule="auto"/>
              <w:jc w:val="right"/>
              <w:rPr>
                <w:rFonts w:eastAsia="Times New Roman" w:cs="Open Sans Light"/>
                <w:sz w:val="16"/>
                <w:szCs w:val="16"/>
                <w:lang w:eastAsia="en-AU"/>
              </w:rPr>
            </w:pPr>
            <w:r w:rsidRPr="0099777C">
              <w:rPr>
                <w:rFonts w:eastAsia="Times New Roman" w:cs="Open Sans Light"/>
                <w:sz w:val="16"/>
                <w:szCs w:val="16"/>
                <w:lang w:eastAsia="en-AU"/>
              </w:rPr>
              <w:t>-13</w:t>
            </w:r>
          </w:p>
        </w:tc>
        <w:tc>
          <w:tcPr>
            <w:tcW w:w="820" w:type="dxa"/>
            <w:tcBorders>
              <w:top w:val="nil"/>
              <w:left w:val="nil"/>
              <w:bottom w:val="single" w:sz="4" w:space="0" w:color="ADD6EA"/>
              <w:right w:val="nil"/>
            </w:tcBorders>
            <w:shd w:val="clear" w:color="auto" w:fill="auto"/>
            <w:vAlign w:val="bottom"/>
            <w:hideMark/>
          </w:tcPr>
          <w:p w14:paraId="778D3BB2" w14:textId="77777777" w:rsidR="00E03671" w:rsidRPr="0099777C" w:rsidRDefault="00E03671" w:rsidP="00E03671">
            <w:pPr>
              <w:tabs>
                <w:tab w:val="clear" w:pos="567"/>
              </w:tabs>
              <w:spacing w:before="0" w:line="240" w:lineRule="auto"/>
              <w:jc w:val="right"/>
              <w:rPr>
                <w:rFonts w:eastAsia="Times New Roman" w:cs="Open Sans Light"/>
                <w:sz w:val="16"/>
                <w:szCs w:val="16"/>
                <w:lang w:eastAsia="en-AU"/>
              </w:rPr>
            </w:pPr>
            <w:r w:rsidRPr="0099777C">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00380FA8" w14:textId="77777777" w:rsidR="00E03671" w:rsidRPr="0099777C" w:rsidRDefault="00E03671" w:rsidP="00E03671">
            <w:pPr>
              <w:tabs>
                <w:tab w:val="clear" w:pos="567"/>
              </w:tabs>
              <w:spacing w:before="0" w:line="240" w:lineRule="auto"/>
              <w:jc w:val="right"/>
              <w:rPr>
                <w:rFonts w:eastAsia="Times New Roman" w:cs="Open Sans Light"/>
                <w:sz w:val="16"/>
                <w:szCs w:val="16"/>
                <w:lang w:eastAsia="en-AU"/>
              </w:rPr>
            </w:pPr>
            <w:r w:rsidRPr="0099777C">
              <w:rPr>
                <w:rFonts w:eastAsia="Times New Roman" w:cs="Open Sans Light"/>
                <w:sz w:val="16"/>
                <w:szCs w:val="16"/>
                <w:lang w:eastAsia="en-AU"/>
              </w:rPr>
              <w:t>18</w:t>
            </w:r>
          </w:p>
        </w:tc>
        <w:tc>
          <w:tcPr>
            <w:tcW w:w="1000" w:type="dxa"/>
            <w:tcBorders>
              <w:top w:val="nil"/>
              <w:left w:val="nil"/>
              <w:bottom w:val="single" w:sz="4" w:space="0" w:color="ADD6EA"/>
              <w:right w:val="nil"/>
            </w:tcBorders>
            <w:shd w:val="clear" w:color="auto" w:fill="auto"/>
            <w:vAlign w:val="bottom"/>
            <w:hideMark/>
          </w:tcPr>
          <w:p w14:paraId="01BD5A68" w14:textId="77777777" w:rsidR="00E03671" w:rsidRPr="0099777C" w:rsidRDefault="00E03671" w:rsidP="00E03671">
            <w:pPr>
              <w:tabs>
                <w:tab w:val="clear" w:pos="567"/>
              </w:tabs>
              <w:spacing w:before="0" w:line="240" w:lineRule="auto"/>
              <w:jc w:val="right"/>
              <w:rPr>
                <w:rFonts w:eastAsia="Times New Roman" w:cs="Open Sans Light"/>
                <w:sz w:val="16"/>
                <w:szCs w:val="16"/>
                <w:lang w:eastAsia="en-AU"/>
              </w:rPr>
            </w:pPr>
            <w:r w:rsidRPr="0099777C">
              <w:rPr>
                <w:rFonts w:eastAsia="Times New Roman" w:cs="Open Sans Light"/>
                <w:sz w:val="16"/>
                <w:szCs w:val="16"/>
                <w:lang w:eastAsia="en-AU"/>
              </w:rPr>
              <w:t>48</w:t>
            </w:r>
          </w:p>
        </w:tc>
      </w:tr>
      <w:tr w:rsidR="00E03671" w:rsidRPr="00E03671" w14:paraId="029DB7B4" w14:textId="77777777" w:rsidTr="00E03671">
        <w:trPr>
          <w:trHeight w:val="315"/>
        </w:trPr>
        <w:tc>
          <w:tcPr>
            <w:tcW w:w="1640" w:type="dxa"/>
            <w:tcBorders>
              <w:top w:val="nil"/>
              <w:left w:val="nil"/>
              <w:bottom w:val="single" w:sz="4" w:space="0" w:color="ADD6EA"/>
              <w:right w:val="nil"/>
            </w:tcBorders>
            <w:shd w:val="clear" w:color="auto" w:fill="auto"/>
            <w:vAlign w:val="bottom"/>
            <w:hideMark/>
          </w:tcPr>
          <w:p w14:paraId="736E3442" w14:textId="77777777" w:rsidR="00E03671" w:rsidRPr="00E03671" w:rsidRDefault="00E03671" w:rsidP="00E03671">
            <w:pPr>
              <w:tabs>
                <w:tab w:val="clear" w:pos="567"/>
              </w:tabs>
              <w:spacing w:before="0" w:line="240" w:lineRule="auto"/>
              <w:rPr>
                <w:rFonts w:eastAsia="Times New Roman" w:cs="Open Sans Light"/>
                <w:sz w:val="16"/>
                <w:szCs w:val="16"/>
                <w:lang w:eastAsia="en-AU"/>
              </w:rPr>
            </w:pPr>
            <w:r w:rsidRPr="00E03671">
              <w:rPr>
                <w:rFonts w:eastAsia="Times New Roman" w:cs="Open Sans Light"/>
                <w:sz w:val="16"/>
                <w:szCs w:val="16"/>
                <w:lang w:eastAsia="en-AU"/>
              </w:rPr>
              <w:t>Other revisions</w:t>
            </w:r>
          </w:p>
        </w:tc>
        <w:tc>
          <w:tcPr>
            <w:tcW w:w="880" w:type="dxa"/>
            <w:tcBorders>
              <w:top w:val="nil"/>
              <w:left w:val="nil"/>
              <w:bottom w:val="single" w:sz="4" w:space="0" w:color="ADD6EA"/>
              <w:right w:val="nil"/>
            </w:tcBorders>
            <w:shd w:val="clear" w:color="auto" w:fill="auto"/>
            <w:vAlign w:val="bottom"/>
            <w:hideMark/>
          </w:tcPr>
          <w:p w14:paraId="65D7B3F2"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19</w:t>
            </w:r>
          </w:p>
        </w:tc>
        <w:tc>
          <w:tcPr>
            <w:tcW w:w="760" w:type="dxa"/>
            <w:tcBorders>
              <w:top w:val="nil"/>
              <w:left w:val="nil"/>
              <w:bottom w:val="single" w:sz="4" w:space="0" w:color="ADD6EA"/>
              <w:right w:val="nil"/>
            </w:tcBorders>
            <w:shd w:val="clear" w:color="auto" w:fill="auto"/>
            <w:vAlign w:val="bottom"/>
            <w:hideMark/>
          </w:tcPr>
          <w:p w14:paraId="1F1F4161"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-29</w:t>
            </w:r>
          </w:p>
        </w:tc>
        <w:tc>
          <w:tcPr>
            <w:tcW w:w="800" w:type="dxa"/>
            <w:tcBorders>
              <w:top w:val="nil"/>
              <w:left w:val="nil"/>
              <w:bottom w:val="single" w:sz="4" w:space="0" w:color="ADD6EA"/>
              <w:right w:val="nil"/>
            </w:tcBorders>
            <w:shd w:val="clear" w:color="auto" w:fill="auto"/>
            <w:vAlign w:val="bottom"/>
            <w:hideMark/>
          </w:tcPr>
          <w:p w14:paraId="0D1BE063"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-13</w:t>
            </w:r>
          </w:p>
        </w:tc>
        <w:tc>
          <w:tcPr>
            <w:tcW w:w="760" w:type="dxa"/>
            <w:tcBorders>
              <w:top w:val="nil"/>
              <w:left w:val="nil"/>
              <w:bottom w:val="single" w:sz="4" w:space="0" w:color="ADD6EA"/>
              <w:right w:val="nil"/>
            </w:tcBorders>
            <w:shd w:val="clear" w:color="auto" w:fill="auto"/>
            <w:vAlign w:val="bottom"/>
            <w:hideMark/>
          </w:tcPr>
          <w:p w14:paraId="017BE7A5"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097268D5"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vAlign w:val="bottom"/>
            <w:hideMark/>
          </w:tcPr>
          <w:p w14:paraId="052C563A"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-9</w:t>
            </w:r>
          </w:p>
        </w:tc>
        <w:tc>
          <w:tcPr>
            <w:tcW w:w="820" w:type="dxa"/>
            <w:tcBorders>
              <w:top w:val="nil"/>
              <w:left w:val="nil"/>
              <w:bottom w:val="single" w:sz="4" w:space="0" w:color="ADD6EA"/>
              <w:right w:val="nil"/>
            </w:tcBorders>
            <w:shd w:val="clear" w:color="auto" w:fill="auto"/>
            <w:vAlign w:val="bottom"/>
            <w:hideMark/>
          </w:tcPr>
          <w:p w14:paraId="10F49972"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vAlign w:val="bottom"/>
            <w:hideMark/>
          </w:tcPr>
          <w:p w14:paraId="12AF663F"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33</w:t>
            </w:r>
          </w:p>
        </w:tc>
        <w:tc>
          <w:tcPr>
            <w:tcW w:w="1000" w:type="dxa"/>
            <w:tcBorders>
              <w:top w:val="nil"/>
              <w:left w:val="nil"/>
              <w:bottom w:val="single" w:sz="4" w:space="0" w:color="ADD6EA"/>
              <w:right w:val="nil"/>
            </w:tcBorders>
            <w:shd w:val="clear" w:color="auto" w:fill="auto"/>
            <w:vAlign w:val="bottom"/>
            <w:hideMark/>
          </w:tcPr>
          <w:p w14:paraId="6DF24714" w14:textId="77777777" w:rsidR="00E03671" w:rsidRPr="00E03671" w:rsidRDefault="00E03671" w:rsidP="00E03671">
            <w:pPr>
              <w:tabs>
                <w:tab w:val="clear" w:pos="567"/>
              </w:tabs>
              <w:spacing w:before="0" w:line="240" w:lineRule="auto"/>
              <w:jc w:val="right"/>
              <w:rPr>
                <w:rFonts w:eastAsia="Times New Roman" w:cs="Open Sans Light"/>
                <w:sz w:val="16"/>
                <w:szCs w:val="16"/>
                <w:lang w:eastAsia="en-AU"/>
              </w:rPr>
            </w:pPr>
            <w:r w:rsidRPr="00E03671">
              <w:rPr>
                <w:rFonts w:eastAsia="Times New Roman" w:cs="Open Sans Light"/>
                <w:sz w:val="16"/>
                <w:szCs w:val="16"/>
                <w:lang w:eastAsia="en-AU"/>
              </w:rPr>
              <w:t>60</w:t>
            </w:r>
          </w:p>
        </w:tc>
      </w:tr>
      <w:tr w:rsidR="00E03671" w:rsidRPr="00E03671" w14:paraId="3CDB4BF6" w14:textId="77777777" w:rsidTr="00E03671">
        <w:trPr>
          <w:trHeight w:val="315"/>
        </w:trPr>
        <w:tc>
          <w:tcPr>
            <w:tcW w:w="1640" w:type="dxa"/>
            <w:tcBorders>
              <w:top w:val="nil"/>
              <w:left w:val="nil"/>
              <w:bottom w:val="single" w:sz="4" w:space="0" w:color="ADD6EA"/>
              <w:right w:val="nil"/>
            </w:tcBorders>
            <w:shd w:val="clear" w:color="000000" w:fill="D6E7F0"/>
            <w:vAlign w:val="bottom"/>
            <w:hideMark/>
          </w:tcPr>
          <w:p w14:paraId="779D1FC5" w14:textId="77777777" w:rsidR="00E03671" w:rsidRPr="00DC5B51" w:rsidRDefault="00E03671" w:rsidP="00E03671">
            <w:pPr>
              <w:tabs>
                <w:tab w:val="clear" w:pos="567"/>
              </w:tabs>
              <w:spacing w:before="0" w:line="240" w:lineRule="auto"/>
              <w:rPr>
                <w:rFonts w:ascii="Open Sans Semibold" w:eastAsia="Times New Roman" w:hAnsi="Open Sans Semibold" w:cs="Open Sans Semibold"/>
                <w:sz w:val="16"/>
                <w:szCs w:val="16"/>
                <w:lang w:eastAsia="en-AU"/>
              </w:rPr>
            </w:pPr>
            <w:r w:rsidRPr="00DC5B51">
              <w:rPr>
                <w:rFonts w:ascii="Open Sans Semibold" w:eastAsia="Times New Roman" w:hAnsi="Open Sans Semibold" w:cs="Open Sans Semibold"/>
                <w:sz w:val="16"/>
                <w:szCs w:val="16"/>
                <w:lang w:eastAsia="en-AU"/>
              </w:rPr>
              <w:t>Total</w:t>
            </w:r>
          </w:p>
        </w:tc>
        <w:tc>
          <w:tcPr>
            <w:tcW w:w="880" w:type="dxa"/>
            <w:tcBorders>
              <w:top w:val="nil"/>
              <w:left w:val="nil"/>
              <w:bottom w:val="single" w:sz="4" w:space="0" w:color="ADD6EA"/>
              <w:right w:val="nil"/>
            </w:tcBorders>
            <w:shd w:val="clear" w:color="000000" w:fill="D6E7F0"/>
            <w:vAlign w:val="bottom"/>
            <w:hideMark/>
          </w:tcPr>
          <w:p w14:paraId="61D8CF4A" w14:textId="77777777" w:rsidR="00E03671" w:rsidRPr="00DC5B5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DC5B51">
              <w:rPr>
                <w:rFonts w:ascii="Open Sans Semibold" w:eastAsia="Times New Roman" w:hAnsi="Open Sans Semibold" w:cs="Open Sans Semibold"/>
                <w:sz w:val="16"/>
                <w:szCs w:val="16"/>
                <w:lang w:eastAsia="en-AU"/>
              </w:rPr>
              <w:t>135</w:t>
            </w:r>
          </w:p>
        </w:tc>
        <w:tc>
          <w:tcPr>
            <w:tcW w:w="760" w:type="dxa"/>
            <w:tcBorders>
              <w:top w:val="nil"/>
              <w:left w:val="nil"/>
              <w:bottom w:val="single" w:sz="4" w:space="0" w:color="ADD6EA"/>
              <w:right w:val="nil"/>
            </w:tcBorders>
            <w:shd w:val="clear" w:color="000000" w:fill="D6E7F0"/>
            <w:vAlign w:val="bottom"/>
            <w:hideMark/>
          </w:tcPr>
          <w:p w14:paraId="55952B10" w14:textId="77777777" w:rsidR="00E03671" w:rsidRPr="00DC5B5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DC5B51">
              <w:rPr>
                <w:rFonts w:ascii="Open Sans Semibold" w:eastAsia="Times New Roman" w:hAnsi="Open Sans Semibold" w:cs="Open Sans Semibold"/>
                <w:sz w:val="16"/>
                <w:szCs w:val="16"/>
                <w:lang w:eastAsia="en-AU"/>
              </w:rPr>
              <w:t>46</w:t>
            </w:r>
          </w:p>
        </w:tc>
        <w:tc>
          <w:tcPr>
            <w:tcW w:w="800" w:type="dxa"/>
            <w:tcBorders>
              <w:top w:val="nil"/>
              <w:left w:val="nil"/>
              <w:bottom w:val="single" w:sz="4" w:space="0" w:color="ADD6EA"/>
              <w:right w:val="nil"/>
            </w:tcBorders>
            <w:shd w:val="clear" w:color="000000" w:fill="D6E7F0"/>
            <w:vAlign w:val="bottom"/>
            <w:hideMark/>
          </w:tcPr>
          <w:p w14:paraId="56A1F534" w14:textId="77777777" w:rsidR="00E03671" w:rsidRPr="00DC5B5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DC5B51">
              <w:rPr>
                <w:rFonts w:ascii="Open Sans Semibold" w:eastAsia="Times New Roman" w:hAnsi="Open Sans Semibold" w:cs="Open Sans Semibold"/>
                <w:sz w:val="16"/>
                <w:szCs w:val="16"/>
                <w:lang w:eastAsia="en-AU"/>
              </w:rPr>
              <w:t>-73</w:t>
            </w:r>
          </w:p>
        </w:tc>
        <w:tc>
          <w:tcPr>
            <w:tcW w:w="760" w:type="dxa"/>
            <w:tcBorders>
              <w:top w:val="nil"/>
              <w:left w:val="nil"/>
              <w:bottom w:val="single" w:sz="4" w:space="0" w:color="ADD6EA"/>
              <w:right w:val="nil"/>
            </w:tcBorders>
            <w:shd w:val="clear" w:color="000000" w:fill="D6E7F0"/>
            <w:vAlign w:val="bottom"/>
            <w:hideMark/>
          </w:tcPr>
          <w:p w14:paraId="1E48B76A" w14:textId="77777777" w:rsidR="00E03671" w:rsidRPr="00DC5B5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DC5B51">
              <w:rPr>
                <w:rFonts w:ascii="Open Sans Semibold" w:eastAsia="Times New Roman" w:hAnsi="Open Sans Semibold" w:cs="Open Sans Semibold"/>
                <w:sz w:val="16"/>
                <w:szCs w:val="16"/>
                <w:lang w:eastAsia="en-AU"/>
              </w:rPr>
              <w:t>-11</w:t>
            </w:r>
          </w:p>
        </w:tc>
        <w:tc>
          <w:tcPr>
            <w:tcW w:w="760" w:type="dxa"/>
            <w:tcBorders>
              <w:top w:val="nil"/>
              <w:left w:val="nil"/>
              <w:bottom w:val="single" w:sz="4" w:space="0" w:color="ADD6EA"/>
              <w:right w:val="nil"/>
            </w:tcBorders>
            <w:shd w:val="clear" w:color="000000" w:fill="D6E7F0"/>
            <w:vAlign w:val="bottom"/>
            <w:hideMark/>
          </w:tcPr>
          <w:p w14:paraId="66B12A15" w14:textId="77777777" w:rsidR="00E03671" w:rsidRPr="00DC5B5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DC5B51">
              <w:rPr>
                <w:rFonts w:ascii="Open Sans Semibold" w:eastAsia="Times New Roman" w:hAnsi="Open Sans Semibold" w:cs="Open Sans Semibold"/>
                <w:sz w:val="16"/>
                <w:szCs w:val="16"/>
                <w:lang w:eastAsia="en-AU"/>
              </w:rPr>
              <w:t>-74</w:t>
            </w:r>
          </w:p>
        </w:tc>
        <w:tc>
          <w:tcPr>
            <w:tcW w:w="760" w:type="dxa"/>
            <w:tcBorders>
              <w:top w:val="nil"/>
              <w:left w:val="nil"/>
              <w:bottom w:val="single" w:sz="4" w:space="0" w:color="ADD6EA"/>
              <w:right w:val="nil"/>
            </w:tcBorders>
            <w:shd w:val="clear" w:color="000000" w:fill="D6E7F0"/>
            <w:vAlign w:val="bottom"/>
            <w:hideMark/>
          </w:tcPr>
          <w:p w14:paraId="35A859E5" w14:textId="77777777" w:rsidR="00E03671" w:rsidRPr="00DC5B5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DC5B51">
              <w:rPr>
                <w:rFonts w:ascii="Open Sans Semibold" w:eastAsia="Times New Roman" w:hAnsi="Open Sans Semibold" w:cs="Open Sans Semibold"/>
                <w:sz w:val="16"/>
                <w:szCs w:val="16"/>
                <w:lang w:eastAsia="en-AU"/>
              </w:rPr>
              <w:t>-54</w:t>
            </w:r>
          </w:p>
        </w:tc>
        <w:tc>
          <w:tcPr>
            <w:tcW w:w="820" w:type="dxa"/>
            <w:tcBorders>
              <w:top w:val="nil"/>
              <w:left w:val="nil"/>
              <w:bottom w:val="single" w:sz="4" w:space="0" w:color="ADD6EA"/>
              <w:right w:val="nil"/>
            </w:tcBorders>
            <w:shd w:val="clear" w:color="000000" w:fill="D6E7F0"/>
            <w:vAlign w:val="bottom"/>
            <w:hideMark/>
          </w:tcPr>
          <w:p w14:paraId="168D801C" w14:textId="77777777" w:rsidR="00E03671" w:rsidRPr="00DC5B5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DC5B51">
              <w:rPr>
                <w:rFonts w:ascii="Open Sans Semibold" w:eastAsia="Times New Roman" w:hAnsi="Open Sans Semibold" w:cs="Open Sans Semibold"/>
                <w:sz w:val="16"/>
                <w:szCs w:val="16"/>
                <w:lang w:eastAsia="en-AU"/>
              </w:rPr>
              <w:t>-18</w:t>
            </w:r>
          </w:p>
        </w:tc>
        <w:tc>
          <w:tcPr>
            <w:tcW w:w="760" w:type="dxa"/>
            <w:tcBorders>
              <w:top w:val="nil"/>
              <w:left w:val="nil"/>
              <w:bottom w:val="single" w:sz="4" w:space="0" w:color="ADD6EA"/>
              <w:right w:val="nil"/>
            </w:tcBorders>
            <w:shd w:val="clear" w:color="000000" w:fill="D6E7F0"/>
            <w:vAlign w:val="bottom"/>
            <w:hideMark/>
          </w:tcPr>
          <w:p w14:paraId="4D786473" w14:textId="77777777" w:rsidR="00E03671" w:rsidRPr="00DC5B5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DC5B51">
              <w:rPr>
                <w:rFonts w:ascii="Open Sans Semibold" w:eastAsia="Times New Roman" w:hAnsi="Open Sans Semibold" w:cs="Open Sans Semibold"/>
                <w:sz w:val="16"/>
                <w:szCs w:val="16"/>
                <w:lang w:eastAsia="en-AU"/>
              </w:rPr>
              <w:t>50</w:t>
            </w:r>
          </w:p>
        </w:tc>
        <w:tc>
          <w:tcPr>
            <w:tcW w:w="1000" w:type="dxa"/>
            <w:tcBorders>
              <w:top w:val="nil"/>
              <w:left w:val="nil"/>
              <w:bottom w:val="single" w:sz="4" w:space="0" w:color="ADD6EA"/>
              <w:right w:val="nil"/>
            </w:tcBorders>
            <w:shd w:val="clear" w:color="000000" w:fill="D6E7F0"/>
            <w:vAlign w:val="bottom"/>
            <w:hideMark/>
          </w:tcPr>
          <w:p w14:paraId="1EB2650C" w14:textId="77777777" w:rsidR="00E03671" w:rsidRPr="00DC5B51" w:rsidRDefault="00E03671" w:rsidP="00E03671">
            <w:pPr>
              <w:tabs>
                <w:tab w:val="clear" w:pos="567"/>
              </w:tabs>
              <w:spacing w:before="0" w:line="240" w:lineRule="auto"/>
              <w:jc w:val="right"/>
              <w:rPr>
                <w:rFonts w:ascii="Open Sans Semibold" w:eastAsia="Times New Roman" w:hAnsi="Open Sans Semibold" w:cs="Open Sans Semibold"/>
                <w:sz w:val="16"/>
                <w:szCs w:val="16"/>
                <w:lang w:eastAsia="en-AU"/>
              </w:rPr>
            </w:pPr>
            <w:r w:rsidRPr="00DC5B51">
              <w:rPr>
                <w:rFonts w:ascii="Open Sans Semibold" w:eastAsia="Times New Roman" w:hAnsi="Open Sans Semibold" w:cs="Open Sans Semibold"/>
                <w:sz w:val="16"/>
                <w:szCs w:val="16"/>
                <w:lang w:eastAsia="en-AU"/>
              </w:rPr>
              <w:t>230</w:t>
            </w:r>
          </w:p>
        </w:tc>
      </w:tr>
    </w:tbl>
    <w:p w14:paraId="4511A1AD" w14:textId="40538B5D" w:rsidR="00042EC6" w:rsidRDefault="00042EC6" w:rsidP="00042EC6">
      <w:pPr>
        <w:pStyle w:val="CGCTablenote"/>
        <w:keepNext/>
        <w:keepLines/>
        <w:widowControl w:val="0"/>
      </w:pPr>
      <w:r>
        <w:t>Source</w:t>
      </w:r>
      <w:r>
        <w:tab/>
        <w:t>Commission calculation.</w:t>
      </w:r>
    </w:p>
    <w:p w14:paraId="3BBC8549" w14:textId="77777777" w:rsidR="00CE4066" w:rsidRDefault="00CE4066" w:rsidP="00EC68A5">
      <w:pPr>
        <w:pStyle w:val="Heading4"/>
      </w:pPr>
      <w:r>
        <w:t>Revisions to investment data</w:t>
      </w:r>
    </w:p>
    <w:p w14:paraId="4A5215F7" w14:textId="1F55E97D" w:rsidR="00CE4066" w:rsidRDefault="00CE4066" w:rsidP="0004064D">
      <w:pPr>
        <w:pStyle w:val="CGCBodyCopy"/>
      </w:pPr>
      <w:r>
        <w:t xml:space="preserve">Data provided by </w:t>
      </w:r>
      <w:r w:rsidR="004E24BC">
        <w:t xml:space="preserve">states </w:t>
      </w:r>
      <w:r>
        <w:t>for the 2021 Update estimated investment in urban transport for 2019</w:t>
      </w:r>
      <w:r w:rsidR="00307FCD">
        <w:t>–</w:t>
      </w:r>
      <w:r>
        <w:t>20 at $</w:t>
      </w:r>
      <w:r w:rsidR="00323C09">
        <w:t>7.5</w:t>
      </w:r>
      <w:r>
        <w:t xml:space="preserve"> billion. In this update, </w:t>
      </w:r>
      <w:r w:rsidR="00323C09">
        <w:t xml:space="preserve">these </w:t>
      </w:r>
      <w:r>
        <w:t xml:space="preserve">state data were replaced with </w:t>
      </w:r>
      <w:r w:rsidR="00323C09">
        <w:t xml:space="preserve">an </w:t>
      </w:r>
      <w:r>
        <w:t xml:space="preserve">ABS estimate </w:t>
      </w:r>
      <w:r w:rsidR="00FC5C51">
        <w:t>of</w:t>
      </w:r>
      <w:r>
        <w:t xml:space="preserve"> $</w:t>
      </w:r>
      <w:r w:rsidR="00A2255B">
        <w:t>8.9</w:t>
      </w:r>
      <w:r>
        <w:t xml:space="preserve"> billion. These revisions increased the assessed need for urban transport investment in New South Wales and Victoria, reducing it in other states. </w:t>
      </w:r>
    </w:p>
    <w:p w14:paraId="4A217368" w14:textId="3C964C9A" w:rsidR="00CE4066" w:rsidRDefault="00CE4066" w:rsidP="0004064D">
      <w:pPr>
        <w:pStyle w:val="CGCBodyCopy"/>
      </w:pPr>
      <w:r w:rsidRPr="00B76840">
        <w:t>The latest data from the Survey of Motor Vehicle Use on the mix of urban and rural traffic and heavy vehicle use ha</w:t>
      </w:r>
      <w:r>
        <w:t>ve</w:t>
      </w:r>
      <w:r w:rsidRPr="00B76840">
        <w:t xml:space="preserve"> been incorporated into the </w:t>
      </w:r>
      <w:r>
        <w:t xml:space="preserve">assessments of investment in urban and rural </w:t>
      </w:r>
      <w:r w:rsidRPr="00B76840">
        <w:t>roads, increasing the assessed investment needs of Victoria, Queensland and Western Australia.</w:t>
      </w:r>
    </w:p>
    <w:p w14:paraId="0950D49A" w14:textId="77777777" w:rsidR="00A04C64" w:rsidRPr="00EC68A5" w:rsidRDefault="00A04C64" w:rsidP="00A04C64">
      <w:pPr>
        <w:pStyle w:val="Heading4"/>
      </w:pPr>
      <w:r w:rsidRPr="00EC68A5">
        <w:t>Revisions to payroll tax</w:t>
      </w:r>
    </w:p>
    <w:p w14:paraId="7CF8D9A7" w14:textId="2DCBBF85" w:rsidR="00A04C64" w:rsidRDefault="00A04C64" w:rsidP="0004064D">
      <w:pPr>
        <w:pStyle w:val="CGCBodyCopy"/>
      </w:pPr>
      <w:r>
        <w:t xml:space="preserve">The ABS revised its Compensation of Employees </w:t>
      </w:r>
      <w:r w:rsidR="00E70703">
        <w:t xml:space="preserve">(CoE) </w:t>
      </w:r>
      <w:r>
        <w:t>data, which are used by the Commission to estimate states’ payroll tax capacities.</w:t>
      </w:r>
    </w:p>
    <w:p w14:paraId="71C2E755" w14:textId="03684EE1" w:rsidR="00A04C64" w:rsidRPr="005A224D" w:rsidRDefault="00A04C64" w:rsidP="0004064D">
      <w:pPr>
        <w:pStyle w:val="CGCBodyCopy"/>
      </w:pPr>
      <w:r>
        <w:t>The largest revisions were to the data for New South Wales. Revisions reduced the revenue raising capacities of New South Wales and the Northern</w:t>
      </w:r>
      <w:r w:rsidR="00F46A05" w:rsidRPr="00A80FDD">
        <w:rPr>
          <w:noProof/>
        </w:rPr>
        <w:drawing>
          <wp:anchor distT="0" distB="0" distL="114300" distR="114300" simplePos="0" relativeHeight="251658311" behindDoc="1" locked="1" layoutInCell="1" allowOverlap="1" wp14:anchorId="53A6C94E" wp14:editId="1FD19AC2">
            <wp:simplePos x="0" y="0"/>
            <wp:positionH relativeFrom="page">
              <wp:posOffset>3175</wp:posOffset>
            </wp:positionH>
            <wp:positionV relativeFrom="margin">
              <wp:posOffset>-796925</wp:posOffset>
            </wp:positionV>
            <wp:extent cx="7563485" cy="10691495"/>
            <wp:effectExtent l="0" t="0" r="0" b="0"/>
            <wp:wrapNone/>
            <wp:docPr id="55" name="Picture 5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t> Territory, increasing their GST shares. Revisions increased the revenue raising capacities of all other states except Victoria, and reduced their GST shares.</w:t>
      </w:r>
    </w:p>
    <w:p w14:paraId="5E8515CC" w14:textId="77777777" w:rsidR="00CE4066" w:rsidRDefault="00CE4066" w:rsidP="00EC68A5">
      <w:pPr>
        <w:pStyle w:val="Heading4"/>
      </w:pPr>
      <w:r>
        <w:t>Revisions affecting net borrowing</w:t>
      </w:r>
    </w:p>
    <w:p w14:paraId="32A2163E" w14:textId="55E730CF" w:rsidR="00CE4066" w:rsidRPr="004378D6" w:rsidRDefault="00CE4066" w:rsidP="0004064D">
      <w:pPr>
        <w:pStyle w:val="CGCBodyCopy"/>
      </w:pPr>
      <w:r>
        <w:t>The net financial liabilities that states collectively held at 30</w:t>
      </w:r>
      <w:r w:rsidR="00043699">
        <w:t> </w:t>
      </w:r>
      <w:r>
        <w:t>June</w:t>
      </w:r>
      <w:r w:rsidR="00043699">
        <w:t> </w:t>
      </w:r>
      <w:r>
        <w:t xml:space="preserve">2020 were revised down from $306 billion to $230 billion. When it assesses needs for net borrowing, the </w:t>
      </w:r>
      <w:r w:rsidRPr="004378D6">
        <w:t>Commission reduces the needs of states with faster growing populations because they have more people to service their liabilities. Victoria and Queensland had above</w:t>
      </w:r>
      <w:r w:rsidR="00A853B3">
        <w:noBreakHyphen/>
      </w:r>
      <w:r w:rsidRPr="004378D6">
        <w:t>average population growth in 2019</w:t>
      </w:r>
      <w:r w:rsidR="00307FCD">
        <w:t>–</w:t>
      </w:r>
      <w:r w:rsidRPr="004378D6">
        <w:t xml:space="preserve">20, the year affected by net financial assets held at 30 June 2020. This revision </w:t>
      </w:r>
      <w:r>
        <w:t>increase</w:t>
      </w:r>
      <w:r w:rsidR="00240E43">
        <w:t>d</w:t>
      </w:r>
      <w:r w:rsidRPr="004378D6">
        <w:t xml:space="preserve"> their GST needs.</w:t>
      </w:r>
    </w:p>
    <w:p w14:paraId="0F3C164D" w14:textId="50953A1B" w:rsidR="00CE4066" w:rsidRPr="004378D6" w:rsidRDefault="00CE4066" w:rsidP="00EC68A5">
      <w:pPr>
        <w:pStyle w:val="Heading4"/>
      </w:pPr>
      <w:r w:rsidRPr="004378D6">
        <w:t>Health</w:t>
      </w:r>
    </w:p>
    <w:p w14:paraId="0F305048" w14:textId="4F64284D" w:rsidR="00CE4066" w:rsidRDefault="00CE4066" w:rsidP="0004064D">
      <w:pPr>
        <w:pStyle w:val="CGCBodyCopy"/>
      </w:pPr>
      <w:r w:rsidRPr="004378D6">
        <w:t>In health, there were two important data revisions. Because of an ongoing lag in the release of hospital activity data, 2018</w:t>
      </w:r>
      <w:r w:rsidR="00D964B9">
        <w:t>–</w:t>
      </w:r>
      <w:r w:rsidRPr="004378D6">
        <w:t>19 data were used in the 2021</w:t>
      </w:r>
      <w:r w:rsidR="00D964B9">
        <w:t> </w:t>
      </w:r>
      <w:r w:rsidRPr="004378D6">
        <w:t>Update to represent 2018</w:t>
      </w:r>
      <w:r w:rsidR="00D964B9">
        <w:t>–</w:t>
      </w:r>
      <w:r w:rsidRPr="004378D6">
        <w:t>19 and 2019</w:t>
      </w:r>
      <w:r w:rsidR="00D964B9">
        <w:t>–</w:t>
      </w:r>
      <w:r w:rsidRPr="004378D6">
        <w:t>20. For this update, 2019</w:t>
      </w:r>
      <w:r w:rsidR="00D964B9">
        <w:t>–</w:t>
      </w:r>
      <w:r w:rsidRPr="004378D6">
        <w:t>20 data have been released. The data for the 2019</w:t>
      </w:r>
      <w:r w:rsidR="00D964B9">
        <w:t>–</w:t>
      </w:r>
      <w:r w:rsidRPr="004378D6">
        <w:t>20 assessment year have been revised for the 2022 Update to reflect the new data. The newly available 2019</w:t>
      </w:r>
      <w:r w:rsidR="00675C4A">
        <w:t>–</w:t>
      </w:r>
      <w:r w:rsidRPr="004378D6">
        <w:t>20 data are now used to reflect 2019</w:t>
      </w:r>
      <w:r w:rsidR="00D964B9">
        <w:t>–</w:t>
      </w:r>
      <w:r w:rsidRPr="004378D6">
        <w:t>20 and 2020</w:t>
      </w:r>
      <w:r w:rsidR="00D964B9">
        <w:t>–</w:t>
      </w:r>
      <w:r w:rsidRPr="004378D6">
        <w:t xml:space="preserve">21 assessment year circumstances. Also, as foreshadowed in the 2020 Review and discussed in </w:t>
      </w:r>
      <w:bookmarkStart w:id="52" w:name="_Hlk95981829"/>
      <w:r w:rsidR="00640BCB">
        <w:rPr>
          <w:i/>
          <w:color w:val="0070C0"/>
          <w:u w:val="single"/>
        </w:rPr>
        <w:fldChar w:fldCharType="begin"/>
      </w:r>
      <w:r w:rsidR="00640BCB">
        <w:rPr>
          <w:i/>
          <w:color w:val="0070C0"/>
          <w:u w:val="single"/>
        </w:rPr>
        <w:instrText xml:space="preserve"> HYPERLINK "https://www.cgc.gov.au/sites/default/files/2022-03/New%20issues%20in%20the%202022%20Update.pdf" </w:instrText>
      </w:r>
      <w:r w:rsidR="00640BCB">
        <w:rPr>
          <w:i/>
          <w:color w:val="0070C0"/>
          <w:u w:val="single"/>
        </w:rPr>
      </w:r>
      <w:r w:rsidR="00640BCB">
        <w:rPr>
          <w:i/>
          <w:color w:val="0070C0"/>
          <w:u w:val="single"/>
        </w:rPr>
        <w:fldChar w:fldCharType="separate"/>
      </w:r>
      <w:r w:rsidR="00921168" w:rsidRPr="00640BCB">
        <w:rPr>
          <w:rStyle w:val="Hyperlink"/>
          <w:i/>
        </w:rPr>
        <w:t>New issues in the 2022 Update</w:t>
      </w:r>
      <w:bookmarkEnd w:id="52"/>
      <w:r w:rsidR="00640BCB">
        <w:rPr>
          <w:i/>
          <w:color w:val="0070C0"/>
          <w:u w:val="single"/>
        </w:rPr>
        <w:fldChar w:fldCharType="end"/>
      </w:r>
      <w:r w:rsidRPr="004378D6">
        <w:t>, hospital separations data were replaced with national weighted acti</w:t>
      </w:r>
      <w:r>
        <w:t>vity unit data as the measure of activity in the non</w:t>
      </w:r>
      <w:r>
        <w:noBreakHyphen/>
        <w:t xml:space="preserve">admitted patient component assessment. These revisions increased the GST needs </w:t>
      </w:r>
      <w:r w:rsidDel="00D25ED4">
        <w:t>of</w:t>
      </w:r>
      <w:r>
        <w:t xml:space="preserve"> New South Wales, the ACT and the Northern Territory.</w:t>
      </w:r>
    </w:p>
    <w:p w14:paraId="4B84987F" w14:textId="3C9E9525" w:rsidR="00CE4066" w:rsidRDefault="00CE4066" w:rsidP="001B2B67">
      <w:pPr>
        <w:pStyle w:val="Heading3"/>
        <w:spacing w:before="240"/>
      </w:pPr>
      <w:r>
        <w:t>Changes in state circumstances</w:t>
      </w:r>
    </w:p>
    <w:p w14:paraId="38DB1EC6" w14:textId="48F2659D" w:rsidR="00CE4066" w:rsidRDefault="00CE4066" w:rsidP="0004064D">
      <w:pPr>
        <w:pStyle w:val="CGCBodyCopy"/>
      </w:pPr>
      <w:r w:rsidRPr="004633A4">
        <w:t xml:space="preserve">This section describes the main changes in </w:t>
      </w:r>
      <w:r>
        <w:t>s</w:t>
      </w:r>
      <w:r w:rsidRPr="004633A4">
        <w:t>tate circumstances since the 202</w:t>
      </w:r>
      <w:r>
        <w:t>1 Update</w:t>
      </w:r>
      <w:r w:rsidRPr="004633A4">
        <w:t xml:space="preserve"> — that is, the changes that occurred when revised 201</w:t>
      </w:r>
      <w:r>
        <w:t>7</w:t>
      </w:r>
      <w:r w:rsidR="00675C4A">
        <w:t>–</w:t>
      </w:r>
      <w:r w:rsidRPr="004633A4">
        <w:t>1</w:t>
      </w:r>
      <w:r>
        <w:t>8</w:t>
      </w:r>
      <w:r w:rsidRPr="004633A4">
        <w:t xml:space="preserve"> data were replaced with 20</w:t>
      </w:r>
      <w:r>
        <w:t>20</w:t>
      </w:r>
      <w:r w:rsidR="00675C4A">
        <w:t>–</w:t>
      </w:r>
      <w:r w:rsidRPr="004633A4">
        <w:t>2</w:t>
      </w:r>
      <w:r>
        <w:t>1</w:t>
      </w:r>
      <w:r w:rsidRPr="004633A4">
        <w:t xml:space="preserve"> data. </w:t>
      </w:r>
      <w:r>
        <w:fldChar w:fldCharType="begin"/>
      </w:r>
      <w:r>
        <w:instrText xml:space="preserve"> REF _Ref94275722 \h </w:instrText>
      </w:r>
      <w:r>
        <w:fldChar w:fldCharType="separate"/>
      </w:r>
      <w:r w:rsidR="00FE4664" w:rsidRPr="00366B81">
        <w:t>Table 2</w:t>
      </w:r>
      <w:r w:rsidR="00FE4664">
        <w:t>-</w:t>
      </w:r>
      <w:r w:rsidR="00FE4664">
        <w:rPr>
          <w:noProof/>
        </w:rPr>
        <w:t>5</w:t>
      </w:r>
      <w:r>
        <w:fldChar w:fldCharType="end"/>
      </w:r>
      <w:r>
        <w:t xml:space="preserve"> </w:t>
      </w:r>
      <w:r w:rsidRPr="004633A4">
        <w:t xml:space="preserve">shows the </w:t>
      </w:r>
      <w:r>
        <w:t xml:space="preserve">impacts </w:t>
      </w:r>
      <w:r w:rsidRPr="004633A4">
        <w:t>across assessment areas.</w:t>
      </w:r>
    </w:p>
    <w:p w14:paraId="1129FD2B" w14:textId="54B43815" w:rsidR="00CE4066" w:rsidRDefault="00CE4066" w:rsidP="00A743A0">
      <w:pPr>
        <w:pStyle w:val="Caption"/>
        <w:widowControl w:val="0"/>
        <w:ind w:left="0" w:firstLine="0"/>
      </w:pPr>
      <w:bookmarkStart w:id="53" w:name="_Ref94275722"/>
      <w:bookmarkStart w:id="54" w:name="_Toc62487276"/>
      <w:bookmarkStart w:id="55" w:name="_Toc62723807"/>
      <w:r w:rsidRPr="00366B81">
        <w:t>Table 2</w:t>
      </w:r>
      <w:r>
        <w:t>-</w:t>
      </w:r>
      <w:r>
        <w:fldChar w:fldCharType="begin"/>
      </w:r>
      <w:r>
        <w:instrText>SEQ Table \* ARABIC</w:instrText>
      </w:r>
      <w:r>
        <w:fldChar w:fldCharType="separate"/>
      </w:r>
      <w:r w:rsidR="00FE4664">
        <w:rPr>
          <w:noProof/>
        </w:rPr>
        <w:t>5</w:t>
      </w:r>
      <w:r>
        <w:fldChar w:fldCharType="end"/>
      </w:r>
      <w:bookmarkEnd w:id="53"/>
      <w:r w:rsidRPr="00366B81">
        <w:tab/>
        <w:t xml:space="preserve">Composition of changes in </w:t>
      </w:r>
      <w:r>
        <w:t>s</w:t>
      </w:r>
      <w:r w:rsidRPr="00366B81">
        <w:t xml:space="preserve">tate circumstances </w:t>
      </w:r>
      <w:bookmarkEnd w:id="54"/>
      <w:bookmarkEnd w:id="55"/>
      <w:r>
        <w:t>2021</w:t>
      </w:r>
      <w:r w:rsidR="00675C4A">
        <w:t>–</w:t>
      </w:r>
      <w:r>
        <w:t>22 to 2022</w:t>
      </w:r>
      <w:r w:rsidR="00675C4A">
        <w:t>–</w:t>
      </w:r>
      <w:r>
        <w:t>23</w:t>
      </w:r>
    </w:p>
    <w:tbl>
      <w:tblPr>
        <w:tblW w:w="8940" w:type="dxa"/>
        <w:tblLook w:val="04A0" w:firstRow="1" w:lastRow="0" w:firstColumn="1" w:lastColumn="0" w:noHBand="0" w:noVBand="1"/>
      </w:tblPr>
      <w:tblGrid>
        <w:gridCol w:w="2520"/>
        <w:gridCol w:w="760"/>
        <w:gridCol w:w="700"/>
        <w:gridCol w:w="700"/>
        <w:gridCol w:w="820"/>
        <w:gridCol w:w="700"/>
        <w:gridCol w:w="620"/>
        <w:gridCol w:w="660"/>
        <w:gridCol w:w="620"/>
        <w:gridCol w:w="840"/>
      </w:tblGrid>
      <w:tr w:rsidR="00CD265C" w:rsidRPr="00CD265C" w14:paraId="33D211FE" w14:textId="77777777" w:rsidTr="00CD265C">
        <w:trPr>
          <w:trHeight w:val="375"/>
        </w:trPr>
        <w:tc>
          <w:tcPr>
            <w:tcW w:w="2520" w:type="dxa"/>
            <w:tcBorders>
              <w:top w:val="nil"/>
              <w:left w:val="nil"/>
              <w:bottom w:val="single" w:sz="4" w:space="0" w:color="ADD6EA"/>
              <w:right w:val="nil"/>
            </w:tcBorders>
            <w:shd w:val="clear" w:color="000000" w:fill="006991"/>
            <w:vAlign w:val="center"/>
            <w:hideMark/>
          </w:tcPr>
          <w:p w14:paraId="4339A04E"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65C">
              <w:rPr>
                <w:rFonts w:ascii="Open Sans Semibold" w:eastAsia="Times New Roman" w:hAnsi="Open Sans Semibold" w:cs="Open Sans Semibold"/>
                <w:color w:val="FFFFFF"/>
                <w:sz w:val="16"/>
                <w:szCs w:val="16"/>
                <w:lang w:eastAsia="en-AU"/>
              </w:rPr>
              <w:t> </w:t>
            </w:r>
          </w:p>
        </w:tc>
        <w:tc>
          <w:tcPr>
            <w:tcW w:w="760" w:type="dxa"/>
            <w:tcBorders>
              <w:top w:val="nil"/>
              <w:left w:val="nil"/>
              <w:bottom w:val="single" w:sz="4" w:space="0" w:color="ADD6EA"/>
              <w:right w:val="nil"/>
            </w:tcBorders>
            <w:shd w:val="clear" w:color="000000" w:fill="006991"/>
            <w:vAlign w:val="center"/>
            <w:hideMark/>
          </w:tcPr>
          <w:p w14:paraId="14C796D9"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65C">
              <w:rPr>
                <w:rFonts w:ascii="Open Sans Semibold" w:eastAsia="Times New Roman" w:hAnsi="Open Sans Semibold" w:cs="Open Sans Semibold"/>
                <w:color w:val="FFFFFF"/>
                <w:sz w:val="16"/>
                <w:szCs w:val="16"/>
                <w:lang w:eastAsia="en-AU"/>
              </w:rPr>
              <w:t>NSW</w:t>
            </w:r>
          </w:p>
        </w:tc>
        <w:tc>
          <w:tcPr>
            <w:tcW w:w="700" w:type="dxa"/>
            <w:tcBorders>
              <w:top w:val="nil"/>
              <w:left w:val="nil"/>
              <w:bottom w:val="single" w:sz="4" w:space="0" w:color="ADD6EA"/>
              <w:right w:val="nil"/>
            </w:tcBorders>
            <w:shd w:val="clear" w:color="000000" w:fill="006991"/>
            <w:vAlign w:val="center"/>
            <w:hideMark/>
          </w:tcPr>
          <w:p w14:paraId="47F2B363"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65C">
              <w:rPr>
                <w:rFonts w:ascii="Open Sans Semibold" w:eastAsia="Times New Roman" w:hAnsi="Open Sans Semibold" w:cs="Open Sans Semibold"/>
                <w:color w:val="FFFFFF"/>
                <w:sz w:val="16"/>
                <w:szCs w:val="16"/>
                <w:lang w:eastAsia="en-AU"/>
              </w:rPr>
              <w:t>Vic</w:t>
            </w:r>
          </w:p>
        </w:tc>
        <w:tc>
          <w:tcPr>
            <w:tcW w:w="700" w:type="dxa"/>
            <w:tcBorders>
              <w:top w:val="nil"/>
              <w:left w:val="nil"/>
              <w:bottom w:val="single" w:sz="4" w:space="0" w:color="ADD6EA"/>
              <w:right w:val="nil"/>
            </w:tcBorders>
            <w:shd w:val="clear" w:color="000000" w:fill="006991"/>
            <w:vAlign w:val="center"/>
            <w:hideMark/>
          </w:tcPr>
          <w:p w14:paraId="44D8AB6A"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65C">
              <w:rPr>
                <w:rFonts w:ascii="Open Sans Semibold" w:eastAsia="Times New Roman" w:hAnsi="Open Sans Semibold" w:cs="Open Sans Semibold"/>
                <w:color w:val="FFFFFF"/>
                <w:sz w:val="16"/>
                <w:szCs w:val="16"/>
                <w:lang w:eastAsia="en-AU"/>
              </w:rPr>
              <w:t>Qld</w:t>
            </w:r>
          </w:p>
        </w:tc>
        <w:tc>
          <w:tcPr>
            <w:tcW w:w="820" w:type="dxa"/>
            <w:tcBorders>
              <w:top w:val="nil"/>
              <w:left w:val="nil"/>
              <w:bottom w:val="single" w:sz="4" w:space="0" w:color="ADD6EA"/>
              <w:right w:val="nil"/>
            </w:tcBorders>
            <w:shd w:val="clear" w:color="000000" w:fill="006991"/>
            <w:vAlign w:val="center"/>
            <w:hideMark/>
          </w:tcPr>
          <w:p w14:paraId="4734E22A"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65C">
              <w:rPr>
                <w:rFonts w:ascii="Open Sans Semibold" w:eastAsia="Times New Roman" w:hAnsi="Open Sans Semibold" w:cs="Open Sans Semibold"/>
                <w:color w:val="FFFFFF"/>
                <w:sz w:val="16"/>
                <w:szCs w:val="16"/>
                <w:lang w:eastAsia="en-AU"/>
              </w:rPr>
              <w:t>WA</w:t>
            </w:r>
          </w:p>
        </w:tc>
        <w:tc>
          <w:tcPr>
            <w:tcW w:w="700" w:type="dxa"/>
            <w:tcBorders>
              <w:top w:val="nil"/>
              <w:left w:val="nil"/>
              <w:bottom w:val="single" w:sz="4" w:space="0" w:color="ADD6EA"/>
              <w:right w:val="nil"/>
            </w:tcBorders>
            <w:shd w:val="clear" w:color="000000" w:fill="006991"/>
            <w:vAlign w:val="center"/>
            <w:hideMark/>
          </w:tcPr>
          <w:p w14:paraId="52D54B3C"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65C">
              <w:rPr>
                <w:rFonts w:ascii="Open Sans Semibold" w:eastAsia="Times New Roman" w:hAnsi="Open Sans Semibold" w:cs="Open Sans Semibold"/>
                <w:color w:val="FFFFFF"/>
                <w:sz w:val="16"/>
                <w:szCs w:val="16"/>
                <w:lang w:eastAsia="en-AU"/>
              </w:rPr>
              <w:t>SA</w:t>
            </w:r>
          </w:p>
        </w:tc>
        <w:tc>
          <w:tcPr>
            <w:tcW w:w="620" w:type="dxa"/>
            <w:tcBorders>
              <w:top w:val="nil"/>
              <w:left w:val="nil"/>
              <w:bottom w:val="single" w:sz="4" w:space="0" w:color="ADD6EA"/>
              <w:right w:val="nil"/>
            </w:tcBorders>
            <w:shd w:val="clear" w:color="000000" w:fill="006991"/>
            <w:vAlign w:val="center"/>
            <w:hideMark/>
          </w:tcPr>
          <w:p w14:paraId="5BB41ECD"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65C">
              <w:rPr>
                <w:rFonts w:ascii="Open Sans Semibold" w:eastAsia="Times New Roman" w:hAnsi="Open Sans Semibold" w:cs="Open Sans Semibold"/>
                <w:color w:val="FFFFFF"/>
                <w:sz w:val="16"/>
                <w:szCs w:val="16"/>
                <w:lang w:eastAsia="en-AU"/>
              </w:rPr>
              <w:t>Tas</w:t>
            </w:r>
          </w:p>
        </w:tc>
        <w:tc>
          <w:tcPr>
            <w:tcW w:w="660" w:type="dxa"/>
            <w:tcBorders>
              <w:top w:val="nil"/>
              <w:left w:val="nil"/>
              <w:bottom w:val="single" w:sz="4" w:space="0" w:color="ADD6EA"/>
              <w:right w:val="nil"/>
            </w:tcBorders>
            <w:shd w:val="clear" w:color="000000" w:fill="006991"/>
            <w:vAlign w:val="center"/>
            <w:hideMark/>
          </w:tcPr>
          <w:p w14:paraId="280E8ECB"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65C">
              <w:rPr>
                <w:rFonts w:ascii="Open Sans Semibold" w:eastAsia="Times New Roman" w:hAnsi="Open Sans Semibold" w:cs="Open Sans Semibold"/>
                <w:color w:val="FFFFFF"/>
                <w:sz w:val="16"/>
                <w:szCs w:val="16"/>
                <w:lang w:eastAsia="en-AU"/>
              </w:rPr>
              <w:t>ACT</w:t>
            </w:r>
          </w:p>
        </w:tc>
        <w:tc>
          <w:tcPr>
            <w:tcW w:w="620" w:type="dxa"/>
            <w:tcBorders>
              <w:top w:val="nil"/>
              <w:left w:val="nil"/>
              <w:bottom w:val="single" w:sz="4" w:space="0" w:color="ADD6EA"/>
              <w:right w:val="nil"/>
            </w:tcBorders>
            <w:shd w:val="clear" w:color="000000" w:fill="006991"/>
            <w:vAlign w:val="center"/>
            <w:hideMark/>
          </w:tcPr>
          <w:p w14:paraId="5188BFF0"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65C">
              <w:rPr>
                <w:rFonts w:ascii="Open Sans Semibold" w:eastAsia="Times New Roman" w:hAnsi="Open Sans Semibold" w:cs="Open Sans Semibold"/>
                <w:color w:val="FFFFFF"/>
                <w:sz w:val="16"/>
                <w:szCs w:val="16"/>
                <w:lang w:eastAsia="en-AU"/>
              </w:rPr>
              <w:t>NT</w:t>
            </w:r>
          </w:p>
        </w:tc>
        <w:tc>
          <w:tcPr>
            <w:tcW w:w="840" w:type="dxa"/>
            <w:tcBorders>
              <w:top w:val="nil"/>
              <w:left w:val="nil"/>
              <w:bottom w:val="single" w:sz="4" w:space="0" w:color="ADD6EA"/>
              <w:right w:val="nil"/>
            </w:tcBorders>
            <w:shd w:val="clear" w:color="000000" w:fill="006991"/>
            <w:vAlign w:val="center"/>
            <w:hideMark/>
          </w:tcPr>
          <w:p w14:paraId="06382AE4"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65C">
              <w:rPr>
                <w:rFonts w:ascii="Open Sans Semibold" w:eastAsia="Times New Roman" w:hAnsi="Open Sans Semibold" w:cs="Open Sans Semibold"/>
                <w:color w:val="FFFFFF"/>
                <w:sz w:val="16"/>
                <w:szCs w:val="16"/>
                <w:lang w:eastAsia="en-AU"/>
              </w:rPr>
              <w:t>Redist</w:t>
            </w:r>
          </w:p>
        </w:tc>
      </w:tr>
      <w:tr w:rsidR="00CD265C" w:rsidRPr="00CD265C" w14:paraId="31D43E8D" w14:textId="77777777" w:rsidTr="00CD265C">
        <w:trPr>
          <w:trHeight w:val="259"/>
        </w:trPr>
        <w:tc>
          <w:tcPr>
            <w:tcW w:w="2520" w:type="dxa"/>
            <w:tcBorders>
              <w:top w:val="nil"/>
              <w:left w:val="nil"/>
              <w:bottom w:val="single" w:sz="4" w:space="0" w:color="ADD6EA"/>
              <w:right w:val="nil"/>
            </w:tcBorders>
            <w:shd w:val="clear" w:color="000000" w:fill="B6D5E4"/>
            <w:vAlign w:val="bottom"/>
            <w:hideMark/>
          </w:tcPr>
          <w:p w14:paraId="1D091AB6" w14:textId="77777777" w:rsidR="00CD265C" w:rsidRPr="00CD265C" w:rsidRDefault="00CD265C" w:rsidP="00CD265C">
            <w:pPr>
              <w:tabs>
                <w:tab w:val="clear" w:pos="567"/>
              </w:tabs>
              <w:spacing w:before="0" w:line="240" w:lineRule="auto"/>
              <w:rPr>
                <w:rFonts w:eastAsia="Times New Roman" w:cs="Open Sans Light"/>
                <w:sz w:val="16"/>
                <w:szCs w:val="16"/>
                <w:lang w:eastAsia="en-AU"/>
              </w:rPr>
            </w:pPr>
            <w:r w:rsidRPr="00CD265C">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B6D5E4"/>
            <w:vAlign w:val="bottom"/>
            <w:hideMark/>
          </w:tcPr>
          <w:p w14:paraId="01527F01"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vAlign w:val="bottom"/>
            <w:hideMark/>
          </w:tcPr>
          <w:p w14:paraId="54DEF665"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vAlign w:val="bottom"/>
            <w:hideMark/>
          </w:tcPr>
          <w:p w14:paraId="089F60E7"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$m</w:t>
            </w:r>
          </w:p>
        </w:tc>
        <w:tc>
          <w:tcPr>
            <w:tcW w:w="820" w:type="dxa"/>
            <w:tcBorders>
              <w:top w:val="nil"/>
              <w:left w:val="nil"/>
              <w:bottom w:val="single" w:sz="4" w:space="0" w:color="ADD6EA"/>
              <w:right w:val="nil"/>
            </w:tcBorders>
            <w:shd w:val="clear" w:color="000000" w:fill="B6D5E4"/>
            <w:vAlign w:val="bottom"/>
            <w:hideMark/>
          </w:tcPr>
          <w:p w14:paraId="6555458C"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vAlign w:val="bottom"/>
            <w:hideMark/>
          </w:tcPr>
          <w:p w14:paraId="1359FE94"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$m</w:t>
            </w:r>
          </w:p>
        </w:tc>
        <w:tc>
          <w:tcPr>
            <w:tcW w:w="620" w:type="dxa"/>
            <w:tcBorders>
              <w:top w:val="nil"/>
              <w:left w:val="nil"/>
              <w:bottom w:val="single" w:sz="4" w:space="0" w:color="ADD6EA"/>
              <w:right w:val="nil"/>
            </w:tcBorders>
            <w:shd w:val="clear" w:color="000000" w:fill="B6D5E4"/>
            <w:vAlign w:val="bottom"/>
            <w:hideMark/>
          </w:tcPr>
          <w:p w14:paraId="7E882AC2"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vAlign w:val="bottom"/>
            <w:hideMark/>
          </w:tcPr>
          <w:p w14:paraId="48DD611E"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$m</w:t>
            </w:r>
          </w:p>
        </w:tc>
        <w:tc>
          <w:tcPr>
            <w:tcW w:w="620" w:type="dxa"/>
            <w:tcBorders>
              <w:top w:val="nil"/>
              <w:left w:val="nil"/>
              <w:bottom w:val="single" w:sz="4" w:space="0" w:color="ADD6EA"/>
              <w:right w:val="nil"/>
            </w:tcBorders>
            <w:shd w:val="clear" w:color="000000" w:fill="B6D5E4"/>
            <w:vAlign w:val="bottom"/>
            <w:hideMark/>
          </w:tcPr>
          <w:p w14:paraId="6FE3937D"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$m</w:t>
            </w:r>
          </w:p>
        </w:tc>
        <w:tc>
          <w:tcPr>
            <w:tcW w:w="840" w:type="dxa"/>
            <w:tcBorders>
              <w:top w:val="nil"/>
              <w:left w:val="nil"/>
              <w:bottom w:val="single" w:sz="4" w:space="0" w:color="ADD6EA"/>
              <w:right w:val="nil"/>
            </w:tcBorders>
            <w:shd w:val="clear" w:color="000000" w:fill="B6D5E4"/>
            <w:vAlign w:val="bottom"/>
            <w:hideMark/>
          </w:tcPr>
          <w:p w14:paraId="089E0937"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$m</w:t>
            </w:r>
          </w:p>
        </w:tc>
      </w:tr>
      <w:tr w:rsidR="00CD265C" w:rsidRPr="00CD265C" w14:paraId="6969E556" w14:textId="77777777" w:rsidTr="00CD265C">
        <w:trPr>
          <w:trHeight w:val="315"/>
        </w:trPr>
        <w:tc>
          <w:tcPr>
            <w:tcW w:w="2520" w:type="dxa"/>
            <w:tcBorders>
              <w:top w:val="nil"/>
              <w:left w:val="nil"/>
              <w:bottom w:val="single" w:sz="4" w:space="0" w:color="ADD6EA"/>
              <w:right w:val="nil"/>
            </w:tcBorders>
            <w:shd w:val="clear" w:color="auto" w:fill="auto"/>
            <w:vAlign w:val="bottom"/>
            <w:hideMark/>
          </w:tcPr>
          <w:p w14:paraId="36706A36" w14:textId="77777777" w:rsidR="00CD265C" w:rsidRPr="00CD265C" w:rsidRDefault="00CD265C" w:rsidP="00CD265C">
            <w:pPr>
              <w:tabs>
                <w:tab w:val="clear" w:pos="567"/>
              </w:tabs>
              <w:spacing w:before="0" w:line="240" w:lineRule="auto"/>
              <w:rPr>
                <w:rFonts w:eastAsia="Times New Roman" w:cs="Open Sans Light"/>
                <w:sz w:val="16"/>
                <w:szCs w:val="16"/>
                <w:lang w:eastAsia="en-AU"/>
              </w:rPr>
            </w:pPr>
            <w:r w:rsidRPr="00CD265C">
              <w:rPr>
                <w:rFonts w:eastAsia="Times New Roman" w:cs="Open Sans Light"/>
                <w:sz w:val="16"/>
                <w:szCs w:val="16"/>
                <w:lang w:eastAsia="en-AU"/>
              </w:rPr>
              <w:t>Expense needs</w:t>
            </w:r>
          </w:p>
        </w:tc>
        <w:tc>
          <w:tcPr>
            <w:tcW w:w="760" w:type="dxa"/>
            <w:tcBorders>
              <w:top w:val="nil"/>
              <w:left w:val="nil"/>
              <w:bottom w:val="single" w:sz="4" w:space="0" w:color="ADD6EA"/>
              <w:right w:val="nil"/>
            </w:tcBorders>
            <w:shd w:val="clear" w:color="auto" w:fill="auto"/>
            <w:vAlign w:val="bottom"/>
            <w:hideMark/>
          </w:tcPr>
          <w:p w14:paraId="11A75BEF"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123</w:t>
            </w:r>
          </w:p>
        </w:tc>
        <w:tc>
          <w:tcPr>
            <w:tcW w:w="700" w:type="dxa"/>
            <w:tcBorders>
              <w:top w:val="nil"/>
              <w:left w:val="nil"/>
              <w:bottom w:val="single" w:sz="4" w:space="0" w:color="ADD6EA"/>
              <w:right w:val="nil"/>
            </w:tcBorders>
            <w:shd w:val="clear" w:color="auto" w:fill="auto"/>
            <w:vAlign w:val="bottom"/>
            <w:hideMark/>
          </w:tcPr>
          <w:p w14:paraId="5C7E89C8"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-185</w:t>
            </w:r>
          </w:p>
        </w:tc>
        <w:tc>
          <w:tcPr>
            <w:tcW w:w="700" w:type="dxa"/>
            <w:tcBorders>
              <w:top w:val="nil"/>
              <w:left w:val="nil"/>
              <w:bottom w:val="single" w:sz="4" w:space="0" w:color="ADD6EA"/>
              <w:right w:val="nil"/>
            </w:tcBorders>
            <w:shd w:val="clear" w:color="auto" w:fill="auto"/>
            <w:vAlign w:val="bottom"/>
            <w:hideMark/>
          </w:tcPr>
          <w:p w14:paraId="7D78B311"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-274</w:t>
            </w:r>
          </w:p>
        </w:tc>
        <w:tc>
          <w:tcPr>
            <w:tcW w:w="820" w:type="dxa"/>
            <w:tcBorders>
              <w:top w:val="nil"/>
              <w:left w:val="nil"/>
              <w:bottom w:val="single" w:sz="4" w:space="0" w:color="ADD6EA"/>
              <w:right w:val="nil"/>
            </w:tcBorders>
            <w:shd w:val="clear" w:color="auto" w:fill="auto"/>
            <w:vAlign w:val="bottom"/>
            <w:hideMark/>
          </w:tcPr>
          <w:p w14:paraId="1A7A8538"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418</w:t>
            </w:r>
          </w:p>
        </w:tc>
        <w:tc>
          <w:tcPr>
            <w:tcW w:w="700" w:type="dxa"/>
            <w:tcBorders>
              <w:top w:val="nil"/>
              <w:left w:val="nil"/>
              <w:bottom w:val="single" w:sz="4" w:space="0" w:color="ADD6EA"/>
              <w:right w:val="nil"/>
            </w:tcBorders>
            <w:shd w:val="clear" w:color="auto" w:fill="auto"/>
            <w:vAlign w:val="bottom"/>
            <w:hideMark/>
          </w:tcPr>
          <w:p w14:paraId="69557A80"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-18</w:t>
            </w:r>
          </w:p>
        </w:tc>
        <w:tc>
          <w:tcPr>
            <w:tcW w:w="620" w:type="dxa"/>
            <w:tcBorders>
              <w:top w:val="nil"/>
              <w:left w:val="nil"/>
              <w:bottom w:val="single" w:sz="4" w:space="0" w:color="ADD6EA"/>
              <w:right w:val="nil"/>
            </w:tcBorders>
            <w:shd w:val="clear" w:color="auto" w:fill="auto"/>
            <w:vAlign w:val="bottom"/>
            <w:hideMark/>
          </w:tcPr>
          <w:p w14:paraId="0F497371"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-19</w:t>
            </w:r>
          </w:p>
        </w:tc>
        <w:tc>
          <w:tcPr>
            <w:tcW w:w="660" w:type="dxa"/>
            <w:tcBorders>
              <w:top w:val="nil"/>
              <w:left w:val="nil"/>
              <w:bottom w:val="single" w:sz="4" w:space="0" w:color="ADD6EA"/>
              <w:right w:val="nil"/>
            </w:tcBorders>
            <w:shd w:val="clear" w:color="auto" w:fill="auto"/>
            <w:vAlign w:val="bottom"/>
            <w:hideMark/>
          </w:tcPr>
          <w:p w14:paraId="0FDE81F5"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-35</w:t>
            </w:r>
          </w:p>
        </w:tc>
        <w:tc>
          <w:tcPr>
            <w:tcW w:w="620" w:type="dxa"/>
            <w:tcBorders>
              <w:top w:val="nil"/>
              <w:left w:val="nil"/>
              <w:bottom w:val="single" w:sz="4" w:space="0" w:color="ADD6EA"/>
              <w:right w:val="nil"/>
            </w:tcBorders>
            <w:shd w:val="clear" w:color="auto" w:fill="auto"/>
            <w:vAlign w:val="bottom"/>
            <w:hideMark/>
          </w:tcPr>
          <w:p w14:paraId="662C478D"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-9</w:t>
            </w:r>
          </w:p>
        </w:tc>
        <w:tc>
          <w:tcPr>
            <w:tcW w:w="840" w:type="dxa"/>
            <w:tcBorders>
              <w:top w:val="nil"/>
              <w:left w:val="nil"/>
              <w:bottom w:val="single" w:sz="4" w:space="0" w:color="ADD6EA"/>
              <w:right w:val="nil"/>
            </w:tcBorders>
            <w:shd w:val="clear" w:color="auto" w:fill="auto"/>
            <w:vAlign w:val="bottom"/>
            <w:hideMark/>
          </w:tcPr>
          <w:p w14:paraId="4BC1EB3A"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540</w:t>
            </w:r>
          </w:p>
        </w:tc>
      </w:tr>
      <w:tr w:rsidR="00CD265C" w:rsidRPr="00CD265C" w14:paraId="52BDBCAC" w14:textId="77777777" w:rsidTr="00CD265C">
        <w:trPr>
          <w:trHeight w:val="315"/>
        </w:trPr>
        <w:tc>
          <w:tcPr>
            <w:tcW w:w="2520" w:type="dxa"/>
            <w:tcBorders>
              <w:top w:val="nil"/>
              <w:left w:val="nil"/>
              <w:bottom w:val="single" w:sz="4" w:space="0" w:color="ADD6EA"/>
              <w:right w:val="nil"/>
            </w:tcBorders>
            <w:shd w:val="clear" w:color="auto" w:fill="auto"/>
            <w:vAlign w:val="bottom"/>
            <w:hideMark/>
          </w:tcPr>
          <w:p w14:paraId="1E900935" w14:textId="77777777" w:rsidR="00CD265C" w:rsidRPr="00CD265C" w:rsidRDefault="00CD265C" w:rsidP="00CD265C">
            <w:pPr>
              <w:tabs>
                <w:tab w:val="clear" w:pos="567"/>
              </w:tabs>
              <w:spacing w:before="0" w:line="240" w:lineRule="auto"/>
              <w:rPr>
                <w:rFonts w:eastAsia="Times New Roman" w:cs="Open Sans Light"/>
                <w:sz w:val="16"/>
                <w:szCs w:val="16"/>
                <w:lang w:eastAsia="en-AU"/>
              </w:rPr>
            </w:pPr>
            <w:r w:rsidRPr="00CD265C">
              <w:rPr>
                <w:rFonts w:eastAsia="Times New Roman" w:cs="Open Sans Light"/>
                <w:sz w:val="16"/>
                <w:szCs w:val="16"/>
                <w:lang w:eastAsia="en-AU"/>
              </w:rPr>
              <w:t>Investment needs</w:t>
            </w:r>
          </w:p>
        </w:tc>
        <w:tc>
          <w:tcPr>
            <w:tcW w:w="760" w:type="dxa"/>
            <w:tcBorders>
              <w:top w:val="nil"/>
              <w:left w:val="nil"/>
              <w:bottom w:val="single" w:sz="4" w:space="0" w:color="ADD6EA"/>
              <w:right w:val="nil"/>
            </w:tcBorders>
            <w:shd w:val="clear" w:color="auto" w:fill="auto"/>
            <w:vAlign w:val="bottom"/>
            <w:hideMark/>
          </w:tcPr>
          <w:p w14:paraId="16BDFE7D"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215</w:t>
            </w:r>
          </w:p>
        </w:tc>
        <w:tc>
          <w:tcPr>
            <w:tcW w:w="700" w:type="dxa"/>
            <w:tcBorders>
              <w:top w:val="nil"/>
              <w:left w:val="nil"/>
              <w:bottom w:val="single" w:sz="4" w:space="0" w:color="ADD6EA"/>
              <w:right w:val="nil"/>
            </w:tcBorders>
            <w:shd w:val="clear" w:color="auto" w:fill="auto"/>
            <w:vAlign w:val="bottom"/>
            <w:hideMark/>
          </w:tcPr>
          <w:p w14:paraId="11D8B8C9"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-750</w:t>
            </w:r>
          </w:p>
        </w:tc>
        <w:tc>
          <w:tcPr>
            <w:tcW w:w="700" w:type="dxa"/>
            <w:tcBorders>
              <w:top w:val="nil"/>
              <w:left w:val="nil"/>
              <w:bottom w:val="single" w:sz="4" w:space="0" w:color="ADD6EA"/>
              <w:right w:val="nil"/>
            </w:tcBorders>
            <w:shd w:val="clear" w:color="auto" w:fill="auto"/>
            <w:vAlign w:val="bottom"/>
            <w:hideMark/>
          </w:tcPr>
          <w:p w14:paraId="4235B369"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148</w:t>
            </w:r>
          </w:p>
        </w:tc>
        <w:tc>
          <w:tcPr>
            <w:tcW w:w="820" w:type="dxa"/>
            <w:tcBorders>
              <w:top w:val="nil"/>
              <w:left w:val="nil"/>
              <w:bottom w:val="single" w:sz="4" w:space="0" w:color="ADD6EA"/>
              <w:right w:val="nil"/>
            </w:tcBorders>
            <w:shd w:val="clear" w:color="auto" w:fill="auto"/>
            <w:vAlign w:val="bottom"/>
            <w:hideMark/>
          </w:tcPr>
          <w:p w14:paraId="2130AC6C"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315</w:t>
            </w:r>
          </w:p>
        </w:tc>
        <w:tc>
          <w:tcPr>
            <w:tcW w:w="700" w:type="dxa"/>
            <w:tcBorders>
              <w:top w:val="nil"/>
              <w:left w:val="nil"/>
              <w:bottom w:val="single" w:sz="4" w:space="0" w:color="ADD6EA"/>
              <w:right w:val="nil"/>
            </w:tcBorders>
            <w:shd w:val="clear" w:color="auto" w:fill="auto"/>
            <w:vAlign w:val="bottom"/>
            <w:hideMark/>
          </w:tcPr>
          <w:p w14:paraId="63536693"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82</w:t>
            </w:r>
          </w:p>
        </w:tc>
        <w:tc>
          <w:tcPr>
            <w:tcW w:w="620" w:type="dxa"/>
            <w:tcBorders>
              <w:top w:val="nil"/>
              <w:left w:val="nil"/>
              <w:bottom w:val="single" w:sz="4" w:space="0" w:color="ADD6EA"/>
              <w:right w:val="nil"/>
            </w:tcBorders>
            <w:shd w:val="clear" w:color="auto" w:fill="auto"/>
            <w:vAlign w:val="bottom"/>
            <w:hideMark/>
          </w:tcPr>
          <w:p w14:paraId="11931037"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-18</w:t>
            </w:r>
          </w:p>
        </w:tc>
        <w:tc>
          <w:tcPr>
            <w:tcW w:w="660" w:type="dxa"/>
            <w:tcBorders>
              <w:top w:val="nil"/>
              <w:left w:val="nil"/>
              <w:bottom w:val="single" w:sz="4" w:space="0" w:color="ADD6EA"/>
              <w:right w:val="nil"/>
            </w:tcBorders>
            <w:shd w:val="clear" w:color="auto" w:fill="auto"/>
            <w:vAlign w:val="bottom"/>
            <w:hideMark/>
          </w:tcPr>
          <w:p w14:paraId="51E1B64B"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8</w:t>
            </w:r>
          </w:p>
        </w:tc>
        <w:tc>
          <w:tcPr>
            <w:tcW w:w="620" w:type="dxa"/>
            <w:tcBorders>
              <w:top w:val="nil"/>
              <w:left w:val="nil"/>
              <w:bottom w:val="single" w:sz="4" w:space="0" w:color="ADD6EA"/>
              <w:right w:val="nil"/>
            </w:tcBorders>
            <w:shd w:val="clear" w:color="auto" w:fill="auto"/>
            <w:vAlign w:val="bottom"/>
            <w:hideMark/>
          </w:tcPr>
          <w:p w14:paraId="5B1B2A72"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w:t>
            </w:r>
          </w:p>
        </w:tc>
        <w:tc>
          <w:tcPr>
            <w:tcW w:w="840" w:type="dxa"/>
            <w:tcBorders>
              <w:top w:val="nil"/>
              <w:left w:val="nil"/>
              <w:bottom w:val="single" w:sz="4" w:space="0" w:color="ADD6EA"/>
              <w:right w:val="nil"/>
            </w:tcBorders>
            <w:shd w:val="clear" w:color="auto" w:fill="auto"/>
            <w:vAlign w:val="bottom"/>
            <w:hideMark/>
          </w:tcPr>
          <w:p w14:paraId="3C383107"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769</w:t>
            </w:r>
          </w:p>
        </w:tc>
      </w:tr>
      <w:tr w:rsidR="00CD265C" w:rsidRPr="00CD265C" w14:paraId="5DBCB3BF" w14:textId="77777777" w:rsidTr="00CD265C">
        <w:trPr>
          <w:trHeight w:val="315"/>
        </w:trPr>
        <w:tc>
          <w:tcPr>
            <w:tcW w:w="2520" w:type="dxa"/>
            <w:tcBorders>
              <w:top w:val="nil"/>
              <w:left w:val="nil"/>
              <w:bottom w:val="single" w:sz="4" w:space="0" w:color="ADD6EA"/>
              <w:right w:val="nil"/>
            </w:tcBorders>
            <w:shd w:val="clear" w:color="auto" w:fill="auto"/>
            <w:vAlign w:val="bottom"/>
            <w:hideMark/>
          </w:tcPr>
          <w:p w14:paraId="53FBF83C" w14:textId="77777777" w:rsidR="00CD265C" w:rsidRPr="00CD265C" w:rsidRDefault="00CD265C" w:rsidP="00CD265C">
            <w:pPr>
              <w:tabs>
                <w:tab w:val="clear" w:pos="567"/>
              </w:tabs>
              <w:spacing w:before="0" w:line="240" w:lineRule="auto"/>
              <w:rPr>
                <w:rFonts w:eastAsia="Times New Roman" w:cs="Open Sans Light"/>
                <w:sz w:val="16"/>
                <w:szCs w:val="16"/>
                <w:lang w:eastAsia="en-AU"/>
              </w:rPr>
            </w:pPr>
            <w:r w:rsidRPr="00CD265C">
              <w:rPr>
                <w:rFonts w:eastAsia="Times New Roman" w:cs="Open Sans Light"/>
                <w:sz w:val="16"/>
                <w:szCs w:val="16"/>
                <w:lang w:eastAsia="en-AU"/>
              </w:rPr>
              <w:t>Net borrowing</w:t>
            </w:r>
          </w:p>
        </w:tc>
        <w:tc>
          <w:tcPr>
            <w:tcW w:w="760" w:type="dxa"/>
            <w:tcBorders>
              <w:top w:val="nil"/>
              <w:left w:val="nil"/>
              <w:bottom w:val="single" w:sz="4" w:space="0" w:color="ADD6EA"/>
              <w:right w:val="nil"/>
            </w:tcBorders>
            <w:shd w:val="clear" w:color="auto" w:fill="auto"/>
            <w:vAlign w:val="bottom"/>
            <w:hideMark/>
          </w:tcPr>
          <w:p w14:paraId="046F0944"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29</w:t>
            </w:r>
          </w:p>
        </w:tc>
        <w:tc>
          <w:tcPr>
            <w:tcW w:w="700" w:type="dxa"/>
            <w:tcBorders>
              <w:top w:val="nil"/>
              <w:left w:val="nil"/>
              <w:bottom w:val="single" w:sz="4" w:space="0" w:color="ADD6EA"/>
              <w:right w:val="nil"/>
            </w:tcBorders>
            <w:shd w:val="clear" w:color="auto" w:fill="auto"/>
            <w:vAlign w:val="bottom"/>
            <w:hideMark/>
          </w:tcPr>
          <w:p w14:paraId="32C325A9"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192</w:t>
            </w:r>
          </w:p>
        </w:tc>
        <w:tc>
          <w:tcPr>
            <w:tcW w:w="700" w:type="dxa"/>
            <w:tcBorders>
              <w:top w:val="nil"/>
              <w:left w:val="nil"/>
              <w:bottom w:val="single" w:sz="4" w:space="0" w:color="ADD6EA"/>
              <w:right w:val="nil"/>
            </w:tcBorders>
            <w:shd w:val="clear" w:color="auto" w:fill="auto"/>
            <w:vAlign w:val="bottom"/>
            <w:hideMark/>
          </w:tcPr>
          <w:p w14:paraId="03888177"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-118</w:t>
            </w:r>
          </w:p>
        </w:tc>
        <w:tc>
          <w:tcPr>
            <w:tcW w:w="820" w:type="dxa"/>
            <w:tcBorders>
              <w:top w:val="nil"/>
              <w:left w:val="nil"/>
              <w:bottom w:val="single" w:sz="4" w:space="0" w:color="ADD6EA"/>
              <w:right w:val="nil"/>
            </w:tcBorders>
            <w:shd w:val="clear" w:color="auto" w:fill="auto"/>
            <w:vAlign w:val="bottom"/>
            <w:hideMark/>
          </w:tcPr>
          <w:p w14:paraId="26DB6722"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-72</w:t>
            </w:r>
          </w:p>
        </w:tc>
        <w:tc>
          <w:tcPr>
            <w:tcW w:w="700" w:type="dxa"/>
            <w:tcBorders>
              <w:top w:val="nil"/>
              <w:left w:val="nil"/>
              <w:bottom w:val="single" w:sz="4" w:space="0" w:color="ADD6EA"/>
              <w:right w:val="nil"/>
            </w:tcBorders>
            <w:shd w:val="clear" w:color="auto" w:fill="auto"/>
            <w:vAlign w:val="bottom"/>
            <w:hideMark/>
          </w:tcPr>
          <w:p w14:paraId="4A103FF8"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-22</w:t>
            </w:r>
          </w:p>
        </w:tc>
        <w:tc>
          <w:tcPr>
            <w:tcW w:w="620" w:type="dxa"/>
            <w:tcBorders>
              <w:top w:val="nil"/>
              <w:left w:val="nil"/>
              <w:bottom w:val="single" w:sz="4" w:space="0" w:color="ADD6EA"/>
              <w:right w:val="nil"/>
            </w:tcBorders>
            <w:shd w:val="clear" w:color="auto" w:fill="auto"/>
            <w:vAlign w:val="bottom"/>
            <w:hideMark/>
          </w:tcPr>
          <w:p w14:paraId="6C72E4E8"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-4</w:t>
            </w:r>
          </w:p>
        </w:tc>
        <w:tc>
          <w:tcPr>
            <w:tcW w:w="660" w:type="dxa"/>
            <w:tcBorders>
              <w:top w:val="nil"/>
              <w:left w:val="nil"/>
              <w:bottom w:val="single" w:sz="4" w:space="0" w:color="ADD6EA"/>
              <w:right w:val="nil"/>
            </w:tcBorders>
            <w:shd w:val="clear" w:color="auto" w:fill="auto"/>
            <w:vAlign w:val="bottom"/>
            <w:hideMark/>
          </w:tcPr>
          <w:p w14:paraId="0EC493FE"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0</w:t>
            </w:r>
          </w:p>
        </w:tc>
        <w:tc>
          <w:tcPr>
            <w:tcW w:w="620" w:type="dxa"/>
            <w:tcBorders>
              <w:top w:val="nil"/>
              <w:left w:val="nil"/>
              <w:bottom w:val="single" w:sz="4" w:space="0" w:color="ADD6EA"/>
              <w:right w:val="nil"/>
            </w:tcBorders>
            <w:shd w:val="clear" w:color="auto" w:fill="auto"/>
            <w:vAlign w:val="bottom"/>
            <w:hideMark/>
          </w:tcPr>
          <w:p w14:paraId="266E268E"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-3</w:t>
            </w:r>
          </w:p>
        </w:tc>
        <w:tc>
          <w:tcPr>
            <w:tcW w:w="840" w:type="dxa"/>
            <w:tcBorders>
              <w:top w:val="nil"/>
              <w:left w:val="nil"/>
              <w:bottom w:val="single" w:sz="4" w:space="0" w:color="ADD6EA"/>
              <w:right w:val="nil"/>
            </w:tcBorders>
            <w:shd w:val="clear" w:color="auto" w:fill="auto"/>
            <w:vAlign w:val="bottom"/>
            <w:hideMark/>
          </w:tcPr>
          <w:p w14:paraId="6AC9E0A9"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221</w:t>
            </w:r>
          </w:p>
        </w:tc>
      </w:tr>
      <w:tr w:rsidR="00CD265C" w:rsidRPr="00CD265C" w14:paraId="792C0F1A" w14:textId="77777777" w:rsidTr="00CD265C">
        <w:trPr>
          <w:trHeight w:val="315"/>
        </w:trPr>
        <w:tc>
          <w:tcPr>
            <w:tcW w:w="2520" w:type="dxa"/>
            <w:tcBorders>
              <w:top w:val="nil"/>
              <w:left w:val="nil"/>
              <w:bottom w:val="single" w:sz="4" w:space="0" w:color="ADD6EA"/>
              <w:right w:val="nil"/>
            </w:tcBorders>
            <w:shd w:val="clear" w:color="auto" w:fill="auto"/>
            <w:vAlign w:val="bottom"/>
            <w:hideMark/>
          </w:tcPr>
          <w:p w14:paraId="2B488612" w14:textId="77777777" w:rsidR="00CD265C" w:rsidRPr="00CD265C" w:rsidRDefault="00CD265C" w:rsidP="00CD265C">
            <w:pPr>
              <w:tabs>
                <w:tab w:val="clear" w:pos="567"/>
              </w:tabs>
              <w:spacing w:before="0" w:line="240" w:lineRule="auto"/>
              <w:rPr>
                <w:rFonts w:eastAsia="Times New Roman" w:cs="Open Sans Light"/>
                <w:sz w:val="16"/>
                <w:szCs w:val="16"/>
                <w:lang w:eastAsia="en-AU"/>
              </w:rPr>
            </w:pPr>
            <w:r w:rsidRPr="00CD265C">
              <w:rPr>
                <w:rFonts w:eastAsia="Times New Roman" w:cs="Open Sans Light"/>
                <w:sz w:val="16"/>
                <w:szCs w:val="16"/>
                <w:lang w:eastAsia="en-AU"/>
              </w:rPr>
              <w:t>Revenue raising capacity</w:t>
            </w:r>
          </w:p>
        </w:tc>
        <w:tc>
          <w:tcPr>
            <w:tcW w:w="760" w:type="dxa"/>
            <w:tcBorders>
              <w:top w:val="nil"/>
              <w:left w:val="nil"/>
              <w:bottom w:val="single" w:sz="4" w:space="0" w:color="ADD6EA"/>
              <w:right w:val="nil"/>
            </w:tcBorders>
            <w:shd w:val="clear" w:color="auto" w:fill="auto"/>
            <w:vAlign w:val="bottom"/>
            <w:hideMark/>
          </w:tcPr>
          <w:p w14:paraId="184C38A8"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626</w:t>
            </w:r>
          </w:p>
        </w:tc>
        <w:tc>
          <w:tcPr>
            <w:tcW w:w="700" w:type="dxa"/>
            <w:tcBorders>
              <w:top w:val="nil"/>
              <w:left w:val="nil"/>
              <w:bottom w:val="single" w:sz="4" w:space="0" w:color="ADD6EA"/>
              <w:right w:val="nil"/>
            </w:tcBorders>
            <w:shd w:val="clear" w:color="auto" w:fill="auto"/>
            <w:vAlign w:val="bottom"/>
            <w:hideMark/>
          </w:tcPr>
          <w:p w14:paraId="3F264FE3"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532</w:t>
            </w:r>
          </w:p>
        </w:tc>
        <w:tc>
          <w:tcPr>
            <w:tcW w:w="700" w:type="dxa"/>
            <w:tcBorders>
              <w:top w:val="nil"/>
              <w:left w:val="nil"/>
              <w:bottom w:val="single" w:sz="4" w:space="0" w:color="ADD6EA"/>
              <w:right w:val="nil"/>
            </w:tcBorders>
            <w:shd w:val="clear" w:color="auto" w:fill="auto"/>
            <w:vAlign w:val="bottom"/>
            <w:hideMark/>
          </w:tcPr>
          <w:p w14:paraId="3BD37C8D"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917</w:t>
            </w:r>
          </w:p>
        </w:tc>
        <w:tc>
          <w:tcPr>
            <w:tcW w:w="820" w:type="dxa"/>
            <w:tcBorders>
              <w:top w:val="nil"/>
              <w:left w:val="nil"/>
              <w:bottom w:val="single" w:sz="4" w:space="0" w:color="ADD6EA"/>
              <w:right w:val="nil"/>
            </w:tcBorders>
            <w:shd w:val="clear" w:color="auto" w:fill="auto"/>
            <w:vAlign w:val="bottom"/>
            <w:hideMark/>
          </w:tcPr>
          <w:p w14:paraId="3B5DF2D5"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-2,024</w:t>
            </w:r>
          </w:p>
        </w:tc>
        <w:tc>
          <w:tcPr>
            <w:tcW w:w="700" w:type="dxa"/>
            <w:tcBorders>
              <w:top w:val="nil"/>
              <w:left w:val="nil"/>
              <w:bottom w:val="single" w:sz="4" w:space="0" w:color="ADD6EA"/>
              <w:right w:val="nil"/>
            </w:tcBorders>
            <w:shd w:val="clear" w:color="auto" w:fill="auto"/>
            <w:vAlign w:val="bottom"/>
            <w:hideMark/>
          </w:tcPr>
          <w:p w14:paraId="1E39A568"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-104</w:t>
            </w:r>
          </w:p>
        </w:tc>
        <w:tc>
          <w:tcPr>
            <w:tcW w:w="620" w:type="dxa"/>
            <w:tcBorders>
              <w:top w:val="nil"/>
              <w:left w:val="nil"/>
              <w:bottom w:val="single" w:sz="4" w:space="0" w:color="ADD6EA"/>
              <w:right w:val="nil"/>
            </w:tcBorders>
            <w:shd w:val="clear" w:color="auto" w:fill="auto"/>
            <w:vAlign w:val="bottom"/>
            <w:hideMark/>
          </w:tcPr>
          <w:p w14:paraId="248B39F6"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w:t>
            </w:r>
          </w:p>
        </w:tc>
        <w:tc>
          <w:tcPr>
            <w:tcW w:w="660" w:type="dxa"/>
            <w:tcBorders>
              <w:top w:val="nil"/>
              <w:left w:val="nil"/>
              <w:bottom w:val="single" w:sz="4" w:space="0" w:color="ADD6EA"/>
              <w:right w:val="nil"/>
            </w:tcBorders>
            <w:shd w:val="clear" w:color="auto" w:fill="auto"/>
            <w:vAlign w:val="bottom"/>
            <w:hideMark/>
          </w:tcPr>
          <w:p w14:paraId="0C3B482B"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14</w:t>
            </w:r>
          </w:p>
        </w:tc>
        <w:tc>
          <w:tcPr>
            <w:tcW w:w="620" w:type="dxa"/>
            <w:tcBorders>
              <w:top w:val="nil"/>
              <w:left w:val="nil"/>
              <w:bottom w:val="single" w:sz="4" w:space="0" w:color="ADD6EA"/>
              <w:right w:val="nil"/>
            </w:tcBorders>
            <w:shd w:val="clear" w:color="auto" w:fill="auto"/>
            <w:vAlign w:val="bottom"/>
            <w:hideMark/>
          </w:tcPr>
          <w:p w14:paraId="594C5D21"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40</w:t>
            </w:r>
          </w:p>
        </w:tc>
        <w:tc>
          <w:tcPr>
            <w:tcW w:w="840" w:type="dxa"/>
            <w:tcBorders>
              <w:top w:val="nil"/>
              <w:left w:val="nil"/>
              <w:bottom w:val="single" w:sz="4" w:space="0" w:color="ADD6EA"/>
              <w:right w:val="nil"/>
            </w:tcBorders>
            <w:shd w:val="clear" w:color="auto" w:fill="auto"/>
            <w:vAlign w:val="bottom"/>
            <w:hideMark/>
          </w:tcPr>
          <w:p w14:paraId="619DAE14"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2,129</w:t>
            </w:r>
          </w:p>
        </w:tc>
      </w:tr>
      <w:tr w:rsidR="00CD265C" w:rsidRPr="00CD265C" w14:paraId="1183EC35" w14:textId="77777777" w:rsidTr="00CD265C">
        <w:trPr>
          <w:trHeight w:val="315"/>
        </w:trPr>
        <w:tc>
          <w:tcPr>
            <w:tcW w:w="2520" w:type="dxa"/>
            <w:tcBorders>
              <w:top w:val="nil"/>
              <w:left w:val="nil"/>
              <w:bottom w:val="single" w:sz="4" w:space="0" w:color="ADD6EA"/>
              <w:right w:val="nil"/>
            </w:tcBorders>
            <w:shd w:val="clear" w:color="auto" w:fill="auto"/>
            <w:vAlign w:val="bottom"/>
            <w:hideMark/>
          </w:tcPr>
          <w:p w14:paraId="2A4C507B" w14:textId="77777777" w:rsidR="00CD265C" w:rsidRPr="00CD265C" w:rsidRDefault="00CD265C" w:rsidP="00CD265C">
            <w:pPr>
              <w:tabs>
                <w:tab w:val="clear" w:pos="567"/>
              </w:tabs>
              <w:spacing w:before="0" w:line="240" w:lineRule="auto"/>
              <w:rPr>
                <w:rFonts w:eastAsia="Times New Roman" w:cs="Open Sans Light"/>
                <w:sz w:val="16"/>
                <w:szCs w:val="16"/>
                <w:lang w:eastAsia="en-AU"/>
              </w:rPr>
            </w:pPr>
            <w:r w:rsidRPr="00CD265C">
              <w:rPr>
                <w:rFonts w:eastAsia="Times New Roman" w:cs="Open Sans Light"/>
                <w:sz w:val="16"/>
                <w:szCs w:val="16"/>
                <w:lang w:eastAsia="en-AU"/>
              </w:rPr>
              <w:t>Commonwealth payments</w:t>
            </w:r>
          </w:p>
        </w:tc>
        <w:tc>
          <w:tcPr>
            <w:tcW w:w="760" w:type="dxa"/>
            <w:tcBorders>
              <w:top w:val="nil"/>
              <w:left w:val="nil"/>
              <w:bottom w:val="single" w:sz="4" w:space="0" w:color="ADD6EA"/>
              <w:right w:val="nil"/>
            </w:tcBorders>
            <w:shd w:val="clear" w:color="auto" w:fill="auto"/>
            <w:vAlign w:val="bottom"/>
            <w:hideMark/>
          </w:tcPr>
          <w:p w14:paraId="4CB85839"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68</w:t>
            </w:r>
          </w:p>
        </w:tc>
        <w:tc>
          <w:tcPr>
            <w:tcW w:w="700" w:type="dxa"/>
            <w:tcBorders>
              <w:top w:val="nil"/>
              <w:left w:val="nil"/>
              <w:bottom w:val="single" w:sz="4" w:space="0" w:color="ADD6EA"/>
              <w:right w:val="nil"/>
            </w:tcBorders>
            <w:shd w:val="clear" w:color="auto" w:fill="auto"/>
            <w:vAlign w:val="bottom"/>
            <w:hideMark/>
          </w:tcPr>
          <w:p w14:paraId="571D5EDE"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-40</w:t>
            </w:r>
          </w:p>
        </w:tc>
        <w:tc>
          <w:tcPr>
            <w:tcW w:w="700" w:type="dxa"/>
            <w:tcBorders>
              <w:top w:val="nil"/>
              <w:left w:val="nil"/>
              <w:bottom w:val="single" w:sz="4" w:space="0" w:color="ADD6EA"/>
              <w:right w:val="nil"/>
            </w:tcBorders>
            <w:shd w:val="clear" w:color="auto" w:fill="auto"/>
            <w:vAlign w:val="bottom"/>
            <w:hideMark/>
          </w:tcPr>
          <w:p w14:paraId="1CCD5486"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-140</w:t>
            </w:r>
          </w:p>
        </w:tc>
        <w:tc>
          <w:tcPr>
            <w:tcW w:w="820" w:type="dxa"/>
            <w:tcBorders>
              <w:top w:val="nil"/>
              <w:left w:val="nil"/>
              <w:bottom w:val="single" w:sz="4" w:space="0" w:color="ADD6EA"/>
              <w:right w:val="nil"/>
            </w:tcBorders>
            <w:shd w:val="clear" w:color="auto" w:fill="auto"/>
            <w:vAlign w:val="bottom"/>
            <w:hideMark/>
          </w:tcPr>
          <w:p w14:paraId="0C306569"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-12</w:t>
            </w:r>
          </w:p>
        </w:tc>
        <w:tc>
          <w:tcPr>
            <w:tcW w:w="700" w:type="dxa"/>
            <w:tcBorders>
              <w:top w:val="nil"/>
              <w:left w:val="nil"/>
              <w:bottom w:val="single" w:sz="4" w:space="0" w:color="ADD6EA"/>
              <w:right w:val="nil"/>
            </w:tcBorders>
            <w:shd w:val="clear" w:color="auto" w:fill="auto"/>
            <w:vAlign w:val="bottom"/>
            <w:hideMark/>
          </w:tcPr>
          <w:p w14:paraId="37AF209F"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89</w:t>
            </w:r>
          </w:p>
        </w:tc>
        <w:tc>
          <w:tcPr>
            <w:tcW w:w="620" w:type="dxa"/>
            <w:tcBorders>
              <w:top w:val="nil"/>
              <w:left w:val="nil"/>
              <w:bottom w:val="single" w:sz="4" w:space="0" w:color="ADD6EA"/>
              <w:right w:val="nil"/>
            </w:tcBorders>
            <w:shd w:val="clear" w:color="auto" w:fill="auto"/>
            <w:vAlign w:val="bottom"/>
            <w:hideMark/>
          </w:tcPr>
          <w:p w14:paraId="5483456F"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10</w:t>
            </w:r>
          </w:p>
        </w:tc>
        <w:tc>
          <w:tcPr>
            <w:tcW w:w="660" w:type="dxa"/>
            <w:tcBorders>
              <w:top w:val="nil"/>
              <w:left w:val="nil"/>
              <w:bottom w:val="single" w:sz="4" w:space="0" w:color="ADD6EA"/>
              <w:right w:val="nil"/>
            </w:tcBorders>
            <w:shd w:val="clear" w:color="auto" w:fill="auto"/>
            <w:vAlign w:val="bottom"/>
            <w:hideMark/>
          </w:tcPr>
          <w:p w14:paraId="4B0B8CB7"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10</w:t>
            </w:r>
          </w:p>
        </w:tc>
        <w:tc>
          <w:tcPr>
            <w:tcW w:w="620" w:type="dxa"/>
            <w:tcBorders>
              <w:top w:val="nil"/>
              <w:left w:val="nil"/>
              <w:bottom w:val="single" w:sz="4" w:space="0" w:color="ADD6EA"/>
              <w:right w:val="nil"/>
            </w:tcBorders>
            <w:shd w:val="clear" w:color="auto" w:fill="auto"/>
            <w:vAlign w:val="bottom"/>
            <w:hideMark/>
          </w:tcPr>
          <w:p w14:paraId="152216B5"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14</w:t>
            </w:r>
          </w:p>
        </w:tc>
        <w:tc>
          <w:tcPr>
            <w:tcW w:w="840" w:type="dxa"/>
            <w:tcBorders>
              <w:top w:val="nil"/>
              <w:left w:val="nil"/>
              <w:bottom w:val="single" w:sz="4" w:space="0" w:color="ADD6EA"/>
              <w:right w:val="nil"/>
            </w:tcBorders>
            <w:shd w:val="clear" w:color="auto" w:fill="auto"/>
            <w:vAlign w:val="bottom"/>
            <w:hideMark/>
          </w:tcPr>
          <w:p w14:paraId="57CDE981" w14:textId="77777777" w:rsidR="00CD265C" w:rsidRPr="00CD265C" w:rsidRDefault="00CD265C" w:rsidP="00CD265C">
            <w:pPr>
              <w:tabs>
                <w:tab w:val="clear" w:pos="567"/>
              </w:tabs>
              <w:spacing w:before="0" w:line="240" w:lineRule="auto"/>
              <w:jc w:val="right"/>
              <w:rPr>
                <w:rFonts w:eastAsia="Times New Roman" w:cs="Open Sans Light"/>
                <w:sz w:val="16"/>
                <w:szCs w:val="16"/>
                <w:lang w:eastAsia="en-AU"/>
              </w:rPr>
            </w:pPr>
            <w:r w:rsidRPr="00CD265C">
              <w:rPr>
                <w:rFonts w:eastAsia="Times New Roman" w:cs="Open Sans Light"/>
                <w:sz w:val="16"/>
                <w:szCs w:val="16"/>
                <w:lang w:eastAsia="en-AU"/>
              </w:rPr>
              <w:t>192</w:t>
            </w:r>
          </w:p>
        </w:tc>
      </w:tr>
      <w:tr w:rsidR="00CD265C" w:rsidRPr="00CD265C" w14:paraId="1D30271E" w14:textId="77777777" w:rsidTr="00CD265C">
        <w:trPr>
          <w:trHeight w:val="315"/>
        </w:trPr>
        <w:tc>
          <w:tcPr>
            <w:tcW w:w="2520" w:type="dxa"/>
            <w:tcBorders>
              <w:top w:val="nil"/>
              <w:left w:val="nil"/>
              <w:bottom w:val="single" w:sz="4" w:space="0" w:color="ADD6EA"/>
              <w:right w:val="nil"/>
            </w:tcBorders>
            <w:shd w:val="clear" w:color="000000" w:fill="D6E7F0"/>
            <w:vAlign w:val="bottom"/>
            <w:hideMark/>
          </w:tcPr>
          <w:p w14:paraId="0D0967C7" w14:textId="77777777" w:rsidR="00CD265C" w:rsidRPr="00CD265C" w:rsidRDefault="00CD265C" w:rsidP="00CD265C">
            <w:pPr>
              <w:tabs>
                <w:tab w:val="clear" w:pos="567"/>
              </w:tabs>
              <w:spacing w:before="0" w:line="240" w:lineRule="auto"/>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3CDEEB73"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1,061</w:t>
            </w:r>
          </w:p>
        </w:tc>
        <w:tc>
          <w:tcPr>
            <w:tcW w:w="700" w:type="dxa"/>
            <w:tcBorders>
              <w:top w:val="nil"/>
              <w:left w:val="nil"/>
              <w:bottom w:val="single" w:sz="4" w:space="0" w:color="ADD6EA"/>
              <w:right w:val="nil"/>
            </w:tcBorders>
            <w:shd w:val="clear" w:color="000000" w:fill="D6E7F0"/>
            <w:vAlign w:val="bottom"/>
            <w:hideMark/>
          </w:tcPr>
          <w:p w14:paraId="4EFB706B"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-251</w:t>
            </w:r>
          </w:p>
        </w:tc>
        <w:tc>
          <w:tcPr>
            <w:tcW w:w="700" w:type="dxa"/>
            <w:tcBorders>
              <w:top w:val="nil"/>
              <w:left w:val="nil"/>
              <w:bottom w:val="single" w:sz="4" w:space="0" w:color="ADD6EA"/>
              <w:right w:val="nil"/>
            </w:tcBorders>
            <w:shd w:val="clear" w:color="000000" w:fill="D6E7F0"/>
            <w:vAlign w:val="bottom"/>
            <w:hideMark/>
          </w:tcPr>
          <w:p w14:paraId="1F14AA51"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533</w:t>
            </w:r>
          </w:p>
        </w:tc>
        <w:tc>
          <w:tcPr>
            <w:tcW w:w="820" w:type="dxa"/>
            <w:tcBorders>
              <w:top w:val="nil"/>
              <w:left w:val="nil"/>
              <w:bottom w:val="single" w:sz="4" w:space="0" w:color="ADD6EA"/>
              <w:right w:val="nil"/>
            </w:tcBorders>
            <w:shd w:val="clear" w:color="000000" w:fill="D6E7F0"/>
            <w:vAlign w:val="bottom"/>
            <w:hideMark/>
          </w:tcPr>
          <w:p w14:paraId="76D6990C"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-1,376</w:t>
            </w:r>
          </w:p>
        </w:tc>
        <w:tc>
          <w:tcPr>
            <w:tcW w:w="700" w:type="dxa"/>
            <w:tcBorders>
              <w:top w:val="nil"/>
              <w:left w:val="nil"/>
              <w:bottom w:val="single" w:sz="4" w:space="0" w:color="ADD6EA"/>
              <w:right w:val="nil"/>
            </w:tcBorders>
            <w:shd w:val="clear" w:color="000000" w:fill="D6E7F0"/>
            <w:vAlign w:val="bottom"/>
            <w:hideMark/>
          </w:tcPr>
          <w:p w14:paraId="21BA6755"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27</w:t>
            </w:r>
          </w:p>
        </w:tc>
        <w:tc>
          <w:tcPr>
            <w:tcW w:w="620" w:type="dxa"/>
            <w:tcBorders>
              <w:top w:val="nil"/>
              <w:left w:val="nil"/>
              <w:bottom w:val="single" w:sz="4" w:space="0" w:color="ADD6EA"/>
              <w:right w:val="nil"/>
            </w:tcBorders>
            <w:shd w:val="clear" w:color="000000" w:fill="D6E7F0"/>
            <w:vAlign w:val="bottom"/>
            <w:hideMark/>
          </w:tcPr>
          <w:p w14:paraId="071AF908"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-33</w:t>
            </w:r>
          </w:p>
        </w:tc>
        <w:tc>
          <w:tcPr>
            <w:tcW w:w="660" w:type="dxa"/>
            <w:tcBorders>
              <w:top w:val="nil"/>
              <w:left w:val="nil"/>
              <w:bottom w:val="single" w:sz="4" w:space="0" w:color="ADD6EA"/>
              <w:right w:val="nil"/>
            </w:tcBorders>
            <w:shd w:val="clear" w:color="000000" w:fill="D6E7F0"/>
            <w:vAlign w:val="bottom"/>
            <w:hideMark/>
          </w:tcPr>
          <w:p w14:paraId="30D05085"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-3</w:t>
            </w:r>
          </w:p>
        </w:tc>
        <w:tc>
          <w:tcPr>
            <w:tcW w:w="620" w:type="dxa"/>
            <w:tcBorders>
              <w:top w:val="nil"/>
              <w:left w:val="nil"/>
              <w:bottom w:val="single" w:sz="4" w:space="0" w:color="ADD6EA"/>
              <w:right w:val="nil"/>
            </w:tcBorders>
            <w:shd w:val="clear" w:color="000000" w:fill="D6E7F0"/>
            <w:vAlign w:val="bottom"/>
            <w:hideMark/>
          </w:tcPr>
          <w:p w14:paraId="42ADC307"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42</w:t>
            </w:r>
          </w:p>
        </w:tc>
        <w:tc>
          <w:tcPr>
            <w:tcW w:w="840" w:type="dxa"/>
            <w:tcBorders>
              <w:top w:val="nil"/>
              <w:left w:val="nil"/>
              <w:bottom w:val="single" w:sz="4" w:space="0" w:color="ADD6EA"/>
              <w:right w:val="nil"/>
            </w:tcBorders>
            <w:shd w:val="clear" w:color="000000" w:fill="D6E7F0"/>
            <w:vAlign w:val="bottom"/>
            <w:hideMark/>
          </w:tcPr>
          <w:p w14:paraId="1F1FACAD" w14:textId="77777777" w:rsidR="00CD265C" w:rsidRPr="00CD265C" w:rsidRDefault="00CD265C" w:rsidP="00CD265C">
            <w:pPr>
              <w:tabs>
                <w:tab w:val="clear" w:pos="567"/>
              </w:tabs>
              <w:spacing w:before="0" w:line="240" w:lineRule="auto"/>
              <w:jc w:val="right"/>
              <w:rPr>
                <w:rFonts w:ascii="Open Sans Semibold" w:eastAsia="Times New Roman" w:hAnsi="Open Sans Semibold" w:cs="Open Sans Semibold"/>
                <w:sz w:val="16"/>
                <w:szCs w:val="16"/>
                <w:lang w:eastAsia="en-AU"/>
              </w:rPr>
            </w:pPr>
            <w:r w:rsidRPr="00CD265C">
              <w:rPr>
                <w:rFonts w:ascii="Open Sans Semibold" w:eastAsia="Times New Roman" w:hAnsi="Open Sans Semibold" w:cs="Open Sans Semibold"/>
                <w:sz w:val="16"/>
                <w:szCs w:val="16"/>
                <w:lang w:eastAsia="en-AU"/>
              </w:rPr>
              <w:t>1,663</w:t>
            </w:r>
          </w:p>
        </w:tc>
      </w:tr>
    </w:tbl>
    <w:p w14:paraId="42DBD5F6" w14:textId="473B9DA2" w:rsidR="00A743A0" w:rsidRDefault="00A743A0" w:rsidP="00A743A0">
      <w:pPr>
        <w:pStyle w:val="CGCTablenote"/>
        <w:keepNext/>
        <w:keepLines/>
        <w:widowControl w:val="0"/>
      </w:pPr>
      <w:r>
        <w:t>Source</w:t>
      </w:r>
      <w:r>
        <w:tab/>
        <w:t>Commission calculation.</w:t>
      </w:r>
    </w:p>
    <w:p w14:paraId="24AC5626" w14:textId="31CB5182" w:rsidR="00CE4066" w:rsidRPr="00271C46" w:rsidRDefault="00CE4066" w:rsidP="0004064D">
      <w:pPr>
        <w:pStyle w:val="CGCBodyCopy"/>
      </w:pPr>
      <w:r>
        <w:fldChar w:fldCharType="begin"/>
      </w:r>
      <w:r>
        <w:instrText xml:space="preserve"> REF _Ref94275735 \h </w:instrText>
      </w:r>
      <w:r w:rsidR="00A743A0">
        <w:instrText xml:space="preserve"> \* MERGEFORMAT </w:instrText>
      </w:r>
      <w:r>
        <w:fldChar w:fldCharType="separate"/>
      </w:r>
      <w:r w:rsidR="00FE4664" w:rsidRPr="00083070">
        <w:t>Table 2</w:t>
      </w:r>
      <w:r w:rsidR="00FE4664">
        <w:t>-6</w:t>
      </w:r>
      <w:r>
        <w:fldChar w:fldCharType="end"/>
      </w:r>
      <w:r w:rsidRPr="00271C46">
        <w:t xml:space="preserve"> shows the drivers that made the largest contribution</w:t>
      </w:r>
      <w:r>
        <w:t>s</w:t>
      </w:r>
      <w:r w:rsidRPr="00271C46">
        <w:t xml:space="preserve"> to changes in </w:t>
      </w:r>
      <w:r>
        <w:t>s</w:t>
      </w:r>
      <w:r w:rsidRPr="00271C46">
        <w:t xml:space="preserve">tate </w:t>
      </w:r>
      <w:r w:rsidRPr="00E42697">
        <w:t>circumstances</w:t>
      </w:r>
      <w:r>
        <w:t>.</w:t>
      </w:r>
    </w:p>
    <w:p w14:paraId="0271BE1C" w14:textId="7B0A593E" w:rsidR="00CE4066" w:rsidRPr="00083070" w:rsidRDefault="00C84BB9" w:rsidP="00374BFF">
      <w:pPr>
        <w:pStyle w:val="Caption"/>
        <w:widowControl w:val="0"/>
      </w:pPr>
      <w:bookmarkStart w:id="56" w:name="_Ref94275735"/>
      <w:r>
        <w:rPr>
          <w:noProof/>
        </w:rPr>
        <w:drawing>
          <wp:anchor distT="0" distB="0" distL="114300" distR="114300" simplePos="0" relativeHeight="251658288" behindDoc="1" locked="1" layoutInCell="1" allowOverlap="1" wp14:anchorId="2E43DEF7" wp14:editId="3AE1B340">
            <wp:simplePos x="0" y="0"/>
            <wp:positionH relativeFrom="page">
              <wp:posOffset>6350</wp:posOffset>
            </wp:positionH>
            <wp:positionV relativeFrom="margin">
              <wp:posOffset>-791210</wp:posOffset>
            </wp:positionV>
            <wp:extent cx="7563485" cy="10691495"/>
            <wp:effectExtent l="0" t="0" r="0" b="0"/>
            <wp:wrapNone/>
            <wp:docPr id="79" name="Picture 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CE4066" w:rsidRPr="00083070">
        <w:t>Table 2</w:t>
      </w:r>
      <w:r w:rsidR="00CE4066">
        <w:t>-</w:t>
      </w:r>
      <w:r>
        <w:fldChar w:fldCharType="begin"/>
      </w:r>
      <w:r>
        <w:instrText>SEQ Table \* ARABIC</w:instrText>
      </w:r>
      <w:r>
        <w:fldChar w:fldCharType="separate"/>
      </w:r>
      <w:r w:rsidR="00FE4664">
        <w:rPr>
          <w:noProof/>
        </w:rPr>
        <w:t>6</w:t>
      </w:r>
      <w:r>
        <w:fldChar w:fldCharType="end"/>
      </w:r>
      <w:bookmarkEnd w:id="56"/>
      <w:r w:rsidR="00CE4066" w:rsidRPr="00083070">
        <w:tab/>
        <w:t xml:space="preserve">Change to GST distribution due to changes in </w:t>
      </w:r>
      <w:r w:rsidR="00CE4066">
        <w:t>s</w:t>
      </w:r>
      <w:r w:rsidR="00CE4066" w:rsidRPr="00083070">
        <w:t>tate circumstances</w:t>
      </w:r>
      <w:r w:rsidR="00CE4066">
        <w:t>, 2021</w:t>
      </w:r>
      <w:r w:rsidR="00675C4A">
        <w:t>–</w:t>
      </w:r>
      <w:r w:rsidR="00CE4066">
        <w:t>22 to 2022</w:t>
      </w:r>
      <w:r w:rsidR="00675C4A">
        <w:t>–</w:t>
      </w:r>
      <w:r w:rsidR="00CE4066">
        <w:t>23</w:t>
      </w:r>
    </w:p>
    <w:tbl>
      <w:tblPr>
        <w:tblW w:w="8940" w:type="dxa"/>
        <w:tblLook w:val="04A0" w:firstRow="1" w:lastRow="0" w:firstColumn="1" w:lastColumn="0" w:noHBand="0" w:noVBand="1"/>
      </w:tblPr>
      <w:tblGrid>
        <w:gridCol w:w="2520"/>
        <w:gridCol w:w="760"/>
        <w:gridCol w:w="700"/>
        <w:gridCol w:w="700"/>
        <w:gridCol w:w="820"/>
        <w:gridCol w:w="700"/>
        <w:gridCol w:w="620"/>
        <w:gridCol w:w="660"/>
        <w:gridCol w:w="620"/>
        <w:gridCol w:w="840"/>
      </w:tblGrid>
      <w:tr w:rsidR="00694905" w:rsidRPr="00694905" w14:paraId="3215B4D8" w14:textId="77777777" w:rsidTr="00694905">
        <w:trPr>
          <w:trHeight w:val="375"/>
        </w:trPr>
        <w:tc>
          <w:tcPr>
            <w:tcW w:w="2520" w:type="dxa"/>
            <w:tcBorders>
              <w:top w:val="nil"/>
              <w:left w:val="nil"/>
              <w:bottom w:val="single" w:sz="4" w:space="0" w:color="ADD6EA"/>
              <w:right w:val="nil"/>
            </w:tcBorders>
            <w:shd w:val="clear" w:color="000000" w:fill="006991"/>
            <w:vAlign w:val="center"/>
            <w:hideMark/>
          </w:tcPr>
          <w:p w14:paraId="7B1CC294"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4905">
              <w:rPr>
                <w:rFonts w:ascii="Open Sans Semibold" w:eastAsia="Times New Roman" w:hAnsi="Open Sans Semibold" w:cs="Open Sans Semibold"/>
                <w:color w:val="FFFFFF"/>
                <w:sz w:val="16"/>
                <w:szCs w:val="16"/>
                <w:lang w:eastAsia="en-AU"/>
              </w:rPr>
              <w:t> </w:t>
            </w:r>
          </w:p>
        </w:tc>
        <w:tc>
          <w:tcPr>
            <w:tcW w:w="760" w:type="dxa"/>
            <w:tcBorders>
              <w:top w:val="nil"/>
              <w:left w:val="nil"/>
              <w:bottom w:val="single" w:sz="4" w:space="0" w:color="ADD6EA"/>
              <w:right w:val="nil"/>
            </w:tcBorders>
            <w:shd w:val="clear" w:color="000000" w:fill="006991"/>
            <w:vAlign w:val="center"/>
            <w:hideMark/>
          </w:tcPr>
          <w:p w14:paraId="196195B0"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4905">
              <w:rPr>
                <w:rFonts w:ascii="Open Sans Semibold" w:eastAsia="Times New Roman" w:hAnsi="Open Sans Semibold" w:cs="Open Sans Semibold"/>
                <w:color w:val="FFFFFF"/>
                <w:sz w:val="16"/>
                <w:szCs w:val="16"/>
                <w:lang w:eastAsia="en-AU"/>
              </w:rPr>
              <w:t>NSW</w:t>
            </w:r>
          </w:p>
        </w:tc>
        <w:tc>
          <w:tcPr>
            <w:tcW w:w="700" w:type="dxa"/>
            <w:tcBorders>
              <w:top w:val="nil"/>
              <w:left w:val="nil"/>
              <w:bottom w:val="single" w:sz="4" w:space="0" w:color="ADD6EA"/>
              <w:right w:val="nil"/>
            </w:tcBorders>
            <w:shd w:val="clear" w:color="000000" w:fill="006991"/>
            <w:vAlign w:val="center"/>
            <w:hideMark/>
          </w:tcPr>
          <w:p w14:paraId="4FB84665"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4905">
              <w:rPr>
                <w:rFonts w:ascii="Open Sans Semibold" w:eastAsia="Times New Roman" w:hAnsi="Open Sans Semibold" w:cs="Open Sans Semibold"/>
                <w:color w:val="FFFFFF"/>
                <w:sz w:val="16"/>
                <w:szCs w:val="16"/>
                <w:lang w:eastAsia="en-AU"/>
              </w:rPr>
              <w:t>Vic</w:t>
            </w:r>
          </w:p>
        </w:tc>
        <w:tc>
          <w:tcPr>
            <w:tcW w:w="700" w:type="dxa"/>
            <w:tcBorders>
              <w:top w:val="nil"/>
              <w:left w:val="nil"/>
              <w:bottom w:val="single" w:sz="4" w:space="0" w:color="ADD6EA"/>
              <w:right w:val="nil"/>
            </w:tcBorders>
            <w:shd w:val="clear" w:color="000000" w:fill="006991"/>
            <w:vAlign w:val="center"/>
            <w:hideMark/>
          </w:tcPr>
          <w:p w14:paraId="6B717924"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4905">
              <w:rPr>
                <w:rFonts w:ascii="Open Sans Semibold" w:eastAsia="Times New Roman" w:hAnsi="Open Sans Semibold" w:cs="Open Sans Semibold"/>
                <w:color w:val="FFFFFF"/>
                <w:sz w:val="16"/>
                <w:szCs w:val="16"/>
                <w:lang w:eastAsia="en-AU"/>
              </w:rPr>
              <w:t>Qld</w:t>
            </w:r>
          </w:p>
        </w:tc>
        <w:tc>
          <w:tcPr>
            <w:tcW w:w="820" w:type="dxa"/>
            <w:tcBorders>
              <w:top w:val="nil"/>
              <w:left w:val="nil"/>
              <w:bottom w:val="single" w:sz="4" w:space="0" w:color="ADD6EA"/>
              <w:right w:val="nil"/>
            </w:tcBorders>
            <w:shd w:val="clear" w:color="000000" w:fill="006991"/>
            <w:vAlign w:val="center"/>
            <w:hideMark/>
          </w:tcPr>
          <w:p w14:paraId="7B413BDB"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4905">
              <w:rPr>
                <w:rFonts w:ascii="Open Sans Semibold" w:eastAsia="Times New Roman" w:hAnsi="Open Sans Semibold" w:cs="Open Sans Semibold"/>
                <w:color w:val="FFFFFF"/>
                <w:sz w:val="16"/>
                <w:szCs w:val="16"/>
                <w:lang w:eastAsia="en-AU"/>
              </w:rPr>
              <w:t>WA</w:t>
            </w:r>
          </w:p>
        </w:tc>
        <w:tc>
          <w:tcPr>
            <w:tcW w:w="700" w:type="dxa"/>
            <w:tcBorders>
              <w:top w:val="nil"/>
              <w:left w:val="nil"/>
              <w:bottom w:val="single" w:sz="4" w:space="0" w:color="ADD6EA"/>
              <w:right w:val="nil"/>
            </w:tcBorders>
            <w:shd w:val="clear" w:color="000000" w:fill="006991"/>
            <w:vAlign w:val="center"/>
            <w:hideMark/>
          </w:tcPr>
          <w:p w14:paraId="10A2426A"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4905">
              <w:rPr>
                <w:rFonts w:ascii="Open Sans Semibold" w:eastAsia="Times New Roman" w:hAnsi="Open Sans Semibold" w:cs="Open Sans Semibold"/>
                <w:color w:val="FFFFFF"/>
                <w:sz w:val="16"/>
                <w:szCs w:val="16"/>
                <w:lang w:eastAsia="en-AU"/>
              </w:rPr>
              <w:t>SA</w:t>
            </w:r>
          </w:p>
        </w:tc>
        <w:tc>
          <w:tcPr>
            <w:tcW w:w="620" w:type="dxa"/>
            <w:tcBorders>
              <w:top w:val="nil"/>
              <w:left w:val="nil"/>
              <w:bottom w:val="single" w:sz="4" w:space="0" w:color="ADD6EA"/>
              <w:right w:val="nil"/>
            </w:tcBorders>
            <w:shd w:val="clear" w:color="000000" w:fill="006991"/>
            <w:vAlign w:val="center"/>
            <w:hideMark/>
          </w:tcPr>
          <w:p w14:paraId="3BDA87BE"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4905">
              <w:rPr>
                <w:rFonts w:ascii="Open Sans Semibold" w:eastAsia="Times New Roman" w:hAnsi="Open Sans Semibold" w:cs="Open Sans Semibold"/>
                <w:color w:val="FFFFFF"/>
                <w:sz w:val="16"/>
                <w:szCs w:val="16"/>
                <w:lang w:eastAsia="en-AU"/>
              </w:rPr>
              <w:t>Tas</w:t>
            </w:r>
          </w:p>
        </w:tc>
        <w:tc>
          <w:tcPr>
            <w:tcW w:w="660" w:type="dxa"/>
            <w:tcBorders>
              <w:top w:val="nil"/>
              <w:left w:val="nil"/>
              <w:bottom w:val="single" w:sz="4" w:space="0" w:color="ADD6EA"/>
              <w:right w:val="nil"/>
            </w:tcBorders>
            <w:shd w:val="clear" w:color="000000" w:fill="006991"/>
            <w:vAlign w:val="center"/>
            <w:hideMark/>
          </w:tcPr>
          <w:p w14:paraId="49965672"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4905">
              <w:rPr>
                <w:rFonts w:ascii="Open Sans Semibold" w:eastAsia="Times New Roman" w:hAnsi="Open Sans Semibold" w:cs="Open Sans Semibold"/>
                <w:color w:val="FFFFFF"/>
                <w:sz w:val="16"/>
                <w:szCs w:val="16"/>
                <w:lang w:eastAsia="en-AU"/>
              </w:rPr>
              <w:t>ACT</w:t>
            </w:r>
          </w:p>
        </w:tc>
        <w:tc>
          <w:tcPr>
            <w:tcW w:w="620" w:type="dxa"/>
            <w:tcBorders>
              <w:top w:val="nil"/>
              <w:left w:val="nil"/>
              <w:bottom w:val="single" w:sz="4" w:space="0" w:color="ADD6EA"/>
              <w:right w:val="nil"/>
            </w:tcBorders>
            <w:shd w:val="clear" w:color="000000" w:fill="006991"/>
            <w:vAlign w:val="center"/>
            <w:hideMark/>
          </w:tcPr>
          <w:p w14:paraId="277F25C3"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4905">
              <w:rPr>
                <w:rFonts w:ascii="Open Sans Semibold" w:eastAsia="Times New Roman" w:hAnsi="Open Sans Semibold" w:cs="Open Sans Semibold"/>
                <w:color w:val="FFFFFF"/>
                <w:sz w:val="16"/>
                <w:szCs w:val="16"/>
                <w:lang w:eastAsia="en-AU"/>
              </w:rPr>
              <w:t>NT</w:t>
            </w:r>
          </w:p>
        </w:tc>
        <w:tc>
          <w:tcPr>
            <w:tcW w:w="840" w:type="dxa"/>
            <w:tcBorders>
              <w:top w:val="nil"/>
              <w:left w:val="nil"/>
              <w:bottom w:val="single" w:sz="4" w:space="0" w:color="ADD6EA"/>
              <w:right w:val="nil"/>
            </w:tcBorders>
            <w:shd w:val="clear" w:color="000000" w:fill="006991"/>
            <w:vAlign w:val="center"/>
            <w:hideMark/>
          </w:tcPr>
          <w:p w14:paraId="53D87538"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94905">
              <w:rPr>
                <w:rFonts w:ascii="Open Sans Semibold" w:eastAsia="Times New Roman" w:hAnsi="Open Sans Semibold" w:cs="Open Sans Semibold"/>
                <w:color w:val="FFFFFF"/>
                <w:sz w:val="16"/>
                <w:szCs w:val="16"/>
                <w:lang w:eastAsia="en-AU"/>
              </w:rPr>
              <w:t>Redist</w:t>
            </w:r>
          </w:p>
        </w:tc>
      </w:tr>
      <w:tr w:rsidR="00694905" w:rsidRPr="00694905" w14:paraId="171AAC5D" w14:textId="77777777" w:rsidTr="00694905">
        <w:trPr>
          <w:trHeight w:val="259"/>
        </w:trPr>
        <w:tc>
          <w:tcPr>
            <w:tcW w:w="2520" w:type="dxa"/>
            <w:tcBorders>
              <w:top w:val="nil"/>
              <w:left w:val="nil"/>
              <w:bottom w:val="single" w:sz="4" w:space="0" w:color="ADD6EA"/>
              <w:right w:val="nil"/>
            </w:tcBorders>
            <w:shd w:val="clear" w:color="000000" w:fill="B6D5E4"/>
            <w:vAlign w:val="bottom"/>
            <w:hideMark/>
          </w:tcPr>
          <w:p w14:paraId="05C79199" w14:textId="77777777" w:rsidR="00694905" w:rsidRPr="00694905" w:rsidRDefault="00694905" w:rsidP="00694905">
            <w:pPr>
              <w:tabs>
                <w:tab w:val="clear" w:pos="567"/>
              </w:tabs>
              <w:spacing w:before="0" w:line="240" w:lineRule="auto"/>
              <w:rPr>
                <w:rFonts w:eastAsia="Times New Roman" w:cs="Open Sans Light"/>
                <w:sz w:val="16"/>
                <w:szCs w:val="16"/>
                <w:lang w:eastAsia="en-AU"/>
              </w:rPr>
            </w:pPr>
            <w:r w:rsidRPr="00694905">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B6D5E4"/>
            <w:vAlign w:val="bottom"/>
            <w:hideMark/>
          </w:tcPr>
          <w:p w14:paraId="542946DD"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vAlign w:val="bottom"/>
            <w:hideMark/>
          </w:tcPr>
          <w:p w14:paraId="4E907389"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vAlign w:val="bottom"/>
            <w:hideMark/>
          </w:tcPr>
          <w:p w14:paraId="16AD3426"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$m</w:t>
            </w:r>
          </w:p>
        </w:tc>
        <w:tc>
          <w:tcPr>
            <w:tcW w:w="820" w:type="dxa"/>
            <w:tcBorders>
              <w:top w:val="nil"/>
              <w:left w:val="nil"/>
              <w:bottom w:val="single" w:sz="4" w:space="0" w:color="ADD6EA"/>
              <w:right w:val="nil"/>
            </w:tcBorders>
            <w:shd w:val="clear" w:color="000000" w:fill="B6D5E4"/>
            <w:vAlign w:val="bottom"/>
            <w:hideMark/>
          </w:tcPr>
          <w:p w14:paraId="0DB6666E"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vAlign w:val="bottom"/>
            <w:hideMark/>
          </w:tcPr>
          <w:p w14:paraId="29844E86"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$m</w:t>
            </w:r>
          </w:p>
        </w:tc>
        <w:tc>
          <w:tcPr>
            <w:tcW w:w="620" w:type="dxa"/>
            <w:tcBorders>
              <w:top w:val="nil"/>
              <w:left w:val="nil"/>
              <w:bottom w:val="single" w:sz="4" w:space="0" w:color="ADD6EA"/>
              <w:right w:val="nil"/>
            </w:tcBorders>
            <w:shd w:val="clear" w:color="000000" w:fill="B6D5E4"/>
            <w:vAlign w:val="bottom"/>
            <w:hideMark/>
          </w:tcPr>
          <w:p w14:paraId="53C525DF"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vAlign w:val="bottom"/>
            <w:hideMark/>
          </w:tcPr>
          <w:p w14:paraId="4D4AC8E2"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$m</w:t>
            </w:r>
          </w:p>
        </w:tc>
        <w:tc>
          <w:tcPr>
            <w:tcW w:w="620" w:type="dxa"/>
            <w:tcBorders>
              <w:top w:val="nil"/>
              <w:left w:val="nil"/>
              <w:bottom w:val="single" w:sz="4" w:space="0" w:color="ADD6EA"/>
              <w:right w:val="nil"/>
            </w:tcBorders>
            <w:shd w:val="clear" w:color="000000" w:fill="B6D5E4"/>
            <w:vAlign w:val="bottom"/>
            <w:hideMark/>
          </w:tcPr>
          <w:p w14:paraId="49095D05"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$m</w:t>
            </w:r>
          </w:p>
        </w:tc>
        <w:tc>
          <w:tcPr>
            <w:tcW w:w="840" w:type="dxa"/>
            <w:tcBorders>
              <w:top w:val="nil"/>
              <w:left w:val="nil"/>
              <w:bottom w:val="single" w:sz="4" w:space="0" w:color="ADD6EA"/>
              <w:right w:val="nil"/>
            </w:tcBorders>
            <w:shd w:val="clear" w:color="000000" w:fill="B6D5E4"/>
            <w:vAlign w:val="bottom"/>
            <w:hideMark/>
          </w:tcPr>
          <w:p w14:paraId="07425745"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$m</w:t>
            </w:r>
          </w:p>
        </w:tc>
      </w:tr>
      <w:tr w:rsidR="00694905" w:rsidRPr="00694905" w14:paraId="25B0E92F" w14:textId="77777777" w:rsidTr="00694905">
        <w:trPr>
          <w:trHeight w:val="315"/>
        </w:trPr>
        <w:tc>
          <w:tcPr>
            <w:tcW w:w="2520" w:type="dxa"/>
            <w:tcBorders>
              <w:top w:val="nil"/>
              <w:left w:val="nil"/>
              <w:bottom w:val="single" w:sz="4" w:space="0" w:color="ADD6EA"/>
              <w:right w:val="nil"/>
            </w:tcBorders>
            <w:shd w:val="clear" w:color="auto" w:fill="auto"/>
            <w:vAlign w:val="bottom"/>
            <w:hideMark/>
          </w:tcPr>
          <w:p w14:paraId="75532B65" w14:textId="77777777" w:rsidR="00694905" w:rsidRPr="00694905" w:rsidRDefault="00694905" w:rsidP="00694905">
            <w:pPr>
              <w:tabs>
                <w:tab w:val="clear" w:pos="567"/>
              </w:tabs>
              <w:spacing w:before="0" w:line="240" w:lineRule="auto"/>
              <w:rPr>
                <w:rFonts w:eastAsia="Times New Roman" w:cs="Open Sans Light"/>
                <w:sz w:val="16"/>
                <w:szCs w:val="16"/>
                <w:lang w:eastAsia="en-AU"/>
              </w:rPr>
            </w:pPr>
            <w:r w:rsidRPr="00694905">
              <w:rPr>
                <w:rFonts w:eastAsia="Times New Roman" w:cs="Open Sans Light"/>
                <w:sz w:val="16"/>
                <w:szCs w:val="16"/>
                <w:lang w:eastAsia="en-AU"/>
              </w:rPr>
              <w:t>Mining</w:t>
            </w:r>
          </w:p>
        </w:tc>
        <w:tc>
          <w:tcPr>
            <w:tcW w:w="760" w:type="dxa"/>
            <w:tcBorders>
              <w:top w:val="nil"/>
              <w:left w:val="nil"/>
              <w:bottom w:val="single" w:sz="4" w:space="0" w:color="ADD6EA"/>
              <w:right w:val="nil"/>
            </w:tcBorders>
            <w:shd w:val="clear" w:color="auto" w:fill="auto"/>
            <w:vAlign w:val="bottom"/>
            <w:hideMark/>
          </w:tcPr>
          <w:p w14:paraId="12B4CA10"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644</w:t>
            </w:r>
          </w:p>
        </w:tc>
        <w:tc>
          <w:tcPr>
            <w:tcW w:w="700" w:type="dxa"/>
            <w:tcBorders>
              <w:top w:val="nil"/>
              <w:left w:val="nil"/>
              <w:bottom w:val="single" w:sz="4" w:space="0" w:color="ADD6EA"/>
              <w:right w:val="nil"/>
            </w:tcBorders>
            <w:shd w:val="clear" w:color="auto" w:fill="auto"/>
            <w:vAlign w:val="bottom"/>
            <w:hideMark/>
          </w:tcPr>
          <w:p w14:paraId="3CB891C4"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253</w:t>
            </w:r>
          </w:p>
        </w:tc>
        <w:tc>
          <w:tcPr>
            <w:tcW w:w="700" w:type="dxa"/>
            <w:tcBorders>
              <w:top w:val="nil"/>
              <w:left w:val="nil"/>
              <w:bottom w:val="single" w:sz="4" w:space="0" w:color="ADD6EA"/>
              <w:right w:val="nil"/>
            </w:tcBorders>
            <w:shd w:val="clear" w:color="auto" w:fill="auto"/>
            <w:vAlign w:val="bottom"/>
            <w:hideMark/>
          </w:tcPr>
          <w:p w14:paraId="0FBCF0C3"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956</w:t>
            </w:r>
          </w:p>
        </w:tc>
        <w:tc>
          <w:tcPr>
            <w:tcW w:w="820" w:type="dxa"/>
            <w:tcBorders>
              <w:top w:val="nil"/>
              <w:left w:val="nil"/>
              <w:bottom w:val="single" w:sz="4" w:space="0" w:color="ADD6EA"/>
              <w:right w:val="nil"/>
            </w:tcBorders>
            <w:shd w:val="clear" w:color="auto" w:fill="auto"/>
            <w:vAlign w:val="bottom"/>
            <w:hideMark/>
          </w:tcPr>
          <w:p w14:paraId="5E6D132C"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-1,941</w:t>
            </w:r>
          </w:p>
        </w:tc>
        <w:tc>
          <w:tcPr>
            <w:tcW w:w="700" w:type="dxa"/>
            <w:tcBorders>
              <w:top w:val="nil"/>
              <w:left w:val="nil"/>
              <w:bottom w:val="single" w:sz="4" w:space="0" w:color="ADD6EA"/>
              <w:right w:val="nil"/>
            </w:tcBorders>
            <w:shd w:val="clear" w:color="auto" w:fill="auto"/>
            <w:vAlign w:val="bottom"/>
            <w:hideMark/>
          </w:tcPr>
          <w:p w14:paraId="198570E1"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35</w:t>
            </w:r>
          </w:p>
        </w:tc>
        <w:tc>
          <w:tcPr>
            <w:tcW w:w="620" w:type="dxa"/>
            <w:tcBorders>
              <w:top w:val="nil"/>
              <w:left w:val="nil"/>
              <w:bottom w:val="single" w:sz="4" w:space="0" w:color="ADD6EA"/>
              <w:right w:val="nil"/>
            </w:tcBorders>
            <w:shd w:val="clear" w:color="auto" w:fill="auto"/>
            <w:vAlign w:val="bottom"/>
            <w:hideMark/>
          </w:tcPr>
          <w:p w14:paraId="2F481ED0"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21</w:t>
            </w:r>
          </w:p>
        </w:tc>
        <w:tc>
          <w:tcPr>
            <w:tcW w:w="660" w:type="dxa"/>
            <w:tcBorders>
              <w:top w:val="nil"/>
              <w:left w:val="nil"/>
              <w:bottom w:val="single" w:sz="4" w:space="0" w:color="ADD6EA"/>
              <w:right w:val="nil"/>
            </w:tcBorders>
            <w:shd w:val="clear" w:color="auto" w:fill="auto"/>
            <w:vAlign w:val="bottom"/>
            <w:hideMark/>
          </w:tcPr>
          <w:p w14:paraId="7CD2D871"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16</w:t>
            </w:r>
          </w:p>
        </w:tc>
        <w:tc>
          <w:tcPr>
            <w:tcW w:w="620" w:type="dxa"/>
            <w:tcBorders>
              <w:top w:val="nil"/>
              <w:left w:val="nil"/>
              <w:bottom w:val="single" w:sz="4" w:space="0" w:color="ADD6EA"/>
              <w:right w:val="nil"/>
            </w:tcBorders>
            <w:shd w:val="clear" w:color="auto" w:fill="auto"/>
            <w:vAlign w:val="bottom"/>
            <w:hideMark/>
          </w:tcPr>
          <w:p w14:paraId="3FC660CF"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16</w:t>
            </w:r>
          </w:p>
        </w:tc>
        <w:tc>
          <w:tcPr>
            <w:tcW w:w="840" w:type="dxa"/>
            <w:tcBorders>
              <w:top w:val="nil"/>
              <w:left w:val="nil"/>
              <w:bottom w:val="single" w:sz="4" w:space="0" w:color="ADD6EA"/>
              <w:right w:val="nil"/>
            </w:tcBorders>
            <w:shd w:val="clear" w:color="auto" w:fill="auto"/>
            <w:vAlign w:val="bottom"/>
            <w:hideMark/>
          </w:tcPr>
          <w:p w14:paraId="387CC57C"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1,941</w:t>
            </w:r>
          </w:p>
        </w:tc>
      </w:tr>
      <w:tr w:rsidR="00694905" w:rsidRPr="00694905" w14:paraId="757792E7" w14:textId="77777777" w:rsidTr="00694905">
        <w:trPr>
          <w:trHeight w:val="315"/>
        </w:trPr>
        <w:tc>
          <w:tcPr>
            <w:tcW w:w="2520" w:type="dxa"/>
            <w:tcBorders>
              <w:top w:val="nil"/>
              <w:left w:val="nil"/>
              <w:bottom w:val="single" w:sz="4" w:space="0" w:color="ADD6EA"/>
              <w:right w:val="nil"/>
            </w:tcBorders>
            <w:shd w:val="clear" w:color="auto" w:fill="auto"/>
            <w:vAlign w:val="bottom"/>
            <w:hideMark/>
          </w:tcPr>
          <w:p w14:paraId="0EEE8053" w14:textId="77777777" w:rsidR="00694905" w:rsidRPr="00694905" w:rsidRDefault="00694905" w:rsidP="00694905">
            <w:pPr>
              <w:tabs>
                <w:tab w:val="clear" w:pos="567"/>
              </w:tabs>
              <w:spacing w:before="0" w:line="240" w:lineRule="auto"/>
              <w:rPr>
                <w:rFonts w:eastAsia="Times New Roman" w:cs="Open Sans Light"/>
                <w:sz w:val="16"/>
                <w:szCs w:val="16"/>
                <w:lang w:eastAsia="en-AU"/>
              </w:rPr>
            </w:pPr>
            <w:r w:rsidRPr="00694905">
              <w:rPr>
                <w:rFonts w:eastAsia="Times New Roman" w:cs="Open Sans Light"/>
                <w:sz w:val="16"/>
                <w:szCs w:val="16"/>
                <w:lang w:eastAsia="en-AU"/>
              </w:rPr>
              <w:t>Population growth</w:t>
            </w:r>
          </w:p>
        </w:tc>
        <w:tc>
          <w:tcPr>
            <w:tcW w:w="760" w:type="dxa"/>
            <w:tcBorders>
              <w:top w:val="nil"/>
              <w:left w:val="nil"/>
              <w:bottom w:val="single" w:sz="4" w:space="0" w:color="ADD6EA"/>
              <w:right w:val="nil"/>
            </w:tcBorders>
            <w:shd w:val="clear" w:color="auto" w:fill="auto"/>
            <w:vAlign w:val="bottom"/>
            <w:hideMark/>
          </w:tcPr>
          <w:p w14:paraId="6EBDB83B"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-29</w:t>
            </w:r>
          </w:p>
        </w:tc>
        <w:tc>
          <w:tcPr>
            <w:tcW w:w="700" w:type="dxa"/>
            <w:tcBorders>
              <w:top w:val="nil"/>
              <w:left w:val="nil"/>
              <w:bottom w:val="single" w:sz="4" w:space="0" w:color="ADD6EA"/>
              <w:right w:val="nil"/>
            </w:tcBorders>
            <w:shd w:val="clear" w:color="auto" w:fill="auto"/>
            <w:vAlign w:val="bottom"/>
            <w:hideMark/>
          </w:tcPr>
          <w:p w14:paraId="7F51A598"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-672</w:t>
            </w:r>
          </w:p>
        </w:tc>
        <w:tc>
          <w:tcPr>
            <w:tcW w:w="700" w:type="dxa"/>
            <w:tcBorders>
              <w:top w:val="nil"/>
              <w:left w:val="nil"/>
              <w:bottom w:val="single" w:sz="4" w:space="0" w:color="ADD6EA"/>
              <w:right w:val="nil"/>
            </w:tcBorders>
            <w:shd w:val="clear" w:color="auto" w:fill="auto"/>
            <w:vAlign w:val="bottom"/>
            <w:hideMark/>
          </w:tcPr>
          <w:p w14:paraId="7A4AA34A"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250</w:t>
            </w:r>
          </w:p>
        </w:tc>
        <w:tc>
          <w:tcPr>
            <w:tcW w:w="820" w:type="dxa"/>
            <w:tcBorders>
              <w:top w:val="nil"/>
              <w:left w:val="nil"/>
              <w:bottom w:val="single" w:sz="4" w:space="0" w:color="ADD6EA"/>
              <w:right w:val="nil"/>
            </w:tcBorders>
            <w:shd w:val="clear" w:color="auto" w:fill="auto"/>
            <w:vAlign w:val="bottom"/>
            <w:hideMark/>
          </w:tcPr>
          <w:p w14:paraId="1C673D74"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289</w:t>
            </w:r>
          </w:p>
        </w:tc>
        <w:tc>
          <w:tcPr>
            <w:tcW w:w="700" w:type="dxa"/>
            <w:tcBorders>
              <w:top w:val="nil"/>
              <w:left w:val="nil"/>
              <w:bottom w:val="single" w:sz="4" w:space="0" w:color="ADD6EA"/>
              <w:right w:val="nil"/>
            </w:tcBorders>
            <w:shd w:val="clear" w:color="auto" w:fill="auto"/>
            <w:vAlign w:val="bottom"/>
            <w:hideMark/>
          </w:tcPr>
          <w:p w14:paraId="3FAD5073"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123</w:t>
            </w:r>
          </w:p>
        </w:tc>
        <w:tc>
          <w:tcPr>
            <w:tcW w:w="620" w:type="dxa"/>
            <w:tcBorders>
              <w:top w:val="nil"/>
              <w:left w:val="nil"/>
              <w:bottom w:val="single" w:sz="4" w:space="0" w:color="ADD6EA"/>
              <w:right w:val="nil"/>
            </w:tcBorders>
            <w:shd w:val="clear" w:color="auto" w:fill="auto"/>
            <w:vAlign w:val="bottom"/>
            <w:hideMark/>
          </w:tcPr>
          <w:p w14:paraId="76F4264A"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8</w:t>
            </w:r>
          </w:p>
        </w:tc>
        <w:tc>
          <w:tcPr>
            <w:tcW w:w="660" w:type="dxa"/>
            <w:tcBorders>
              <w:top w:val="nil"/>
              <w:left w:val="nil"/>
              <w:bottom w:val="single" w:sz="4" w:space="0" w:color="ADD6EA"/>
              <w:right w:val="nil"/>
            </w:tcBorders>
            <w:shd w:val="clear" w:color="auto" w:fill="auto"/>
            <w:vAlign w:val="bottom"/>
            <w:hideMark/>
          </w:tcPr>
          <w:p w14:paraId="0F6DCEE9"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14</w:t>
            </w:r>
          </w:p>
        </w:tc>
        <w:tc>
          <w:tcPr>
            <w:tcW w:w="620" w:type="dxa"/>
            <w:tcBorders>
              <w:top w:val="nil"/>
              <w:left w:val="nil"/>
              <w:bottom w:val="single" w:sz="4" w:space="0" w:color="ADD6EA"/>
              <w:right w:val="nil"/>
            </w:tcBorders>
            <w:shd w:val="clear" w:color="auto" w:fill="auto"/>
            <w:vAlign w:val="bottom"/>
            <w:hideMark/>
          </w:tcPr>
          <w:p w14:paraId="02A77506"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17</w:t>
            </w:r>
          </w:p>
        </w:tc>
        <w:tc>
          <w:tcPr>
            <w:tcW w:w="840" w:type="dxa"/>
            <w:tcBorders>
              <w:top w:val="nil"/>
              <w:left w:val="nil"/>
              <w:bottom w:val="single" w:sz="4" w:space="0" w:color="ADD6EA"/>
              <w:right w:val="nil"/>
            </w:tcBorders>
            <w:shd w:val="clear" w:color="auto" w:fill="auto"/>
            <w:vAlign w:val="bottom"/>
            <w:hideMark/>
          </w:tcPr>
          <w:p w14:paraId="6D411961"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701</w:t>
            </w:r>
          </w:p>
        </w:tc>
      </w:tr>
      <w:tr w:rsidR="00694905" w:rsidRPr="00694905" w14:paraId="5EBDEEEB" w14:textId="77777777" w:rsidTr="00694905">
        <w:trPr>
          <w:trHeight w:val="315"/>
        </w:trPr>
        <w:tc>
          <w:tcPr>
            <w:tcW w:w="2520" w:type="dxa"/>
            <w:tcBorders>
              <w:top w:val="nil"/>
              <w:left w:val="nil"/>
              <w:bottom w:val="single" w:sz="4" w:space="0" w:color="ADD6EA"/>
              <w:right w:val="nil"/>
            </w:tcBorders>
            <w:shd w:val="clear" w:color="auto" w:fill="auto"/>
            <w:vAlign w:val="bottom"/>
            <w:hideMark/>
          </w:tcPr>
          <w:p w14:paraId="074B91A5" w14:textId="77777777" w:rsidR="00694905" w:rsidRPr="00694905" w:rsidRDefault="00694905" w:rsidP="00694905">
            <w:pPr>
              <w:tabs>
                <w:tab w:val="clear" w:pos="567"/>
              </w:tabs>
              <w:spacing w:before="0" w:line="240" w:lineRule="auto"/>
              <w:rPr>
                <w:rFonts w:eastAsia="Times New Roman" w:cs="Open Sans Light"/>
                <w:sz w:val="16"/>
                <w:szCs w:val="16"/>
                <w:lang w:eastAsia="en-AU"/>
              </w:rPr>
            </w:pPr>
            <w:r w:rsidRPr="00694905">
              <w:rPr>
                <w:rFonts w:eastAsia="Times New Roman" w:cs="Open Sans Light"/>
                <w:sz w:val="16"/>
                <w:szCs w:val="16"/>
                <w:lang w:eastAsia="en-AU"/>
              </w:rPr>
              <w:t>Wage costs</w:t>
            </w:r>
          </w:p>
        </w:tc>
        <w:tc>
          <w:tcPr>
            <w:tcW w:w="760" w:type="dxa"/>
            <w:tcBorders>
              <w:top w:val="nil"/>
              <w:left w:val="nil"/>
              <w:bottom w:val="single" w:sz="4" w:space="0" w:color="ADD6EA"/>
              <w:right w:val="nil"/>
            </w:tcBorders>
            <w:shd w:val="clear" w:color="auto" w:fill="auto"/>
            <w:vAlign w:val="bottom"/>
            <w:hideMark/>
          </w:tcPr>
          <w:p w14:paraId="791F25CE"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103</w:t>
            </w:r>
          </w:p>
        </w:tc>
        <w:tc>
          <w:tcPr>
            <w:tcW w:w="700" w:type="dxa"/>
            <w:tcBorders>
              <w:top w:val="nil"/>
              <w:left w:val="nil"/>
              <w:bottom w:val="single" w:sz="4" w:space="0" w:color="ADD6EA"/>
              <w:right w:val="nil"/>
            </w:tcBorders>
            <w:shd w:val="clear" w:color="auto" w:fill="auto"/>
            <w:vAlign w:val="bottom"/>
            <w:hideMark/>
          </w:tcPr>
          <w:p w14:paraId="3AFA38E3"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-88</w:t>
            </w:r>
          </w:p>
        </w:tc>
        <w:tc>
          <w:tcPr>
            <w:tcW w:w="700" w:type="dxa"/>
            <w:tcBorders>
              <w:top w:val="nil"/>
              <w:left w:val="nil"/>
              <w:bottom w:val="single" w:sz="4" w:space="0" w:color="ADD6EA"/>
              <w:right w:val="nil"/>
            </w:tcBorders>
            <w:shd w:val="clear" w:color="auto" w:fill="auto"/>
            <w:vAlign w:val="bottom"/>
            <w:hideMark/>
          </w:tcPr>
          <w:p w14:paraId="2C65296B"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-322</w:t>
            </w:r>
          </w:p>
        </w:tc>
        <w:tc>
          <w:tcPr>
            <w:tcW w:w="820" w:type="dxa"/>
            <w:tcBorders>
              <w:top w:val="nil"/>
              <w:left w:val="nil"/>
              <w:bottom w:val="single" w:sz="4" w:space="0" w:color="ADD6EA"/>
              <w:right w:val="nil"/>
            </w:tcBorders>
            <w:shd w:val="clear" w:color="auto" w:fill="auto"/>
            <w:vAlign w:val="bottom"/>
            <w:hideMark/>
          </w:tcPr>
          <w:p w14:paraId="3FF2B641"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321</w:t>
            </w:r>
          </w:p>
        </w:tc>
        <w:tc>
          <w:tcPr>
            <w:tcW w:w="700" w:type="dxa"/>
            <w:tcBorders>
              <w:top w:val="nil"/>
              <w:left w:val="nil"/>
              <w:bottom w:val="single" w:sz="4" w:space="0" w:color="ADD6EA"/>
              <w:right w:val="nil"/>
            </w:tcBorders>
            <w:shd w:val="clear" w:color="auto" w:fill="auto"/>
            <w:vAlign w:val="bottom"/>
            <w:hideMark/>
          </w:tcPr>
          <w:p w14:paraId="5D46A0EC"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32</w:t>
            </w:r>
          </w:p>
        </w:tc>
        <w:tc>
          <w:tcPr>
            <w:tcW w:w="620" w:type="dxa"/>
            <w:tcBorders>
              <w:top w:val="nil"/>
              <w:left w:val="nil"/>
              <w:bottom w:val="single" w:sz="4" w:space="0" w:color="ADD6EA"/>
              <w:right w:val="nil"/>
            </w:tcBorders>
            <w:shd w:val="clear" w:color="auto" w:fill="auto"/>
            <w:vAlign w:val="bottom"/>
            <w:hideMark/>
          </w:tcPr>
          <w:p w14:paraId="7998583F"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-2</w:t>
            </w:r>
          </w:p>
        </w:tc>
        <w:tc>
          <w:tcPr>
            <w:tcW w:w="660" w:type="dxa"/>
            <w:tcBorders>
              <w:top w:val="nil"/>
              <w:left w:val="nil"/>
              <w:bottom w:val="single" w:sz="4" w:space="0" w:color="ADD6EA"/>
              <w:right w:val="nil"/>
            </w:tcBorders>
            <w:shd w:val="clear" w:color="auto" w:fill="auto"/>
            <w:vAlign w:val="bottom"/>
            <w:hideMark/>
          </w:tcPr>
          <w:p w14:paraId="647E52E9"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-18</w:t>
            </w:r>
          </w:p>
        </w:tc>
        <w:tc>
          <w:tcPr>
            <w:tcW w:w="620" w:type="dxa"/>
            <w:tcBorders>
              <w:top w:val="nil"/>
              <w:left w:val="nil"/>
              <w:bottom w:val="single" w:sz="4" w:space="0" w:color="ADD6EA"/>
              <w:right w:val="nil"/>
            </w:tcBorders>
            <w:shd w:val="clear" w:color="auto" w:fill="auto"/>
            <w:vAlign w:val="bottom"/>
            <w:hideMark/>
          </w:tcPr>
          <w:p w14:paraId="5D3F8F62"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-27</w:t>
            </w:r>
          </w:p>
        </w:tc>
        <w:tc>
          <w:tcPr>
            <w:tcW w:w="840" w:type="dxa"/>
            <w:tcBorders>
              <w:top w:val="nil"/>
              <w:left w:val="nil"/>
              <w:bottom w:val="single" w:sz="4" w:space="0" w:color="ADD6EA"/>
              <w:right w:val="nil"/>
            </w:tcBorders>
            <w:shd w:val="clear" w:color="auto" w:fill="auto"/>
            <w:vAlign w:val="bottom"/>
            <w:hideMark/>
          </w:tcPr>
          <w:p w14:paraId="6A6C7B2A"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456</w:t>
            </w:r>
          </w:p>
        </w:tc>
      </w:tr>
      <w:tr w:rsidR="00694905" w:rsidRPr="00694905" w14:paraId="37A1FD8C" w14:textId="77777777" w:rsidTr="00694905">
        <w:trPr>
          <w:trHeight w:val="315"/>
        </w:trPr>
        <w:tc>
          <w:tcPr>
            <w:tcW w:w="2520" w:type="dxa"/>
            <w:tcBorders>
              <w:top w:val="nil"/>
              <w:left w:val="nil"/>
              <w:bottom w:val="single" w:sz="4" w:space="0" w:color="ADD6EA"/>
              <w:right w:val="nil"/>
            </w:tcBorders>
            <w:shd w:val="clear" w:color="auto" w:fill="auto"/>
            <w:vAlign w:val="bottom"/>
            <w:hideMark/>
          </w:tcPr>
          <w:p w14:paraId="3783A675" w14:textId="77777777" w:rsidR="00694905" w:rsidRPr="00694905" w:rsidRDefault="00694905" w:rsidP="00694905">
            <w:pPr>
              <w:tabs>
                <w:tab w:val="clear" w:pos="567"/>
              </w:tabs>
              <w:spacing w:before="0" w:line="240" w:lineRule="auto"/>
              <w:rPr>
                <w:rFonts w:eastAsia="Times New Roman" w:cs="Open Sans Light"/>
                <w:sz w:val="16"/>
                <w:szCs w:val="16"/>
                <w:lang w:eastAsia="en-AU"/>
              </w:rPr>
            </w:pPr>
            <w:r w:rsidRPr="00694905">
              <w:rPr>
                <w:rFonts w:eastAsia="Times New Roman" w:cs="Open Sans Light"/>
                <w:sz w:val="16"/>
                <w:szCs w:val="16"/>
                <w:lang w:eastAsia="en-AU"/>
              </w:rPr>
              <w:t>Property sales</w:t>
            </w:r>
          </w:p>
        </w:tc>
        <w:tc>
          <w:tcPr>
            <w:tcW w:w="760" w:type="dxa"/>
            <w:tcBorders>
              <w:top w:val="nil"/>
              <w:left w:val="nil"/>
              <w:bottom w:val="single" w:sz="4" w:space="0" w:color="ADD6EA"/>
              <w:right w:val="nil"/>
            </w:tcBorders>
            <w:shd w:val="clear" w:color="auto" w:fill="auto"/>
            <w:vAlign w:val="bottom"/>
            <w:hideMark/>
          </w:tcPr>
          <w:p w14:paraId="50959E5C"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-72</w:t>
            </w:r>
          </w:p>
        </w:tc>
        <w:tc>
          <w:tcPr>
            <w:tcW w:w="700" w:type="dxa"/>
            <w:tcBorders>
              <w:top w:val="nil"/>
              <w:left w:val="nil"/>
              <w:bottom w:val="single" w:sz="4" w:space="0" w:color="ADD6EA"/>
              <w:right w:val="nil"/>
            </w:tcBorders>
            <w:shd w:val="clear" w:color="auto" w:fill="auto"/>
            <w:vAlign w:val="bottom"/>
            <w:hideMark/>
          </w:tcPr>
          <w:p w14:paraId="16E910AE"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429</w:t>
            </w:r>
          </w:p>
        </w:tc>
        <w:tc>
          <w:tcPr>
            <w:tcW w:w="700" w:type="dxa"/>
            <w:tcBorders>
              <w:top w:val="nil"/>
              <w:left w:val="nil"/>
              <w:bottom w:val="single" w:sz="4" w:space="0" w:color="ADD6EA"/>
              <w:right w:val="nil"/>
            </w:tcBorders>
            <w:shd w:val="clear" w:color="auto" w:fill="auto"/>
            <w:vAlign w:val="bottom"/>
            <w:hideMark/>
          </w:tcPr>
          <w:p w14:paraId="0631B436"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-139</w:t>
            </w:r>
          </w:p>
        </w:tc>
        <w:tc>
          <w:tcPr>
            <w:tcW w:w="820" w:type="dxa"/>
            <w:tcBorders>
              <w:top w:val="nil"/>
              <w:left w:val="nil"/>
              <w:bottom w:val="single" w:sz="4" w:space="0" w:color="ADD6EA"/>
              <w:right w:val="nil"/>
            </w:tcBorders>
            <w:shd w:val="clear" w:color="auto" w:fill="auto"/>
            <w:vAlign w:val="bottom"/>
            <w:hideMark/>
          </w:tcPr>
          <w:p w14:paraId="3BDB3CA8"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-130</w:t>
            </w:r>
          </w:p>
        </w:tc>
        <w:tc>
          <w:tcPr>
            <w:tcW w:w="700" w:type="dxa"/>
            <w:tcBorders>
              <w:top w:val="nil"/>
              <w:left w:val="nil"/>
              <w:bottom w:val="single" w:sz="4" w:space="0" w:color="ADD6EA"/>
              <w:right w:val="nil"/>
            </w:tcBorders>
            <w:shd w:val="clear" w:color="auto" w:fill="auto"/>
            <w:vAlign w:val="bottom"/>
            <w:hideMark/>
          </w:tcPr>
          <w:p w14:paraId="64B2C5FB"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-51</w:t>
            </w:r>
          </w:p>
        </w:tc>
        <w:tc>
          <w:tcPr>
            <w:tcW w:w="620" w:type="dxa"/>
            <w:tcBorders>
              <w:top w:val="nil"/>
              <w:left w:val="nil"/>
              <w:bottom w:val="single" w:sz="4" w:space="0" w:color="ADD6EA"/>
              <w:right w:val="nil"/>
            </w:tcBorders>
            <w:shd w:val="clear" w:color="auto" w:fill="auto"/>
            <w:vAlign w:val="bottom"/>
            <w:hideMark/>
          </w:tcPr>
          <w:p w14:paraId="39621CEE"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-17</w:t>
            </w:r>
          </w:p>
        </w:tc>
        <w:tc>
          <w:tcPr>
            <w:tcW w:w="660" w:type="dxa"/>
            <w:tcBorders>
              <w:top w:val="nil"/>
              <w:left w:val="nil"/>
              <w:bottom w:val="single" w:sz="4" w:space="0" w:color="ADD6EA"/>
              <w:right w:val="nil"/>
            </w:tcBorders>
            <w:shd w:val="clear" w:color="auto" w:fill="auto"/>
            <w:vAlign w:val="bottom"/>
            <w:hideMark/>
          </w:tcPr>
          <w:p w14:paraId="03FC9BC6"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-13</w:t>
            </w:r>
          </w:p>
        </w:tc>
        <w:tc>
          <w:tcPr>
            <w:tcW w:w="620" w:type="dxa"/>
            <w:tcBorders>
              <w:top w:val="nil"/>
              <w:left w:val="nil"/>
              <w:bottom w:val="single" w:sz="4" w:space="0" w:color="ADD6EA"/>
              <w:right w:val="nil"/>
            </w:tcBorders>
            <w:shd w:val="clear" w:color="auto" w:fill="auto"/>
            <w:vAlign w:val="bottom"/>
            <w:hideMark/>
          </w:tcPr>
          <w:p w14:paraId="0CF0AF15"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-8</w:t>
            </w:r>
          </w:p>
        </w:tc>
        <w:tc>
          <w:tcPr>
            <w:tcW w:w="840" w:type="dxa"/>
            <w:tcBorders>
              <w:top w:val="nil"/>
              <w:left w:val="nil"/>
              <w:bottom w:val="single" w:sz="4" w:space="0" w:color="ADD6EA"/>
              <w:right w:val="nil"/>
            </w:tcBorders>
            <w:shd w:val="clear" w:color="auto" w:fill="auto"/>
            <w:vAlign w:val="bottom"/>
            <w:hideMark/>
          </w:tcPr>
          <w:p w14:paraId="08797C4B"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429</w:t>
            </w:r>
          </w:p>
        </w:tc>
      </w:tr>
      <w:tr w:rsidR="00694905" w:rsidRPr="00694905" w14:paraId="5C01C394" w14:textId="77777777" w:rsidTr="00694905">
        <w:trPr>
          <w:trHeight w:val="315"/>
        </w:trPr>
        <w:tc>
          <w:tcPr>
            <w:tcW w:w="2520" w:type="dxa"/>
            <w:tcBorders>
              <w:top w:val="nil"/>
              <w:left w:val="nil"/>
              <w:bottom w:val="single" w:sz="4" w:space="0" w:color="ADD6EA"/>
              <w:right w:val="nil"/>
            </w:tcBorders>
            <w:shd w:val="clear" w:color="auto" w:fill="auto"/>
            <w:vAlign w:val="bottom"/>
            <w:hideMark/>
          </w:tcPr>
          <w:p w14:paraId="5C88B574" w14:textId="77777777" w:rsidR="00694905" w:rsidRPr="00694905" w:rsidRDefault="00694905" w:rsidP="00694905">
            <w:pPr>
              <w:tabs>
                <w:tab w:val="clear" w:pos="567"/>
              </w:tabs>
              <w:spacing w:before="0" w:line="240" w:lineRule="auto"/>
              <w:rPr>
                <w:rFonts w:eastAsia="Times New Roman" w:cs="Open Sans Light"/>
                <w:sz w:val="16"/>
                <w:szCs w:val="16"/>
                <w:lang w:eastAsia="en-AU"/>
              </w:rPr>
            </w:pPr>
            <w:r w:rsidRPr="00694905">
              <w:rPr>
                <w:rFonts w:eastAsia="Times New Roman" w:cs="Open Sans Light"/>
                <w:sz w:val="16"/>
                <w:szCs w:val="16"/>
                <w:lang w:eastAsia="en-AU"/>
              </w:rPr>
              <w:t>Capital improvements</w:t>
            </w:r>
          </w:p>
        </w:tc>
        <w:tc>
          <w:tcPr>
            <w:tcW w:w="760" w:type="dxa"/>
            <w:tcBorders>
              <w:top w:val="nil"/>
              <w:left w:val="nil"/>
              <w:bottom w:val="single" w:sz="4" w:space="0" w:color="ADD6EA"/>
              <w:right w:val="nil"/>
            </w:tcBorders>
            <w:shd w:val="clear" w:color="auto" w:fill="auto"/>
            <w:vAlign w:val="bottom"/>
            <w:hideMark/>
          </w:tcPr>
          <w:p w14:paraId="03A61BEE"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173</w:t>
            </w:r>
          </w:p>
        </w:tc>
        <w:tc>
          <w:tcPr>
            <w:tcW w:w="700" w:type="dxa"/>
            <w:tcBorders>
              <w:top w:val="nil"/>
              <w:left w:val="nil"/>
              <w:bottom w:val="single" w:sz="4" w:space="0" w:color="ADD6EA"/>
              <w:right w:val="nil"/>
            </w:tcBorders>
            <w:shd w:val="clear" w:color="auto" w:fill="auto"/>
            <w:vAlign w:val="bottom"/>
            <w:hideMark/>
          </w:tcPr>
          <w:p w14:paraId="168A2572"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122</w:t>
            </w:r>
          </w:p>
        </w:tc>
        <w:tc>
          <w:tcPr>
            <w:tcW w:w="700" w:type="dxa"/>
            <w:tcBorders>
              <w:top w:val="nil"/>
              <w:left w:val="nil"/>
              <w:bottom w:val="single" w:sz="4" w:space="0" w:color="ADD6EA"/>
              <w:right w:val="nil"/>
            </w:tcBorders>
            <w:shd w:val="clear" w:color="auto" w:fill="auto"/>
            <w:vAlign w:val="bottom"/>
            <w:hideMark/>
          </w:tcPr>
          <w:p w14:paraId="4CCB51CB"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-112</w:t>
            </w:r>
          </w:p>
        </w:tc>
        <w:tc>
          <w:tcPr>
            <w:tcW w:w="820" w:type="dxa"/>
            <w:tcBorders>
              <w:top w:val="nil"/>
              <w:left w:val="nil"/>
              <w:bottom w:val="single" w:sz="4" w:space="0" w:color="ADD6EA"/>
              <w:right w:val="nil"/>
            </w:tcBorders>
            <w:shd w:val="clear" w:color="auto" w:fill="auto"/>
            <w:vAlign w:val="bottom"/>
            <w:hideMark/>
          </w:tcPr>
          <w:p w14:paraId="2F0DA83F"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-58</w:t>
            </w:r>
          </w:p>
        </w:tc>
        <w:tc>
          <w:tcPr>
            <w:tcW w:w="700" w:type="dxa"/>
            <w:tcBorders>
              <w:top w:val="nil"/>
              <w:left w:val="nil"/>
              <w:bottom w:val="single" w:sz="4" w:space="0" w:color="ADD6EA"/>
              <w:right w:val="nil"/>
            </w:tcBorders>
            <w:shd w:val="clear" w:color="auto" w:fill="auto"/>
            <w:vAlign w:val="bottom"/>
            <w:hideMark/>
          </w:tcPr>
          <w:p w14:paraId="39FC4803"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-71</w:t>
            </w:r>
          </w:p>
        </w:tc>
        <w:tc>
          <w:tcPr>
            <w:tcW w:w="620" w:type="dxa"/>
            <w:tcBorders>
              <w:top w:val="nil"/>
              <w:left w:val="nil"/>
              <w:bottom w:val="single" w:sz="4" w:space="0" w:color="ADD6EA"/>
              <w:right w:val="nil"/>
            </w:tcBorders>
            <w:shd w:val="clear" w:color="auto" w:fill="auto"/>
            <w:vAlign w:val="bottom"/>
            <w:hideMark/>
          </w:tcPr>
          <w:p w14:paraId="1E636DBD"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-32</w:t>
            </w:r>
          </w:p>
        </w:tc>
        <w:tc>
          <w:tcPr>
            <w:tcW w:w="660" w:type="dxa"/>
            <w:tcBorders>
              <w:top w:val="nil"/>
              <w:left w:val="nil"/>
              <w:bottom w:val="single" w:sz="4" w:space="0" w:color="ADD6EA"/>
              <w:right w:val="nil"/>
            </w:tcBorders>
            <w:shd w:val="clear" w:color="auto" w:fill="auto"/>
            <w:vAlign w:val="bottom"/>
            <w:hideMark/>
          </w:tcPr>
          <w:p w14:paraId="6775AC8C"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-7</w:t>
            </w:r>
          </w:p>
        </w:tc>
        <w:tc>
          <w:tcPr>
            <w:tcW w:w="620" w:type="dxa"/>
            <w:tcBorders>
              <w:top w:val="nil"/>
              <w:left w:val="nil"/>
              <w:bottom w:val="single" w:sz="4" w:space="0" w:color="ADD6EA"/>
              <w:right w:val="nil"/>
            </w:tcBorders>
            <w:shd w:val="clear" w:color="auto" w:fill="auto"/>
            <w:vAlign w:val="bottom"/>
            <w:hideMark/>
          </w:tcPr>
          <w:p w14:paraId="28695C3D"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-15</w:t>
            </w:r>
          </w:p>
        </w:tc>
        <w:tc>
          <w:tcPr>
            <w:tcW w:w="840" w:type="dxa"/>
            <w:tcBorders>
              <w:top w:val="nil"/>
              <w:left w:val="nil"/>
              <w:bottom w:val="single" w:sz="4" w:space="0" w:color="ADD6EA"/>
              <w:right w:val="nil"/>
            </w:tcBorders>
            <w:shd w:val="clear" w:color="auto" w:fill="auto"/>
            <w:vAlign w:val="bottom"/>
            <w:hideMark/>
          </w:tcPr>
          <w:p w14:paraId="6D0460C8"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295</w:t>
            </w:r>
          </w:p>
        </w:tc>
      </w:tr>
      <w:tr w:rsidR="00694905" w:rsidRPr="00694905" w14:paraId="63A7E233" w14:textId="77777777" w:rsidTr="00694905">
        <w:trPr>
          <w:trHeight w:val="315"/>
        </w:trPr>
        <w:tc>
          <w:tcPr>
            <w:tcW w:w="2520" w:type="dxa"/>
            <w:tcBorders>
              <w:top w:val="nil"/>
              <w:left w:val="nil"/>
              <w:bottom w:val="single" w:sz="4" w:space="0" w:color="ADD6EA"/>
              <w:right w:val="nil"/>
            </w:tcBorders>
            <w:shd w:val="clear" w:color="auto" w:fill="auto"/>
            <w:vAlign w:val="bottom"/>
            <w:hideMark/>
          </w:tcPr>
          <w:p w14:paraId="4AB8E666" w14:textId="77777777" w:rsidR="00694905" w:rsidRPr="00694905" w:rsidRDefault="00694905" w:rsidP="00694905">
            <w:pPr>
              <w:tabs>
                <w:tab w:val="clear" w:pos="567"/>
              </w:tabs>
              <w:spacing w:before="0" w:line="240" w:lineRule="auto"/>
              <w:rPr>
                <w:rFonts w:eastAsia="Times New Roman" w:cs="Open Sans Light"/>
                <w:sz w:val="16"/>
                <w:szCs w:val="16"/>
                <w:lang w:eastAsia="en-AU"/>
              </w:rPr>
            </w:pPr>
            <w:r w:rsidRPr="00694905">
              <w:rPr>
                <w:rFonts w:eastAsia="Times New Roman" w:cs="Open Sans Light"/>
                <w:sz w:val="16"/>
                <w:szCs w:val="16"/>
                <w:lang w:eastAsia="en-AU"/>
              </w:rPr>
              <w:t>Commonwealth payments</w:t>
            </w:r>
          </w:p>
        </w:tc>
        <w:tc>
          <w:tcPr>
            <w:tcW w:w="760" w:type="dxa"/>
            <w:tcBorders>
              <w:top w:val="nil"/>
              <w:left w:val="nil"/>
              <w:bottom w:val="single" w:sz="4" w:space="0" w:color="ADD6EA"/>
              <w:right w:val="nil"/>
            </w:tcBorders>
            <w:shd w:val="clear" w:color="auto" w:fill="auto"/>
            <w:vAlign w:val="bottom"/>
            <w:hideMark/>
          </w:tcPr>
          <w:p w14:paraId="326BA488"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68</w:t>
            </w:r>
          </w:p>
        </w:tc>
        <w:tc>
          <w:tcPr>
            <w:tcW w:w="700" w:type="dxa"/>
            <w:tcBorders>
              <w:top w:val="nil"/>
              <w:left w:val="nil"/>
              <w:bottom w:val="single" w:sz="4" w:space="0" w:color="ADD6EA"/>
              <w:right w:val="nil"/>
            </w:tcBorders>
            <w:shd w:val="clear" w:color="auto" w:fill="auto"/>
            <w:vAlign w:val="bottom"/>
            <w:hideMark/>
          </w:tcPr>
          <w:p w14:paraId="6693C833"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-40</w:t>
            </w:r>
          </w:p>
        </w:tc>
        <w:tc>
          <w:tcPr>
            <w:tcW w:w="700" w:type="dxa"/>
            <w:tcBorders>
              <w:top w:val="nil"/>
              <w:left w:val="nil"/>
              <w:bottom w:val="single" w:sz="4" w:space="0" w:color="ADD6EA"/>
              <w:right w:val="nil"/>
            </w:tcBorders>
            <w:shd w:val="clear" w:color="auto" w:fill="auto"/>
            <w:vAlign w:val="bottom"/>
            <w:hideMark/>
          </w:tcPr>
          <w:p w14:paraId="4E7441B7"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-140</w:t>
            </w:r>
          </w:p>
        </w:tc>
        <w:tc>
          <w:tcPr>
            <w:tcW w:w="820" w:type="dxa"/>
            <w:tcBorders>
              <w:top w:val="nil"/>
              <w:left w:val="nil"/>
              <w:bottom w:val="single" w:sz="4" w:space="0" w:color="ADD6EA"/>
              <w:right w:val="nil"/>
            </w:tcBorders>
            <w:shd w:val="clear" w:color="auto" w:fill="auto"/>
            <w:vAlign w:val="bottom"/>
            <w:hideMark/>
          </w:tcPr>
          <w:p w14:paraId="5D09E69D"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-12</w:t>
            </w:r>
          </w:p>
        </w:tc>
        <w:tc>
          <w:tcPr>
            <w:tcW w:w="700" w:type="dxa"/>
            <w:tcBorders>
              <w:top w:val="nil"/>
              <w:left w:val="nil"/>
              <w:bottom w:val="single" w:sz="4" w:space="0" w:color="ADD6EA"/>
              <w:right w:val="nil"/>
            </w:tcBorders>
            <w:shd w:val="clear" w:color="auto" w:fill="auto"/>
            <w:vAlign w:val="bottom"/>
            <w:hideMark/>
          </w:tcPr>
          <w:p w14:paraId="5FE10CC5"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89</w:t>
            </w:r>
          </w:p>
        </w:tc>
        <w:tc>
          <w:tcPr>
            <w:tcW w:w="620" w:type="dxa"/>
            <w:tcBorders>
              <w:top w:val="nil"/>
              <w:left w:val="nil"/>
              <w:bottom w:val="single" w:sz="4" w:space="0" w:color="ADD6EA"/>
              <w:right w:val="nil"/>
            </w:tcBorders>
            <w:shd w:val="clear" w:color="auto" w:fill="auto"/>
            <w:vAlign w:val="bottom"/>
            <w:hideMark/>
          </w:tcPr>
          <w:p w14:paraId="57B3C572"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10</w:t>
            </w:r>
          </w:p>
        </w:tc>
        <w:tc>
          <w:tcPr>
            <w:tcW w:w="660" w:type="dxa"/>
            <w:tcBorders>
              <w:top w:val="nil"/>
              <w:left w:val="nil"/>
              <w:bottom w:val="single" w:sz="4" w:space="0" w:color="ADD6EA"/>
              <w:right w:val="nil"/>
            </w:tcBorders>
            <w:shd w:val="clear" w:color="auto" w:fill="auto"/>
            <w:vAlign w:val="bottom"/>
            <w:hideMark/>
          </w:tcPr>
          <w:p w14:paraId="26AA8520"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10</w:t>
            </w:r>
          </w:p>
        </w:tc>
        <w:tc>
          <w:tcPr>
            <w:tcW w:w="620" w:type="dxa"/>
            <w:tcBorders>
              <w:top w:val="nil"/>
              <w:left w:val="nil"/>
              <w:bottom w:val="single" w:sz="4" w:space="0" w:color="ADD6EA"/>
              <w:right w:val="nil"/>
            </w:tcBorders>
            <w:shd w:val="clear" w:color="auto" w:fill="auto"/>
            <w:vAlign w:val="bottom"/>
            <w:hideMark/>
          </w:tcPr>
          <w:p w14:paraId="76C1E6E0"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14</w:t>
            </w:r>
          </w:p>
        </w:tc>
        <w:tc>
          <w:tcPr>
            <w:tcW w:w="840" w:type="dxa"/>
            <w:tcBorders>
              <w:top w:val="nil"/>
              <w:left w:val="nil"/>
              <w:bottom w:val="single" w:sz="4" w:space="0" w:color="ADD6EA"/>
              <w:right w:val="nil"/>
            </w:tcBorders>
            <w:shd w:val="clear" w:color="auto" w:fill="auto"/>
            <w:vAlign w:val="bottom"/>
            <w:hideMark/>
          </w:tcPr>
          <w:p w14:paraId="07C31FCE"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192</w:t>
            </w:r>
          </w:p>
        </w:tc>
      </w:tr>
      <w:tr w:rsidR="00694905" w:rsidRPr="00694905" w14:paraId="74BFFA39" w14:textId="77777777" w:rsidTr="00694905">
        <w:trPr>
          <w:trHeight w:val="315"/>
        </w:trPr>
        <w:tc>
          <w:tcPr>
            <w:tcW w:w="2520" w:type="dxa"/>
            <w:tcBorders>
              <w:top w:val="nil"/>
              <w:left w:val="nil"/>
              <w:bottom w:val="single" w:sz="4" w:space="0" w:color="ADD6EA"/>
              <w:right w:val="nil"/>
            </w:tcBorders>
            <w:shd w:val="clear" w:color="auto" w:fill="auto"/>
            <w:vAlign w:val="bottom"/>
            <w:hideMark/>
          </w:tcPr>
          <w:p w14:paraId="3A9D997E" w14:textId="77777777" w:rsidR="00694905" w:rsidRPr="00694905" w:rsidRDefault="00694905" w:rsidP="00694905">
            <w:pPr>
              <w:tabs>
                <w:tab w:val="clear" w:pos="567"/>
              </w:tabs>
              <w:spacing w:before="0" w:line="240" w:lineRule="auto"/>
              <w:rPr>
                <w:rFonts w:eastAsia="Times New Roman" w:cs="Open Sans Light"/>
                <w:sz w:val="16"/>
                <w:szCs w:val="16"/>
                <w:lang w:eastAsia="en-AU"/>
              </w:rPr>
            </w:pPr>
            <w:r w:rsidRPr="00694905">
              <w:rPr>
                <w:rFonts w:eastAsia="Times New Roman" w:cs="Open Sans Light"/>
                <w:sz w:val="16"/>
                <w:szCs w:val="16"/>
                <w:lang w:eastAsia="en-AU"/>
              </w:rPr>
              <w:t>Taxable payrolls</w:t>
            </w:r>
          </w:p>
        </w:tc>
        <w:tc>
          <w:tcPr>
            <w:tcW w:w="760" w:type="dxa"/>
            <w:tcBorders>
              <w:top w:val="nil"/>
              <w:left w:val="nil"/>
              <w:bottom w:val="single" w:sz="4" w:space="0" w:color="ADD6EA"/>
              <w:right w:val="nil"/>
            </w:tcBorders>
            <w:shd w:val="clear" w:color="auto" w:fill="auto"/>
            <w:vAlign w:val="bottom"/>
            <w:hideMark/>
          </w:tcPr>
          <w:p w14:paraId="4B163DE1"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64</w:t>
            </w:r>
          </w:p>
        </w:tc>
        <w:tc>
          <w:tcPr>
            <w:tcW w:w="700" w:type="dxa"/>
            <w:tcBorders>
              <w:top w:val="nil"/>
              <w:left w:val="nil"/>
              <w:bottom w:val="single" w:sz="4" w:space="0" w:color="ADD6EA"/>
              <w:right w:val="nil"/>
            </w:tcBorders>
            <w:shd w:val="clear" w:color="auto" w:fill="auto"/>
            <w:vAlign w:val="bottom"/>
            <w:hideMark/>
          </w:tcPr>
          <w:p w14:paraId="2F50C90A"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-36</w:t>
            </w:r>
          </w:p>
        </w:tc>
        <w:tc>
          <w:tcPr>
            <w:tcW w:w="700" w:type="dxa"/>
            <w:tcBorders>
              <w:top w:val="nil"/>
              <w:left w:val="nil"/>
              <w:bottom w:val="single" w:sz="4" w:space="0" w:color="ADD6EA"/>
              <w:right w:val="nil"/>
            </w:tcBorders>
            <w:shd w:val="clear" w:color="auto" w:fill="auto"/>
            <w:vAlign w:val="bottom"/>
            <w:hideMark/>
          </w:tcPr>
          <w:p w14:paraId="493D587A"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36</w:t>
            </w:r>
          </w:p>
        </w:tc>
        <w:tc>
          <w:tcPr>
            <w:tcW w:w="820" w:type="dxa"/>
            <w:tcBorders>
              <w:top w:val="nil"/>
              <w:left w:val="nil"/>
              <w:bottom w:val="single" w:sz="4" w:space="0" w:color="ADD6EA"/>
              <w:right w:val="nil"/>
            </w:tcBorders>
            <w:shd w:val="clear" w:color="auto" w:fill="auto"/>
            <w:vAlign w:val="bottom"/>
            <w:hideMark/>
          </w:tcPr>
          <w:p w14:paraId="517823F9"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-35</w:t>
            </w:r>
          </w:p>
        </w:tc>
        <w:tc>
          <w:tcPr>
            <w:tcW w:w="700" w:type="dxa"/>
            <w:tcBorders>
              <w:top w:val="nil"/>
              <w:left w:val="nil"/>
              <w:bottom w:val="single" w:sz="4" w:space="0" w:color="ADD6EA"/>
              <w:right w:val="nil"/>
            </w:tcBorders>
            <w:shd w:val="clear" w:color="auto" w:fill="auto"/>
            <w:vAlign w:val="bottom"/>
            <w:hideMark/>
          </w:tcPr>
          <w:p w14:paraId="0908F7A1"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-70</w:t>
            </w:r>
          </w:p>
        </w:tc>
        <w:tc>
          <w:tcPr>
            <w:tcW w:w="620" w:type="dxa"/>
            <w:tcBorders>
              <w:top w:val="nil"/>
              <w:left w:val="nil"/>
              <w:bottom w:val="single" w:sz="4" w:space="0" w:color="ADD6EA"/>
              <w:right w:val="nil"/>
            </w:tcBorders>
            <w:shd w:val="clear" w:color="auto" w:fill="auto"/>
            <w:vAlign w:val="bottom"/>
            <w:hideMark/>
          </w:tcPr>
          <w:p w14:paraId="38108BBE"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0</w:t>
            </w:r>
          </w:p>
        </w:tc>
        <w:tc>
          <w:tcPr>
            <w:tcW w:w="660" w:type="dxa"/>
            <w:tcBorders>
              <w:top w:val="nil"/>
              <w:left w:val="nil"/>
              <w:bottom w:val="single" w:sz="4" w:space="0" w:color="ADD6EA"/>
              <w:right w:val="nil"/>
            </w:tcBorders>
            <w:shd w:val="clear" w:color="auto" w:fill="auto"/>
            <w:vAlign w:val="bottom"/>
            <w:hideMark/>
          </w:tcPr>
          <w:p w14:paraId="6DCDD0F6"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11</w:t>
            </w:r>
          </w:p>
        </w:tc>
        <w:tc>
          <w:tcPr>
            <w:tcW w:w="620" w:type="dxa"/>
            <w:tcBorders>
              <w:top w:val="nil"/>
              <w:left w:val="nil"/>
              <w:bottom w:val="single" w:sz="4" w:space="0" w:color="ADD6EA"/>
              <w:right w:val="nil"/>
            </w:tcBorders>
            <w:shd w:val="clear" w:color="auto" w:fill="auto"/>
            <w:vAlign w:val="bottom"/>
            <w:hideMark/>
          </w:tcPr>
          <w:p w14:paraId="0BD65E83"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30</w:t>
            </w:r>
          </w:p>
        </w:tc>
        <w:tc>
          <w:tcPr>
            <w:tcW w:w="840" w:type="dxa"/>
            <w:tcBorders>
              <w:top w:val="nil"/>
              <w:left w:val="nil"/>
              <w:bottom w:val="single" w:sz="4" w:space="0" w:color="ADD6EA"/>
              <w:right w:val="nil"/>
            </w:tcBorders>
            <w:shd w:val="clear" w:color="auto" w:fill="auto"/>
            <w:vAlign w:val="bottom"/>
            <w:hideMark/>
          </w:tcPr>
          <w:p w14:paraId="39F485DB"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141</w:t>
            </w:r>
          </w:p>
        </w:tc>
      </w:tr>
      <w:tr w:rsidR="00694905" w:rsidRPr="00694905" w14:paraId="4F244042" w14:textId="77777777" w:rsidTr="00694905">
        <w:trPr>
          <w:trHeight w:val="315"/>
        </w:trPr>
        <w:tc>
          <w:tcPr>
            <w:tcW w:w="2520" w:type="dxa"/>
            <w:tcBorders>
              <w:top w:val="nil"/>
              <w:left w:val="nil"/>
              <w:bottom w:val="single" w:sz="4" w:space="0" w:color="ADD6EA"/>
              <w:right w:val="nil"/>
            </w:tcBorders>
            <w:shd w:val="clear" w:color="auto" w:fill="auto"/>
            <w:vAlign w:val="bottom"/>
            <w:hideMark/>
          </w:tcPr>
          <w:p w14:paraId="03EF4A7B" w14:textId="77777777" w:rsidR="00694905" w:rsidRPr="00694905" w:rsidRDefault="00694905" w:rsidP="00694905">
            <w:pPr>
              <w:tabs>
                <w:tab w:val="clear" w:pos="567"/>
              </w:tabs>
              <w:spacing w:before="0" w:line="240" w:lineRule="auto"/>
              <w:rPr>
                <w:rFonts w:eastAsia="Times New Roman" w:cs="Open Sans Light"/>
                <w:sz w:val="16"/>
                <w:szCs w:val="16"/>
                <w:lang w:eastAsia="en-AU"/>
              </w:rPr>
            </w:pPr>
            <w:r w:rsidRPr="00694905">
              <w:rPr>
                <w:rFonts w:eastAsia="Times New Roman" w:cs="Open Sans Light"/>
                <w:sz w:val="16"/>
                <w:szCs w:val="16"/>
                <w:lang w:eastAsia="en-AU"/>
              </w:rPr>
              <w:t>Other changes in circumstances</w:t>
            </w:r>
          </w:p>
        </w:tc>
        <w:tc>
          <w:tcPr>
            <w:tcW w:w="760" w:type="dxa"/>
            <w:tcBorders>
              <w:top w:val="nil"/>
              <w:left w:val="nil"/>
              <w:bottom w:val="single" w:sz="4" w:space="0" w:color="ADD6EA"/>
              <w:right w:val="nil"/>
            </w:tcBorders>
            <w:shd w:val="clear" w:color="auto" w:fill="auto"/>
            <w:vAlign w:val="bottom"/>
            <w:hideMark/>
          </w:tcPr>
          <w:p w14:paraId="0E090835"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108</w:t>
            </w:r>
          </w:p>
        </w:tc>
        <w:tc>
          <w:tcPr>
            <w:tcW w:w="700" w:type="dxa"/>
            <w:tcBorders>
              <w:top w:val="nil"/>
              <w:left w:val="nil"/>
              <w:bottom w:val="single" w:sz="4" w:space="0" w:color="ADD6EA"/>
              <w:right w:val="nil"/>
            </w:tcBorders>
            <w:shd w:val="clear" w:color="auto" w:fill="auto"/>
            <w:vAlign w:val="bottom"/>
            <w:hideMark/>
          </w:tcPr>
          <w:p w14:paraId="0B8CA396"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-220</w:t>
            </w:r>
          </w:p>
        </w:tc>
        <w:tc>
          <w:tcPr>
            <w:tcW w:w="700" w:type="dxa"/>
            <w:tcBorders>
              <w:top w:val="nil"/>
              <w:left w:val="nil"/>
              <w:bottom w:val="single" w:sz="4" w:space="0" w:color="ADD6EA"/>
              <w:right w:val="nil"/>
            </w:tcBorders>
            <w:shd w:val="clear" w:color="auto" w:fill="auto"/>
            <w:vAlign w:val="bottom"/>
            <w:hideMark/>
          </w:tcPr>
          <w:p w14:paraId="2D6C6C2A"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4</w:t>
            </w:r>
          </w:p>
        </w:tc>
        <w:tc>
          <w:tcPr>
            <w:tcW w:w="820" w:type="dxa"/>
            <w:tcBorders>
              <w:top w:val="nil"/>
              <w:left w:val="nil"/>
              <w:bottom w:val="single" w:sz="4" w:space="0" w:color="ADD6EA"/>
              <w:right w:val="nil"/>
            </w:tcBorders>
            <w:shd w:val="clear" w:color="auto" w:fill="auto"/>
            <w:vAlign w:val="bottom"/>
            <w:hideMark/>
          </w:tcPr>
          <w:p w14:paraId="337E435A"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191</w:t>
            </w:r>
          </w:p>
        </w:tc>
        <w:tc>
          <w:tcPr>
            <w:tcW w:w="700" w:type="dxa"/>
            <w:tcBorders>
              <w:top w:val="nil"/>
              <w:left w:val="nil"/>
              <w:bottom w:val="single" w:sz="4" w:space="0" w:color="ADD6EA"/>
              <w:right w:val="nil"/>
            </w:tcBorders>
            <w:shd w:val="clear" w:color="auto" w:fill="auto"/>
            <w:vAlign w:val="bottom"/>
            <w:hideMark/>
          </w:tcPr>
          <w:p w14:paraId="0DEAA11A"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-60</w:t>
            </w:r>
          </w:p>
        </w:tc>
        <w:tc>
          <w:tcPr>
            <w:tcW w:w="620" w:type="dxa"/>
            <w:tcBorders>
              <w:top w:val="nil"/>
              <w:left w:val="nil"/>
              <w:bottom w:val="single" w:sz="4" w:space="0" w:color="ADD6EA"/>
              <w:right w:val="nil"/>
            </w:tcBorders>
            <w:shd w:val="clear" w:color="auto" w:fill="auto"/>
            <w:vAlign w:val="bottom"/>
            <w:hideMark/>
          </w:tcPr>
          <w:p w14:paraId="7D3307E8"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-22</w:t>
            </w:r>
          </w:p>
        </w:tc>
        <w:tc>
          <w:tcPr>
            <w:tcW w:w="660" w:type="dxa"/>
            <w:tcBorders>
              <w:top w:val="nil"/>
              <w:left w:val="nil"/>
              <w:bottom w:val="single" w:sz="4" w:space="0" w:color="ADD6EA"/>
              <w:right w:val="nil"/>
            </w:tcBorders>
            <w:shd w:val="clear" w:color="auto" w:fill="auto"/>
            <w:vAlign w:val="bottom"/>
            <w:hideMark/>
          </w:tcPr>
          <w:p w14:paraId="29C34898"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-17</w:t>
            </w:r>
          </w:p>
        </w:tc>
        <w:tc>
          <w:tcPr>
            <w:tcW w:w="620" w:type="dxa"/>
            <w:tcBorders>
              <w:top w:val="nil"/>
              <w:left w:val="nil"/>
              <w:bottom w:val="single" w:sz="4" w:space="0" w:color="ADD6EA"/>
              <w:right w:val="nil"/>
            </w:tcBorders>
            <w:shd w:val="clear" w:color="auto" w:fill="auto"/>
            <w:vAlign w:val="bottom"/>
            <w:hideMark/>
          </w:tcPr>
          <w:p w14:paraId="43C4A5B1"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15</w:t>
            </w:r>
          </w:p>
        </w:tc>
        <w:tc>
          <w:tcPr>
            <w:tcW w:w="840" w:type="dxa"/>
            <w:tcBorders>
              <w:top w:val="nil"/>
              <w:left w:val="nil"/>
              <w:bottom w:val="single" w:sz="4" w:space="0" w:color="ADD6EA"/>
              <w:right w:val="nil"/>
            </w:tcBorders>
            <w:shd w:val="clear" w:color="auto" w:fill="auto"/>
            <w:vAlign w:val="bottom"/>
            <w:hideMark/>
          </w:tcPr>
          <w:p w14:paraId="6A155329" w14:textId="77777777" w:rsidR="00694905" w:rsidRPr="00694905" w:rsidRDefault="00694905" w:rsidP="00694905">
            <w:pPr>
              <w:tabs>
                <w:tab w:val="clear" w:pos="567"/>
              </w:tabs>
              <w:spacing w:before="0" w:line="240" w:lineRule="auto"/>
              <w:jc w:val="right"/>
              <w:rPr>
                <w:rFonts w:eastAsia="Times New Roman" w:cs="Open Sans Light"/>
                <w:sz w:val="16"/>
                <w:szCs w:val="16"/>
                <w:lang w:eastAsia="en-AU"/>
              </w:rPr>
            </w:pPr>
            <w:r w:rsidRPr="00694905">
              <w:rPr>
                <w:rFonts w:eastAsia="Times New Roman" w:cs="Open Sans Light"/>
                <w:sz w:val="16"/>
                <w:szCs w:val="16"/>
                <w:lang w:eastAsia="en-AU"/>
              </w:rPr>
              <w:t>319</w:t>
            </w:r>
          </w:p>
        </w:tc>
      </w:tr>
      <w:tr w:rsidR="00694905" w:rsidRPr="00694905" w14:paraId="015FC7B0" w14:textId="77777777" w:rsidTr="00694905">
        <w:trPr>
          <w:trHeight w:val="315"/>
        </w:trPr>
        <w:tc>
          <w:tcPr>
            <w:tcW w:w="2520" w:type="dxa"/>
            <w:tcBorders>
              <w:top w:val="nil"/>
              <w:left w:val="nil"/>
              <w:bottom w:val="single" w:sz="4" w:space="0" w:color="ADD6EA"/>
              <w:right w:val="nil"/>
            </w:tcBorders>
            <w:shd w:val="clear" w:color="000000" w:fill="D6E7F0"/>
            <w:vAlign w:val="bottom"/>
            <w:hideMark/>
          </w:tcPr>
          <w:p w14:paraId="3CC20130" w14:textId="77777777" w:rsidR="00694905" w:rsidRPr="00694905" w:rsidRDefault="00694905" w:rsidP="00694905">
            <w:pPr>
              <w:tabs>
                <w:tab w:val="clear" w:pos="567"/>
              </w:tabs>
              <w:spacing w:before="0" w:line="240" w:lineRule="auto"/>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79B466C6"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1,061</w:t>
            </w:r>
          </w:p>
        </w:tc>
        <w:tc>
          <w:tcPr>
            <w:tcW w:w="700" w:type="dxa"/>
            <w:tcBorders>
              <w:top w:val="nil"/>
              <w:left w:val="nil"/>
              <w:bottom w:val="single" w:sz="4" w:space="0" w:color="ADD6EA"/>
              <w:right w:val="nil"/>
            </w:tcBorders>
            <w:shd w:val="clear" w:color="000000" w:fill="D6E7F0"/>
            <w:vAlign w:val="bottom"/>
            <w:hideMark/>
          </w:tcPr>
          <w:p w14:paraId="18D7C00E"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-251</w:t>
            </w:r>
          </w:p>
        </w:tc>
        <w:tc>
          <w:tcPr>
            <w:tcW w:w="700" w:type="dxa"/>
            <w:tcBorders>
              <w:top w:val="nil"/>
              <w:left w:val="nil"/>
              <w:bottom w:val="single" w:sz="4" w:space="0" w:color="ADD6EA"/>
              <w:right w:val="nil"/>
            </w:tcBorders>
            <w:shd w:val="clear" w:color="000000" w:fill="D6E7F0"/>
            <w:vAlign w:val="bottom"/>
            <w:hideMark/>
          </w:tcPr>
          <w:p w14:paraId="27EF91F5"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533</w:t>
            </w:r>
          </w:p>
        </w:tc>
        <w:tc>
          <w:tcPr>
            <w:tcW w:w="820" w:type="dxa"/>
            <w:tcBorders>
              <w:top w:val="nil"/>
              <w:left w:val="nil"/>
              <w:bottom w:val="single" w:sz="4" w:space="0" w:color="ADD6EA"/>
              <w:right w:val="nil"/>
            </w:tcBorders>
            <w:shd w:val="clear" w:color="000000" w:fill="D6E7F0"/>
            <w:vAlign w:val="bottom"/>
            <w:hideMark/>
          </w:tcPr>
          <w:p w14:paraId="2CBF38AD"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-1,376</w:t>
            </w:r>
          </w:p>
        </w:tc>
        <w:tc>
          <w:tcPr>
            <w:tcW w:w="700" w:type="dxa"/>
            <w:tcBorders>
              <w:top w:val="nil"/>
              <w:left w:val="nil"/>
              <w:bottom w:val="single" w:sz="4" w:space="0" w:color="ADD6EA"/>
              <w:right w:val="nil"/>
            </w:tcBorders>
            <w:shd w:val="clear" w:color="000000" w:fill="D6E7F0"/>
            <w:vAlign w:val="bottom"/>
            <w:hideMark/>
          </w:tcPr>
          <w:p w14:paraId="3EEE0211"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27</w:t>
            </w:r>
          </w:p>
        </w:tc>
        <w:tc>
          <w:tcPr>
            <w:tcW w:w="620" w:type="dxa"/>
            <w:tcBorders>
              <w:top w:val="nil"/>
              <w:left w:val="nil"/>
              <w:bottom w:val="single" w:sz="4" w:space="0" w:color="ADD6EA"/>
              <w:right w:val="nil"/>
            </w:tcBorders>
            <w:shd w:val="clear" w:color="000000" w:fill="D6E7F0"/>
            <w:vAlign w:val="bottom"/>
            <w:hideMark/>
          </w:tcPr>
          <w:p w14:paraId="4BD20903"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-33</w:t>
            </w:r>
          </w:p>
        </w:tc>
        <w:tc>
          <w:tcPr>
            <w:tcW w:w="660" w:type="dxa"/>
            <w:tcBorders>
              <w:top w:val="nil"/>
              <w:left w:val="nil"/>
              <w:bottom w:val="single" w:sz="4" w:space="0" w:color="ADD6EA"/>
              <w:right w:val="nil"/>
            </w:tcBorders>
            <w:shd w:val="clear" w:color="000000" w:fill="D6E7F0"/>
            <w:vAlign w:val="bottom"/>
            <w:hideMark/>
          </w:tcPr>
          <w:p w14:paraId="53B092D4"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-3</w:t>
            </w:r>
          </w:p>
        </w:tc>
        <w:tc>
          <w:tcPr>
            <w:tcW w:w="620" w:type="dxa"/>
            <w:tcBorders>
              <w:top w:val="nil"/>
              <w:left w:val="nil"/>
              <w:bottom w:val="single" w:sz="4" w:space="0" w:color="ADD6EA"/>
              <w:right w:val="nil"/>
            </w:tcBorders>
            <w:shd w:val="clear" w:color="000000" w:fill="D6E7F0"/>
            <w:vAlign w:val="bottom"/>
            <w:hideMark/>
          </w:tcPr>
          <w:p w14:paraId="37FDA795"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42</w:t>
            </w:r>
          </w:p>
        </w:tc>
        <w:tc>
          <w:tcPr>
            <w:tcW w:w="840" w:type="dxa"/>
            <w:tcBorders>
              <w:top w:val="nil"/>
              <w:left w:val="nil"/>
              <w:bottom w:val="single" w:sz="4" w:space="0" w:color="ADD6EA"/>
              <w:right w:val="nil"/>
            </w:tcBorders>
            <w:shd w:val="clear" w:color="000000" w:fill="D6E7F0"/>
            <w:vAlign w:val="bottom"/>
            <w:hideMark/>
          </w:tcPr>
          <w:p w14:paraId="1912CD6F" w14:textId="77777777" w:rsidR="00694905" w:rsidRPr="00694905" w:rsidRDefault="00694905" w:rsidP="00694905">
            <w:pPr>
              <w:tabs>
                <w:tab w:val="clear" w:pos="567"/>
              </w:tabs>
              <w:spacing w:before="0" w:line="240" w:lineRule="auto"/>
              <w:jc w:val="right"/>
              <w:rPr>
                <w:rFonts w:ascii="Open Sans Semibold" w:eastAsia="Times New Roman" w:hAnsi="Open Sans Semibold" w:cs="Open Sans Semibold"/>
                <w:sz w:val="16"/>
                <w:szCs w:val="16"/>
                <w:lang w:eastAsia="en-AU"/>
              </w:rPr>
            </w:pPr>
            <w:r w:rsidRPr="00694905">
              <w:rPr>
                <w:rFonts w:ascii="Open Sans Semibold" w:eastAsia="Times New Roman" w:hAnsi="Open Sans Semibold" w:cs="Open Sans Semibold"/>
                <w:sz w:val="16"/>
                <w:szCs w:val="16"/>
                <w:lang w:eastAsia="en-AU"/>
              </w:rPr>
              <w:t>1,663</w:t>
            </w:r>
          </w:p>
        </w:tc>
      </w:tr>
    </w:tbl>
    <w:p w14:paraId="6EF64DD4" w14:textId="77777777" w:rsidR="00374BFF" w:rsidRDefault="00374BFF" w:rsidP="00374BFF">
      <w:pPr>
        <w:pStyle w:val="CGCTablenote"/>
        <w:keepNext/>
        <w:keepLines/>
        <w:widowControl w:val="0"/>
      </w:pPr>
      <w:r>
        <w:t>Source</w:t>
      </w:r>
      <w:r>
        <w:tab/>
        <w:t>Commission calculation.</w:t>
      </w:r>
    </w:p>
    <w:p w14:paraId="0809A508" w14:textId="433F8BC9" w:rsidR="00CE4066" w:rsidRDefault="00CE4066" w:rsidP="00374BFF">
      <w:pPr>
        <w:pStyle w:val="Heading4"/>
        <w:keepNext w:val="0"/>
        <w:keepLines w:val="0"/>
        <w:widowControl w:val="0"/>
      </w:pPr>
      <w:r w:rsidRPr="0015640B">
        <w:t>Mining</w:t>
      </w:r>
    </w:p>
    <w:p w14:paraId="750CD548" w14:textId="5162EC83" w:rsidR="00CE4066" w:rsidRPr="004378D6" w:rsidRDefault="00CE4066" w:rsidP="00CE4066">
      <w:pPr>
        <w:rPr>
          <w:rFonts w:ascii="Work Sans" w:eastAsia="Times New Roman" w:hAnsi="Work Sans" w:cs="Times New Roman"/>
          <w:sz w:val="24"/>
          <w:szCs w:val="24"/>
          <w:lang w:eastAsia="en-AU"/>
        </w:rPr>
      </w:pPr>
      <w:r w:rsidRPr="0C35973F">
        <w:rPr>
          <w:rFonts w:ascii="Work Sans" w:eastAsia="Times New Roman" w:hAnsi="Work Sans" w:cs="Times New Roman"/>
          <w:sz w:val="24"/>
          <w:szCs w:val="24"/>
          <w:lang w:eastAsia="en-AU"/>
        </w:rPr>
        <w:t xml:space="preserve">In recent years, changes in mining production and commodity prices have had large impacts on the value of mining activity. When coupled with the uneven state distribution </w:t>
      </w:r>
      <w:r w:rsidRPr="004378D6">
        <w:rPr>
          <w:rFonts w:ascii="Work Sans" w:eastAsia="Times New Roman" w:hAnsi="Work Sans" w:cs="Times New Roman"/>
          <w:sz w:val="24"/>
          <w:szCs w:val="24"/>
          <w:lang w:eastAsia="en-AU"/>
        </w:rPr>
        <w:t xml:space="preserve">of resource endowments, this has resulted in the mining revenue assessment having a significant impact on GST pool distribution. Changes in the value of iron ore and coal production continued to drive large changes </w:t>
      </w:r>
      <w:r w:rsidR="002973F7">
        <w:rPr>
          <w:rFonts w:ascii="Work Sans" w:eastAsia="Times New Roman" w:hAnsi="Work Sans" w:cs="Times New Roman"/>
          <w:sz w:val="24"/>
          <w:szCs w:val="24"/>
          <w:lang w:eastAsia="en-AU"/>
        </w:rPr>
        <w:t xml:space="preserve">in GST distribution </w:t>
      </w:r>
      <w:r w:rsidRPr="004378D6">
        <w:rPr>
          <w:rFonts w:ascii="Work Sans" w:eastAsia="Times New Roman" w:hAnsi="Work Sans" w:cs="Times New Roman"/>
          <w:sz w:val="24"/>
          <w:szCs w:val="24"/>
          <w:lang w:eastAsia="en-AU"/>
        </w:rPr>
        <w:t>in the 2022</w:t>
      </w:r>
      <w:r w:rsidR="000C546E">
        <w:rPr>
          <w:rFonts w:ascii="Work Sans" w:eastAsia="Times New Roman" w:hAnsi="Work Sans" w:cs="Times New Roman"/>
          <w:sz w:val="24"/>
          <w:szCs w:val="24"/>
          <w:lang w:eastAsia="en-AU"/>
        </w:rPr>
        <w:t> </w:t>
      </w:r>
      <w:r w:rsidRPr="004378D6">
        <w:rPr>
          <w:rFonts w:ascii="Work Sans" w:eastAsia="Times New Roman" w:hAnsi="Work Sans" w:cs="Times New Roman"/>
          <w:sz w:val="24"/>
          <w:szCs w:val="24"/>
          <w:lang w:eastAsia="en-AU"/>
        </w:rPr>
        <w:t>Update.</w:t>
      </w:r>
    </w:p>
    <w:p w14:paraId="085F1FE6" w14:textId="1DD0E441" w:rsidR="00CE4066" w:rsidRPr="004378D6" w:rsidRDefault="00B4396A" w:rsidP="00CE4066">
      <w:pPr>
        <w:rPr>
          <w:rFonts w:ascii="Work Sans" w:eastAsia="Times New Roman" w:hAnsi="Work Sans" w:cs="Times New Roman"/>
          <w:sz w:val="24"/>
          <w:szCs w:val="20"/>
          <w:lang w:eastAsia="en-AU"/>
        </w:rPr>
      </w:pPr>
      <w:r>
        <w:rPr>
          <w:rFonts w:ascii="Work Sans" w:eastAsia="Times New Roman" w:hAnsi="Work Sans" w:cs="Times New Roman"/>
          <w:sz w:val="24"/>
          <w:szCs w:val="20"/>
          <w:lang w:eastAsia="en-AU"/>
        </w:rPr>
        <w:fldChar w:fldCharType="begin"/>
      </w:r>
      <w:r>
        <w:rPr>
          <w:rFonts w:ascii="Work Sans" w:eastAsia="Times New Roman" w:hAnsi="Work Sans" w:cs="Times New Roman"/>
          <w:sz w:val="24"/>
          <w:szCs w:val="20"/>
          <w:lang w:eastAsia="en-AU"/>
        </w:rPr>
        <w:instrText xml:space="preserve"> REF _Ref96081102 \h  \* MERGEFORMAT </w:instrText>
      </w:r>
      <w:r>
        <w:rPr>
          <w:rFonts w:ascii="Work Sans" w:eastAsia="Times New Roman" w:hAnsi="Work Sans" w:cs="Times New Roman"/>
          <w:sz w:val="24"/>
          <w:szCs w:val="20"/>
          <w:lang w:eastAsia="en-AU"/>
        </w:rPr>
      </w:r>
      <w:r>
        <w:rPr>
          <w:rFonts w:ascii="Work Sans" w:eastAsia="Times New Roman" w:hAnsi="Work Sans" w:cs="Times New Roman"/>
          <w:sz w:val="24"/>
          <w:szCs w:val="20"/>
          <w:lang w:eastAsia="en-AU"/>
        </w:rPr>
        <w:fldChar w:fldCharType="separate"/>
      </w:r>
      <w:r w:rsidR="00FE4664" w:rsidRPr="00FE4664">
        <w:rPr>
          <w:rFonts w:ascii="Work Sans" w:eastAsia="Times New Roman" w:hAnsi="Work Sans" w:cs="Times New Roman"/>
          <w:sz w:val="24"/>
          <w:szCs w:val="20"/>
          <w:lang w:eastAsia="en-AU"/>
        </w:rPr>
        <w:t>Figure 2-1</w:t>
      </w:r>
      <w:r>
        <w:rPr>
          <w:rFonts w:ascii="Work Sans" w:eastAsia="Times New Roman" w:hAnsi="Work Sans" w:cs="Times New Roman"/>
          <w:sz w:val="24"/>
          <w:szCs w:val="20"/>
          <w:lang w:eastAsia="en-AU"/>
        </w:rPr>
        <w:fldChar w:fldCharType="end"/>
      </w:r>
      <w:r w:rsidR="00CE4066" w:rsidRPr="004378D6">
        <w:rPr>
          <w:rFonts w:ascii="Work Sans" w:eastAsia="Times New Roman" w:hAnsi="Work Sans" w:cs="Times New Roman"/>
          <w:sz w:val="24"/>
          <w:szCs w:val="20"/>
          <w:lang w:eastAsia="en-AU"/>
        </w:rPr>
        <w:t xml:space="preserve"> shows the royalties raised from iron ore, coal and other minerals between 2017</w:t>
      </w:r>
      <w:r w:rsidR="00675C4A">
        <w:rPr>
          <w:rFonts w:ascii="Work Sans" w:eastAsia="Times New Roman" w:hAnsi="Work Sans" w:cs="Times New Roman"/>
          <w:sz w:val="24"/>
          <w:szCs w:val="20"/>
          <w:lang w:eastAsia="en-AU"/>
        </w:rPr>
        <w:t>–</w:t>
      </w:r>
      <w:r w:rsidR="00CE4066" w:rsidRPr="004378D6">
        <w:rPr>
          <w:rFonts w:ascii="Work Sans" w:eastAsia="Times New Roman" w:hAnsi="Work Sans" w:cs="Times New Roman"/>
          <w:sz w:val="24"/>
          <w:szCs w:val="20"/>
          <w:lang w:eastAsia="en-AU"/>
        </w:rPr>
        <w:t>18 and 2020</w:t>
      </w:r>
      <w:r w:rsidR="00675C4A">
        <w:rPr>
          <w:rFonts w:ascii="Work Sans" w:eastAsia="Times New Roman" w:hAnsi="Work Sans" w:cs="Times New Roman"/>
          <w:sz w:val="24"/>
          <w:szCs w:val="20"/>
          <w:lang w:eastAsia="en-AU"/>
        </w:rPr>
        <w:t>–</w:t>
      </w:r>
      <w:r w:rsidR="00CE4066" w:rsidRPr="004378D6">
        <w:rPr>
          <w:rFonts w:ascii="Work Sans" w:eastAsia="Times New Roman" w:hAnsi="Work Sans" w:cs="Times New Roman"/>
          <w:sz w:val="24"/>
          <w:szCs w:val="20"/>
          <w:lang w:eastAsia="en-AU"/>
        </w:rPr>
        <w:t>21. Sustained by high commodity prices, iron ore royalties increased over this period, while coal royalties declined. Royalties for other minerals remained largely unchanged.</w:t>
      </w:r>
    </w:p>
    <w:p w14:paraId="44576E08" w14:textId="05442524" w:rsidR="00CE4066" w:rsidRPr="004378D6" w:rsidRDefault="00CE4066" w:rsidP="00CE4066">
      <w:pPr>
        <w:rPr>
          <w:rFonts w:ascii="Work Sans" w:eastAsia="Times New Roman" w:hAnsi="Work Sans" w:cs="Times New Roman"/>
          <w:sz w:val="24"/>
          <w:szCs w:val="20"/>
          <w:lang w:eastAsia="en-AU"/>
        </w:rPr>
      </w:pPr>
      <w:r w:rsidRPr="004378D6">
        <w:rPr>
          <w:rFonts w:ascii="Work Sans" w:eastAsia="Times New Roman" w:hAnsi="Work Sans" w:cs="Times New Roman"/>
          <w:sz w:val="24"/>
          <w:szCs w:val="20"/>
          <w:lang w:eastAsia="en-AU"/>
        </w:rPr>
        <w:t xml:space="preserve">In this update, the largest change in state circumstances came from </w:t>
      </w:r>
      <w:r w:rsidR="00F8000F">
        <w:rPr>
          <w:rFonts w:ascii="Work Sans" w:eastAsia="Times New Roman" w:hAnsi="Work Sans" w:cs="Times New Roman"/>
          <w:sz w:val="24"/>
          <w:szCs w:val="20"/>
          <w:lang w:eastAsia="en-AU"/>
        </w:rPr>
        <w:t xml:space="preserve">iron ore </w:t>
      </w:r>
      <w:r w:rsidR="00895FCF">
        <w:rPr>
          <w:rFonts w:ascii="Work Sans" w:eastAsia="Times New Roman" w:hAnsi="Work Sans" w:cs="Times New Roman"/>
          <w:sz w:val="24"/>
          <w:szCs w:val="20"/>
          <w:lang w:eastAsia="en-AU"/>
        </w:rPr>
        <w:t xml:space="preserve">royalties </w:t>
      </w:r>
      <w:r w:rsidR="00F8000F">
        <w:rPr>
          <w:rFonts w:ascii="Work Sans" w:eastAsia="Times New Roman" w:hAnsi="Work Sans" w:cs="Times New Roman"/>
          <w:sz w:val="24"/>
          <w:szCs w:val="20"/>
          <w:lang w:eastAsia="en-AU"/>
        </w:rPr>
        <w:t xml:space="preserve">more than doubling </w:t>
      </w:r>
      <w:r w:rsidRPr="004378D6">
        <w:rPr>
          <w:rFonts w:ascii="Work Sans" w:eastAsia="Times New Roman" w:hAnsi="Work Sans" w:cs="Times New Roman"/>
          <w:sz w:val="24"/>
          <w:szCs w:val="20"/>
          <w:lang w:eastAsia="en-AU"/>
        </w:rPr>
        <w:t>between 2017</w:t>
      </w:r>
      <w:r w:rsidR="00675C4A">
        <w:rPr>
          <w:rFonts w:ascii="Work Sans" w:eastAsia="Times New Roman" w:hAnsi="Work Sans" w:cs="Times New Roman"/>
          <w:sz w:val="24"/>
          <w:szCs w:val="20"/>
          <w:lang w:eastAsia="en-AU"/>
        </w:rPr>
        <w:t>–</w:t>
      </w:r>
      <w:r w:rsidRPr="004378D6">
        <w:rPr>
          <w:rFonts w:ascii="Work Sans" w:eastAsia="Times New Roman" w:hAnsi="Work Sans" w:cs="Times New Roman"/>
          <w:sz w:val="24"/>
          <w:szCs w:val="20"/>
          <w:lang w:eastAsia="en-AU"/>
        </w:rPr>
        <w:t>18 and 2020</w:t>
      </w:r>
      <w:r w:rsidR="00675C4A">
        <w:rPr>
          <w:rFonts w:ascii="Work Sans" w:eastAsia="Times New Roman" w:hAnsi="Work Sans" w:cs="Times New Roman"/>
          <w:sz w:val="24"/>
          <w:szCs w:val="20"/>
          <w:lang w:eastAsia="en-AU"/>
        </w:rPr>
        <w:t>–</w:t>
      </w:r>
      <w:r w:rsidRPr="004378D6">
        <w:rPr>
          <w:rFonts w:ascii="Work Sans" w:eastAsia="Times New Roman" w:hAnsi="Work Sans" w:cs="Times New Roman"/>
          <w:sz w:val="24"/>
          <w:szCs w:val="20"/>
          <w:lang w:eastAsia="en-AU"/>
        </w:rPr>
        <w:t xml:space="preserve">21, which reduced Western Australia’s assessed </w:t>
      </w:r>
      <w:r w:rsidR="00C13E3F">
        <w:rPr>
          <w:rFonts w:ascii="Work Sans" w:eastAsia="Times New Roman" w:hAnsi="Work Sans" w:cs="Times New Roman"/>
          <w:sz w:val="24"/>
          <w:szCs w:val="20"/>
          <w:lang w:eastAsia="en-AU"/>
        </w:rPr>
        <w:t>needs</w:t>
      </w:r>
      <w:r w:rsidRPr="004378D6">
        <w:rPr>
          <w:rFonts w:ascii="Work Sans" w:eastAsia="Times New Roman" w:hAnsi="Work Sans" w:cs="Times New Roman"/>
          <w:sz w:val="24"/>
          <w:szCs w:val="20"/>
          <w:lang w:eastAsia="en-AU"/>
        </w:rPr>
        <w:t xml:space="preserve"> by $1,9</w:t>
      </w:r>
      <w:r>
        <w:rPr>
          <w:rFonts w:ascii="Work Sans" w:eastAsia="Times New Roman" w:hAnsi="Work Sans" w:cs="Times New Roman"/>
          <w:sz w:val="24"/>
          <w:szCs w:val="20"/>
          <w:lang w:eastAsia="en-AU"/>
        </w:rPr>
        <w:t>37 </w:t>
      </w:r>
      <w:r w:rsidRPr="004378D6">
        <w:rPr>
          <w:rFonts w:ascii="Work Sans" w:eastAsia="Times New Roman" w:hAnsi="Work Sans" w:cs="Times New Roman"/>
          <w:sz w:val="24"/>
          <w:szCs w:val="20"/>
          <w:lang w:eastAsia="en-AU"/>
        </w:rPr>
        <w:t>million. Almost all iron ore royalties are raised in Western Australia</w:t>
      </w:r>
      <w:r w:rsidRPr="00412A8E">
        <w:rPr>
          <w:rFonts w:ascii="Work Sans" w:eastAsia="Times New Roman" w:hAnsi="Work Sans" w:cs="Times New Roman"/>
          <w:sz w:val="24"/>
          <w:szCs w:val="20"/>
          <w:lang w:eastAsia="en-AU"/>
        </w:rPr>
        <w:t xml:space="preserve">, so this change increased its </w:t>
      </w:r>
      <w:r w:rsidRPr="004378D6">
        <w:rPr>
          <w:rFonts w:ascii="Work Sans" w:eastAsia="Times New Roman" w:hAnsi="Work Sans" w:cs="Times New Roman"/>
          <w:sz w:val="24"/>
          <w:szCs w:val="20"/>
          <w:lang w:eastAsia="en-AU"/>
        </w:rPr>
        <w:t>assessed capacity to raise mining revenue and reduced the capacities of the other states.</w:t>
      </w:r>
    </w:p>
    <w:p w14:paraId="6924FA93" w14:textId="4A6BD396" w:rsidR="00CE4066" w:rsidRPr="00412A8E" w:rsidRDefault="00CE4066" w:rsidP="00CE4066">
      <w:pPr>
        <w:rPr>
          <w:rFonts w:ascii="Work Sans" w:eastAsia="Times New Roman" w:hAnsi="Work Sans" w:cs="Times New Roman"/>
          <w:sz w:val="24"/>
          <w:szCs w:val="20"/>
          <w:lang w:eastAsia="en-AU"/>
        </w:rPr>
      </w:pPr>
      <w:r w:rsidRPr="004378D6">
        <w:rPr>
          <w:rFonts w:ascii="Work Sans" w:eastAsia="Times New Roman" w:hAnsi="Work Sans" w:cs="Times New Roman"/>
          <w:sz w:val="24"/>
          <w:szCs w:val="20"/>
          <w:lang w:eastAsia="en-AU"/>
        </w:rPr>
        <w:t>The 45% decrease in coal royalties between 2017</w:t>
      </w:r>
      <w:r w:rsidR="009E135B">
        <w:rPr>
          <w:rFonts w:ascii="Work Sans" w:eastAsia="Times New Roman" w:hAnsi="Work Sans" w:cs="Times New Roman"/>
          <w:sz w:val="24"/>
          <w:szCs w:val="20"/>
          <w:lang w:eastAsia="en-AU"/>
        </w:rPr>
        <w:t>–</w:t>
      </w:r>
      <w:r w:rsidRPr="004378D6">
        <w:rPr>
          <w:rFonts w:ascii="Work Sans" w:eastAsia="Times New Roman" w:hAnsi="Work Sans" w:cs="Times New Roman"/>
          <w:sz w:val="24"/>
          <w:szCs w:val="20"/>
          <w:lang w:eastAsia="en-AU"/>
        </w:rPr>
        <w:t>18 and 2020</w:t>
      </w:r>
      <w:r w:rsidR="009E135B">
        <w:rPr>
          <w:rFonts w:ascii="Work Sans" w:eastAsia="Times New Roman" w:hAnsi="Work Sans" w:cs="Times New Roman"/>
          <w:sz w:val="24"/>
          <w:szCs w:val="20"/>
          <w:lang w:eastAsia="en-AU"/>
        </w:rPr>
        <w:t>–</w:t>
      </w:r>
      <w:r w:rsidRPr="004378D6">
        <w:rPr>
          <w:rFonts w:ascii="Work Sans" w:eastAsia="Times New Roman" w:hAnsi="Work Sans" w:cs="Times New Roman"/>
          <w:sz w:val="24"/>
          <w:szCs w:val="20"/>
          <w:lang w:eastAsia="en-AU"/>
        </w:rPr>
        <w:t xml:space="preserve">21 increased Queensland’s GST needs by $588 million relative to the 2021 Update, and decreased the GST needs </w:t>
      </w:r>
      <w:r w:rsidR="008D2FF7">
        <w:rPr>
          <w:rFonts w:ascii="Work Sans" w:eastAsia="Times New Roman" w:hAnsi="Work Sans" w:cs="Times New Roman"/>
          <w:sz w:val="24"/>
          <w:szCs w:val="20"/>
          <w:lang w:eastAsia="en-AU"/>
        </w:rPr>
        <w:t>of</w:t>
      </w:r>
      <w:r w:rsidRPr="004378D6">
        <w:rPr>
          <w:rFonts w:ascii="Work Sans" w:eastAsia="Times New Roman" w:hAnsi="Work Sans" w:cs="Times New Roman"/>
          <w:sz w:val="24"/>
          <w:szCs w:val="20"/>
          <w:lang w:eastAsia="en-AU"/>
        </w:rPr>
        <w:t xml:space="preserve"> all other states. Together, iron ore and coal account for almost all of the impact of the mining assessment on GST distributions.</w:t>
      </w:r>
    </w:p>
    <w:p w14:paraId="4AADD928" w14:textId="63C4EF95" w:rsidR="00CE4066" w:rsidRDefault="008B3CA3" w:rsidP="0053124B">
      <w:pPr>
        <w:pStyle w:val="Caption"/>
        <w:widowControl w:val="0"/>
      </w:pPr>
      <w:bookmarkStart w:id="57" w:name="_Ref93929915"/>
      <w:bookmarkStart w:id="58" w:name="_Ref96081102"/>
      <w:r>
        <w:rPr>
          <w:noProof/>
        </w:rPr>
        <w:drawing>
          <wp:anchor distT="0" distB="0" distL="114300" distR="114300" simplePos="0" relativeHeight="251658289" behindDoc="1" locked="1" layoutInCell="1" allowOverlap="1" wp14:anchorId="4B0BA214" wp14:editId="7E3E4EE7">
            <wp:simplePos x="0" y="0"/>
            <wp:positionH relativeFrom="page">
              <wp:posOffset>-7620</wp:posOffset>
            </wp:positionH>
            <wp:positionV relativeFrom="margin">
              <wp:posOffset>-796925</wp:posOffset>
            </wp:positionV>
            <wp:extent cx="7563485" cy="10691495"/>
            <wp:effectExtent l="0" t="0" r="0" b="0"/>
            <wp:wrapNone/>
            <wp:docPr id="81" name="Picture 8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CE4066">
        <w:t>Figure 2-</w:t>
      </w:r>
      <w:bookmarkEnd w:id="57"/>
      <w:r w:rsidR="00B4396A">
        <w:fldChar w:fldCharType="begin"/>
      </w:r>
      <w:r w:rsidR="00B4396A">
        <w:instrText xml:space="preserve"> SEQ Figure \* ARABIC \r1 </w:instrText>
      </w:r>
      <w:r w:rsidR="00B4396A">
        <w:fldChar w:fldCharType="separate"/>
      </w:r>
      <w:r w:rsidR="00FE4664">
        <w:rPr>
          <w:noProof/>
        </w:rPr>
        <w:t>1</w:t>
      </w:r>
      <w:r w:rsidR="00B4396A">
        <w:fldChar w:fldCharType="end"/>
      </w:r>
      <w:bookmarkEnd w:id="58"/>
      <w:r w:rsidR="00CE4066">
        <w:tab/>
        <w:t>Assessed mining royalties by mineral</w:t>
      </w:r>
    </w:p>
    <w:p w14:paraId="0A70A1C3" w14:textId="55D3F183" w:rsidR="00CE4066" w:rsidRDefault="00FE2B66" w:rsidP="0053124B">
      <w:pPr>
        <w:keepNext/>
        <w:keepLines/>
        <w:widowControl w:val="0"/>
        <w:rPr>
          <w:noProof/>
        </w:rPr>
      </w:pPr>
      <w:r w:rsidRPr="00FE2B66">
        <w:rPr>
          <w:noProof/>
        </w:rPr>
        <w:drawing>
          <wp:inline distT="0" distB="0" distL="0" distR="0" wp14:anchorId="2AB71BE1" wp14:editId="78605797">
            <wp:extent cx="5683250" cy="3575050"/>
            <wp:effectExtent l="0" t="0" r="0" b="6350"/>
            <wp:docPr id="177" name="Picture 177" descr="A line chart comparing mining royalties from major minerals, from 2017-18 to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line chart comparing mining royalties from major minerals, from 2017-18 to 2020-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3250" cy="3575050"/>
                    </a:xfrm>
                    <a:prstGeom prst="rect">
                      <a:avLst/>
                    </a:prstGeom>
                    <a:noFill/>
                    <a:ln>
                      <a:noFill/>
                    </a:ln>
                  </pic:spPr>
                </pic:pic>
              </a:graphicData>
            </a:graphic>
          </wp:inline>
        </w:drawing>
      </w:r>
    </w:p>
    <w:p w14:paraId="1DFA5B3B" w14:textId="57EFAC93" w:rsidR="00CE4066" w:rsidRPr="00D678EE" w:rsidRDefault="00CE4066" w:rsidP="0053124B">
      <w:pPr>
        <w:pStyle w:val="CGCTablenote"/>
        <w:keepNext/>
        <w:keepLines/>
        <w:widowControl w:val="0"/>
      </w:pPr>
      <w:r>
        <w:t>Source:</w:t>
      </w:r>
      <w:r>
        <w:tab/>
      </w:r>
      <w:r w:rsidR="000E24C0">
        <w:t>Commission calculation based on s</w:t>
      </w:r>
      <w:r>
        <w:t>tate data.</w:t>
      </w:r>
    </w:p>
    <w:p w14:paraId="288AB26A" w14:textId="77777777" w:rsidR="00CE4066" w:rsidRDefault="00CE4066" w:rsidP="0053124B">
      <w:pPr>
        <w:pStyle w:val="Heading4"/>
        <w:keepNext w:val="0"/>
        <w:keepLines w:val="0"/>
        <w:widowControl w:val="0"/>
      </w:pPr>
      <w:r>
        <w:t>Population growth</w:t>
      </w:r>
    </w:p>
    <w:p w14:paraId="6BEB4706" w14:textId="77777777" w:rsidR="00CE4066" w:rsidRDefault="00CE4066" w:rsidP="0004064D">
      <w:pPr>
        <w:pStyle w:val="CGCBodyCopy"/>
      </w:pPr>
      <w:r>
        <w:t xml:space="preserve">In 2017, 37% of national population growth occurred in Victoria. In 2020, its population declined for the first time since </w:t>
      </w:r>
      <w:r w:rsidRPr="00130125">
        <w:t>1916, when</w:t>
      </w:r>
      <w:r>
        <w:t xml:space="preserve"> </w:t>
      </w:r>
      <w:r w:rsidRPr="00130125">
        <w:t>troop departures for Europe led to a declining population.</w:t>
      </w:r>
      <w:r>
        <w:t xml:space="preserve"> The recent decline in Victoria’s population is primarily associated with lower overseas arrivals because of the pandemic. Significantly fewer interstate arrivals to Victoria also contributed, along with a very slight rise in interstate departures.</w:t>
      </w:r>
    </w:p>
    <w:p w14:paraId="3C10AC10" w14:textId="37F37ED4" w:rsidR="00CE4066" w:rsidRDefault="00CE4066" w:rsidP="0004064D">
      <w:pPr>
        <w:pStyle w:val="CGCBodyCopy"/>
      </w:pPr>
      <w:r w:rsidRPr="00EF1615">
        <w:t>Victoria’s population growth in 2017</w:t>
      </w:r>
      <w:r w:rsidR="009E135B">
        <w:t>–</w:t>
      </w:r>
      <w:r w:rsidRPr="00EF1615">
        <w:t>18 (2.28%) was much higher than the national average (1.57%) (</w:t>
      </w:r>
      <w:r>
        <w:fldChar w:fldCharType="begin"/>
      </w:r>
      <w:r>
        <w:instrText xml:space="preserve"> REF _Ref94277048 \h </w:instrText>
      </w:r>
      <w:r>
        <w:fldChar w:fldCharType="separate"/>
      </w:r>
      <w:r w:rsidR="00FE4664" w:rsidRPr="00D21738">
        <w:t>Figure 2-</w:t>
      </w:r>
      <w:r w:rsidR="00FE4664">
        <w:rPr>
          <w:noProof/>
        </w:rPr>
        <w:t>2</w:t>
      </w:r>
      <w:r>
        <w:fldChar w:fldCharType="end"/>
      </w:r>
      <w:r w:rsidRPr="00EF1615">
        <w:t xml:space="preserve">). </w:t>
      </w:r>
      <w:r>
        <w:t xml:space="preserve">This growing population required new schools, hospitals and other infrastructure, and so </w:t>
      </w:r>
      <w:r w:rsidRPr="00EF1615">
        <w:t>Victoria was assessed to have above</w:t>
      </w:r>
      <w:r w:rsidR="00A853B3">
        <w:noBreakHyphen/>
      </w:r>
      <w:r w:rsidRPr="00EF1615">
        <w:t xml:space="preserve">average investment needs. </w:t>
      </w:r>
      <w:r>
        <w:t>The year 2017</w:t>
      </w:r>
      <w:r w:rsidR="009E135B">
        <w:t>–</w:t>
      </w:r>
      <w:r>
        <w:t xml:space="preserve">18 </w:t>
      </w:r>
      <w:r w:rsidRPr="00EF1615">
        <w:t>is being replaced by 2020</w:t>
      </w:r>
      <w:r w:rsidR="009E135B">
        <w:t>–</w:t>
      </w:r>
      <w:r w:rsidRPr="00EF1615">
        <w:t xml:space="preserve">21, when Victoria’s negative </w:t>
      </w:r>
      <w:r>
        <w:t xml:space="preserve">population </w:t>
      </w:r>
      <w:r w:rsidRPr="00EF1615">
        <w:t>growth (</w:t>
      </w:r>
      <w:r>
        <w:noBreakHyphen/>
      </w:r>
      <w:r w:rsidRPr="00EF1615">
        <w:t xml:space="preserve">0.04%) </w:t>
      </w:r>
      <w:r>
        <w:t>was</w:t>
      </w:r>
      <w:r w:rsidRPr="00EF1615">
        <w:t xml:space="preserve"> below the national average (0.49%). This </w:t>
      </w:r>
      <w:r>
        <w:t xml:space="preserve">has </w:t>
      </w:r>
      <w:r w:rsidRPr="00EF1615">
        <w:t>reduced Victoria’s assessed need to invest in infrastructure</w:t>
      </w:r>
      <w:r w:rsidR="006B49D9">
        <w:t>,</w:t>
      </w:r>
      <w:r>
        <w:t xml:space="preserve"> relative to other states</w:t>
      </w:r>
      <w:r w:rsidRPr="00EF1615">
        <w:t>.</w:t>
      </w:r>
    </w:p>
    <w:p w14:paraId="66A5B774" w14:textId="7EABD2C7" w:rsidR="00CE4066" w:rsidRPr="004378D6" w:rsidRDefault="00CE4066" w:rsidP="0004064D">
      <w:pPr>
        <w:pStyle w:val="CGCBodyCopy"/>
      </w:pPr>
      <w:r>
        <w:t>Similarly, New South Wales experienced a sharper than average decline in population growth from 2017</w:t>
      </w:r>
      <w:r w:rsidR="009E135B">
        <w:t>–</w:t>
      </w:r>
      <w:r>
        <w:t>18 to 2020</w:t>
      </w:r>
      <w:r w:rsidR="009E135B">
        <w:t>–</w:t>
      </w:r>
      <w:r>
        <w:t>21. Despite a significant fall in national population growth, Western Australia and the Northern Territory had faster population growth in 2020</w:t>
      </w:r>
      <w:r w:rsidR="009E135B">
        <w:t>–</w:t>
      </w:r>
      <w:r>
        <w:t>21 than in 2017</w:t>
      </w:r>
      <w:r w:rsidR="009E135B">
        <w:t>–</w:t>
      </w:r>
      <w:r>
        <w:t>18, increasing their investment needs</w:t>
      </w:r>
      <w:r w:rsidRPr="004378D6">
        <w:t>.</w:t>
      </w:r>
    </w:p>
    <w:p w14:paraId="7E7BCE94" w14:textId="4315FA93" w:rsidR="00CE4066" w:rsidRDefault="00CE4066" w:rsidP="00CE4066">
      <w:pPr>
        <w:pStyle w:val="BodyText"/>
      </w:pPr>
      <w:r w:rsidRPr="004378D6">
        <w:t xml:space="preserve">During 2022, the Commission intends to publish a </w:t>
      </w:r>
      <w:r w:rsidR="00275019">
        <w:t>research</w:t>
      </w:r>
      <w:r w:rsidRPr="004378D6">
        <w:t xml:space="preserve"> paper that expl</w:t>
      </w:r>
      <w:r w:rsidR="00C15AC4">
        <w:t>ores</w:t>
      </w:r>
      <w:r w:rsidRPr="004378D6">
        <w:t xml:space="preserve"> the investment assessment and how it is influenced by population growth. </w:t>
      </w:r>
      <w:r w:rsidR="0085113C">
        <w:t>A</w:t>
      </w:r>
      <w:r w:rsidRPr="004378D6">
        <w:t xml:space="preserve"> high</w:t>
      </w:r>
      <w:r w:rsidR="00951EBC" w:rsidRPr="004378D6">
        <w:t>-</w:t>
      </w:r>
      <w:r w:rsidRPr="004378D6">
        <w:t xml:space="preserve">level overview </w:t>
      </w:r>
      <w:r w:rsidR="0085113C">
        <w:t xml:space="preserve">is provided </w:t>
      </w:r>
      <w:r w:rsidRPr="004378D6">
        <w:t xml:space="preserve">in the box </w:t>
      </w:r>
      <w:r w:rsidR="007C031D">
        <w:t>following</w:t>
      </w:r>
      <w:r w:rsidRPr="004378D6">
        <w:t xml:space="preserve"> </w:t>
      </w:r>
      <w:r w:rsidRPr="004378D6">
        <w:fldChar w:fldCharType="begin"/>
      </w:r>
      <w:r w:rsidRPr="004378D6">
        <w:instrText xml:space="preserve"> REF _Ref94277048 \h </w:instrText>
      </w:r>
      <w:r>
        <w:instrText xml:space="preserve"> \* MERGEFORMAT </w:instrText>
      </w:r>
      <w:r w:rsidRPr="004378D6">
        <w:fldChar w:fldCharType="separate"/>
      </w:r>
      <w:r w:rsidR="00FE4664" w:rsidRPr="00D21738">
        <w:t>Figure 2-</w:t>
      </w:r>
      <w:r w:rsidR="00FE4664">
        <w:t>2</w:t>
      </w:r>
      <w:r w:rsidRPr="004378D6">
        <w:fldChar w:fldCharType="end"/>
      </w:r>
      <w:r w:rsidRPr="00456A3E">
        <w:t>.</w:t>
      </w:r>
    </w:p>
    <w:p w14:paraId="6EB1041E" w14:textId="6549C2A9" w:rsidR="00CE4066" w:rsidRPr="00D21738" w:rsidRDefault="001335B5" w:rsidP="00BF73F8">
      <w:pPr>
        <w:pStyle w:val="Caption"/>
        <w:widowControl w:val="0"/>
      </w:pPr>
      <w:bookmarkStart w:id="59" w:name="_Ref94277048"/>
      <w:bookmarkStart w:id="60" w:name="_Ref95748293"/>
      <w:r>
        <w:rPr>
          <w:noProof/>
        </w:rPr>
        <w:drawing>
          <wp:anchor distT="0" distB="0" distL="114300" distR="114300" simplePos="0" relativeHeight="251658290" behindDoc="1" locked="1" layoutInCell="1" allowOverlap="1" wp14:anchorId="37B95A84" wp14:editId="76CCCC42">
            <wp:simplePos x="0" y="0"/>
            <wp:positionH relativeFrom="page">
              <wp:posOffset>-10160</wp:posOffset>
            </wp:positionH>
            <wp:positionV relativeFrom="margin">
              <wp:posOffset>-793115</wp:posOffset>
            </wp:positionV>
            <wp:extent cx="7563485" cy="10691495"/>
            <wp:effectExtent l="0" t="0" r="0" b="0"/>
            <wp:wrapNone/>
            <wp:docPr id="84" name="Picture 8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CE4066" w:rsidRPr="00D21738">
        <w:t>Figure 2-</w:t>
      </w:r>
      <w:r w:rsidR="00CE4066" w:rsidRPr="00D21738">
        <w:fldChar w:fldCharType="begin"/>
      </w:r>
      <w:r w:rsidR="00CE4066" w:rsidRPr="00D21738">
        <w:instrText>SEQ Figure \* ARABIC</w:instrText>
      </w:r>
      <w:r w:rsidR="00CE4066" w:rsidRPr="00D21738">
        <w:fldChar w:fldCharType="separate"/>
      </w:r>
      <w:r w:rsidR="00FE4664">
        <w:rPr>
          <w:noProof/>
        </w:rPr>
        <w:t>2</w:t>
      </w:r>
      <w:r w:rsidR="00CE4066" w:rsidRPr="00D21738">
        <w:fldChar w:fldCharType="end"/>
      </w:r>
      <w:bookmarkEnd w:id="59"/>
      <w:r w:rsidR="00CE4066" w:rsidRPr="00D21738">
        <w:tab/>
        <w:t xml:space="preserve">Population growth </w:t>
      </w:r>
      <w:bookmarkEnd w:id="60"/>
      <w:r w:rsidR="00CE4066" w:rsidRPr="00D21738">
        <w:t>rate</w:t>
      </w:r>
      <w:r w:rsidR="007C031D">
        <w:t>s</w:t>
      </w:r>
    </w:p>
    <w:p w14:paraId="17F7D296" w14:textId="3B205C4D" w:rsidR="00CE4066" w:rsidRDefault="00F506F8" w:rsidP="00BF73F8">
      <w:pPr>
        <w:keepNext/>
        <w:keepLines/>
        <w:widowControl w:val="0"/>
      </w:pPr>
      <w:r w:rsidRPr="00F506F8">
        <w:rPr>
          <w:noProof/>
        </w:rPr>
        <w:drawing>
          <wp:inline distT="0" distB="0" distL="0" distR="0" wp14:anchorId="50817331" wp14:editId="441B3E8A">
            <wp:extent cx="5684520" cy="3571240"/>
            <wp:effectExtent l="0" t="0" r="0" b="0"/>
            <wp:docPr id="52" name="Picture 52" descr="A column chart showing annual population growth for each state, from 2017-18 to 20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olumn chart showing annual population growth for each state, from 2017-18 to 2020-21.&#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84520" cy="3571240"/>
                    </a:xfrm>
                    <a:prstGeom prst="rect">
                      <a:avLst/>
                    </a:prstGeom>
                    <a:noFill/>
                    <a:ln>
                      <a:noFill/>
                    </a:ln>
                  </pic:spPr>
                </pic:pic>
              </a:graphicData>
            </a:graphic>
          </wp:inline>
        </w:drawing>
      </w:r>
    </w:p>
    <w:p w14:paraId="19567652" w14:textId="02E2C6CA" w:rsidR="00CE4066" w:rsidRDefault="00CE4066" w:rsidP="00BF73F8">
      <w:pPr>
        <w:pStyle w:val="CGCTablenote"/>
        <w:keepNext/>
        <w:keepLines/>
        <w:widowControl w:val="0"/>
      </w:pPr>
      <w:r w:rsidRPr="003C7A1B">
        <w:t>Note:</w:t>
      </w:r>
      <w:r w:rsidR="003C7A1B">
        <w:tab/>
      </w:r>
      <w:r w:rsidRPr="003C7A1B">
        <w:t>The Commission uses populations at the m</w:t>
      </w:r>
      <w:r w:rsidR="00C201A0">
        <w:t>idpoint</w:t>
      </w:r>
      <w:r w:rsidRPr="003C7A1B">
        <w:t xml:space="preserve"> of each financial year (30 December). The population growth relevant to a particular assessment year is the growth in the pr</w:t>
      </w:r>
      <w:r w:rsidR="000E24C0">
        <w:t>e</w:t>
      </w:r>
      <w:r w:rsidRPr="003C7A1B">
        <w:t>ceding calendar year. That is, growth for the 2020</w:t>
      </w:r>
      <w:r w:rsidR="009E135B">
        <w:t>–</w:t>
      </w:r>
      <w:r w:rsidRPr="003C7A1B">
        <w:t>21 assessment year is the growth from 30 December 2019 to 30 December 2020.</w:t>
      </w:r>
    </w:p>
    <w:p w14:paraId="3D127EAD" w14:textId="3A62CA31" w:rsidR="00BF73F8" w:rsidRDefault="00BF73F8" w:rsidP="00BF73F8">
      <w:pPr>
        <w:pStyle w:val="CGCTablenote"/>
        <w:keepNext/>
        <w:keepLines/>
        <w:widowControl w:val="0"/>
      </w:pPr>
      <w:r>
        <w:t>Source</w:t>
      </w:r>
      <w:r>
        <w:tab/>
        <w:t>Commission calculation</w:t>
      </w:r>
      <w:r w:rsidR="00474B72">
        <w:t xml:space="preserve"> based on ABS data.</w:t>
      </w:r>
    </w:p>
    <w:p w14:paraId="2505F99D" w14:textId="77777777" w:rsidR="00CE4066" w:rsidRDefault="00CE4066" w:rsidP="00CE4066">
      <w:pPr>
        <w:tabs>
          <w:tab w:val="clear" w:pos="567"/>
        </w:tabs>
        <w:spacing w:before="0" w:line="240" w:lineRule="auto"/>
      </w:pPr>
      <w:r>
        <w:br w:type="page"/>
      </w:r>
    </w:p>
    <w:tbl>
      <w:tblPr>
        <w:tblStyle w:val="TableGrid"/>
        <w:tblW w:w="0" w:type="auto"/>
        <w:tblLook w:val="04A0" w:firstRow="1" w:lastRow="0" w:firstColumn="1" w:lastColumn="0" w:noHBand="0" w:noVBand="1"/>
      </w:tblPr>
      <w:tblGrid>
        <w:gridCol w:w="8930"/>
      </w:tblGrid>
      <w:tr w:rsidR="00CE4066" w14:paraId="05236695" w14:textId="77777777" w:rsidTr="0071673E">
        <w:trPr>
          <w:trHeight w:hRule="exact" w:val="12246"/>
        </w:trPr>
        <w:tc>
          <w:tcPr>
            <w:tcW w:w="8930" w:type="dxa"/>
            <w:tcBorders>
              <w:top w:val="nil"/>
              <w:left w:val="nil"/>
              <w:bottom w:val="nil"/>
              <w:right w:val="nil"/>
            </w:tcBorders>
            <w:shd w:val="clear" w:color="auto" w:fill="EBF3F5"/>
          </w:tcPr>
          <w:p w14:paraId="7145BCFF" w14:textId="2BC9AA18" w:rsidR="00CE4066" w:rsidRPr="004378D6" w:rsidRDefault="001335B5" w:rsidP="00817ACA">
            <w:pPr>
              <w:pStyle w:val="Heading3"/>
              <w:spacing w:before="240"/>
            </w:pPr>
            <w:r>
              <w:rPr>
                <w:noProof/>
              </w:rPr>
              <w:drawing>
                <wp:anchor distT="0" distB="0" distL="114300" distR="114300" simplePos="0" relativeHeight="251658291" behindDoc="1" locked="1" layoutInCell="1" allowOverlap="1" wp14:anchorId="728F1649" wp14:editId="11980F86">
                  <wp:simplePos x="0" y="0"/>
                  <wp:positionH relativeFrom="page">
                    <wp:posOffset>-896620</wp:posOffset>
                  </wp:positionH>
                  <wp:positionV relativeFrom="margin">
                    <wp:posOffset>-796925</wp:posOffset>
                  </wp:positionV>
                  <wp:extent cx="7563485" cy="10691495"/>
                  <wp:effectExtent l="0" t="0" r="0" b="0"/>
                  <wp:wrapNone/>
                  <wp:docPr id="91" name="Picture 9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CE4066" w:rsidRPr="004378D6">
              <w:t>How population growth affects GST needs of states</w:t>
            </w:r>
          </w:p>
          <w:p w14:paraId="1B706EFC" w14:textId="5E6663A9" w:rsidR="00CE4066" w:rsidRPr="00A471E3" w:rsidRDefault="00CE4066" w:rsidP="001A3B40">
            <w:pPr>
              <w:rPr>
                <w:rFonts w:ascii="Work Sans" w:hAnsi="Work Sans"/>
                <w:sz w:val="24"/>
                <w:szCs w:val="24"/>
              </w:rPr>
            </w:pPr>
            <w:r w:rsidRPr="009E5C5A">
              <w:rPr>
                <w:rFonts w:ascii="Work Sans" w:hAnsi="Work Sans"/>
                <w:sz w:val="24"/>
                <w:szCs w:val="24"/>
              </w:rPr>
              <w:t>In 2020</w:t>
            </w:r>
            <w:r w:rsidR="00444F6B" w:rsidRPr="009E5C5A">
              <w:rPr>
                <w:rFonts w:ascii="Work Sans" w:hAnsi="Work Sans"/>
                <w:sz w:val="24"/>
                <w:szCs w:val="24"/>
              </w:rPr>
              <w:t>–</w:t>
            </w:r>
            <w:r w:rsidRPr="009E5C5A">
              <w:rPr>
                <w:rFonts w:ascii="Work Sans" w:hAnsi="Work Sans"/>
                <w:sz w:val="24"/>
                <w:szCs w:val="24"/>
              </w:rPr>
              <w:t>21, states held $737</w:t>
            </w:r>
            <w:r w:rsidR="0014730C" w:rsidRPr="009E5C5A">
              <w:rPr>
                <w:rFonts w:ascii="Work Sans" w:hAnsi="Work Sans"/>
                <w:sz w:val="24"/>
                <w:szCs w:val="24"/>
              </w:rPr>
              <w:t> </w:t>
            </w:r>
            <w:r w:rsidRPr="009E5C5A">
              <w:rPr>
                <w:rFonts w:ascii="Work Sans" w:hAnsi="Work Sans"/>
                <w:sz w:val="24"/>
                <w:szCs w:val="24"/>
              </w:rPr>
              <w:t>billion of physical assets, or $29,000 per capita.</w:t>
            </w:r>
            <w:r w:rsidR="00FA34D8" w:rsidRPr="009E5C5A">
              <w:rPr>
                <w:rStyle w:val="FootnoteReference"/>
                <w:sz w:val="24"/>
                <w:szCs w:val="24"/>
                <w:vertAlign w:val="superscript"/>
              </w:rPr>
              <w:footnoteReference w:id="10"/>
            </w:r>
            <w:r w:rsidRPr="00A471E3">
              <w:rPr>
                <w:rFonts w:ascii="Work Sans" w:hAnsi="Work Sans"/>
                <w:sz w:val="24"/>
                <w:szCs w:val="24"/>
              </w:rPr>
              <w:t xml:space="preserve"> As state populations grow, states acquire more infrastructure to deliver services. The Commission therefore assesses states with faster growing populations to require </w:t>
            </w:r>
            <w:r w:rsidRPr="00A471E3">
              <w:rPr>
                <w:rFonts w:ascii="Work Sans" w:hAnsi="Work Sans"/>
                <w:i/>
                <w:sz w:val="24"/>
                <w:szCs w:val="24"/>
              </w:rPr>
              <w:t>more</w:t>
            </w:r>
            <w:r w:rsidRPr="00A471E3">
              <w:rPr>
                <w:rFonts w:ascii="Work Sans" w:hAnsi="Work Sans"/>
                <w:sz w:val="24"/>
                <w:szCs w:val="24"/>
              </w:rPr>
              <w:t xml:space="preserve"> GST to fund these acquisitions. </w:t>
            </w:r>
          </w:p>
          <w:p w14:paraId="435E8633" w14:textId="7506225D" w:rsidR="00CE4066" w:rsidRPr="00A471E3" w:rsidRDefault="00CE4066" w:rsidP="001A3B40">
            <w:pPr>
              <w:rPr>
                <w:rFonts w:ascii="Work Sans" w:hAnsi="Work Sans"/>
                <w:sz w:val="24"/>
                <w:szCs w:val="24"/>
              </w:rPr>
            </w:pPr>
            <w:r w:rsidRPr="00A471E3">
              <w:rPr>
                <w:rFonts w:ascii="Work Sans" w:hAnsi="Work Sans"/>
                <w:sz w:val="24"/>
                <w:szCs w:val="24"/>
              </w:rPr>
              <w:t xml:space="preserve">While population growth is a significant determinant of state investment, most state investment reflects improvements to the </w:t>
            </w:r>
            <w:r w:rsidR="00EB1E7B">
              <w:rPr>
                <w:rFonts w:ascii="Work Sans" w:hAnsi="Work Sans"/>
                <w:sz w:val="24"/>
                <w:szCs w:val="24"/>
              </w:rPr>
              <w:t xml:space="preserve">quantity </w:t>
            </w:r>
            <w:r w:rsidRPr="00A471E3">
              <w:rPr>
                <w:rFonts w:ascii="Work Sans" w:hAnsi="Work Sans"/>
                <w:sz w:val="24"/>
                <w:szCs w:val="24"/>
              </w:rPr>
              <w:t>of infrastructure per capita</w:t>
            </w:r>
            <w:r w:rsidR="007F3AB3">
              <w:rPr>
                <w:rFonts w:ascii="Work Sans" w:hAnsi="Work Sans"/>
                <w:sz w:val="24"/>
                <w:szCs w:val="24"/>
              </w:rPr>
              <w:t xml:space="preserve"> and </w:t>
            </w:r>
            <w:r w:rsidRPr="00A471E3">
              <w:rPr>
                <w:rFonts w:ascii="Work Sans" w:hAnsi="Work Sans"/>
                <w:sz w:val="24"/>
                <w:szCs w:val="24"/>
              </w:rPr>
              <w:t xml:space="preserve">replacement of depreciated infrastructure. The investment assessment captures both these ‘capital improvements’ and </w:t>
            </w:r>
            <w:r w:rsidR="00C13B70">
              <w:rPr>
                <w:rFonts w:ascii="Work Sans" w:hAnsi="Work Sans"/>
                <w:sz w:val="24"/>
                <w:szCs w:val="24"/>
              </w:rPr>
              <w:t xml:space="preserve">investment in response to </w:t>
            </w:r>
            <w:r w:rsidRPr="00A471E3">
              <w:rPr>
                <w:rFonts w:ascii="Work Sans" w:hAnsi="Work Sans"/>
                <w:sz w:val="24"/>
                <w:szCs w:val="24"/>
              </w:rPr>
              <w:t xml:space="preserve">population growth. Capital improvements drive most investment needs, but state shares of </w:t>
            </w:r>
            <w:r w:rsidR="00B41EBA">
              <w:rPr>
                <w:rFonts w:ascii="Work Sans" w:hAnsi="Work Sans"/>
                <w:sz w:val="24"/>
                <w:szCs w:val="24"/>
              </w:rPr>
              <w:t xml:space="preserve">the </w:t>
            </w:r>
            <w:r w:rsidRPr="00A471E3">
              <w:rPr>
                <w:rFonts w:ascii="Work Sans" w:hAnsi="Work Sans"/>
                <w:sz w:val="24"/>
                <w:szCs w:val="24"/>
              </w:rPr>
              <w:t xml:space="preserve">need for </w:t>
            </w:r>
            <w:r w:rsidR="00B41EBA">
              <w:rPr>
                <w:rFonts w:ascii="Work Sans" w:hAnsi="Work Sans"/>
                <w:sz w:val="24"/>
                <w:szCs w:val="24"/>
              </w:rPr>
              <w:t xml:space="preserve">capital </w:t>
            </w:r>
            <w:r w:rsidR="00177C0B">
              <w:rPr>
                <w:rFonts w:ascii="Work Sans" w:hAnsi="Work Sans"/>
                <w:sz w:val="24"/>
                <w:szCs w:val="24"/>
              </w:rPr>
              <w:t xml:space="preserve">improvements </w:t>
            </w:r>
            <w:r w:rsidRPr="00A471E3">
              <w:rPr>
                <w:rFonts w:ascii="Work Sans" w:hAnsi="Work Sans"/>
                <w:sz w:val="24"/>
                <w:szCs w:val="24"/>
              </w:rPr>
              <w:t xml:space="preserve">are much less volatile between years than population growth. </w:t>
            </w:r>
            <w:r w:rsidR="00D6313A">
              <w:rPr>
                <w:rFonts w:ascii="Work Sans" w:hAnsi="Work Sans"/>
                <w:sz w:val="24"/>
                <w:szCs w:val="24"/>
              </w:rPr>
              <w:t xml:space="preserve">Capital improvements </w:t>
            </w:r>
            <w:r w:rsidRPr="00A471E3">
              <w:rPr>
                <w:rFonts w:ascii="Work Sans" w:hAnsi="Work Sans"/>
                <w:sz w:val="24"/>
                <w:szCs w:val="24"/>
              </w:rPr>
              <w:t>tend not to be as large a driver of change in GST need</w:t>
            </w:r>
            <w:r w:rsidR="00A15FF8">
              <w:rPr>
                <w:rFonts w:ascii="Work Sans" w:hAnsi="Work Sans"/>
                <w:sz w:val="24"/>
                <w:szCs w:val="24"/>
              </w:rPr>
              <w:t xml:space="preserve"> as changes in population growth</w:t>
            </w:r>
            <w:r w:rsidRPr="00A471E3">
              <w:rPr>
                <w:rFonts w:ascii="Work Sans" w:hAnsi="Work Sans"/>
                <w:sz w:val="24"/>
                <w:szCs w:val="24"/>
              </w:rPr>
              <w:t xml:space="preserve">. </w:t>
            </w:r>
          </w:p>
          <w:p w14:paraId="1C4F2567" w14:textId="4D69FCCE" w:rsidR="00CE4066" w:rsidRPr="00A471E3" w:rsidRDefault="00CE4066" w:rsidP="001A3B40">
            <w:pPr>
              <w:rPr>
                <w:rFonts w:ascii="Work Sans" w:hAnsi="Work Sans"/>
                <w:sz w:val="24"/>
                <w:szCs w:val="24"/>
              </w:rPr>
            </w:pPr>
            <w:r w:rsidRPr="00A471E3">
              <w:rPr>
                <w:rFonts w:ascii="Work Sans" w:hAnsi="Work Sans"/>
                <w:sz w:val="24"/>
                <w:szCs w:val="24"/>
              </w:rPr>
              <w:t>States also held $328</w:t>
            </w:r>
            <w:r w:rsidR="00EE752C">
              <w:rPr>
                <w:rFonts w:ascii="Work Sans" w:hAnsi="Work Sans"/>
                <w:sz w:val="24"/>
                <w:szCs w:val="24"/>
              </w:rPr>
              <w:t> </w:t>
            </w:r>
            <w:r w:rsidRPr="00A471E3">
              <w:rPr>
                <w:rFonts w:ascii="Work Sans" w:hAnsi="Work Sans"/>
                <w:sz w:val="24"/>
                <w:szCs w:val="24"/>
              </w:rPr>
              <w:t>billion in net financial liabilities</w:t>
            </w:r>
            <w:r w:rsidRPr="00951EBC">
              <w:rPr>
                <w:rStyle w:val="FootnoteReference"/>
                <w:sz w:val="24"/>
                <w:szCs w:val="24"/>
                <w:vertAlign w:val="superscript"/>
              </w:rPr>
              <w:footnoteReference w:id="11"/>
            </w:r>
            <w:r w:rsidRPr="00A471E3">
              <w:rPr>
                <w:rFonts w:ascii="Work Sans" w:hAnsi="Work Sans"/>
                <w:sz w:val="24"/>
                <w:szCs w:val="24"/>
              </w:rPr>
              <w:t>, or $13,000</w:t>
            </w:r>
            <w:r w:rsidR="003E5C22">
              <w:rPr>
                <w:rFonts w:ascii="Work Sans" w:hAnsi="Work Sans"/>
                <w:sz w:val="24"/>
                <w:szCs w:val="24"/>
              </w:rPr>
              <w:t> </w:t>
            </w:r>
            <w:r w:rsidRPr="00A471E3">
              <w:rPr>
                <w:rFonts w:ascii="Work Sans" w:hAnsi="Work Sans"/>
                <w:sz w:val="24"/>
                <w:szCs w:val="24"/>
              </w:rPr>
              <w:t>per</w:t>
            </w:r>
            <w:r w:rsidR="003E5C22">
              <w:rPr>
                <w:rFonts w:ascii="Work Sans" w:hAnsi="Work Sans"/>
                <w:sz w:val="24"/>
                <w:szCs w:val="24"/>
              </w:rPr>
              <w:t> </w:t>
            </w:r>
            <w:r w:rsidRPr="00A471E3">
              <w:rPr>
                <w:rFonts w:ascii="Work Sans" w:hAnsi="Work Sans"/>
                <w:sz w:val="24"/>
                <w:szCs w:val="24"/>
              </w:rPr>
              <w:t xml:space="preserve">capita. As state populations grow, they have more people to service these liabilities. This means that faster than average population growth </w:t>
            </w:r>
            <w:r w:rsidRPr="00951EBC">
              <w:rPr>
                <w:rFonts w:ascii="Work Sans" w:hAnsi="Work Sans"/>
                <w:sz w:val="24"/>
                <w:szCs w:val="24"/>
              </w:rPr>
              <w:t>increases</w:t>
            </w:r>
            <w:r w:rsidRPr="00A471E3">
              <w:rPr>
                <w:rFonts w:ascii="Work Sans" w:hAnsi="Work Sans"/>
                <w:sz w:val="24"/>
                <w:szCs w:val="24"/>
              </w:rPr>
              <w:t xml:space="preserve"> assessed capacity for net borrowing, and decreases the GST needs of a state.</w:t>
            </w:r>
            <w:r w:rsidR="00A2255B">
              <w:rPr>
                <w:rFonts w:ascii="Work Sans" w:hAnsi="Work Sans"/>
                <w:sz w:val="24"/>
                <w:szCs w:val="24"/>
              </w:rPr>
              <w:t xml:space="preserve"> </w:t>
            </w:r>
          </w:p>
          <w:p w14:paraId="235A8FDA" w14:textId="3AF4D009" w:rsidR="00CE4066" w:rsidRPr="00A471E3" w:rsidRDefault="00CE4066" w:rsidP="001A3B40">
            <w:pPr>
              <w:rPr>
                <w:rFonts w:ascii="Work Sans" w:hAnsi="Work Sans"/>
                <w:sz w:val="24"/>
                <w:szCs w:val="24"/>
              </w:rPr>
            </w:pPr>
            <w:r w:rsidRPr="00A471E3">
              <w:rPr>
                <w:rFonts w:ascii="Work Sans" w:hAnsi="Work Sans"/>
                <w:sz w:val="24"/>
                <w:szCs w:val="24"/>
              </w:rPr>
              <w:t>Many state assets are not used by all residents of a state. For example, demand for new school infrastructure is assessed by growth in the number of government school students, not the growth in the total population. However, states with faster growing populations tend to have faster growing requirements for most types of state asset</w:t>
            </w:r>
            <w:r w:rsidR="00886FA7">
              <w:rPr>
                <w:rFonts w:ascii="Work Sans" w:hAnsi="Work Sans"/>
                <w:sz w:val="24"/>
                <w:szCs w:val="24"/>
              </w:rPr>
              <w:t>s</w:t>
            </w:r>
            <w:r w:rsidRPr="00A471E3">
              <w:rPr>
                <w:rFonts w:ascii="Work Sans" w:hAnsi="Work Sans"/>
                <w:sz w:val="24"/>
                <w:szCs w:val="24"/>
              </w:rPr>
              <w:t>. The $67</w:t>
            </w:r>
            <w:r w:rsidR="00B10D15">
              <w:rPr>
                <w:rFonts w:ascii="Work Sans" w:hAnsi="Work Sans"/>
                <w:sz w:val="24"/>
                <w:szCs w:val="24"/>
              </w:rPr>
              <w:t>2</w:t>
            </w:r>
            <w:r w:rsidRPr="00A471E3">
              <w:rPr>
                <w:rFonts w:ascii="Work Sans" w:hAnsi="Work Sans"/>
                <w:sz w:val="24"/>
                <w:szCs w:val="24"/>
              </w:rPr>
              <w:t xml:space="preserve"> million decline in Victoria’s GST needs due to population growth, takes account of the different growth rates of different groups within the population, and the extent to which they use state assets. </w:t>
            </w:r>
          </w:p>
          <w:p w14:paraId="644D50D8" w14:textId="0DB71C99" w:rsidR="00CE4066" w:rsidRPr="004378D6" w:rsidRDefault="00CE4066" w:rsidP="00817ACA">
            <w:pPr>
              <w:spacing w:after="240"/>
            </w:pPr>
            <w:r w:rsidRPr="00A471E3">
              <w:rPr>
                <w:rFonts w:ascii="Work Sans" w:hAnsi="Work Sans"/>
                <w:sz w:val="24"/>
                <w:szCs w:val="24"/>
              </w:rPr>
              <w:t>Victoria’s slow population growth in 2020</w:t>
            </w:r>
            <w:r w:rsidR="009E135B">
              <w:rPr>
                <w:rFonts w:ascii="Work Sans" w:hAnsi="Work Sans"/>
                <w:sz w:val="24"/>
                <w:szCs w:val="24"/>
              </w:rPr>
              <w:t>–</w:t>
            </w:r>
            <w:r w:rsidRPr="00A471E3">
              <w:rPr>
                <w:rFonts w:ascii="Work Sans" w:hAnsi="Work Sans"/>
                <w:sz w:val="24"/>
                <w:szCs w:val="24"/>
              </w:rPr>
              <w:t>21 meant that it was assessed as requiring less infrastructure</w:t>
            </w:r>
            <w:r w:rsidR="001C5679">
              <w:rPr>
                <w:rFonts w:ascii="Work Sans" w:hAnsi="Work Sans"/>
                <w:sz w:val="24"/>
                <w:szCs w:val="24"/>
              </w:rPr>
              <w:t xml:space="preserve"> </w:t>
            </w:r>
            <w:r w:rsidR="00A353AE">
              <w:rPr>
                <w:rFonts w:ascii="Work Sans" w:hAnsi="Work Sans"/>
                <w:sz w:val="24"/>
                <w:szCs w:val="24"/>
              </w:rPr>
              <w:t>spending</w:t>
            </w:r>
            <w:r w:rsidR="001C5679">
              <w:rPr>
                <w:rFonts w:ascii="Work Sans" w:hAnsi="Work Sans"/>
                <w:sz w:val="24"/>
                <w:szCs w:val="24"/>
              </w:rPr>
              <w:t xml:space="preserve"> in 2022</w:t>
            </w:r>
            <w:r w:rsidR="009E135B">
              <w:rPr>
                <w:rFonts w:ascii="Work Sans" w:hAnsi="Work Sans"/>
                <w:sz w:val="24"/>
                <w:szCs w:val="24"/>
              </w:rPr>
              <w:t>–</w:t>
            </w:r>
            <w:r w:rsidR="001C5679">
              <w:rPr>
                <w:rFonts w:ascii="Work Sans" w:hAnsi="Work Sans"/>
                <w:sz w:val="24"/>
                <w:szCs w:val="24"/>
              </w:rPr>
              <w:t>23</w:t>
            </w:r>
            <w:r w:rsidRPr="00A471E3">
              <w:rPr>
                <w:rFonts w:ascii="Work Sans" w:hAnsi="Work Sans"/>
                <w:sz w:val="24"/>
                <w:szCs w:val="24"/>
              </w:rPr>
              <w:t xml:space="preserve">. The slowing in Victoria’s population growth may be a short-term phenomenon, and not represent </w:t>
            </w:r>
            <w:r w:rsidR="000139F7">
              <w:rPr>
                <w:rFonts w:ascii="Work Sans" w:hAnsi="Work Sans"/>
                <w:sz w:val="24"/>
                <w:szCs w:val="24"/>
              </w:rPr>
              <w:t xml:space="preserve">a change in </w:t>
            </w:r>
            <w:r w:rsidRPr="00A471E3">
              <w:rPr>
                <w:rFonts w:ascii="Work Sans" w:hAnsi="Work Sans"/>
                <w:sz w:val="24"/>
                <w:szCs w:val="24"/>
              </w:rPr>
              <w:t xml:space="preserve">the </w:t>
            </w:r>
            <w:r w:rsidR="005834C2" w:rsidRPr="6CAEEA75">
              <w:rPr>
                <w:rFonts w:ascii="Work Sans" w:hAnsi="Work Sans"/>
                <w:sz w:val="24"/>
                <w:szCs w:val="24"/>
              </w:rPr>
              <w:t>longer</w:t>
            </w:r>
            <w:r w:rsidR="005834C2">
              <w:rPr>
                <w:rFonts w:ascii="Work Sans" w:hAnsi="Work Sans"/>
                <w:sz w:val="24"/>
                <w:szCs w:val="24"/>
              </w:rPr>
              <w:t>-term</w:t>
            </w:r>
            <w:r w:rsidRPr="00A471E3">
              <w:rPr>
                <w:rFonts w:ascii="Work Sans" w:hAnsi="Work Sans"/>
                <w:sz w:val="24"/>
                <w:szCs w:val="24"/>
              </w:rPr>
              <w:t xml:space="preserve"> investment needs of the state. If Victoria’s population growth reverts to its </w:t>
            </w:r>
            <w:r w:rsidR="005834C2" w:rsidRPr="6CAEEA75">
              <w:rPr>
                <w:rFonts w:ascii="Work Sans" w:hAnsi="Work Sans"/>
                <w:sz w:val="24"/>
                <w:szCs w:val="24"/>
              </w:rPr>
              <w:t>medium</w:t>
            </w:r>
            <w:r w:rsidR="005834C2">
              <w:rPr>
                <w:rFonts w:ascii="Work Sans" w:hAnsi="Work Sans"/>
                <w:sz w:val="24"/>
                <w:szCs w:val="24"/>
              </w:rPr>
              <w:t>-term</w:t>
            </w:r>
            <w:r w:rsidRPr="00A471E3">
              <w:rPr>
                <w:rFonts w:ascii="Work Sans" w:hAnsi="Work Sans"/>
                <w:sz w:val="24"/>
                <w:szCs w:val="24"/>
              </w:rPr>
              <w:t xml:space="preserve"> trend, or if there is high ‘catch-up’</w:t>
            </w:r>
            <w:r w:rsidR="00AE0E2E">
              <w:rPr>
                <w:rFonts w:ascii="Work Sans" w:hAnsi="Work Sans"/>
                <w:sz w:val="24"/>
                <w:szCs w:val="24"/>
              </w:rPr>
              <w:t xml:space="preserve"> growth</w:t>
            </w:r>
            <w:r w:rsidRPr="00A471E3">
              <w:rPr>
                <w:rFonts w:ascii="Work Sans" w:hAnsi="Work Sans"/>
                <w:sz w:val="24"/>
                <w:szCs w:val="24"/>
              </w:rPr>
              <w:t xml:space="preserve">, the Commission’s </w:t>
            </w:r>
            <w:r w:rsidR="00245C34">
              <w:rPr>
                <w:rFonts w:ascii="Work Sans" w:hAnsi="Work Sans"/>
                <w:sz w:val="24"/>
                <w:szCs w:val="24"/>
              </w:rPr>
              <w:t xml:space="preserve">future </w:t>
            </w:r>
            <w:r w:rsidRPr="00A471E3">
              <w:rPr>
                <w:rFonts w:ascii="Work Sans" w:hAnsi="Work Sans"/>
                <w:sz w:val="24"/>
                <w:szCs w:val="24"/>
              </w:rPr>
              <w:t>assessment</w:t>
            </w:r>
            <w:r w:rsidR="00AE0E2E">
              <w:rPr>
                <w:rFonts w:ascii="Work Sans" w:hAnsi="Work Sans"/>
                <w:sz w:val="24"/>
                <w:szCs w:val="24"/>
              </w:rPr>
              <w:t>s</w:t>
            </w:r>
            <w:r w:rsidRPr="00A471E3">
              <w:rPr>
                <w:rFonts w:ascii="Work Sans" w:hAnsi="Work Sans"/>
                <w:sz w:val="24"/>
                <w:szCs w:val="24"/>
              </w:rPr>
              <w:t xml:space="preserve"> would </w:t>
            </w:r>
            <w:r w:rsidR="00E01317">
              <w:rPr>
                <w:rFonts w:ascii="Work Sans" w:hAnsi="Work Sans"/>
                <w:sz w:val="24"/>
                <w:szCs w:val="24"/>
              </w:rPr>
              <w:t>capture this</w:t>
            </w:r>
            <w:r w:rsidR="009353A1">
              <w:rPr>
                <w:rFonts w:ascii="Work Sans" w:hAnsi="Work Sans"/>
                <w:sz w:val="24"/>
                <w:szCs w:val="24"/>
              </w:rPr>
              <w:t>.</w:t>
            </w:r>
            <w:r w:rsidRPr="00A471E3">
              <w:rPr>
                <w:rFonts w:ascii="Work Sans" w:hAnsi="Work Sans"/>
                <w:sz w:val="24"/>
                <w:szCs w:val="24"/>
              </w:rPr>
              <w:t xml:space="preserve"> The Commission’s assessment </w:t>
            </w:r>
            <w:r w:rsidR="002D391C">
              <w:rPr>
                <w:rFonts w:ascii="Work Sans" w:hAnsi="Work Sans"/>
                <w:sz w:val="24"/>
                <w:szCs w:val="24"/>
              </w:rPr>
              <w:t xml:space="preserve">method </w:t>
            </w:r>
            <w:r w:rsidRPr="00A471E3">
              <w:rPr>
                <w:rFonts w:ascii="Work Sans" w:hAnsi="Work Sans"/>
                <w:sz w:val="24"/>
                <w:szCs w:val="24"/>
              </w:rPr>
              <w:t>is designed so that all states have the capacity to invest in, and hold, the national average level of infrastructure for their population, noting this involves a lag, as with other assessments.</w:t>
            </w:r>
          </w:p>
        </w:tc>
      </w:tr>
    </w:tbl>
    <w:p w14:paraId="6FFAC1BA" w14:textId="77777777" w:rsidR="00CE4066" w:rsidRDefault="00CE4066" w:rsidP="00EC68A5">
      <w:pPr>
        <w:pStyle w:val="Heading4"/>
      </w:pPr>
      <w:r>
        <w:t>Wage costs</w:t>
      </w:r>
    </w:p>
    <w:p w14:paraId="01E6EF11" w14:textId="64F59CB7" w:rsidR="00CE4066" w:rsidRDefault="00CE4066" w:rsidP="0004064D">
      <w:pPr>
        <w:pStyle w:val="CGCBodyCopy"/>
      </w:pPr>
      <w:r>
        <w:t>Differences between states’ relative wage costs in 2017</w:t>
      </w:r>
      <w:r w:rsidR="009E135B">
        <w:t>–</w:t>
      </w:r>
      <w:r>
        <w:t>18 and 2020</w:t>
      </w:r>
      <w:r w:rsidR="009E135B">
        <w:t>–</w:t>
      </w:r>
      <w:r>
        <w:t>21 changed assessed needs. Total wage expenditure also grew faster than the GST pool, which increased the impact of the wage assessment on GST relativities</w:t>
      </w:r>
      <w:r w:rsidR="00727FB8">
        <w:t>.</w:t>
      </w:r>
    </w:p>
    <w:p w14:paraId="136E0145" w14:textId="4D1E6DB7" w:rsidR="00CE4066" w:rsidRDefault="00815160" w:rsidP="0004064D">
      <w:pPr>
        <w:pStyle w:val="CGCBodyCopy"/>
      </w:pPr>
      <w:r>
        <w:rPr>
          <w:noProof/>
        </w:rPr>
        <w:drawing>
          <wp:anchor distT="0" distB="0" distL="114300" distR="114300" simplePos="0" relativeHeight="251658292" behindDoc="1" locked="1" layoutInCell="1" allowOverlap="1" wp14:anchorId="6FA1137B" wp14:editId="6075285F">
            <wp:simplePos x="0" y="0"/>
            <wp:positionH relativeFrom="page">
              <wp:posOffset>-6985</wp:posOffset>
            </wp:positionH>
            <wp:positionV relativeFrom="page">
              <wp:posOffset>6350</wp:posOffset>
            </wp:positionV>
            <wp:extent cx="7563485" cy="10691495"/>
            <wp:effectExtent l="0" t="0" r="0" b="0"/>
            <wp:wrapNone/>
            <wp:docPr id="93" name="Picture 9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CE4066">
        <w:t>In 2017</w:t>
      </w:r>
      <w:r w:rsidR="009E135B">
        <w:t>–</w:t>
      </w:r>
      <w:r w:rsidR="00CE4066">
        <w:t>18, for the first time since 2005</w:t>
      </w:r>
      <w:r w:rsidR="006C39E0">
        <w:t>–</w:t>
      </w:r>
      <w:r w:rsidR="00CE4066">
        <w:t>06, Western Australia was assessed to have below</w:t>
      </w:r>
      <w:r w:rsidR="002E7313">
        <w:noBreakHyphen/>
      </w:r>
      <w:r w:rsidR="00CE4066">
        <w:t>average wage costs. In 2020</w:t>
      </w:r>
      <w:r w:rsidR="009E135B">
        <w:t>–</w:t>
      </w:r>
      <w:r w:rsidR="00CE4066">
        <w:t>21, it was assessed to have wage costs 5% above the national average. Replacing 2017</w:t>
      </w:r>
      <w:r w:rsidR="009E135B">
        <w:t>–</w:t>
      </w:r>
      <w:r w:rsidR="00CE4066">
        <w:t>18 data with 2020</w:t>
      </w:r>
      <w:r w:rsidR="009E135B">
        <w:t>–</w:t>
      </w:r>
      <w:r w:rsidR="00CE4066">
        <w:t xml:space="preserve">21 data increased Western Australia’s GST </w:t>
      </w:r>
      <w:r w:rsidR="004A2195">
        <w:t>needs</w:t>
      </w:r>
      <w:r w:rsidR="00CE4066">
        <w:t xml:space="preserve"> by $321 million. Relative wage costs also increased</w:t>
      </w:r>
      <w:r w:rsidR="00CE4066" w:rsidDel="00762E26">
        <w:t xml:space="preserve"> </w:t>
      </w:r>
      <w:r w:rsidR="00CE4066">
        <w:t>in New South Wales and South Australia. Relative wage costs in Queensland, the</w:t>
      </w:r>
      <w:r w:rsidR="009E135B">
        <w:t> </w:t>
      </w:r>
      <w:r w:rsidR="00CE4066">
        <w:t>ACT and the Northern Territory fell by almost 3 percentage points between 2017</w:t>
      </w:r>
      <w:r w:rsidR="009E135B">
        <w:t>–</w:t>
      </w:r>
      <w:r w:rsidR="00CE4066">
        <w:t>18 and 2020</w:t>
      </w:r>
      <w:r w:rsidR="009E135B">
        <w:t>–</w:t>
      </w:r>
      <w:r w:rsidR="00CE4066">
        <w:t xml:space="preserve">21, and by nearly 1 percentage point in Victoria (see </w:t>
      </w:r>
      <w:r w:rsidR="00CE4066">
        <w:fldChar w:fldCharType="begin"/>
      </w:r>
      <w:r w:rsidR="00CE4066">
        <w:instrText xml:space="preserve"> REF _Ref92701354 \h  \* MERGEFORMAT </w:instrText>
      </w:r>
      <w:r w:rsidR="00CE4066">
        <w:fldChar w:fldCharType="separate"/>
      </w:r>
      <w:r w:rsidR="00FE4664">
        <w:t>Figure 2-3</w:t>
      </w:r>
      <w:r w:rsidR="00CE4066">
        <w:fldChar w:fldCharType="end"/>
      </w:r>
      <w:r w:rsidR="00CE4066">
        <w:t xml:space="preserve">). </w:t>
      </w:r>
      <w:r w:rsidR="00CE4066" w:rsidRPr="00405211">
        <w:t>This result</w:t>
      </w:r>
      <w:r w:rsidR="00833070" w:rsidRPr="00405211">
        <w:t>ed</w:t>
      </w:r>
      <w:r w:rsidR="00CE4066" w:rsidRPr="00405211">
        <w:t xml:space="preserve"> in lower GST needs for these states in 2022</w:t>
      </w:r>
      <w:r w:rsidR="00E1779B" w:rsidRPr="00405211">
        <w:noBreakHyphen/>
      </w:r>
      <w:r w:rsidR="00CE4066" w:rsidRPr="00405211">
        <w:t>23.</w:t>
      </w:r>
      <w:r w:rsidR="00387570" w:rsidRPr="00405211">
        <w:rPr>
          <w:rStyle w:val="FootnoteReference"/>
          <w:sz w:val="24"/>
          <w:vertAlign w:val="superscript"/>
        </w:rPr>
        <w:footnoteReference w:id="12"/>
      </w:r>
    </w:p>
    <w:p w14:paraId="7E338058" w14:textId="70432235" w:rsidR="00CE4066" w:rsidRDefault="00CE4066" w:rsidP="00CE4066">
      <w:pPr>
        <w:pStyle w:val="Caption"/>
      </w:pPr>
      <w:bookmarkStart w:id="61" w:name="_Ref92701354"/>
      <w:r>
        <w:t>Figure</w:t>
      </w:r>
      <w:r w:rsidR="00930714">
        <w:t> </w:t>
      </w:r>
      <w:r>
        <w:t>2-</w:t>
      </w:r>
      <w:r>
        <w:fldChar w:fldCharType="begin"/>
      </w:r>
      <w:r>
        <w:instrText>SEQ Figure \* ARABIC</w:instrText>
      </w:r>
      <w:r>
        <w:fldChar w:fldCharType="separate"/>
      </w:r>
      <w:r w:rsidR="00FE4664">
        <w:rPr>
          <w:noProof/>
        </w:rPr>
        <w:t>3</w:t>
      </w:r>
      <w:r>
        <w:fldChar w:fldCharType="end"/>
      </w:r>
      <w:bookmarkEnd w:id="61"/>
      <w:r>
        <w:tab/>
        <w:t>Estimated wage costs relative to national average</w:t>
      </w:r>
    </w:p>
    <w:p w14:paraId="712E3B40" w14:textId="6381C685" w:rsidR="001A3B40" w:rsidRDefault="004308B3" w:rsidP="00A92098">
      <w:pPr>
        <w:pStyle w:val="CGCTablenote"/>
        <w:keepNext/>
        <w:keepLines/>
        <w:widowControl w:val="0"/>
      </w:pPr>
      <w:r w:rsidRPr="004308B3">
        <w:rPr>
          <w:noProof/>
        </w:rPr>
        <w:drawing>
          <wp:inline distT="0" distB="0" distL="0" distR="0" wp14:anchorId="7959B024" wp14:editId="66C9F9C5">
            <wp:extent cx="5684520" cy="3571240"/>
            <wp:effectExtent l="0" t="0" r="0" b="0"/>
            <wp:docPr id="69" name="Picture 69" descr="A column chart showing relative wages for each state, annually, from 2017-18 to 20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column chart showing relative wages for each state, annually, from 2017-18 to 2020-21.&#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84520" cy="3571240"/>
                    </a:xfrm>
                    <a:prstGeom prst="rect">
                      <a:avLst/>
                    </a:prstGeom>
                    <a:noFill/>
                    <a:ln>
                      <a:noFill/>
                    </a:ln>
                  </pic:spPr>
                </pic:pic>
              </a:graphicData>
            </a:graphic>
          </wp:inline>
        </w:drawing>
      </w:r>
    </w:p>
    <w:p w14:paraId="43A406C5" w14:textId="4D5FD9AA" w:rsidR="00A92098" w:rsidRDefault="00A92098" w:rsidP="00A92098">
      <w:pPr>
        <w:pStyle w:val="CGCTablenote"/>
        <w:keepNext/>
        <w:keepLines/>
        <w:widowControl w:val="0"/>
      </w:pPr>
      <w:r>
        <w:t>Source</w:t>
      </w:r>
      <w:r>
        <w:tab/>
        <w:t>Commission calculation.</w:t>
      </w:r>
    </w:p>
    <w:p w14:paraId="6FD4DA1D" w14:textId="77777777" w:rsidR="00CE4066" w:rsidRDefault="00CE4066" w:rsidP="00A92098">
      <w:pPr>
        <w:pStyle w:val="Heading4"/>
        <w:keepNext w:val="0"/>
        <w:keepLines w:val="0"/>
        <w:widowControl w:val="0"/>
      </w:pPr>
      <w:r>
        <w:t>Property sales</w:t>
      </w:r>
    </w:p>
    <w:p w14:paraId="53C088DD" w14:textId="77777777" w:rsidR="00CE4066" w:rsidRDefault="00CE4066" w:rsidP="0004064D">
      <w:pPr>
        <w:pStyle w:val="CGCBodyCopy"/>
      </w:pPr>
      <w:r>
        <w:t>Stamp duties raised from the transfer of property are potentially volatile. Property market cycles can lead to large changes across years and states, affecting their relative revenue raising capacities.</w:t>
      </w:r>
    </w:p>
    <w:p w14:paraId="1C4F69B8" w14:textId="08673A17" w:rsidR="00CE4066" w:rsidRDefault="00CE4066" w:rsidP="0004064D">
      <w:pPr>
        <w:pStyle w:val="CGCBodyCopy"/>
      </w:pPr>
      <w:r>
        <w:fldChar w:fldCharType="begin"/>
      </w:r>
      <w:r>
        <w:instrText xml:space="preserve"> REF _Ref93851033 \h </w:instrText>
      </w:r>
      <w:r>
        <w:fldChar w:fldCharType="separate"/>
      </w:r>
      <w:r w:rsidR="00FE4664">
        <w:t>Figure 2-</w:t>
      </w:r>
      <w:r w:rsidR="00FE4664">
        <w:rPr>
          <w:noProof/>
        </w:rPr>
        <w:t>4</w:t>
      </w:r>
      <w:r>
        <w:fldChar w:fldCharType="end"/>
      </w:r>
      <w:r>
        <w:t xml:space="preserve"> shows the change in states’ per capita value of property transferred between 2017</w:t>
      </w:r>
      <w:r w:rsidR="004D70CB">
        <w:t>–</w:t>
      </w:r>
      <w:r>
        <w:t>18 and 2020</w:t>
      </w:r>
      <w:r w:rsidR="004D70CB">
        <w:t>–</w:t>
      </w:r>
      <w:r>
        <w:t>21. Between 2017</w:t>
      </w:r>
      <w:r w:rsidR="004D70CB">
        <w:t>–</w:t>
      </w:r>
      <w:r>
        <w:t>18 and 2020</w:t>
      </w:r>
      <w:r w:rsidR="004D70CB">
        <w:t>–</w:t>
      </w:r>
      <w:r>
        <w:t>21, the per capita value of property transferred increased nationally by 10%. All</w:t>
      </w:r>
      <w:r w:rsidR="00842B01">
        <w:t> </w:t>
      </w:r>
      <w:r>
        <w:t>states except Victoria experienced above</w:t>
      </w:r>
      <w:r w:rsidR="00A853B3">
        <w:noBreakHyphen/>
      </w:r>
      <w:r>
        <w:t>average increases over that period, strengthening their revenue raising capacit</w:t>
      </w:r>
      <w:r w:rsidR="00A36C19">
        <w:t>ies</w:t>
      </w:r>
      <w:r>
        <w:t xml:space="preserve">. </w:t>
      </w:r>
      <w:r w:rsidR="00F73953">
        <w:t>Victoria was the only state where t</w:t>
      </w:r>
      <w:r>
        <w:t xml:space="preserve">he per capita value of property transfers </w:t>
      </w:r>
      <w:r w:rsidR="00F73953">
        <w:t xml:space="preserve">was lower in </w:t>
      </w:r>
      <w:r w:rsidR="000661FC">
        <w:t>2020</w:t>
      </w:r>
      <w:r w:rsidR="004D70CB">
        <w:t>–</w:t>
      </w:r>
      <w:r w:rsidR="000661FC">
        <w:t>21 than in 2017</w:t>
      </w:r>
      <w:r w:rsidR="004D70CB">
        <w:t>–</w:t>
      </w:r>
      <w:r w:rsidR="000661FC">
        <w:t xml:space="preserve">18. It </w:t>
      </w:r>
      <w:r w:rsidR="005834C2">
        <w:t>declined by</w:t>
      </w:r>
      <w:r>
        <w:t xml:space="preserve"> 7.4%</w:t>
      </w:r>
      <w:r w:rsidR="000661FC">
        <w:t xml:space="preserve"> and </w:t>
      </w:r>
      <w:r>
        <w:t>weaken</w:t>
      </w:r>
      <w:r w:rsidR="000661FC">
        <w:t>ed Victoria’s</w:t>
      </w:r>
      <w:r>
        <w:t xml:space="preserve"> revenue raising capacity. This increased Victoria’s assessed </w:t>
      </w:r>
      <w:r w:rsidR="00300E28">
        <w:t xml:space="preserve">GST </w:t>
      </w:r>
      <w:r w:rsidR="00886FA7">
        <w:t>needs</w:t>
      </w:r>
      <w:r>
        <w:t xml:space="preserve"> by $429 million.</w:t>
      </w:r>
    </w:p>
    <w:p w14:paraId="2D976CBF" w14:textId="489FC036" w:rsidR="00CE4066" w:rsidRDefault="00397510" w:rsidP="008D3A76">
      <w:pPr>
        <w:pStyle w:val="Caption"/>
        <w:widowControl w:val="0"/>
      </w:pPr>
      <w:bookmarkStart w:id="62" w:name="_Ref93851033"/>
      <w:r>
        <w:rPr>
          <w:noProof/>
        </w:rPr>
        <w:drawing>
          <wp:anchor distT="0" distB="0" distL="114300" distR="114300" simplePos="0" relativeHeight="251658273" behindDoc="1" locked="1" layoutInCell="1" allowOverlap="1" wp14:anchorId="294CA6C5" wp14:editId="380E4CCF">
            <wp:simplePos x="0" y="0"/>
            <wp:positionH relativeFrom="page">
              <wp:posOffset>0</wp:posOffset>
            </wp:positionH>
            <wp:positionV relativeFrom="margin">
              <wp:posOffset>-793750</wp:posOffset>
            </wp:positionV>
            <wp:extent cx="7563485" cy="10691495"/>
            <wp:effectExtent l="0" t="0" r="0" b="0"/>
            <wp:wrapNone/>
            <wp:docPr id="95" name="Picture 9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CE4066">
        <w:t>Figure 2-</w:t>
      </w:r>
      <w:r>
        <w:fldChar w:fldCharType="begin"/>
      </w:r>
      <w:r>
        <w:instrText>SEQ Figure \* ARABIC</w:instrText>
      </w:r>
      <w:r>
        <w:fldChar w:fldCharType="separate"/>
      </w:r>
      <w:r w:rsidR="00FE4664">
        <w:rPr>
          <w:noProof/>
        </w:rPr>
        <w:t>4</w:t>
      </w:r>
      <w:r>
        <w:fldChar w:fldCharType="end"/>
      </w:r>
      <w:bookmarkEnd w:id="62"/>
      <w:r w:rsidR="00CE4066">
        <w:tab/>
        <w:t>Value of property transfers per capita</w:t>
      </w:r>
    </w:p>
    <w:p w14:paraId="634875F6" w14:textId="04A9C046" w:rsidR="00BC24D0" w:rsidRDefault="00502A96" w:rsidP="008D3A76">
      <w:pPr>
        <w:pStyle w:val="CGCTablenote"/>
        <w:keepNext/>
        <w:keepLines/>
        <w:widowControl w:val="0"/>
        <w:rPr>
          <w:noProof/>
        </w:rPr>
      </w:pPr>
      <w:r w:rsidRPr="00502A96">
        <w:rPr>
          <w:noProof/>
        </w:rPr>
        <w:drawing>
          <wp:inline distT="0" distB="0" distL="0" distR="0" wp14:anchorId="2D1E7D99" wp14:editId="5A0C7569">
            <wp:extent cx="5693410" cy="3571240"/>
            <wp:effectExtent l="0" t="0" r="2540" b="0"/>
            <wp:docPr id="73" name="Picture 73" descr="A column chart showing the per capita value of property transfers in each state, annually from 2017-18 to 2020-2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column chart showing the per capita value of property transfers in each state, annually from 2017-18 to 2020-21.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93410" cy="3571240"/>
                    </a:xfrm>
                    <a:prstGeom prst="rect">
                      <a:avLst/>
                    </a:prstGeom>
                    <a:noFill/>
                    <a:ln>
                      <a:noFill/>
                    </a:ln>
                  </pic:spPr>
                </pic:pic>
              </a:graphicData>
            </a:graphic>
          </wp:inline>
        </w:drawing>
      </w:r>
    </w:p>
    <w:p w14:paraId="25339801" w14:textId="2EBEAA12" w:rsidR="00CE4066" w:rsidRPr="00DD3696" w:rsidRDefault="00CE4066" w:rsidP="008D3A76">
      <w:pPr>
        <w:pStyle w:val="CGCTablenote"/>
        <w:keepNext/>
        <w:keepLines/>
        <w:widowControl w:val="0"/>
      </w:pPr>
      <w:r>
        <w:t>Source:</w:t>
      </w:r>
      <w:r>
        <w:tab/>
        <w:t>State data.</w:t>
      </w:r>
    </w:p>
    <w:p w14:paraId="475B362E" w14:textId="77777777" w:rsidR="00CE4066" w:rsidRPr="004378D6" w:rsidRDefault="00CE4066" w:rsidP="00EC68A5">
      <w:pPr>
        <w:pStyle w:val="Heading4"/>
      </w:pPr>
      <w:r w:rsidRPr="004378D6">
        <w:t>Capital improvements</w:t>
      </w:r>
    </w:p>
    <w:p w14:paraId="113A580F" w14:textId="65B275D5" w:rsidR="00CE4066" w:rsidRPr="00493207" w:rsidRDefault="00CE4066" w:rsidP="0004064D">
      <w:pPr>
        <w:pStyle w:val="CGCBodyCopy"/>
      </w:pPr>
      <w:r w:rsidRPr="004378D6">
        <w:t>There have been significant changes to the GST distribution from capital improvements due to a 69% ($4.7 billion) growth in the national level of investment in urban transport between 2017</w:t>
      </w:r>
      <w:r w:rsidR="004D70CB">
        <w:t>–</w:t>
      </w:r>
      <w:r w:rsidRPr="004378D6">
        <w:t>18 and 2020</w:t>
      </w:r>
      <w:r w:rsidR="004D70CB">
        <w:t>–</w:t>
      </w:r>
      <w:r w:rsidRPr="004378D6">
        <w:t xml:space="preserve">21. Victoria and </w:t>
      </w:r>
      <w:r w:rsidRPr="00493207">
        <w:t>Queensland contributed most of the increased investment.</w:t>
      </w:r>
    </w:p>
    <w:p w14:paraId="0650E6A8" w14:textId="46F6486F" w:rsidR="00CE4066" w:rsidRPr="00493207" w:rsidRDefault="00CE4066" w:rsidP="0004064D">
      <w:pPr>
        <w:pStyle w:val="CGCBodyCopy"/>
      </w:pPr>
      <w:r w:rsidRPr="00493207">
        <w:t>Investment in urban transport has grown faster than the GST pool</w:t>
      </w:r>
      <w:r w:rsidR="006318F6">
        <w:t>,</w:t>
      </w:r>
      <w:r w:rsidRPr="00493207">
        <w:t xml:space="preserve"> thus increasing the relative importance of the assessment. This has increased the GST share of New South Wales and Victoria, which have above</w:t>
      </w:r>
      <w:r w:rsidR="002E7313">
        <w:noBreakHyphen/>
      </w:r>
      <w:r w:rsidRPr="00493207">
        <w:t>average needs in this area of spending, and decreased the shares of the other states, which have below</w:t>
      </w:r>
      <w:r w:rsidR="002E7313">
        <w:noBreakHyphen/>
      </w:r>
      <w:r w:rsidRPr="00493207">
        <w:t>average needs.</w:t>
      </w:r>
    </w:p>
    <w:p w14:paraId="68AD7F24" w14:textId="0ABB23A3" w:rsidR="00CE4066" w:rsidRDefault="00CE4066" w:rsidP="0004064D">
      <w:pPr>
        <w:pStyle w:val="CGCBodyCopy"/>
      </w:pPr>
      <w:r w:rsidRPr="00493207">
        <w:t>Changes due to capital improvements are distinct from changes related to population growth, where a growing population increases the infrastructure needs of states to maintain</w:t>
      </w:r>
      <w:r w:rsidRPr="004378D6">
        <w:t xml:space="preserve"> their current level of infrastructure per person. Both drivers affect the level of investment each state is assessed as requiring. Population growth is the second largest driver of change in </w:t>
      </w:r>
      <w:r>
        <w:t xml:space="preserve">assessed relativities in </w:t>
      </w:r>
      <w:r w:rsidRPr="004378D6">
        <w:t>this update and is discussed earlier in this section.</w:t>
      </w:r>
    </w:p>
    <w:p w14:paraId="2EA41EAC" w14:textId="165E6A54" w:rsidR="00CE4066" w:rsidRDefault="00CE4066" w:rsidP="00EC68A5">
      <w:pPr>
        <w:pStyle w:val="Heading4"/>
      </w:pPr>
      <w:r>
        <w:t>Commonwealth payments</w:t>
      </w:r>
    </w:p>
    <w:p w14:paraId="69398127" w14:textId="35874E1E" w:rsidR="00CE4066" w:rsidRDefault="00CE4066" w:rsidP="0004064D">
      <w:pPr>
        <w:pStyle w:val="CGCBodyCopy"/>
      </w:pPr>
      <w:r>
        <w:t>The Commonwealth makes payments to states for specific purposes. If a payment is for a state-type service for which the Commission assesses needs, then it considers this revenue when assessing how much GST a state requires.</w:t>
      </w:r>
      <w:r w:rsidR="0098712D">
        <w:t xml:space="preserve"> </w:t>
      </w:r>
    </w:p>
    <w:p w14:paraId="5E1C98BF" w14:textId="1F197433" w:rsidR="00CE4066" w:rsidRPr="005A224D" w:rsidRDefault="00CE4066" w:rsidP="0004064D">
      <w:pPr>
        <w:pStyle w:val="CGCBodyCopy"/>
      </w:pPr>
      <w:r>
        <w:t>To the extent that a state receives above</w:t>
      </w:r>
      <w:r w:rsidR="002E7313">
        <w:noBreakHyphen/>
      </w:r>
      <w:r>
        <w:t xml:space="preserve">average per capita amounts of these payments, it is assessed to require less GST per capita. Conversely, if </w:t>
      </w:r>
      <w:r w:rsidR="00397510">
        <w:rPr>
          <w:noProof/>
        </w:rPr>
        <w:drawing>
          <wp:anchor distT="0" distB="0" distL="114300" distR="114300" simplePos="0" relativeHeight="251658306" behindDoc="1" locked="1" layoutInCell="1" allowOverlap="1" wp14:anchorId="07B5D8D7" wp14:editId="59C58757">
            <wp:simplePos x="0" y="0"/>
            <wp:positionH relativeFrom="page">
              <wp:posOffset>-6350</wp:posOffset>
            </wp:positionH>
            <wp:positionV relativeFrom="margin">
              <wp:posOffset>-796925</wp:posOffset>
            </wp:positionV>
            <wp:extent cx="7563485" cy="10691495"/>
            <wp:effectExtent l="0" t="0" r="0" b="0"/>
            <wp:wrapNone/>
            <wp:docPr id="96" name="Picture 9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t>a state receives below</w:t>
      </w:r>
      <w:r w:rsidR="002E7313">
        <w:noBreakHyphen/>
      </w:r>
      <w:r>
        <w:t>average amounts, it is assessed to require more GST per capita.</w:t>
      </w:r>
      <w:r w:rsidR="00A02B24" w:rsidRPr="00A02B24">
        <w:t xml:space="preserve"> </w:t>
      </w:r>
      <w:r w:rsidR="00A02B24">
        <w:t>In some circumstances, the Commonwealth Treasurer directs the Commission to exclude specific payments from its assessment.</w:t>
      </w:r>
    </w:p>
    <w:p w14:paraId="0A1CC097" w14:textId="536B291D" w:rsidR="00CE4066" w:rsidRPr="005A224D" w:rsidRDefault="00CE4066" w:rsidP="0004064D">
      <w:pPr>
        <w:pStyle w:val="CGCBodyCopy"/>
      </w:pPr>
      <w:r>
        <w:t>Between 2017</w:t>
      </w:r>
      <w:r w:rsidR="008C56CF">
        <w:t>–</w:t>
      </w:r>
      <w:r>
        <w:t>18 and 2020</w:t>
      </w:r>
      <w:r w:rsidR="00DB4CA7">
        <w:t>–</w:t>
      </w:r>
      <w:r>
        <w:t>21, there were changes in the interstate distribution of some payments for specific purposes, particularly for national health reform, road infrastructure and remote Indigenous housing. This had flow-on effects for GST pool distribution. New and ceased payments in 2020</w:t>
      </w:r>
      <w:r w:rsidR="00DB4CA7">
        <w:t>–</w:t>
      </w:r>
      <w:r>
        <w:t>21 also affected GST distribution.</w:t>
      </w:r>
    </w:p>
    <w:p w14:paraId="0C15153C" w14:textId="0F9EC775" w:rsidR="00CE4066" w:rsidRDefault="00CE4066" w:rsidP="0004064D">
      <w:pPr>
        <w:pStyle w:val="CGCBodyCopy"/>
      </w:pPr>
      <w:r>
        <w:t>Victoria</w:t>
      </w:r>
      <w:r w:rsidR="00044182">
        <w:t>,</w:t>
      </w:r>
      <w:r>
        <w:t xml:space="preserve"> Queensland and </w:t>
      </w:r>
      <w:r w:rsidR="00044182" w:rsidRPr="00AA0A35">
        <w:t>Western Australia</w:t>
      </w:r>
      <w:r>
        <w:t xml:space="preserve"> received greater shares of assessed Commonwealth payments in 2020</w:t>
      </w:r>
      <w:r w:rsidR="00DB4CA7">
        <w:t>–</w:t>
      </w:r>
      <w:r>
        <w:t>21 than in 2017</w:t>
      </w:r>
      <w:r w:rsidR="007651E4">
        <w:t>–</w:t>
      </w:r>
      <w:r>
        <w:t>18. The other states received smaller shares of Commonwealth payments in 2020</w:t>
      </w:r>
      <w:r w:rsidR="007651E4">
        <w:t>–</w:t>
      </w:r>
      <w:r>
        <w:t>21 than in 2017</w:t>
      </w:r>
      <w:r w:rsidR="007651E4">
        <w:t>–</w:t>
      </w:r>
      <w:r w:rsidR="00D8680F">
        <w:t>1</w:t>
      </w:r>
      <w:r>
        <w:t xml:space="preserve">8, increasing their GST </w:t>
      </w:r>
      <w:r w:rsidR="004A2195">
        <w:t>needs</w:t>
      </w:r>
      <w:r>
        <w:t xml:space="preserve">. The main payments causing changes in this update are shown in </w:t>
      </w:r>
      <w:r>
        <w:fldChar w:fldCharType="begin"/>
      </w:r>
      <w:r>
        <w:instrText xml:space="preserve"> REF _Ref93853007 \h </w:instrText>
      </w:r>
      <w:r>
        <w:fldChar w:fldCharType="separate"/>
      </w:r>
      <w:r w:rsidR="00FE4664">
        <w:t>Table 2-</w:t>
      </w:r>
      <w:r w:rsidR="00FE4664">
        <w:rPr>
          <w:noProof/>
        </w:rPr>
        <w:t>7</w:t>
      </w:r>
      <w:r>
        <w:fldChar w:fldCharType="end"/>
      </w:r>
      <w:r>
        <w:t xml:space="preserve">. </w:t>
      </w:r>
    </w:p>
    <w:p w14:paraId="621C3B4C" w14:textId="2761DA1B" w:rsidR="00CE4066" w:rsidRPr="005A224D" w:rsidRDefault="00CE4066" w:rsidP="00A6229D">
      <w:pPr>
        <w:pStyle w:val="Caption"/>
        <w:widowControl w:val="0"/>
      </w:pPr>
      <w:bookmarkStart w:id="63" w:name="_Ref93853007"/>
      <w:r>
        <w:t>Table 2-</w:t>
      </w:r>
      <w:r>
        <w:fldChar w:fldCharType="begin"/>
      </w:r>
      <w:r>
        <w:instrText>SEQ Table \* ARABIC</w:instrText>
      </w:r>
      <w:r>
        <w:fldChar w:fldCharType="separate"/>
      </w:r>
      <w:r w:rsidR="00FE4664">
        <w:rPr>
          <w:noProof/>
        </w:rPr>
        <w:t>7</w:t>
      </w:r>
      <w:r>
        <w:fldChar w:fldCharType="end"/>
      </w:r>
      <w:bookmarkEnd w:id="63"/>
      <w:r>
        <w:tab/>
        <w:t>Changes in the estimated GST distribution due to changes in Commonwealth payments, 2021</w:t>
      </w:r>
      <w:r w:rsidR="007651E4">
        <w:t>–</w:t>
      </w:r>
      <w:r>
        <w:t>22 to 2022</w:t>
      </w:r>
      <w:r w:rsidR="007651E4">
        <w:t>–</w:t>
      </w:r>
      <w:r>
        <w:t>23</w:t>
      </w:r>
    </w:p>
    <w:tbl>
      <w:tblPr>
        <w:tblW w:w="8940" w:type="dxa"/>
        <w:tblLook w:val="04A0" w:firstRow="1" w:lastRow="0" w:firstColumn="1" w:lastColumn="0" w:noHBand="0" w:noVBand="1"/>
      </w:tblPr>
      <w:tblGrid>
        <w:gridCol w:w="4155"/>
        <w:gridCol w:w="571"/>
        <w:gridCol w:w="500"/>
        <w:gridCol w:w="560"/>
        <w:gridCol w:w="500"/>
        <w:gridCol w:w="500"/>
        <w:gridCol w:w="500"/>
        <w:gridCol w:w="503"/>
        <w:gridCol w:w="500"/>
        <w:gridCol w:w="651"/>
      </w:tblGrid>
      <w:tr w:rsidR="0096302F" w:rsidRPr="0096302F" w14:paraId="3552D5B8" w14:textId="77777777" w:rsidTr="0096302F">
        <w:trPr>
          <w:trHeight w:val="379"/>
        </w:trPr>
        <w:tc>
          <w:tcPr>
            <w:tcW w:w="4280" w:type="dxa"/>
            <w:tcBorders>
              <w:top w:val="nil"/>
              <w:left w:val="nil"/>
              <w:bottom w:val="nil"/>
              <w:right w:val="nil"/>
            </w:tcBorders>
            <w:shd w:val="clear" w:color="000000" w:fill="006991"/>
            <w:vAlign w:val="bottom"/>
            <w:hideMark/>
          </w:tcPr>
          <w:p w14:paraId="40092136" w14:textId="77777777" w:rsidR="0096302F" w:rsidRPr="0096302F" w:rsidRDefault="0096302F" w:rsidP="0096302F">
            <w:pPr>
              <w:tabs>
                <w:tab w:val="clear" w:pos="567"/>
              </w:tabs>
              <w:spacing w:before="0" w:line="240" w:lineRule="auto"/>
              <w:rPr>
                <w:rFonts w:ascii="Open Sans Semibold" w:eastAsia="Times New Roman" w:hAnsi="Open Sans Semibold" w:cs="Open Sans Semibold"/>
                <w:color w:val="FFFFFF"/>
                <w:sz w:val="16"/>
                <w:szCs w:val="16"/>
                <w:lang w:eastAsia="en-AU"/>
              </w:rPr>
            </w:pPr>
            <w:r w:rsidRPr="0096302F">
              <w:rPr>
                <w:rFonts w:ascii="Open Sans Semibold" w:eastAsia="Times New Roman" w:hAnsi="Open Sans Semibold" w:cs="Open Sans Semibold"/>
                <w:color w:val="FFFFFF"/>
                <w:sz w:val="16"/>
                <w:szCs w:val="16"/>
                <w:lang w:eastAsia="en-AU"/>
              </w:rPr>
              <w:t> </w:t>
            </w:r>
          </w:p>
        </w:tc>
        <w:tc>
          <w:tcPr>
            <w:tcW w:w="500" w:type="dxa"/>
            <w:tcBorders>
              <w:top w:val="nil"/>
              <w:left w:val="nil"/>
              <w:bottom w:val="nil"/>
              <w:right w:val="nil"/>
            </w:tcBorders>
            <w:shd w:val="clear" w:color="000000" w:fill="006991"/>
            <w:vAlign w:val="center"/>
            <w:hideMark/>
          </w:tcPr>
          <w:p w14:paraId="394BEFF5"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302F">
              <w:rPr>
                <w:rFonts w:ascii="Open Sans Semibold" w:eastAsia="Times New Roman" w:hAnsi="Open Sans Semibold" w:cs="Open Sans Semibold"/>
                <w:color w:val="FFFFFF"/>
                <w:sz w:val="16"/>
                <w:szCs w:val="16"/>
                <w:lang w:eastAsia="en-AU"/>
              </w:rPr>
              <w:t>NSW</w:t>
            </w:r>
          </w:p>
        </w:tc>
        <w:tc>
          <w:tcPr>
            <w:tcW w:w="500" w:type="dxa"/>
            <w:tcBorders>
              <w:top w:val="nil"/>
              <w:left w:val="nil"/>
              <w:bottom w:val="nil"/>
              <w:right w:val="nil"/>
            </w:tcBorders>
            <w:shd w:val="clear" w:color="000000" w:fill="006991"/>
            <w:vAlign w:val="center"/>
            <w:hideMark/>
          </w:tcPr>
          <w:p w14:paraId="31414D97"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302F">
              <w:rPr>
                <w:rFonts w:ascii="Open Sans Semibold" w:eastAsia="Times New Roman" w:hAnsi="Open Sans Semibold" w:cs="Open Sans Semibold"/>
                <w:color w:val="FFFFFF"/>
                <w:sz w:val="16"/>
                <w:szCs w:val="16"/>
                <w:lang w:eastAsia="en-AU"/>
              </w:rPr>
              <w:t>Vic</w:t>
            </w:r>
          </w:p>
        </w:tc>
        <w:tc>
          <w:tcPr>
            <w:tcW w:w="560" w:type="dxa"/>
            <w:tcBorders>
              <w:top w:val="nil"/>
              <w:left w:val="nil"/>
              <w:bottom w:val="nil"/>
              <w:right w:val="nil"/>
            </w:tcBorders>
            <w:shd w:val="clear" w:color="000000" w:fill="006991"/>
            <w:vAlign w:val="center"/>
            <w:hideMark/>
          </w:tcPr>
          <w:p w14:paraId="314A6D8D"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302F">
              <w:rPr>
                <w:rFonts w:ascii="Open Sans Semibold" w:eastAsia="Times New Roman" w:hAnsi="Open Sans Semibold" w:cs="Open Sans Semibold"/>
                <w:color w:val="FFFFFF"/>
                <w:sz w:val="16"/>
                <w:szCs w:val="16"/>
                <w:lang w:eastAsia="en-AU"/>
              </w:rPr>
              <w:t>Qld</w:t>
            </w:r>
          </w:p>
        </w:tc>
        <w:tc>
          <w:tcPr>
            <w:tcW w:w="500" w:type="dxa"/>
            <w:tcBorders>
              <w:top w:val="nil"/>
              <w:left w:val="nil"/>
              <w:bottom w:val="nil"/>
              <w:right w:val="nil"/>
            </w:tcBorders>
            <w:shd w:val="clear" w:color="000000" w:fill="006991"/>
            <w:vAlign w:val="center"/>
            <w:hideMark/>
          </w:tcPr>
          <w:p w14:paraId="0F598FF2"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302F">
              <w:rPr>
                <w:rFonts w:ascii="Open Sans Semibold" w:eastAsia="Times New Roman" w:hAnsi="Open Sans Semibold" w:cs="Open Sans Semibold"/>
                <w:color w:val="FFFFFF"/>
                <w:sz w:val="16"/>
                <w:szCs w:val="16"/>
                <w:lang w:eastAsia="en-AU"/>
              </w:rPr>
              <w:t>WA</w:t>
            </w:r>
          </w:p>
        </w:tc>
        <w:tc>
          <w:tcPr>
            <w:tcW w:w="500" w:type="dxa"/>
            <w:tcBorders>
              <w:top w:val="nil"/>
              <w:left w:val="nil"/>
              <w:bottom w:val="nil"/>
              <w:right w:val="nil"/>
            </w:tcBorders>
            <w:shd w:val="clear" w:color="000000" w:fill="006991"/>
            <w:vAlign w:val="center"/>
            <w:hideMark/>
          </w:tcPr>
          <w:p w14:paraId="79F3E298"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302F">
              <w:rPr>
                <w:rFonts w:ascii="Open Sans Semibold" w:eastAsia="Times New Roman" w:hAnsi="Open Sans Semibold" w:cs="Open Sans Semibold"/>
                <w:color w:val="FFFFFF"/>
                <w:sz w:val="16"/>
                <w:szCs w:val="16"/>
                <w:lang w:eastAsia="en-AU"/>
              </w:rPr>
              <w:t>SA</w:t>
            </w:r>
          </w:p>
        </w:tc>
        <w:tc>
          <w:tcPr>
            <w:tcW w:w="500" w:type="dxa"/>
            <w:tcBorders>
              <w:top w:val="nil"/>
              <w:left w:val="nil"/>
              <w:bottom w:val="nil"/>
              <w:right w:val="nil"/>
            </w:tcBorders>
            <w:shd w:val="clear" w:color="000000" w:fill="006991"/>
            <w:vAlign w:val="center"/>
            <w:hideMark/>
          </w:tcPr>
          <w:p w14:paraId="1C48DD74"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302F">
              <w:rPr>
                <w:rFonts w:ascii="Open Sans Semibold" w:eastAsia="Times New Roman" w:hAnsi="Open Sans Semibold" w:cs="Open Sans Semibold"/>
                <w:color w:val="FFFFFF"/>
                <w:sz w:val="16"/>
                <w:szCs w:val="16"/>
                <w:lang w:eastAsia="en-AU"/>
              </w:rPr>
              <w:t>Tas</w:t>
            </w:r>
          </w:p>
        </w:tc>
        <w:tc>
          <w:tcPr>
            <w:tcW w:w="500" w:type="dxa"/>
            <w:tcBorders>
              <w:top w:val="nil"/>
              <w:left w:val="nil"/>
              <w:bottom w:val="nil"/>
              <w:right w:val="nil"/>
            </w:tcBorders>
            <w:shd w:val="clear" w:color="000000" w:fill="006991"/>
            <w:vAlign w:val="center"/>
            <w:hideMark/>
          </w:tcPr>
          <w:p w14:paraId="326464E9"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302F">
              <w:rPr>
                <w:rFonts w:ascii="Open Sans Semibold" w:eastAsia="Times New Roman" w:hAnsi="Open Sans Semibold" w:cs="Open Sans Semibold"/>
                <w:color w:val="FFFFFF"/>
                <w:sz w:val="16"/>
                <w:szCs w:val="16"/>
                <w:lang w:eastAsia="en-AU"/>
              </w:rPr>
              <w:t>ACT</w:t>
            </w:r>
          </w:p>
        </w:tc>
        <w:tc>
          <w:tcPr>
            <w:tcW w:w="500" w:type="dxa"/>
            <w:tcBorders>
              <w:top w:val="nil"/>
              <w:left w:val="nil"/>
              <w:bottom w:val="nil"/>
              <w:right w:val="nil"/>
            </w:tcBorders>
            <w:shd w:val="clear" w:color="000000" w:fill="006991"/>
            <w:vAlign w:val="center"/>
            <w:hideMark/>
          </w:tcPr>
          <w:p w14:paraId="50801A35"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302F">
              <w:rPr>
                <w:rFonts w:ascii="Open Sans Semibold" w:eastAsia="Times New Roman" w:hAnsi="Open Sans Semibold" w:cs="Open Sans Semibold"/>
                <w:color w:val="FFFFFF"/>
                <w:sz w:val="16"/>
                <w:szCs w:val="16"/>
                <w:lang w:eastAsia="en-AU"/>
              </w:rPr>
              <w:t>NT</w:t>
            </w:r>
          </w:p>
        </w:tc>
        <w:tc>
          <w:tcPr>
            <w:tcW w:w="600" w:type="dxa"/>
            <w:tcBorders>
              <w:top w:val="nil"/>
              <w:left w:val="nil"/>
              <w:bottom w:val="nil"/>
              <w:right w:val="nil"/>
            </w:tcBorders>
            <w:shd w:val="clear" w:color="000000" w:fill="006991"/>
            <w:vAlign w:val="center"/>
            <w:hideMark/>
          </w:tcPr>
          <w:p w14:paraId="5D7A3BBE"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302F">
              <w:rPr>
                <w:rFonts w:ascii="Open Sans Semibold" w:eastAsia="Times New Roman" w:hAnsi="Open Sans Semibold" w:cs="Open Sans Semibold"/>
                <w:color w:val="FFFFFF"/>
                <w:sz w:val="16"/>
                <w:szCs w:val="16"/>
                <w:lang w:eastAsia="en-AU"/>
              </w:rPr>
              <w:t>Redist</w:t>
            </w:r>
          </w:p>
        </w:tc>
      </w:tr>
      <w:tr w:rsidR="0096302F" w:rsidRPr="0096302F" w14:paraId="27BBDC5F" w14:textId="77777777" w:rsidTr="0096302F">
        <w:trPr>
          <w:trHeight w:val="259"/>
        </w:trPr>
        <w:tc>
          <w:tcPr>
            <w:tcW w:w="4280" w:type="dxa"/>
            <w:tcBorders>
              <w:top w:val="single" w:sz="4" w:space="0" w:color="ADD6EA"/>
              <w:left w:val="nil"/>
              <w:bottom w:val="nil"/>
              <w:right w:val="nil"/>
            </w:tcBorders>
            <w:shd w:val="clear" w:color="000000" w:fill="B6D5E4"/>
            <w:vAlign w:val="bottom"/>
            <w:hideMark/>
          </w:tcPr>
          <w:p w14:paraId="45DDCAB0" w14:textId="77777777" w:rsidR="0096302F" w:rsidRPr="0096302F" w:rsidRDefault="0096302F" w:rsidP="0096302F">
            <w:pPr>
              <w:tabs>
                <w:tab w:val="clear" w:pos="567"/>
              </w:tabs>
              <w:spacing w:before="0" w:line="240" w:lineRule="auto"/>
              <w:rPr>
                <w:rFonts w:ascii="Open Sans Semibold" w:eastAsia="Times New Roman" w:hAnsi="Open Sans Semibold" w:cs="Open Sans Semibold"/>
                <w:color w:val="000000"/>
                <w:sz w:val="16"/>
                <w:szCs w:val="16"/>
                <w:lang w:eastAsia="en-AU"/>
              </w:rPr>
            </w:pPr>
            <w:r w:rsidRPr="0096302F">
              <w:rPr>
                <w:rFonts w:ascii="Open Sans Semibold" w:eastAsia="Times New Roman" w:hAnsi="Open Sans Semibold" w:cs="Open Sans Semibold"/>
                <w:color w:val="000000"/>
                <w:sz w:val="16"/>
                <w:szCs w:val="16"/>
                <w:lang w:eastAsia="en-AU"/>
              </w:rPr>
              <w:t> </w:t>
            </w:r>
          </w:p>
        </w:tc>
        <w:tc>
          <w:tcPr>
            <w:tcW w:w="500" w:type="dxa"/>
            <w:tcBorders>
              <w:top w:val="single" w:sz="4" w:space="0" w:color="ADD6EA"/>
              <w:left w:val="nil"/>
              <w:bottom w:val="nil"/>
              <w:right w:val="nil"/>
            </w:tcBorders>
            <w:shd w:val="clear" w:color="000000" w:fill="B6D5E4"/>
            <w:noWrap/>
            <w:vAlign w:val="bottom"/>
            <w:hideMark/>
          </w:tcPr>
          <w:p w14:paraId="68B5896B"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302F">
              <w:rPr>
                <w:rFonts w:ascii="Open Sans Semibold" w:eastAsia="Times New Roman" w:hAnsi="Open Sans Semibold" w:cs="Open Sans Semibold"/>
                <w:color w:val="000000"/>
                <w:sz w:val="16"/>
                <w:szCs w:val="16"/>
                <w:lang w:eastAsia="en-AU"/>
              </w:rPr>
              <w:t>$m</w:t>
            </w:r>
          </w:p>
        </w:tc>
        <w:tc>
          <w:tcPr>
            <w:tcW w:w="500" w:type="dxa"/>
            <w:tcBorders>
              <w:top w:val="single" w:sz="4" w:space="0" w:color="ADD6EA"/>
              <w:left w:val="nil"/>
              <w:bottom w:val="nil"/>
              <w:right w:val="nil"/>
            </w:tcBorders>
            <w:shd w:val="clear" w:color="000000" w:fill="B6D5E4"/>
            <w:noWrap/>
            <w:vAlign w:val="bottom"/>
            <w:hideMark/>
          </w:tcPr>
          <w:p w14:paraId="1765B2A7"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302F">
              <w:rPr>
                <w:rFonts w:ascii="Open Sans Semibold" w:eastAsia="Times New Roman" w:hAnsi="Open Sans Semibold" w:cs="Open Sans Semibold"/>
                <w:color w:val="000000"/>
                <w:sz w:val="16"/>
                <w:szCs w:val="16"/>
                <w:lang w:eastAsia="en-AU"/>
              </w:rPr>
              <w:t>$m</w:t>
            </w:r>
          </w:p>
        </w:tc>
        <w:tc>
          <w:tcPr>
            <w:tcW w:w="560" w:type="dxa"/>
            <w:tcBorders>
              <w:top w:val="single" w:sz="4" w:space="0" w:color="ADD6EA"/>
              <w:left w:val="nil"/>
              <w:bottom w:val="nil"/>
              <w:right w:val="nil"/>
            </w:tcBorders>
            <w:shd w:val="clear" w:color="000000" w:fill="B6D5E4"/>
            <w:noWrap/>
            <w:vAlign w:val="bottom"/>
            <w:hideMark/>
          </w:tcPr>
          <w:p w14:paraId="33836FE9"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302F">
              <w:rPr>
                <w:rFonts w:ascii="Open Sans Semibold" w:eastAsia="Times New Roman" w:hAnsi="Open Sans Semibold" w:cs="Open Sans Semibold"/>
                <w:color w:val="000000"/>
                <w:sz w:val="16"/>
                <w:szCs w:val="16"/>
                <w:lang w:eastAsia="en-AU"/>
              </w:rPr>
              <w:t>$m</w:t>
            </w:r>
          </w:p>
        </w:tc>
        <w:tc>
          <w:tcPr>
            <w:tcW w:w="500" w:type="dxa"/>
            <w:tcBorders>
              <w:top w:val="single" w:sz="4" w:space="0" w:color="ADD6EA"/>
              <w:left w:val="nil"/>
              <w:bottom w:val="nil"/>
              <w:right w:val="nil"/>
            </w:tcBorders>
            <w:shd w:val="clear" w:color="000000" w:fill="B6D5E4"/>
            <w:noWrap/>
            <w:vAlign w:val="bottom"/>
            <w:hideMark/>
          </w:tcPr>
          <w:p w14:paraId="5468FCCF"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302F">
              <w:rPr>
                <w:rFonts w:ascii="Open Sans Semibold" w:eastAsia="Times New Roman" w:hAnsi="Open Sans Semibold" w:cs="Open Sans Semibold"/>
                <w:color w:val="000000"/>
                <w:sz w:val="16"/>
                <w:szCs w:val="16"/>
                <w:lang w:eastAsia="en-AU"/>
              </w:rPr>
              <w:t>$m</w:t>
            </w:r>
          </w:p>
        </w:tc>
        <w:tc>
          <w:tcPr>
            <w:tcW w:w="500" w:type="dxa"/>
            <w:tcBorders>
              <w:top w:val="single" w:sz="4" w:space="0" w:color="ADD6EA"/>
              <w:left w:val="nil"/>
              <w:bottom w:val="nil"/>
              <w:right w:val="nil"/>
            </w:tcBorders>
            <w:shd w:val="clear" w:color="000000" w:fill="B6D5E4"/>
            <w:noWrap/>
            <w:vAlign w:val="bottom"/>
            <w:hideMark/>
          </w:tcPr>
          <w:p w14:paraId="5AB76FC2"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302F">
              <w:rPr>
                <w:rFonts w:ascii="Open Sans Semibold" w:eastAsia="Times New Roman" w:hAnsi="Open Sans Semibold" w:cs="Open Sans Semibold"/>
                <w:color w:val="000000"/>
                <w:sz w:val="16"/>
                <w:szCs w:val="16"/>
                <w:lang w:eastAsia="en-AU"/>
              </w:rPr>
              <w:t>$m</w:t>
            </w:r>
          </w:p>
        </w:tc>
        <w:tc>
          <w:tcPr>
            <w:tcW w:w="500" w:type="dxa"/>
            <w:tcBorders>
              <w:top w:val="single" w:sz="4" w:space="0" w:color="ADD6EA"/>
              <w:left w:val="nil"/>
              <w:bottom w:val="nil"/>
              <w:right w:val="nil"/>
            </w:tcBorders>
            <w:shd w:val="clear" w:color="000000" w:fill="B6D5E4"/>
            <w:noWrap/>
            <w:vAlign w:val="bottom"/>
            <w:hideMark/>
          </w:tcPr>
          <w:p w14:paraId="4A474828"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302F">
              <w:rPr>
                <w:rFonts w:ascii="Open Sans Semibold" w:eastAsia="Times New Roman" w:hAnsi="Open Sans Semibold" w:cs="Open Sans Semibold"/>
                <w:color w:val="000000"/>
                <w:sz w:val="16"/>
                <w:szCs w:val="16"/>
                <w:lang w:eastAsia="en-AU"/>
              </w:rPr>
              <w:t>$m</w:t>
            </w:r>
          </w:p>
        </w:tc>
        <w:tc>
          <w:tcPr>
            <w:tcW w:w="500" w:type="dxa"/>
            <w:tcBorders>
              <w:top w:val="single" w:sz="4" w:space="0" w:color="ADD6EA"/>
              <w:left w:val="nil"/>
              <w:bottom w:val="nil"/>
              <w:right w:val="nil"/>
            </w:tcBorders>
            <w:shd w:val="clear" w:color="000000" w:fill="B6D5E4"/>
            <w:noWrap/>
            <w:vAlign w:val="bottom"/>
            <w:hideMark/>
          </w:tcPr>
          <w:p w14:paraId="2BA808D7"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302F">
              <w:rPr>
                <w:rFonts w:ascii="Open Sans Semibold" w:eastAsia="Times New Roman" w:hAnsi="Open Sans Semibold" w:cs="Open Sans Semibold"/>
                <w:color w:val="000000"/>
                <w:sz w:val="16"/>
                <w:szCs w:val="16"/>
                <w:lang w:eastAsia="en-AU"/>
              </w:rPr>
              <w:t>$m</w:t>
            </w:r>
          </w:p>
        </w:tc>
        <w:tc>
          <w:tcPr>
            <w:tcW w:w="500" w:type="dxa"/>
            <w:tcBorders>
              <w:top w:val="single" w:sz="4" w:space="0" w:color="ADD6EA"/>
              <w:left w:val="nil"/>
              <w:bottom w:val="nil"/>
              <w:right w:val="nil"/>
            </w:tcBorders>
            <w:shd w:val="clear" w:color="000000" w:fill="B6D5E4"/>
            <w:noWrap/>
            <w:vAlign w:val="bottom"/>
            <w:hideMark/>
          </w:tcPr>
          <w:p w14:paraId="6867DF91"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302F">
              <w:rPr>
                <w:rFonts w:ascii="Open Sans Semibold" w:eastAsia="Times New Roman" w:hAnsi="Open Sans Semibold" w:cs="Open Sans Semibold"/>
                <w:color w:val="000000"/>
                <w:sz w:val="16"/>
                <w:szCs w:val="16"/>
                <w:lang w:eastAsia="en-AU"/>
              </w:rPr>
              <w:t>$m</w:t>
            </w:r>
          </w:p>
        </w:tc>
        <w:tc>
          <w:tcPr>
            <w:tcW w:w="600" w:type="dxa"/>
            <w:tcBorders>
              <w:top w:val="single" w:sz="4" w:space="0" w:color="ADD6EA"/>
              <w:left w:val="nil"/>
              <w:bottom w:val="nil"/>
              <w:right w:val="nil"/>
            </w:tcBorders>
            <w:shd w:val="clear" w:color="000000" w:fill="B6D5E4"/>
            <w:noWrap/>
            <w:vAlign w:val="bottom"/>
            <w:hideMark/>
          </w:tcPr>
          <w:p w14:paraId="73F8B81B" w14:textId="77777777" w:rsidR="0096302F" w:rsidRPr="0096302F"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302F">
              <w:rPr>
                <w:rFonts w:ascii="Open Sans Semibold" w:eastAsia="Times New Roman" w:hAnsi="Open Sans Semibold" w:cs="Open Sans Semibold"/>
                <w:color w:val="000000"/>
                <w:sz w:val="16"/>
                <w:szCs w:val="16"/>
                <w:lang w:eastAsia="en-AU"/>
              </w:rPr>
              <w:t>$m</w:t>
            </w:r>
          </w:p>
        </w:tc>
      </w:tr>
      <w:tr w:rsidR="0096302F" w:rsidRPr="0096302F" w14:paraId="1F5FF05B" w14:textId="77777777" w:rsidTr="0096302F">
        <w:trPr>
          <w:trHeight w:val="315"/>
        </w:trPr>
        <w:tc>
          <w:tcPr>
            <w:tcW w:w="4280" w:type="dxa"/>
            <w:tcBorders>
              <w:top w:val="single" w:sz="4" w:space="0" w:color="ADD6EA"/>
              <w:left w:val="nil"/>
              <w:bottom w:val="nil"/>
              <w:right w:val="nil"/>
            </w:tcBorders>
            <w:shd w:val="clear" w:color="auto" w:fill="auto"/>
            <w:vAlign w:val="bottom"/>
            <w:hideMark/>
          </w:tcPr>
          <w:p w14:paraId="6D01E607" w14:textId="77777777" w:rsidR="0096302F" w:rsidRPr="0096302F" w:rsidRDefault="0096302F" w:rsidP="0096302F">
            <w:pPr>
              <w:tabs>
                <w:tab w:val="clear" w:pos="567"/>
              </w:tabs>
              <w:spacing w:before="0" w:line="240" w:lineRule="auto"/>
              <w:rPr>
                <w:rFonts w:eastAsia="Times New Roman" w:cs="Open Sans Light"/>
                <w:color w:val="000000"/>
                <w:sz w:val="16"/>
                <w:szCs w:val="16"/>
                <w:lang w:eastAsia="en-AU"/>
              </w:rPr>
            </w:pPr>
            <w:r w:rsidRPr="0096302F">
              <w:rPr>
                <w:rFonts w:eastAsia="Times New Roman" w:cs="Open Sans Light"/>
                <w:color w:val="000000"/>
                <w:sz w:val="16"/>
                <w:szCs w:val="16"/>
                <w:lang w:eastAsia="en-AU"/>
              </w:rPr>
              <w:t>National health reform funding</w:t>
            </w:r>
          </w:p>
        </w:tc>
        <w:tc>
          <w:tcPr>
            <w:tcW w:w="500" w:type="dxa"/>
            <w:tcBorders>
              <w:top w:val="single" w:sz="4" w:space="0" w:color="ADD6EA"/>
              <w:left w:val="nil"/>
              <w:bottom w:val="nil"/>
              <w:right w:val="nil"/>
            </w:tcBorders>
            <w:shd w:val="clear" w:color="auto" w:fill="auto"/>
            <w:vAlign w:val="bottom"/>
            <w:hideMark/>
          </w:tcPr>
          <w:p w14:paraId="7CE27940"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113</w:t>
            </w:r>
          </w:p>
        </w:tc>
        <w:tc>
          <w:tcPr>
            <w:tcW w:w="500" w:type="dxa"/>
            <w:tcBorders>
              <w:top w:val="single" w:sz="4" w:space="0" w:color="ADD6EA"/>
              <w:left w:val="nil"/>
              <w:bottom w:val="nil"/>
              <w:right w:val="nil"/>
            </w:tcBorders>
            <w:shd w:val="clear" w:color="auto" w:fill="auto"/>
            <w:vAlign w:val="bottom"/>
            <w:hideMark/>
          </w:tcPr>
          <w:p w14:paraId="17527CDF"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3</w:t>
            </w:r>
          </w:p>
        </w:tc>
        <w:tc>
          <w:tcPr>
            <w:tcW w:w="560" w:type="dxa"/>
            <w:tcBorders>
              <w:top w:val="single" w:sz="4" w:space="0" w:color="ADD6EA"/>
              <w:left w:val="nil"/>
              <w:bottom w:val="nil"/>
              <w:right w:val="nil"/>
            </w:tcBorders>
            <w:shd w:val="clear" w:color="auto" w:fill="auto"/>
            <w:vAlign w:val="bottom"/>
            <w:hideMark/>
          </w:tcPr>
          <w:p w14:paraId="528D2AC9"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-131</w:t>
            </w:r>
          </w:p>
        </w:tc>
        <w:tc>
          <w:tcPr>
            <w:tcW w:w="500" w:type="dxa"/>
            <w:tcBorders>
              <w:top w:val="single" w:sz="4" w:space="0" w:color="ADD6EA"/>
              <w:left w:val="nil"/>
              <w:bottom w:val="nil"/>
              <w:right w:val="nil"/>
            </w:tcBorders>
            <w:shd w:val="clear" w:color="auto" w:fill="auto"/>
            <w:vAlign w:val="bottom"/>
            <w:hideMark/>
          </w:tcPr>
          <w:p w14:paraId="0CAF4E91"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11</w:t>
            </w:r>
          </w:p>
        </w:tc>
        <w:tc>
          <w:tcPr>
            <w:tcW w:w="500" w:type="dxa"/>
            <w:tcBorders>
              <w:top w:val="single" w:sz="4" w:space="0" w:color="ADD6EA"/>
              <w:left w:val="nil"/>
              <w:bottom w:val="nil"/>
              <w:right w:val="nil"/>
            </w:tcBorders>
            <w:shd w:val="clear" w:color="auto" w:fill="auto"/>
            <w:vAlign w:val="bottom"/>
            <w:hideMark/>
          </w:tcPr>
          <w:p w14:paraId="3C65D995"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5</w:t>
            </w:r>
          </w:p>
        </w:tc>
        <w:tc>
          <w:tcPr>
            <w:tcW w:w="500" w:type="dxa"/>
            <w:tcBorders>
              <w:top w:val="single" w:sz="4" w:space="0" w:color="ADD6EA"/>
              <w:left w:val="nil"/>
              <w:bottom w:val="nil"/>
              <w:right w:val="nil"/>
            </w:tcBorders>
            <w:shd w:val="clear" w:color="auto" w:fill="auto"/>
            <w:vAlign w:val="bottom"/>
            <w:hideMark/>
          </w:tcPr>
          <w:p w14:paraId="2A58F8DB"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w:t>
            </w:r>
          </w:p>
        </w:tc>
        <w:tc>
          <w:tcPr>
            <w:tcW w:w="500" w:type="dxa"/>
            <w:tcBorders>
              <w:top w:val="single" w:sz="4" w:space="0" w:color="ADD6EA"/>
              <w:left w:val="nil"/>
              <w:bottom w:val="nil"/>
              <w:right w:val="nil"/>
            </w:tcBorders>
            <w:shd w:val="clear" w:color="auto" w:fill="auto"/>
            <w:vAlign w:val="bottom"/>
            <w:hideMark/>
          </w:tcPr>
          <w:p w14:paraId="324FA73A"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w:t>
            </w:r>
          </w:p>
        </w:tc>
        <w:tc>
          <w:tcPr>
            <w:tcW w:w="500" w:type="dxa"/>
            <w:tcBorders>
              <w:top w:val="single" w:sz="4" w:space="0" w:color="ADD6EA"/>
              <w:left w:val="nil"/>
              <w:bottom w:val="nil"/>
              <w:right w:val="nil"/>
            </w:tcBorders>
            <w:shd w:val="clear" w:color="auto" w:fill="auto"/>
            <w:vAlign w:val="bottom"/>
            <w:hideMark/>
          </w:tcPr>
          <w:p w14:paraId="34CF225B"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-2</w:t>
            </w:r>
          </w:p>
        </w:tc>
        <w:tc>
          <w:tcPr>
            <w:tcW w:w="600" w:type="dxa"/>
            <w:tcBorders>
              <w:top w:val="single" w:sz="4" w:space="0" w:color="ADD6EA"/>
              <w:left w:val="nil"/>
              <w:bottom w:val="nil"/>
              <w:right w:val="nil"/>
            </w:tcBorders>
            <w:shd w:val="clear" w:color="auto" w:fill="auto"/>
            <w:vAlign w:val="bottom"/>
            <w:hideMark/>
          </w:tcPr>
          <w:p w14:paraId="0965BF13"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133</w:t>
            </w:r>
          </w:p>
        </w:tc>
      </w:tr>
      <w:tr w:rsidR="0096302F" w:rsidRPr="0096302F" w14:paraId="76D8F07E" w14:textId="77777777" w:rsidTr="0096302F">
        <w:trPr>
          <w:trHeight w:val="315"/>
        </w:trPr>
        <w:tc>
          <w:tcPr>
            <w:tcW w:w="4280" w:type="dxa"/>
            <w:tcBorders>
              <w:top w:val="single" w:sz="4" w:space="0" w:color="ADD6EA"/>
              <w:left w:val="nil"/>
              <w:bottom w:val="nil"/>
              <w:right w:val="nil"/>
            </w:tcBorders>
            <w:shd w:val="clear" w:color="auto" w:fill="auto"/>
            <w:vAlign w:val="bottom"/>
            <w:hideMark/>
          </w:tcPr>
          <w:p w14:paraId="3E948C3B" w14:textId="77777777" w:rsidR="0096302F" w:rsidRPr="0096302F" w:rsidRDefault="0096302F" w:rsidP="0096302F">
            <w:pPr>
              <w:tabs>
                <w:tab w:val="clear" w:pos="567"/>
              </w:tabs>
              <w:spacing w:before="0" w:line="240" w:lineRule="auto"/>
              <w:rPr>
                <w:rFonts w:eastAsia="Times New Roman" w:cs="Open Sans Light"/>
                <w:color w:val="000000"/>
                <w:sz w:val="16"/>
                <w:szCs w:val="16"/>
                <w:lang w:eastAsia="en-AU"/>
              </w:rPr>
            </w:pPr>
            <w:r w:rsidRPr="0096302F">
              <w:rPr>
                <w:rFonts w:eastAsia="Times New Roman" w:cs="Open Sans Light"/>
                <w:color w:val="000000"/>
                <w:sz w:val="16"/>
                <w:szCs w:val="16"/>
                <w:lang w:eastAsia="en-AU"/>
              </w:rPr>
              <w:t>Infrastructure investment - National network roads</w:t>
            </w:r>
          </w:p>
        </w:tc>
        <w:tc>
          <w:tcPr>
            <w:tcW w:w="500" w:type="dxa"/>
            <w:tcBorders>
              <w:top w:val="single" w:sz="4" w:space="0" w:color="ADD6EA"/>
              <w:left w:val="nil"/>
              <w:bottom w:val="nil"/>
              <w:right w:val="nil"/>
            </w:tcBorders>
            <w:shd w:val="clear" w:color="auto" w:fill="auto"/>
            <w:vAlign w:val="bottom"/>
            <w:hideMark/>
          </w:tcPr>
          <w:p w14:paraId="63D47D9C"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55</w:t>
            </w:r>
          </w:p>
        </w:tc>
        <w:tc>
          <w:tcPr>
            <w:tcW w:w="500" w:type="dxa"/>
            <w:tcBorders>
              <w:top w:val="single" w:sz="4" w:space="0" w:color="ADD6EA"/>
              <w:left w:val="nil"/>
              <w:bottom w:val="nil"/>
              <w:right w:val="nil"/>
            </w:tcBorders>
            <w:shd w:val="clear" w:color="auto" w:fill="auto"/>
            <w:vAlign w:val="bottom"/>
            <w:hideMark/>
          </w:tcPr>
          <w:p w14:paraId="69E3C321"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0</w:t>
            </w:r>
          </w:p>
        </w:tc>
        <w:tc>
          <w:tcPr>
            <w:tcW w:w="560" w:type="dxa"/>
            <w:tcBorders>
              <w:top w:val="single" w:sz="4" w:space="0" w:color="ADD6EA"/>
              <w:left w:val="nil"/>
              <w:bottom w:val="nil"/>
              <w:right w:val="nil"/>
            </w:tcBorders>
            <w:shd w:val="clear" w:color="auto" w:fill="auto"/>
            <w:vAlign w:val="bottom"/>
            <w:hideMark/>
          </w:tcPr>
          <w:p w14:paraId="61C1B3AF"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-115</w:t>
            </w:r>
          </w:p>
        </w:tc>
        <w:tc>
          <w:tcPr>
            <w:tcW w:w="500" w:type="dxa"/>
            <w:tcBorders>
              <w:top w:val="single" w:sz="4" w:space="0" w:color="ADD6EA"/>
              <w:left w:val="nil"/>
              <w:bottom w:val="nil"/>
              <w:right w:val="nil"/>
            </w:tcBorders>
            <w:shd w:val="clear" w:color="auto" w:fill="auto"/>
            <w:vAlign w:val="bottom"/>
            <w:hideMark/>
          </w:tcPr>
          <w:p w14:paraId="5F173396"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25</w:t>
            </w:r>
          </w:p>
        </w:tc>
        <w:tc>
          <w:tcPr>
            <w:tcW w:w="500" w:type="dxa"/>
            <w:tcBorders>
              <w:top w:val="single" w:sz="4" w:space="0" w:color="ADD6EA"/>
              <w:left w:val="nil"/>
              <w:bottom w:val="nil"/>
              <w:right w:val="nil"/>
            </w:tcBorders>
            <w:shd w:val="clear" w:color="auto" w:fill="auto"/>
            <w:vAlign w:val="bottom"/>
            <w:hideMark/>
          </w:tcPr>
          <w:p w14:paraId="1822FABB"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42</w:t>
            </w:r>
          </w:p>
        </w:tc>
        <w:tc>
          <w:tcPr>
            <w:tcW w:w="500" w:type="dxa"/>
            <w:tcBorders>
              <w:top w:val="single" w:sz="4" w:space="0" w:color="ADD6EA"/>
              <w:left w:val="nil"/>
              <w:bottom w:val="nil"/>
              <w:right w:val="nil"/>
            </w:tcBorders>
            <w:shd w:val="clear" w:color="auto" w:fill="auto"/>
            <w:vAlign w:val="bottom"/>
            <w:hideMark/>
          </w:tcPr>
          <w:p w14:paraId="10F9875E"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w:t>
            </w:r>
          </w:p>
        </w:tc>
        <w:tc>
          <w:tcPr>
            <w:tcW w:w="500" w:type="dxa"/>
            <w:tcBorders>
              <w:top w:val="single" w:sz="4" w:space="0" w:color="ADD6EA"/>
              <w:left w:val="nil"/>
              <w:bottom w:val="nil"/>
              <w:right w:val="nil"/>
            </w:tcBorders>
            <w:shd w:val="clear" w:color="auto" w:fill="auto"/>
            <w:vAlign w:val="bottom"/>
            <w:hideMark/>
          </w:tcPr>
          <w:p w14:paraId="4FCAD3CD"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-2</w:t>
            </w:r>
          </w:p>
        </w:tc>
        <w:tc>
          <w:tcPr>
            <w:tcW w:w="500" w:type="dxa"/>
            <w:tcBorders>
              <w:top w:val="single" w:sz="4" w:space="0" w:color="ADD6EA"/>
              <w:left w:val="nil"/>
              <w:bottom w:val="nil"/>
              <w:right w:val="nil"/>
            </w:tcBorders>
            <w:shd w:val="clear" w:color="auto" w:fill="auto"/>
            <w:vAlign w:val="bottom"/>
            <w:hideMark/>
          </w:tcPr>
          <w:p w14:paraId="332C3138"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-4</w:t>
            </w:r>
          </w:p>
        </w:tc>
        <w:tc>
          <w:tcPr>
            <w:tcW w:w="600" w:type="dxa"/>
            <w:tcBorders>
              <w:top w:val="single" w:sz="4" w:space="0" w:color="ADD6EA"/>
              <w:left w:val="nil"/>
              <w:bottom w:val="nil"/>
              <w:right w:val="nil"/>
            </w:tcBorders>
            <w:shd w:val="clear" w:color="auto" w:fill="auto"/>
            <w:vAlign w:val="bottom"/>
            <w:hideMark/>
          </w:tcPr>
          <w:p w14:paraId="416911B4"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122</w:t>
            </w:r>
          </w:p>
        </w:tc>
      </w:tr>
      <w:tr w:rsidR="0096302F" w:rsidRPr="0096302F" w14:paraId="2D7240E1" w14:textId="77777777" w:rsidTr="0096302F">
        <w:trPr>
          <w:trHeight w:val="315"/>
        </w:trPr>
        <w:tc>
          <w:tcPr>
            <w:tcW w:w="4280" w:type="dxa"/>
            <w:tcBorders>
              <w:top w:val="single" w:sz="4" w:space="0" w:color="ADD6EA"/>
              <w:left w:val="nil"/>
              <w:bottom w:val="nil"/>
              <w:right w:val="nil"/>
            </w:tcBorders>
            <w:shd w:val="clear" w:color="auto" w:fill="auto"/>
            <w:vAlign w:val="bottom"/>
            <w:hideMark/>
          </w:tcPr>
          <w:p w14:paraId="7B8F0443" w14:textId="77777777" w:rsidR="0096302F" w:rsidRPr="0096302F" w:rsidRDefault="0096302F" w:rsidP="0096302F">
            <w:pPr>
              <w:tabs>
                <w:tab w:val="clear" w:pos="567"/>
              </w:tabs>
              <w:spacing w:before="0" w:line="240" w:lineRule="auto"/>
              <w:rPr>
                <w:rFonts w:eastAsia="Times New Roman" w:cs="Open Sans Light"/>
                <w:color w:val="000000"/>
                <w:sz w:val="16"/>
                <w:szCs w:val="16"/>
                <w:lang w:eastAsia="en-AU"/>
              </w:rPr>
            </w:pPr>
            <w:r w:rsidRPr="0096302F">
              <w:rPr>
                <w:rFonts w:eastAsia="Times New Roman" w:cs="Open Sans Light"/>
                <w:color w:val="000000"/>
                <w:sz w:val="16"/>
                <w:szCs w:val="16"/>
                <w:lang w:eastAsia="en-AU"/>
              </w:rPr>
              <w:t>Remote Indigenous housing</w:t>
            </w:r>
          </w:p>
        </w:tc>
        <w:tc>
          <w:tcPr>
            <w:tcW w:w="500" w:type="dxa"/>
            <w:tcBorders>
              <w:top w:val="single" w:sz="4" w:space="0" w:color="ADD6EA"/>
              <w:left w:val="nil"/>
              <w:bottom w:val="nil"/>
              <w:right w:val="nil"/>
            </w:tcBorders>
            <w:shd w:val="clear" w:color="auto" w:fill="auto"/>
            <w:vAlign w:val="bottom"/>
            <w:hideMark/>
          </w:tcPr>
          <w:p w14:paraId="38A36D29"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-51</w:t>
            </w:r>
          </w:p>
        </w:tc>
        <w:tc>
          <w:tcPr>
            <w:tcW w:w="500" w:type="dxa"/>
            <w:tcBorders>
              <w:top w:val="single" w:sz="4" w:space="0" w:color="ADD6EA"/>
              <w:left w:val="nil"/>
              <w:bottom w:val="nil"/>
              <w:right w:val="nil"/>
            </w:tcBorders>
            <w:shd w:val="clear" w:color="auto" w:fill="auto"/>
            <w:vAlign w:val="bottom"/>
            <w:hideMark/>
          </w:tcPr>
          <w:p w14:paraId="709F8A3E"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-42</w:t>
            </w:r>
          </w:p>
        </w:tc>
        <w:tc>
          <w:tcPr>
            <w:tcW w:w="560" w:type="dxa"/>
            <w:tcBorders>
              <w:top w:val="single" w:sz="4" w:space="0" w:color="ADD6EA"/>
              <w:left w:val="nil"/>
              <w:bottom w:val="nil"/>
              <w:right w:val="nil"/>
            </w:tcBorders>
            <w:shd w:val="clear" w:color="auto" w:fill="auto"/>
            <w:vAlign w:val="bottom"/>
            <w:hideMark/>
          </w:tcPr>
          <w:p w14:paraId="33877040"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25</w:t>
            </w:r>
          </w:p>
        </w:tc>
        <w:tc>
          <w:tcPr>
            <w:tcW w:w="500" w:type="dxa"/>
            <w:tcBorders>
              <w:top w:val="single" w:sz="4" w:space="0" w:color="ADD6EA"/>
              <w:left w:val="nil"/>
              <w:bottom w:val="nil"/>
              <w:right w:val="nil"/>
            </w:tcBorders>
            <w:shd w:val="clear" w:color="auto" w:fill="auto"/>
            <w:vAlign w:val="bottom"/>
            <w:hideMark/>
          </w:tcPr>
          <w:p w14:paraId="6DEA0750"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38</w:t>
            </w:r>
          </w:p>
        </w:tc>
        <w:tc>
          <w:tcPr>
            <w:tcW w:w="500" w:type="dxa"/>
            <w:tcBorders>
              <w:top w:val="single" w:sz="4" w:space="0" w:color="ADD6EA"/>
              <w:left w:val="nil"/>
              <w:bottom w:val="nil"/>
              <w:right w:val="nil"/>
            </w:tcBorders>
            <w:shd w:val="clear" w:color="auto" w:fill="auto"/>
            <w:vAlign w:val="bottom"/>
            <w:hideMark/>
          </w:tcPr>
          <w:p w14:paraId="46276D84"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-6</w:t>
            </w:r>
          </w:p>
        </w:tc>
        <w:tc>
          <w:tcPr>
            <w:tcW w:w="500" w:type="dxa"/>
            <w:tcBorders>
              <w:top w:val="single" w:sz="4" w:space="0" w:color="ADD6EA"/>
              <w:left w:val="nil"/>
              <w:bottom w:val="nil"/>
              <w:right w:val="nil"/>
            </w:tcBorders>
            <w:shd w:val="clear" w:color="auto" w:fill="auto"/>
            <w:vAlign w:val="bottom"/>
            <w:hideMark/>
          </w:tcPr>
          <w:p w14:paraId="71A138B1"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-3</w:t>
            </w:r>
          </w:p>
        </w:tc>
        <w:tc>
          <w:tcPr>
            <w:tcW w:w="500" w:type="dxa"/>
            <w:tcBorders>
              <w:top w:val="single" w:sz="4" w:space="0" w:color="ADD6EA"/>
              <w:left w:val="nil"/>
              <w:bottom w:val="nil"/>
              <w:right w:val="nil"/>
            </w:tcBorders>
            <w:shd w:val="clear" w:color="auto" w:fill="auto"/>
            <w:vAlign w:val="bottom"/>
            <w:hideMark/>
          </w:tcPr>
          <w:p w14:paraId="5108D30A"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-3</w:t>
            </w:r>
          </w:p>
        </w:tc>
        <w:tc>
          <w:tcPr>
            <w:tcW w:w="500" w:type="dxa"/>
            <w:tcBorders>
              <w:top w:val="single" w:sz="4" w:space="0" w:color="ADD6EA"/>
              <w:left w:val="nil"/>
              <w:bottom w:val="nil"/>
              <w:right w:val="nil"/>
            </w:tcBorders>
            <w:shd w:val="clear" w:color="auto" w:fill="auto"/>
            <w:vAlign w:val="bottom"/>
            <w:hideMark/>
          </w:tcPr>
          <w:p w14:paraId="5A950078"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41</w:t>
            </w:r>
          </w:p>
        </w:tc>
        <w:tc>
          <w:tcPr>
            <w:tcW w:w="600" w:type="dxa"/>
            <w:tcBorders>
              <w:top w:val="single" w:sz="4" w:space="0" w:color="ADD6EA"/>
              <w:left w:val="nil"/>
              <w:bottom w:val="nil"/>
              <w:right w:val="nil"/>
            </w:tcBorders>
            <w:shd w:val="clear" w:color="auto" w:fill="auto"/>
            <w:vAlign w:val="bottom"/>
            <w:hideMark/>
          </w:tcPr>
          <w:p w14:paraId="213FF3A2"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105</w:t>
            </w:r>
          </w:p>
        </w:tc>
      </w:tr>
      <w:tr w:rsidR="0096302F" w:rsidRPr="0096302F" w14:paraId="259178FF" w14:textId="77777777" w:rsidTr="0096302F">
        <w:trPr>
          <w:trHeight w:val="315"/>
        </w:trPr>
        <w:tc>
          <w:tcPr>
            <w:tcW w:w="4280" w:type="dxa"/>
            <w:tcBorders>
              <w:top w:val="single" w:sz="4" w:space="0" w:color="ADD6EA"/>
              <w:left w:val="nil"/>
              <w:bottom w:val="nil"/>
              <w:right w:val="nil"/>
            </w:tcBorders>
            <w:shd w:val="clear" w:color="auto" w:fill="auto"/>
            <w:vAlign w:val="bottom"/>
            <w:hideMark/>
          </w:tcPr>
          <w:p w14:paraId="132FC5F7" w14:textId="77777777" w:rsidR="0096302F" w:rsidRPr="0096302F" w:rsidRDefault="0096302F" w:rsidP="0096302F">
            <w:pPr>
              <w:tabs>
                <w:tab w:val="clear" w:pos="567"/>
              </w:tabs>
              <w:spacing w:before="0" w:line="240" w:lineRule="auto"/>
              <w:rPr>
                <w:rFonts w:eastAsia="Times New Roman" w:cs="Open Sans Light"/>
                <w:color w:val="000000"/>
                <w:sz w:val="16"/>
                <w:szCs w:val="16"/>
                <w:lang w:eastAsia="en-AU"/>
              </w:rPr>
            </w:pPr>
            <w:r w:rsidRPr="0096302F">
              <w:rPr>
                <w:rFonts w:eastAsia="Times New Roman" w:cs="Open Sans Light"/>
                <w:color w:val="000000"/>
                <w:sz w:val="16"/>
                <w:szCs w:val="16"/>
                <w:lang w:eastAsia="en-AU"/>
              </w:rPr>
              <w:t>Infrastructure investment program - Other roads</w:t>
            </w:r>
          </w:p>
        </w:tc>
        <w:tc>
          <w:tcPr>
            <w:tcW w:w="500" w:type="dxa"/>
            <w:tcBorders>
              <w:top w:val="single" w:sz="4" w:space="0" w:color="ADD6EA"/>
              <w:left w:val="nil"/>
              <w:bottom w:val="nil"/>
              <w:right w:val="nil"/>
            </w:tcBorders>
            <w:shd w:val="clear" w:color="auto" w:fill="auto"/>
            <w:vAlign w:val="bottom"/>
            <w:hideMark/>
          </w:tcPr>
          <w:p w14:paraId="2ACA607C"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66</w:t>
            </w:r>
          </w:p>
        </w:tc>
        <w:tc>
          <w:tcPr>
            <w:tcW w:w="500" w:type="dxa"/>
            <w:tcBorders>
              <w:top w:val="single" w:sz="4" w:space="0" w:color="ADD6EA"/>
              <w:left w:val="nil"/>
              <w:bottom w:val="nil"/>
              <w:right w:val="nil"/>
            </w:tcBorders>
            <w:shd w:val="clear" w:color="auto" w:fill="auto"/>
            <w:vAlign w:val="bottom"/>
            <w:hideMark/>
          </w:tcPr>
          <w:p w14:paraId="30E44107"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-50</w:t>
            </w:r>
          </w:p>
        </w:tc>
        <w:tc>
          <w:tcPr>
            <w:tcW w:w="560" w:type="dxa"/>
            <w:tcBorders>
              <w:top w:val="single" w:sz="4" w:space="0" w:color="ADD6EA"/>
              <w:left w:val="nil"/>
              <w:bottom w:val="nil"/>
              <w:right w:val="nil"/>
            </w:tcBorders>
            <w:shd w:val="clear" w:color="auto" w:fill="auto"/>
            <w:vAlign w:val="bottom"/>
            <w:hideMark/>
          </w:tcPr>
          <w:p w14:paraId="3F9F6410"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11</w:t>
            </w:r>
          </w:p>
        </w:tc>
        <w:tc>
          <w:tcPr>
            <w:tcW w:w="500" w:type="dxa"/>
            <w:tcBorders>
              <w:top w:val="single" w:sz="4" w:space="0" w:color="ADD6EA"/>
              <w:left w:val="nil"/>
              <w:bottom w:val="nil"/>
              <w:right w:val="nil"/>
            </w:tcBorders>
            <w:shd w:val="clear" w:color="auto" w:fill="auto"/>
            <w:vAlign w:val="bottom"/>
            <w:hideMark/>
          </w:tcPr>
          <w:p w14:paraId="60CE8E54"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19</w:t>
            </w:r>
          </w:p>
        </w:tc>
        <w:tc>
          <w:tcPr>
            <w:tcW w:w="500" w:type="dxa"/>
            <w:tcBorders>
              <w:top w:val="single" w:sz="4" w:space="0" w:color="ADD6EA"/>
              <w:left w:val="nil"/>
              <w:bottom w:val="nil"/>
              <w:right w:val="nil"/>
            </w:tcBorders>
            <w:shd w:val="clear" w:color="auto" w:fill="auto"/>
            <w:vAlign w:val="bottom"/>
            <w:hideMark/>
          </w:tcPr>
          <w:p w14:paraId="6F372885"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-31</w:t>
            </w:r>
          </w:p>
        </w:tc>
        <w:tc>
          <w:tcPr>
            <w:tcW w:w="500" w:type="dxa"/>
            <w:tcBorders>
              <w:top w:val="single" w:sz="4" w:space="0" w:color="ADD6EA"/>
              <w:left w:val="nil"/>
              <w:bottom w:val="nil"/>
              <w:right w:val="nil"/>
            </w:tcBorders>
            <w:shd w:val="clear" w:color="auto" w:fill="auto"/>
            <w:vAlign w:val="bottom"/>
            <w:hideMark/>
          </w:tcPr>
          <w:p w14:paraId="321A67C2"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w:t>
            </w:r>
          </w:p>
        </w:tc>
        <w:tc>
          <w:tcPr>
            <w:tcW w:w="500" w:type="dxa"/>
            <w:tcBorders>
              <w:top w:val="single" w:sz="4" w:space="0" w:color="ADD6EA"/>
              <w:left w:val="nil"/>
              <w:bottom w:val="nil"/>
              <w:right w:val="nil"/>
            </w:tcBorders>
            <w:shd w:val="clear" w:color="auto" w:fill="auto"/>
            <w:vAlign w:val="bottom"/>
            <w:hideMark/>
          </w:tcPr>
          <w:p w14:paraId="3A0B579E"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7</w:t>
            </w:r>
          </w:p>
        </w:tc>
        <w:tc>
          <w:tcPr>
            <w:tcW w:w="500" w:type="dxa"/>
            <w:tcBorders>
              <w:top w:val="single" w:sz="4" w:space="0" w:color="ADD6EA"/>
              <w:left w:val="nil"/>
              <w:bottom w:val="nil"/>
              <w:right w:val="nil"/>
            </w:tcBorders>
            <w:shd w:val="clear" w:color="auto" w:fill="auto"/>
            <w:vAlign w:val="bottom"/>
            <w:hideMark/>
          </w:tcPr>
          <w:p w14:paraId="602D0F94"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-23</w:t>
            </w:r>
          </w:p>
        </w:tc>
        <w:tc>
          <w:tcPr>
            <w:tcW w:w="600" w:type="dxa"/>
            <w:tcBorders>
              <w:top w:val="single" w:sz="4" w:space="0" w:color="ADD6EA"/>
              <w:left w:val="nil"/>
              <w:bottom w:val="nil"/>
              <w:right w:val="nil"/>
            </w:tcBorders>
            <w:shd w:val="clear" w:color="auto" w:fill="auto"/>
            <w:vAlign w:val="bottom"/>
            <w:hideMark/>
          </w:tcPr>
          <w:p w14:paraId="3BBB9009"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104</w:t>
            </w:r>
          </w:p>
        </w:tc>
      </w:tr>
      <w:tr w:rsidR="0096302F" w:rsidRPr="0096302F" w14:paraId="45BC2590" w14:textId="77777777" w:rsidTr="0096302F">
        <w:trPr>
          <w:trHeight w:val="315"/>
        </w:trPr>
        <w:tc>
          <w:tcPr>
            <w:tcW w:w="4280" w:type="dxa"/>
            <w:tcBorders>
              <w:top w:val="single" w:sz="4" w:space="0" w:color="ADD6EA"/>
              <w:left w:val="nil"/>
              <w:bottom w:val="nil"/>
              <w:right w:val="nil"/>
            </w:tcBorders>
            <w:shd w:val="clear" w:color="auto" w:fill="auto"/>
            <w:vAlign w:val="bottom"/>
            <w:hideMark/>
          </w:tcPr>
          <w:p w14:paraId="58DB8C4D" w14:textId="77777777" w:rsidR="0096302F" w:rsidRPr="0096302F" w:rsidRDefault="0096302F" w:rsidP="0096302F">
            <w:pPr>
              <w:tabs>
                <w:tab w:val="clear" w:pos="567"/>
              </w:tabs>
              <w:spacing w:before="0" w:line="240" w:lineRule="auto"/>
              <w:rPr>
                <w:rFonts w:eastAsia="Times New Roman" w:cs="Open Sans Light"/>
                <w:color w:val="000000"/>
                <w:sz w:val="16"/>
                <w:szCs w:val="16"/>
                <w:lang w:eastAsia="en-AU"/>
              </w:rPr>
            </w:pPr>
            <w:r w:rsidRPr="0096302F">
              <w:rPr>
                <w:rFonts w:eastAsia="Times New Roman" w:cs="Open Sans Light"/>
                <w:color w:val="000000"/>
                <w:sz w:val="16"/>
                <w:szCs w:val="16"/>
                <w:lang w:eastAsia="en-AU"/>
              </w:rPr>
              <w:t>Building Australia Fund - Rail</w:t>
            </w:r>
          </w:p>
        </w:tc>
        <w:tc>
          <w:tcPr>
            <w:tcW w:w="500" w:type="dxa"/>
            <w:tcBorders>
              <w:top w:val="single" w:sz="4" w:space="0" w:color="ADD6EA"/>
              <w:left w:val="nil"/>
              <w:bottom w:val="nil"/>
              <w:right w:val="nil"/>
            </w:tcBorders>
            <w:shd w:val="clear" w:color="auto" w:fill="auto"/>
            <w:vAlign w:val="bottom"/>
            <w:hideMark/>
          </w:tcPr>
          <w:p w14:paraId="79A2529E"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-67</w:t>
            </w:r>
          </w:p>
        </w:tc>
        <w:tc>
          <w:tcPr>
            <w:tcW w:w="500" w:type="dxa"/>
            <w:tcBorders>
              <w:top w:val="single" w:sz="4" w:space="0" w:color="ADD6EA"/>
              <w:left w:val="nil"/>
              <w:bottom w:val="nil"/>
              <w:right w:val="nil"/>
            </w:tcBorders>
            <w:shd w:val="clear" w:color="auto" w:fill="auto"/>
            <w:vAlign w:val="bottom"/>
            <w:hideMark/>
          </w:tcPr>
          <w:p w14:paraId="63485FC6"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-23</w:t>
            </w:r>
          </w:p>
        </w:tc>
        <w:tc>
          <w:tcPr>
            <w:tcW w:w="560" w:type="dxa"/>
            <w:tcBorders>
              <w:top w:val="single" w:sz="4" w:space="0" w:color="ADD6EA"/>
              <w:left w:val="nil"/>
              <w:bottom w:val="nil"/>
              <w:right w:val="nil"/>
            </w:tcBorders>
            <w:shd w:val="clear" w:color="auto" w:fill="auto"/>
            <w:vAlign w:val="bottom"/>
            <w:hideMark/>
          </w:tcPr>
          <w:p w14:paraId="6A8F09D1"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20</w:t>
            </w:r>
          </w:p>
        </w:tc>
        <w:tc>
          <w:tcPr>
            <w:tcW w:w="500" w:type="dxa"/>
            <w:tcBorders>
              <w:top w:val="single" w:sz="4" w:space="0" w:color="ADD6EA"/>
              <w:left w:val="nil"/>
              <w:bottom w:val="nil"/>
              <w:right w:val="nil"/>
            </w:tcBorders>
            <w:shd w:val="clear" w:color="auto" w:fill="auto"/>
            <w:vAlign w:val="bottom"/>
            <w:hideMark/>
          </w:tcPr>
          <w:p w14:paraId="0C787D6E"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5</w:t>
            </w:r>
          </w:p>
        </w:tc>
        <w:tc>
          <w:tcPr>
            <w:tcW w:w="500" w:type="dxa"/>
            <w:tcBorders>
              <w:top w:val="single" w:sz="4" w:space="0" w:color="ADD6EA"/>
              <w:left w:val="nil"/>
              <w:bottom w:val="nil"/>
              <w:right w:val="nil"/>
            </w:tcBorders>
            <w:shd w:val="clear" w:color="auto" w:fill="auto"/>
            <w:vAlign w:val="bottom"/>
            <w:hideMark/>
          </w:tcPr>
          <w:p w14:paraId="0570AB06"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69</w:t>
            </w:r>
          </w:p>
        </w:tc>
        <w:tc>
          <w:tcPr>
            <w:tcW w:w="500" w:type="dxa"/>
            <w:tcBorders>
              <w:top w:val="single" w:sz="4" w:space="0" w:color="ADD6EA"/>
              <w:left w:val="nil"/>
              <w:bottom w:val="nil"/>
              <w:right w:val="nil"/>
            </w:tcBorders>
            <w:shd w:val="clear" w:color="auto" w:fill="auto"/>
            <w:vAlign w:val="bottom"/>
            <w:hideMark/>
          </w:tcPr>
          <w:p w14:paraId="4E5DB249"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-5</w:t>
            </w:r>
          </w:p>
        </w:tc>
        <w:tc>
          <w:tcPr>
            <w:tcW w:w="500" w:type="dxa"/>
            <w:tcBorders>
              <w:top w:val="single" w:sz="4" w:space="0" w:color="ADD6EA"/>
              <w:left w:val="nil"/>
              <w:bottom w:val="nil"/>
              <w:right w:val="nil"/>
            </w:tcBorders>
            <w:shd w:val="clear" w:color="auto" w:fill="auto"/>
            <w:vAlign w:val="bottom"/>
            <w:hideMark/>
          </w:tcPr>
          <w:p w14:paraId="7B8D81B1"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w:t>
            </w:r>
          </w:p>
        </w:tc>
        <w:tc>
          <w:tcPr>
            <w:tcW w:w="500" w:type="dxa"/>
            <w:tcBorders>
              <w:top w:val="single" w:sz="4" w:space="0" w:color="ADD6EA"/>
              <w:left w:val="nil"/>
              <w:bottom w:val="nil"/>
              <w:right w:val="nil"/>
            </w:tcBorders>
            <w:shd w:val="clear" w:color="auto" w:fill="auto"/>
            <w:vAlign w:val="bottom"/>
            <w:hideMark/>
          </w:tcPr>
          <w:p w14:paraId="7EB56812"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w:t>
            </w:r>
          </w:p>
        </w:tc>
        <w:tc>
          <w:tcPr>
            <w:tcW w:w="600" w:type="dxa"/>
            <w:tcBorders>
              <w:top w:val="single" w:sz="4" w:space="0" w:color="ADD6EA"/>
              <w:left w:val="nil"/>
              <w:bottom w:val="nil"/>
              <w:right w:val="nil"/>
            </w:tcBorders>
            <w:shd w:val="clear" w:color="auto" w:fill="auto"/>
            <w:vAlign w:val="bottom"/>
            <w:hideMark/>
          </w:tcPr>
          <w:p w14:paraId="106675A6"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96</w:t>
            </w:r>
          </w:p>
        </w:tc>
      </w:tr>
      <w:tr w:rsidR="0096302F" w:rsidRPr="0096302F" w14:paraId="2CD75354" w14:textId="77777777" w:rsidTr="0096302F">
        <w:trPr>
          <w:trHeight w:val="315"/>
        </w:trPr>
        <w:tc>
          <w:tcPr>
            <w:tcW w:w="4280" w:type="dxa"/>
            <w:tcBorders>
              <w:top w:val="single" w:sz="4" w:space="0" w:color="ADD6EA"/>
              <w:left w:val="nil"/>
              <w:bottom w:val="nil"/>
              <w:right w:val="nil"/>
            </w:tcBorders>
            <w:shd w:val="clear" w:color="auto" w:fill="auto"/>
            <w:vAlign w:val="bottom"/>
            <w:hideMark/>
          </w:tcPr>
          <w:p w14:paraId="5DF9F15C" w14:textId="77777777" w:rsidR="0096302F" w:rsidRPr="0096302F" w:rsidRDefault="0096302F" w:rsidP="0096302F">
            <w:pPr>
              <w:tabs>
                <w:tab w:val="clear" w:pos="567"/>
              </w:tabs>
              <w:spacing w:before="0" w:line="240" w:lineRule="auto"/>
              <w:rPr>
                <w:rFonts w:eastAsia="Times New Roman" w:cs="Open Sans Light"/>
                <w:color w:val="000000"/>
                <w:sz w:val="16"/>
                <w:szCs w:val="16"/>
                <w:lang w:eastAsia="en-AU"/>
              </w:rPr>
            </w:pPr>
            <w:r w:rsidRPr="0096302F">
              <w:rPr>
                <w:rFonts w:eastAsia="Times New Roman" w:cs="Open Sans Light"/>
                <w:color w:val="000000"/>
                <w:sz w:val="16"/>
                <w:szCs w:val="16"/>
                <w:lang w:eastAsia="en-AU"/>
              </w:rPr>
              <w:t>Infrastructure growth package - road investment</w:t>
            </w:r>
          </w:p>
        </w:tc>
        <w:tc>
          <w:tcPr>
            <w:tcW w:w="500" w:type="dxa"/>
            <w:tcBorders>
              <w:top w:val="single" w:sz="4" w:space="0" w:color="ADD6EA"/>
              <w:left w:val="nil"/>
              <w:bottom w:val="nil"/>
              <w:right w:val="nil"/>
            </w:tcBorders>
            <w:shd w:val="clear" w:color="auto" w:fill="auto"/>
            <w:vAlign w:val="bottom"/>
            <w:hideMark/>
          </w:tcPr>
          <w:p w14:paraId="58AD2D6A"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-26</w:t>
            </w:r>
          </w:p>
        </w:tc>
        <w:tc>
          <w:tcPr>
            <w:tcW w:w="500" w:type="dxa"/>
            <w:tcBorders>
              <w:top w:val="single" w:sz="4" w:space="0" w:color="ADD6EA"/>
              <w:left w:val="nil"/>
              <w:bottom w:val="nil"/>
              <w:right w:val="nil"/>
            </w:tcBorders>
            <w:shd w:val="clear" w:color="auto" w:fill="auto"/>
            <w:vAlign w:val="bottom"/>
            <w:hideMark/>
          </w:tcPr>
          <w:p w14:paraId="06B410EE"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-19</w:t>
            </w:r>
          </w:p>
        </w:tc>
        <w:tc>
          <w:tcPr>
            <w:tcW w:w="560" w:type="dxa"/>
            <w:tcBorders>
              <w:top w:val="single" w:sz="4" w:space="0" w:color="ADD6EA"/>
              <w:left w:val="nil"/>
              <w:bottom w:val="nil"/>
              <w:right w:val="nil"/>
            </w:tcBorders>
            <w:shd w:val="clear" w:color="auto" w:fill="auto"/>
            <w:vAlign w:val="bottom"/>
            <w:hideMark/>
          </w:tcPr>
          <w:p w14:paraId="44FA30A2"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35</w:t>
            </w:r>
          </w:p>
        </w:tc>
        <w:tc>
          <w:tcPr>
            <w:tcW w:w="500" w:type="dxa"/>
            <w:tcBorders>
              <w:top w:val="single" w:sz="4" w:space="0" w:color="ADD6EA"/>
              <w:left w:val="nil"/>
              <w:bottom w:val="nil"/>
              <w:right w:val="nil"/>
            </w:tcBorders>
            <w:shd w:val="clear" w:color="auto" w:fill="auto"/>
            <w:vAlign w:val="bottom"/>
            <w:hideMark/>
          </w:tcPr>
          <w:p w14:paraId="4D289D34"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-9</w:t>
            </w:r>
          </w:p>
        </w:tc>
        <w:tc>
          <w:tcPr>
            <w:tcW w:w="500" w:type="dxa"/>
            <w:tcBorders>
              <w:top w:val="single" w:sz="4" w:space="0" w:color="ADD6EA"/>
              <w:left w:val="nil"/>
              <w:bottom w:val="nil"/>
              <w:right w:val="nil"/>
            </w:tcBorders>
            <w:shd w:val="clear" w:color="auto" w:fill="auto"/>
            <w:vAlign w:val="bottom"/>
            <w:hideMark/>
          </w:tcPr>
          <w:p w14:paraId="2A23B260"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21</w:t>
            </w:r>
          </w:p>
        </w:tc>
        <w:tc>
          <w:tcPr>
            <w:tcW w:w="500" w:type="dxa"/>
            <w:tcBorders>
              <w:top w:val="single" w:sz="4" w:space="0" w:color="ADD6EA"/>
              <w:left w:val="nil"/>
              <w:bottom w:val="nil"/>
              <w:right w:val="nil"/>
            </w:tcBorders>
            <w:shd w:val="clear" w:color="auto" w:fill="auto"/>
            <w:vAlign w:val="bottom"/>
            <w:hideMark/>
          </w:tcPr>
          <w:p w14:paraId="367EE897"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w:t>
            </w:r>
          </w:p>
        </w:tc>
        <w:tc>
          <w:tcPr>
            <w:tcW w:w="500" w:type="dxa"/>
            <w:tcBorders>
              <w:top w:val="single" w:sz="4" w:space="0" w:color="ADD6EA"/>
              <w:left w:val="nil"/>
              <w:bottom w:val="nil"/>
              <w:right w:val="nil"/>
            </w:tcBorders>
            <w:shd w:val="clear" w:color="auto" w:fill="auto"/>
            <w:vAlign w:val="bottom"/>
            <w:hideMark/>
          </w:tcPr>
          <w:p w14:paraId="3DADA8EB"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w:t>
            </w:r>
          </w:p>
        </w:tc>
        <w:tc>
          <w:tcPr>
            <w:tcW w:w="500" w:type="dxa"/>
            <w:tcBorders>
              <w:top w:val="single" w:sz="4" w:space="0" w:color="ADD6EA"/>
              <w:left w:val="nil"/>
              <w:bottom w:val="nil"/>
              <w:right w:val="nil"/>
            </w:tcBorders>
            <w:shd w:val="clear" w:color="auto" w:fill="auto"/>
            <w:vAlign w:val="bottom"/>
            <w:hideMark/>
          </w:tcPr>
          <w:p w14:paraId="4A3624D3"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0</w:t>
            </w:r>
          </w:p>
        </w:tc>
        <w:tc>
          <w:tcPr>
            <w:tcW w:w="600" w:type="dxa"/>
            <w:tcBorders>
              <w:top w:val="single" w:sz="4" w:space="0" w:color="ADD6EA"/>
              <w:left w:val="nil"/>
              <w:bottom w:val="nil"/>
              <w:right w:val="nil"/>
            </w:tcBorders>
            <w:shd w:val="clear" w:color="auto" w:fill="auto"/>
            <w:vAlign w:val="bottom"/>
            <w:hideMark/>
          </w:tcPr>
          <w:p w14:paraId="1A2F8A3F"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56</w:t>
            </w:r>
          </w:p>
        </w:tc>
      </w:tr>
      <w:tr w:rsidR="0096302F" w:rsidRPr="0096302F" w14:paraId="3CD3298D" w14:textId="77777777" w:rsidTr="0096302F">
        <w:trPr>
          <w:trHeight w:val="315"/>
        </w:trPr>
        <w:tc>
          <w:tcPr>
            <w:tcW w:w="4280" w:type="dxa"/>
            <w:tcBorders>
              <w:top w:val="single" w:sz="4" w:space="0" w:color="ADD6EA"/>
              <w:left w:val="nil"/>
              <w:bottom w:val="nil"/>
              <w:right w:val="nil"/>
            </w:tcBorders>
            <w:shd w:val="clear" w:color="auto" w:fill="auto"/>
            <w:vAlign w:val="bottom"/>
            <w:hideMark/>
          </w:tcPr>
          <w:p w14:paraId="5BA47915" w14:textId="77777777" w:rsidR="0096302F" w:rsidRPr="00AA0A35" w:rsidRDefault="0096302F" w:rsidP="0096302F">
            <w:pPr>
              <w:tabs>
                <w:tab w:val="clear" w:pos="567"/>
              </w:tabs>
              <w:spacing w:before="0" w:line="240" w:lineRule="auto"/>
              <w:rPr>
                <w:rFonts w:eastAsia="Times New Roman" w:cs="Open Sans Light"/>
                <w:color w:val="000000"/>
                <w:sz w:val="16"/>
                <w:szCs w:val="16"/>
                <w:lang w:eastAsia="en-AU"/>
              </w:rPr>
            </w:pPr>
            <w:r w:rsidRPr="00AA0A35">
              <w:rPr>
                <w:rFonts w:eastAsia="Times New Roman" w:cs="Open Sans Light"/>
                <w:color w:val="000000"/>
                <w:sz w:val="16"/>
                <w:szCs w:val="16"/>
                <w:lang w:eastAsia="en-AU"/>
              </w:rPr>
              <w:t>Urban Congestion Fund</w:t>
            </w:r>
          </w:p>
        </w:tc>
        <w:tc>
          <w:tcPr>
            <w:tcW w:w="500" w:type="dxa"/>
            <w:tcBorders>
              <w:top w:val="single" w:sz="4" w:space="0" w:color="ADD6EA"/>
              <w:left w:val="nil"/>
              <w:bottom w:val="nil"/>
              <w:right w:val="nil"/>
            </w:tcBorders>
            <w:shd w:val="clear" w:color="auto" w:fill="auto"/>
            <w:noWrap/>
            <w:vAlign w:val="bottom"/>
            <w:hideMark/>
          </w:tcPr>
          <w:p w14:paraId="4FC603FA"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29</w:t>
            </w:r>
          </w:p>
        </w:tc>
        <w:tc>
          <w:tcPr>
            <w:tcW w:w="500" w:type="dxa"/>
            <w:tcBorders>
              <w:top w:val="single" w:sz="4" w:space="0" w:color="ADD6EA"/>
              <w:left w:val="nil"/>
              <w:bottom w:val="nil"/>
              <w:right w:val="nil"/>
            </w:tcBorders>
            <w:shd w:val="clear" w:color="auto" w:fill="auto"/>
            <w:noWrap/>
            <w:vAlign w:val="bottom"/>
            <w:hideMark/>
          </w:tcPr>
          <w:p w14:paraId="7A93767E"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8</w:t>
            </w:r>
          </w:p>
        </w:tc>
        <w:tc>
          <w:tcPr>
            <w:tcW w:w="560" w:type="dxa"/>
            <w:tcBorders>
              <w:top w:val="single" w:sz="4" w:space="0" w:color="ADD6EA"/>
              <w:left w:val="nil"/>
              <w:bottom w:val="nil"/>
              <w:right w:val="nil"/>
            </w:tcBorders>
            <w:shd w:val="clear" w:color="auto" w:fill="auto"/>
            <w:noWrap/>
            <w:vAlign w:val="bottom"/>
            <w:hideMark/>
          </w:tcPr>
          <w:p w14:paraId="0635B677"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14</w:t>
            </w:r>
          </w:p>
        </w:tc>
        <w:tc>
          <w:tcPr>
            <w:tcW w:w="500" w:type="dxa"/>
            <w:tcBorders>
              <w:top w:val="single" w:sz="4" w:space="0" w:color="ADD6EA"/>
              <w:left w:val="nil"/>
              <w:bottom w:val="nil"/>
              <w:right w:val="nil"/>
            </w:tcBorders>
            <w:shd w:val="clear" w:color="auto" w:fill="auto"/>
            <w:noWrap/>
            <w:vAlign w:val="bottom"/>
            <w:hideMark/>
          </w:tcPr>
          <w:p w14:paraId="55A59BEA"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-29</w:t>
            </w:r>
          </w:p>
        </w:tc>
        <w:tc>
          <w:tcPr>
            <w:tcW w:w="500" w:type="dxa"/>
            <w:tcBorders>
              <w:top w:val="single" w:sz="4" w:space="0" w:color="ADD6EA"/>
              <w:left w:val="nil"/>
              <w:bottom w:val="nil"/>
              <w:right w:val="nil"/>
            </w:tcBorders>
            <w:shd w:val="clear" w:color="auto" w:fill="auto"/>
            <w:noWrap/>
            <w:vAlign w:val="bottom"/>
            <w:hideMark/>
          </w:tcPr>
          <w:p w14:paraId="4D5B520C"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-27</w:t>
            </w:r>
          </w:p>
        </w:tc>
        <w:tc>
          <w:tcPr>
            <w:tcW w:w="500" w:type="dxa"/>
            <w:tcBorders>
              <w:top w:val="single" w:sz="4" w:space="0" w:color="ADD6EA"/>
              <w:left w:val="nil"/>
              <w:bottom w:val="nil"/>
              <w:right w:val="nil"/>
            </w:tcBorders>
            <w:shd w:val="clear" w:color="auto" w:fill="auto"/>
            <w:noWrap/>
            <w:vAlign w:val="bottom"/>
            <w:hideMark/>
          </w:tcPr>
          <w:p w14:paraId="436781BB"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2</w:t>
            </w:r>
          </w:p>
        </w:tc>
        <w:tc>
          <w:tcPr>
            <w:tcW w:w="500" w:type="dxa"/>
            <w:tcBorders>
              <w:top w:val="single" w:sz="4" w:space="0" w:color="ADD6EA"/>
              <w:left w:val="nil"/>
              <w:bottom w:val="nil"/>
              <w:right w:val="nil"/>
            </w:tcBorders>
            <w:shd w:val="clear" w:color="auto" w:fill="auto"/>
            <w:noWrap/>
            <w:vAlign w:val="bottom"/>
            <w:hideMark/>
          </w:tcPr>
          <w:p w14:paraId="74E8C7EF"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2</w:t>
            </w:r>
          </w:p>
        </w:tc>
        <w:tc>
          <w:tcPr>
            <w:tcW w:w="500" w:type="dxa"/>
            <w:tcBorders>
              <w:top w:val="single" w:sz="4" w:space="0" w:color="ADD6EA"/>
              <w:left w:val="nil"/>
              <w:bottom w:val="nil"/>
              <w:right w:val="nil"/>
            </w:tcBorders>
            <w:shd w:val="clear" w:color="auto" w:fill="auto"/>
            <w:noWrap/>
            <w:vAlign w:val="bottom"/>
            <w:hideMark/>
          </w:tcPr>
          <w:p w14:paraId="214B1656"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1</w:t>
            </w:r>
          </w:p>
        </w:tc>
        <w:tc>
          <w:tcPr>
            <w:tcW w:w="600" w:type="dxa"/>
            <w:tcBorders>
              <w:top w:val="single" w:sz="4" w:space="0" w:color="ADD6EA"/>
              <w:left w:val="nil"/>
              <w:bottom w:val="nil"/>
              <w:right w:val="nil"/>
            </w:tcBorders>
            <w:shd w:val="clear" w:color="auto" w:fill="auto"/>
            <w:noWrap/>
            <w:vAlign w:val="bottom"/>
            <w:hideMark/>
          </w:tcPr>
          <w:p w14:paraId="58A4941E"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56</w:t>
            </w:r>
          </w:p>
        </w:tc>
      </w:tr>
      <w:tr w:rsidR="0096302F" w:rsidRPr="0096302F" w14:paraId="14C122CB" w14:textId="77777777" w:rsidTr="0096302F">
        <w:trPr>
          <w:trHeight w:val="315"/>
        </w:trPr>
        <w:tc>
          <w:tcPr>
            <w:tcW w:w="4280" w:type="dxa"/>
            <w:tcBorders>
              <w:top w:val="single" w:sz="4" w:space="0" w:color="ADD6EA"/>
              <w:left w:val="nil"/>
              <w:bottom w:val="nil"/>
              <w:right w:val="nil"/>
            </w:tcBorders>
            <w:shd w:val="clear" w:color="auto" w:fill="auto"/>
            <w:vAlign w:val="bottom"/>
            <w:hideMark/>
          </w:tcPr>
          <w:p w14:paraId="0BEDDA39" w14:textId="77777777" w:rsidR="0096302F" w:rsidRPr="0096302F" w:rsidRDefault="0096302F" w:rsidP="0096302F">
            <w:pPr>
              <w:tabs>
                <w:tab w:val="clear" w:pos="567"/>
              </w:tabs>
              <w:spacing w:before="0" w:line="240" w:lineRule="auto"/>
              <w:rPr>
                <w:rFonts w:eastAsia="Times New Roman" w:cs="Open Sans Light"/>
                <w:color w:val="000000"/>
                <w:sz w:val="16"/>
                <w:szCs w:val="16"/>
                <w:lang w:eastAsia="en-AU"/>
              </w:rPr>
            </w:pPr>
            <w:r w:rsidRPr="0096302F">
              <w:rPr>
                <w:rFonts w:eastAsia="Times New Roman" w:cs="Open Sans Light"/>
                <w:color w:val="000000"/>
                <w:sz w:val="16"/>
                <w:szCs w:val="16"/>
                <w:lang w:eastAsia="en-AU"/>
              </w:rPr>
              <w:t>Water for the Future</w:t>
            </w:r>
          </w:p>
        </w:tc>
        <w:tc>
          <w:tcPr>
            <w:tcW w:w="500" w:type="dxa"/>
            <w:tcBorders>
              <w:top w:val="single" w:sz="4" w:space="0" w:color="ADD6EA"/>
              <w:left w:val="nil"/>
              <w:bottom w:val="nil"/>
              <w:right w:val="nil"/>
            </w:tcBorders>
            <w:shd w:val="clear" w:color="auto" w:fill="auto"/>
            <w:vAlign w:val="bottom"/>
            <w:hideMark/>
          </w:tcPr>
          <w:p w14:paraId="3ED96192"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-29</w:t>
            </w:r>
          </w:p>
        </w:tc>
        <w:tc>
          <w:tcPr>
            <w:tcW w:w="500" w:type="dxa"/>
            <w:tcBorders>
              <w:top w:val="single" w:sz="4" w:space="0" w:color="ADD6EA"/>
              <w:left w:val="nil"/>
              <w:bottom w:val="nil"/>
              <w:right w:val="nil"/>
            </w:tcBorders>
            <w:shd w:val="clear" w:color="auto" w:fill="auto"/>
            <w:vAlign w:val="bottom"/>
            <w:hideMark/>
          </w:tcPr>
          <w:p w14:paraId="348105F7"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30</w:t>
            </w:r>
          </w:p>
        </w:tc>
        <w:tc>
          <w:tcPr>
            <w:tcW w:w="560" w:type="dxa"/>
            <w:tcBorders>
              <w:top w:val="single" w:sz="4" w:space="0" w:color="ADD6EA"/>
              <w:left w:val="nil"/>
              <w:bottom w:val="nil"/>
              <w:right w:val="nil"/>
            </w:tcBorders>
            <w:shd w:val="clear" w:color="auto" w:fill="auto"/>
            <w:vAlign w:val="bottom"/>
            <w:hideMark/>
          </w:tcPr>
          <w:p w14:paraId="54CEAC19"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-15</w:t>
            </w:r>
          </w:p>
        </w:tc>
        <w:tc>
          <w:tcPr>
            <w:tcW w:w="500" w:type="dxa"/>
            <w:tcBorders>
              <w:top w:val="single" w:sz="4" w:space="0" w:color="ADD6EA"/>
              <w:left w:val="nil"/>
              <w:bottom w:val="nil"/>
              <w:right w:val="nil"/>
            </w:tcBorders>
            <w:shd w:val="clear" w:color="auto" w:fill="auto"/>
            <w:vAlign w:val="bottom"/>
            <w:hideMark/>
          </w:tcPr>
          <w:p w14:paraId="17AD0CFB"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-10</w:t>
            </w:r>
          </w:p>
        </w:tc>
        <w:tc>
          <w:tcPr>
            <w:tcW w:w="500" w:type="dxa"/>
            <w:tcBorders>
              <w:top w:val="single" w:sz="4" w:space="0" w:color="ADD6EA"/>
              <w:left w:val="nil"/>
              <w:bottom w:val="nil"/>
              <w:right w:val="nil"/>
            </w:tcBorders>
            <w:shd w:val="clear" w:color="auto" w:fill="auto"/>
            <w:vAlign w:val="bottom"/>
            <w:hideMark/>
          </w:tcPr>
          <w:p w14:paraId="64D7C11D"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5</w:t>
            </w:r>
          </w:p>
        </w:tc>
        <w:tc>
          <w:tcPr>
            <w:tcW w:w="500" w:type="dxa"/>
            <w:tcBorders>
              <w:top w:val="single" w:sz="4" w:space="0" w:color="ADD6EA"/>
              <w:left w:val="nil"/>
              <w:bottom w:val="nil"/>
              <w:right w:val="nil"/>
            </w:tcBorders>
            <w:shd w:val="clear" w:color="auto" w:fill="auto"/>
            <w:vAlign w:val="bottom"/>
            <w:hideMark/>
          </w:tcPr>
          <w:p w14:paraId="44185DC3"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7</w:t>
            </w:r>
          </w:p>
        </w:tc>
        <w:tc>
          <w:tcPr>
            <w:tcW w:w="500" w:type="dxa"/>
            <w:tcBorders>
              <w:top w:val="single" w:sz="4" w:space="0" w:color="ADD6EA"/>
              <w:left w:val="nil"/>
              <w:bottom w:val="nil"/>
              <w:right w:val="nil"/>
            </w:tcBorders>
            <w:shd w:val="clear" w:color="auto" w:fill="auto"/>
            <w:vAlign w:val="bottom"/>
            <w:hideMark/>
          </w:tcPr>
          <w:p w14:paraId="75D1CEB7"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13</w:t>
            </w:r>
          </w:p>
        </w:tc>
        <w:tc>
          <w:tcPr>
            <w:tcW w:w="500" w:type="dxa"/>
            <w:tcBorders>
              <w:top w:val="single" w:sz="4" w:space="0" w:color="ADD6EA"/>
              <w:left w:val="nil"/>
              <w:bottom w:val="nil"/>
              <w:right w:val="nil"/>
            </w:tcBorders>
            <w:shd w:val="clear" w:color="auto" w:fill="auto"/>
            <w:vAlign w:val="bottom"/>
            <w:hideMark/>
          </w:tcPr>
          <w:p w14:paraId="0CF42A42"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w:t>
            </w:r>
          </w:p>
        </w:tc>
        <w:tc>
          <w:tcPr>
            <w:tcW w:w="600" w:type="dxa"/>
            <w:tcBorders>
              <w:top w:val="single" w:sz="4" w:space="0" w:color="ADD6EA"/>
              <w:left w:val="nil"/>
              <w:bottom w:val="nil"/>
              <w:right w:val="nil"/>
            </w:tcBorders>
            <w:shd w:val="clear" w:color="auto" w:fill="auto"/>
            <w:vAlign w:val="bottom"/>
            <w:hideMark/>
          </w:tcPr>
          <w:p w14:paraId="0E05EF7C"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55</w:t>
            </w:r>
          </w:p>
        </w:tc>
      </w:tr>
      <w:tr w:rsidR="0096302F" w:rsidRPr="0096302F" w14:paraId="79D94F5C" w14:textId="77777777" w:rsidTr="0096302F">
        <w:trPr>
          <w:trHeight w:val="555"/>
        </w:trPr>
        <w:tc>
          <w:tcPr>
            <w:tcW w:w="4280" w:type="dxa"/>
            <w:tcBorders>
              <w:top w:val="single" w:sz="4" w:space="0" w:color="ADD6EA"/>
              <w:left w:val="nil"/>
              <w:bottom w:val="nil"/>
              <w:right w:val="nil"/>
            </w:tcBorders>
            <w:shd w:val="clear" w:color="auto" w:fill="auto"/>
            <w:vAlign w:val="bottom"/>
            <w:hideMark/>
          </w:tcPr>
          <w:p w14:paraId="506088CE" w14:textId="77777777" w:rsidR="0096302F" w:rsidRPr="0096302F" w:rsidRDefault="0096302F" w:rsidP="0096302F">
            <w:pPr>
              <w:tabs>
                <w:tab w:val="clear" w:pos="567"/>
              </w:tabs>
              <w:spacing w:before="0" w:line="240" w:lineRule="auto"/>
              <w:rPr>
                <w:rFonts w:eastAsia="Times New Roman" w:cs="Open Sans Light"/>
                <w:color w:val="000000"/>
                <w:sz w:val="16"/>
                <w:szCs w:val="16"/>
                <w:lang w:eastAsia="en-AU"/>
              </w:rPr>
            </w:pPr>
            <w:r w:rsidRPr="0096302F">
              <w:rPr>
                <w:rFonts w:eastAsia="Times New Roman" w:cs="Open Sans Light"/>
                <w:color w:val="000000"/>
                <w:sz w:val="16"/>
                <w:szCs w:val="16"/>
                <w:lang w:eastAsia="en-AU"/>
              </w:rPr>
              <w:t>Infrastructure Growth Package - Western Sydney Infrastructure Plan</w:t>
            </w:r>
          </w:p>
        </w:tc>
        <w:tc>
          <w:tcPr>
            <w:tcW w:w="500" w:type="dxa"/>
            <w:tcBorders>
              <w:top w:val="single" w:sz="4" w:space="0" w:color="ADD6EA"/>
              <w:left w:val="nil"/>
              <w:bottom w:val="nil"/>
              <w:right w:val="nil"/>
            </w:tcBorders>
            <w:shd w:val="clear" w:color="auto" w:fill="auto"/>
            <w:vAlign w:val="bottom"/>
            <w:hideMark/>
          </w:tcPr>
          <w:p w14:paraId="226D367B"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-39</w:t>
            </w:r>
          </w:p>
        </w:tc>
        <w:tc>
          <w:tcPr>
            <w:tcW w:w="500" w:type="dxa"/>
            <w:tcBorders>
              <w:top w:val="single" w:sz="4" w:space="0" w:color="ADD6EA"/>
              <w:left w:val="nil"/>
              <w:bottom w:val="nil"/>
              <w:right w:val="nil"/>
            </w:tcBorders>
            <w:shd w:val="clear" w:color="auto" w:fill="auto"/>
            <w:vAlign w:val="bottom"/>
            <w:hideMark/>
          </w:tcPr>
          <w:p w14:paraId="52CFD8E3"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15</w:t>
            </w:r>
          </w:p>
        </w:tc>
        <w:tc>
          <w:tcPr>
            <w:tcW w:w="560" w:type="dxa"/>
            <w:tcBorders>
              <w:top w:val="single" w:sz="4" w:space="0" w:color="ADD6EA"/>
              <w:left w:val="nil"/>
              <w:bottom w:val="nil"/>
              <w:right w:val="nil"/>
            </w:tcBorders>
            <w:shd w:val="clear" w:color="auto" w:fill="auto"/>
            <w:vAlign w:val="bottom"/>
            <w:hideMark/>
          </w:tcPr>
          <w:p w14:paraId="0AC04BE4"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12</w:t>
            </w:r>
          </w:p>
        </w:tc>
        <w:tc>
          <w:tcPr>
            <w:tcW w:w="500" w:type="dxa"/>
            <w:tcBorders>
              <w:top w:val="single" w:sz="4" w:space="0" w:color="ADD6EA"/>
              <w:left w:val="nil"/>
              <w:bottom w:val="nil"/>
              <w:right w:val="nil"/>
            </w:tcBorders>
            <w:shd w:val="clear" w:color="auto" w:fill="auto"/>
            <w:vAlign w:val="bottom"/>
            <w:hideMark/>
          </w:tcPr>
          <w:p w14:paraId="0E2C31FD"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6</w:t>
            </w:r>
          </w:p>
        </w:tc>
        <w:tc>
          <w:tcPr>
            <w:tcW w:w="500" w:type="dxa"/>
            <w:tcBorders>
              <w:top w:val="single" w:sz="4" w:space="0" w:color="ADD6EA"/>
              <w:left w:val="nil"/>
              <w:bottom w:val="nil"/>
              <w:right w:val="nil"/>
            </w:tcBorders>
            <w:shd w:val="clear" w:color="auto" w:fill="auto"/>
            <w:vAlign w:val="bottom"/>
            <w:hideMark/>
          </w:tcPr>
          <w:p w14:paraId="50866750"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4</w:t>
            </w:r>
          </w:p>
        </w:tc>
        <w:tc>
          <w:tcPr>
            <w:tcW w:w="500" w:type="dxa"/>
            <w:tcBorders>
              <w:top w:val="single" w:sz="4" w:space="0" w:color="ADD6EA"/>
              <w:left w:val="nil"/>
              <w:bottom w:val="nil"/>
              <w:right w:val="nil"/>
            </w:tcBorders>
            <w:shd w:val="clear" w:color="auto" w:fill="auto"/>
            <w:vAlign w:val="bottom"/>
            <w:hideMark/>
          </w:tcPr>
          <w:p w14:paraId="4F364EF0"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w:t>
            </w:r>
          </w:p>
        </w:tc>
        <w:tc>
          <w:tcPr>
            <w:tcW w:w="500" w:type="dxa"/>
            <w:tcBorders>
              <w:top w:val="single" w:sz="4" w:space="0" w:color="ADD6EA"/>
              <w:left w:val="nil"/>
              <w:bottom w:val="nil"/>
              <w:right w:val="nil"/>
            </w:tcBorders>
            <w:shd w:val="clear" w:color="auto" w:fill="auto"/>
            <w:vAlign w:val="bottom"/>
            <w:hideMark/>
          </w:tcPr>
          <w:p w14:paraId="717F3616"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w:t>
            </w:r>
          </w:p>
        </w:tc>
        <w:tc>
          <w:tcPr>
            <w:tcW w:w="500" w:type="dxa"/>
            <w:tcBorders>
              <w:top w:val="single" w:sz="4" w:space="0" w:color="ADD6EA"/>
              <w:left w:val="nil"/>
              <w:bottom w:val="nil"/>
              <w:right w:val="nil"/>
            </w:tcBorders>
            <w:shd w:val="clear" w:color="auto" w:fill="auto"/>
            <w:vAlign w:val="bottom"/>
            <w:hideMark/>
          </w:tcPr>
          <w:p w14:paraId="384ACF39"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1</w:t>
            </w:r>
          </w:p>
        </w:tc>
        <w:tc>
          <w:tcPr>
            <w:tcW w:w="600" w:type="dxa"/>
            <w:tcBorders>
              <w:top w:val="single" w:sz="4" w:space="0" w:color="ADD6EA"/>
              <w:left w:val="nil"/>
              <w:bottom w:val="nil"/>
              <w:right w:val="nil"/>
            </w:tcBorders>
            <w:shd w:val="clear" w:color="auto" w:fill="auto"/>
            <w:vAlign w:val="bottom"/>
            <w:hideMark/>
          </w:tcPr>
          <w:p w14:paraId="28FC8078"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39</w:t>
            </w:r>
          </w:p>
        </w:tc>
      </w:tr>
      <w:tr w:rsidR="0096302F" w:rsidRPr="0096302F" w14:paraId="7919B50F" w14:textId="77777777" w:rsidTr="0096302F">
        <w:trPr>
          <w:trHeight w:val="315"/>
        </w:trPr>
        <w:tc>
          <w:tcPr>
            <w:tcW w:w="4280" w:type="dxa"/>
            <w:tcBorders>
              <w:top w:val="single" w:sz="4" w:space="0" w:color="ADD6EA"/>
              <w:left w:val="nil"/>
              <w:bottom w:val="nil"/>
              <w:right w:val="nil"/>
            </w:tcBorders>
            <w:shd w:val="clear" w:color="auto" w:fill="auto"/>
            <w:vAlign w:val="bottom"/>
            <w:hideMark/>
          </w:tcPr>
          <w:p w14:paraId="20C67F79" w14:textId="77777777" w:rsidR="0096302F" w:rsidRPr="0096302F" w:rsidRDefault="0096302F" w:rsidP="0096302F">
            <w:pPr>
              <w:tabs>
                <w:tab w:val="clear" w:pos="567"/>
              </w:tabs>
              <w:spacing w:before="0" w:line="240" w:lineRule="auto"/>
              <w:rPr>
                <w:rFonts w:eastAsia="Times New Roman" w:cs="Open Sans Light"/>
                <w:color w:val="000000"/>
                <w:sz w:val="16"/>
                <w:szCs w:val="16"/>
                <w:lang w:eastAsia="en-AU"/>
              </w:rPr>
            </w:pPr>
            <w:r w:rsidRPr="0096302F">
              <w:rPr>
                <w:rFonts w:eastAsia="Times New Roman" w:cs="Open Sans Light"/>
                <w:color w:val="000000"/>
                <w:sz w:val="16"/>
                <w:szCs w:val="16"/>
                <w:lang w:eastAsia="en-AU"/>
              </w:rPr>
              <w:t>Quality schools (government schools)</w:t>
            </w:r>
          </w:p>
        </w:tc>
        <w:tc>
          <w:tcPr>
            <w:tcW w:w="500" w:type="dxa"/>
            <w:tcBorders>
              <w:top w:val="single" w:sz="4" w:space="0" w:color="ADD6EA"/>
              <w:left w:val="nil"/>
              <w:bottom w:val="nil"/>
              <w:right w:val="nil"/>
            </w:tcBorders>
            <w:shd w:val="clear" w:color="auto" w:fill="auto"/>
            <w:vAlign w:val="bottom"/>
            <w:hideMark/>
          </w:tcPr>
          <w:p w14:paraId="7A1512F4"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24</w:t>
            </w:r>
          </w:p>
        </w:tc>
        <w:tc>
          <w:tcPr>
            <w:tcW w:w="500" w:type="dxa"/>
            <w:tcBorders>
              <w:top w:val="single" w:sz="4" w:space="0" w:color="ADD6EA"/>
              <w:left w:val="nil"/>
              <w:bottom w:val="nil"/>
              <w:right w:val="nil"/>
            </w:tcBorders>
            <w:shd w:val="clear" w:color="auto" w:fill="auto"/>
            <w:vAlign w:val="bottom"/>
            <w:hideMark/>
          </w:tcPr>
          <w:p w14:paraId="15851E38"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4</w:t>
            </w:r>
          </w:p>
        </w:tc>
        <w:tc>
          <w:tcPr>
            <w:tcW w:w="560" w:type="dxa"/>
            <w:tcBorders>
              <w:top w:val="single" w:sz="4" w:space="0" w:color="ADD6EA"/>
              <w:left w:val="nil"/>
              <w:bottom w:val="nil"/>
              <w:right w:val="nil"/>
            </w:tcBorders>
            <w:shd w:val="clear" w:color="auto" w:fill="auto"/>
            <w:vAlign w:val="bottom"/>
            <w:hideMark/>
          </w:tcPr>
          <w:p w14:paraId="2EE4FC53"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2</w:t>
            </w:r>
          </w:p>
        </w:tc>
        <w:tc>
          <w:tcPr>
            <w:tcW w:w="500" w:type="dxa"/>
            <w:tcBorders>
              <w:top w:val="single" w:sz="4" w:space="0" w:color="ADD6EA"/>
              <w:left w:val="nil"/>
              <w:bottom w:val="nil"/>
              <w:right w:val="nil"/>
            </w:tcBorders>
            <w:shd w:val="clear" w:color="auto" w:fill="auto"/>
            <w:vAlign w:val="bottom"/>
            <w:hideMark/>
          </w:tcPr>
          <w:p w14:paraId="21B0B58D"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-27</w:t>
            </w:r>
          </w:p>
        </w:tc>
        <w:tc>
          <w:tcPr>
            <w:tcW w:w="500" w:type="dxa"/>
            <w:tcBorders>
              <w:top w:val="single" w:sz="4" w:space="0" w:color="ADD6EA"/>
              <w:left w:val="nil"/>
              <w:bottom w:val="nil"/>
              <w:right w:val="nil"/>
            </w:tcBorders>
            <w:shd w:val="clear" w:color="auto" w:fill="auto"/>
            <w:vAlign w:val="bottom"/>
            <w:hideMark/>
          </w:tcPr>
          <w:p w14:paraId="13319AF2"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-7</w:t>
            </w:r>
          </w:p>
        </w:tc>
        <w:tc>
          <w:tcPr>
            <w:tcW w:w="500" w:type="dxa"/>
            <w:tcBorders>
              <w:top w:val="single" w:sz="4" w:space="0" w:color="ADD6EA"/>
              <w:left w:val="nil"/>
              <w:bottom w:val="nil"/>
              <w:right w:val="nil"/>
            </w:tcBorders>
            <w:shd w:val="clear" w:color="auto" w:fill="auto"/>
            <w:vAlign w:val="bottom"/>
            <w:hideMark/>
          </w:tcPr>
          <w:p w14:paraId="7111FCA5"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4</w:t>
            </w:r>
          </w:p>
        </w:tc>
        <w:tc>
          <w:tcPr>
            <w:tcW w:w="500" w:type="dxa"/>
            <w:tcBorders>
              <w:top w:val="single" w:sz="4" w:space="0" w:color="ADD6EA"/>
              <w:left w:val="nil"/>
              <w:bottom w:val="nil"/>
              <w:right w:val="nil"/>
            </w:tcBorders>
            <w:shd w:val="clear" w:color="auto" w:fill="auto"/>
            <w:vAlign w:val="bottom"/>
            <w:hideMark/>
          </w:tcPr>
          <w:p w14:paraId="5A1631C3"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-2</w:t>
            </w:r>
          </w:p>
        </w:tc>
        <w:tc>
          <w:tcPr>
            <w:tcW w:w="500" w:type="dxa"/>
            <w:tcBorders>
              <w:top w:val="single" w:sz="4" w:space="0" w:color="ADD6EA"/>
              <w:left w:val="nil"/>
              <w:bottom w:val="nil"/>
              <w:right w:val="nil"/>
            </w:tcBorders>
            <w:shd w:val="clear" w:color="auto" w:fill="auto"/>
            <w:vAlign w:val="bottom"/>
            <w:hideMark/>
          </w:tcPr>
          <w:p w14:paraId="207FEE5E"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3</w:t>
            </w:r>
          </w:p>
        </w:tc>
        <w:tc>
          <w:tcPr>
            <w:tcW w:w="600" w:type="dxa"/>
            <w:tcBorders>
              <w:top w:val="single" w:sz="4" w:space="0" w:color="ADD6EA"/>
              <w:left w:val="nil"/>
              <w:bottom w:val="nil"/>
              <w:right w:val="nil"/>
            </w:tcBorders>
            <w:shd w:val="clear" w:color="auto" w:fill="auto"/>
            <w:vAlign w:val="bottom"/>
            <w:hideMark/>
          </w:tcPr>
          <w:p w14:paraId="66E84E88" w14:textId="77777777" w:rsidR="0096302F" w:rsidRPr="0096302F" w:rsidRDefault="0096302F" w:rsidP="0096302F">
            <w:pPr>
              <w:tabs>
                <w:tab w:val="clear" w:pos="567"/>
              </w:tabs>
              <w:spacing w:before="0" w:line="240" w:lineRule="auto"/>
              <w:jc w:val="right"/>
              <w:rPr>
                <w:rFonts w:eastAsia="Times New Roman" w:cs="Open Sans Light"/>
                <w:color w:val="000000"/>
                <w:sz w:val="16"/>
                <w:szCs w:val="16"/>
                <w:lang w:eastAsia="en-AU"/>
              </w:rPr>
            </w:pPr>
            <w:r w:rsidRPr="0096302F">
              <w:rPr>
                <w:rFonts w:eastAsia="Times New Roman" w:cs="Open Sans Light"/>
                <w:color w:val="000000"/>
                <w:sz w:val="16"/>
                <w:szCs w:val="16"/>
                <w:lang w:eastAsia="en-AU"/>
              </w:rPr>
              <w:t>36</w:t>
            </w:r>
          </w:p>
        </w:tc>
      </w:tr>
      <w:tr w:rsidR="0096302F" w:rsidRPr="0096302F" w14:paraId="0F81E0CD" w14:textId="77777777" w:rsidTr="0096302F">
        <w:trPr>
          <w:trHeight w:val="315"/>
        </w:trPr>
        <w:tc>
          <w:tcPr>
            <w:tcW w:w="4280" w:type="dxa"/>
            <w:tcBorders>
              <w:top w:val="single" w:sz="4" w:space="0" w:color="ADD6EA"/>
              <w:left w:val="nil"/>
              <w:bottom w:val="nil"/>
              <w:right w:val="nil"/>
            </w:tcBorders>
            <w:shd w:val="clear" w:color="auto" w:fill="auto"/>
            <w:vAlign w:val="bottom"/>
            <w:hideMark/>
          </w:tcPr>
          <w:p w14:paraId="6A43F1BD" w14:textId="77777777" w:rsidR="0096302F" w:rsidRPr="00AA0A35" w:rsidRDefault="0096302F" w:rsidP="0096302F">
            <w:pPr>
              <w:tabs>
                <w:tab w:val="clear" w:pos="567"/>
              </w:tabs>
              <w:spacing w:before="0" w:line="240" w:lineRule="auto"/>
              <w:rPr>
                <w:rFonts w:eastAsia="Times New Roman" w:cs="Open Sans Light"/>
                <w:color w:val="000000"/>
                <w:sz w:val="16"/>
                <w:szCs w:val="16"/>
                <w:lang w:eastAsia="en-AU"/>
              </w:rPr>
            </w:pPr>
            <w:r w:rsidRPr="00AA0A35">
              <w:rPr>
                <w:rFonts w:eastAsia="Times New Roman" w:cs="Open Sans Light"/>
                <w:color w:val="000000"/>
                <w:sz w:val="16"/>
                <w:szCs w:val="16"/>
                <w:lang w:eastAsia="en-AU"/>
              </w:rPr>
              <w:t>Other</w:t>
            </w:r>
          </w:p>
        </w:tc>
        <w:tc>
          <w:tcPr>
            <w:tcW w:w="500" w:type="dxa"/>
            <w:tcBorders>
              <w:top w:val="single" w:sz="4" w:space="0" w:color="ADD6EA"/>
              <w:left w:val="nil"/>
              <w:bottom w:val="nil"/>
              <w:right w:val="nil"/>
            </w:tcBorders>
            <w:shd w:val="clear" w:color="auto" w:fill="auto"/>
            <w:noWrap/>
            <w:vAlign w:val="bottom"/>
            <w:hideMark/>
          </w:tcPr>
          <w:p w14:paraId="4B9DD213"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-5</w:t>
            </w:r>
          </w:p>
        </w:tc>
        <w:tc>
          <w:tcPr>
            <w:tcW w:w="500" w:type="dxa"/>
            <w:tcBorders>
              <w:top w:val="single" w:sz="4" w:space="0" w:color="ADD6EA"/>
              <w:left w:val="nil"/>
              <w:bottom w:val="nil"/>
              <w:right w:val="nil"/>
            </w:tcBorders>
            <w:shd w:val="clear" w:color="auto" w:fill="auto"/>
            <w:noWrap/>
            <w:vAlign w:val="bottom"/>
            <w:hideMark/>
          </w:tcPr>
          <w:p w14:paraId="00910AC2"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35</w:t>
            </w:r>
          </w:p>
        </w:tc>
        <w:tc>
          <w:tcPr>
            <w:tcW w:w="560" w:type="dxa"/>
            <w:tcBorders>
              <w:top w:val="single" w:sz="4" w:space="0" w:color="ADD6EA"/>
              <w:left w:val="nil"/>
              <w:bottom w:val="nil"/>
              <w:right w:val="nil"/>
            </w:tcBorders>
            <w:shd w:val="clear" w:color="auto" w:fill="auto"/>
            <w:noWrap/>
            <w:vAlign w:val="bottom"/>
            <w:hideMark/>
          </w:tcPr>
          <w:p w14:paraId="57565E83"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2</w:t>
            </w:r>
          </w:p>
        </w:tc>
        <w:tc>
          <w:tcPr>
            <w:tcW w:w="500" w:type="dxa"/>
            <w:tcBorders>
              <w:top w:val="single" w:sz="4" w:space="0" w:color="ADD6EA"/>
              <w:left w:val="nil"/>
              <w:bottom w:val="nil"/>
              <w:right w:val="nil"/>
            </w:tcBorders>
            <w:shd w:val="clear" w:color="auto" w:fill="auto"/>
            <w:noWrap/>
            <w:vAlign w:val="bottom"/>
            <w:hideMark/>
          </w:tcPr>
          <w:p w14:paraId="27749D9C"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-41</w:t>
            </w:r>
          </w:p>
        </w:tc>
        <w:tc>
          <w:tcPr>
            <w:tcW w:w="500" w:type="dxa"/>
            <w:tcBorders>
              <w:top w:val="single" w:sz="4" w:space="0" w:color="ADD6EA"/>
              <w:left w:val="nil"/>
              <w:bottom w:val="nil"/>
              <w:right w:val="nil"/>
            </w:tcBorders>
            <w:shd w:val="clear" w:color="auto" w:fill="auto"/>
            <w:noWrap/>
            <w:vAlign w:val="bottom"/>
            <w:hideMark/>
          </w:tcPr>
          <w:p w14:paraId="3FCF3CB1"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13</w:t>
            </w:r>
          </w:p>
        </w:tc>
        <w:tc>
          <w:tcPr>
            <w:tcW w:w="500" w:type="dxa"/>
            <w:tcBorders>
              <w:top w:val="single" w:sz="4" w:space="0" w:color="ADD6EA"/>
              <w:left w:val="nil"/>
              <w:bottom w:val="nil"/>
              <w:right w:val="nil"/>
            </w:tcBorders>
            <w:shd w:val="clear" w:color="auto" w:fill="auto"/>
            <w:noWrap/>
            <w:vAlign w:val="bottom"/>
            <w:hideMark/>
          </w:tcPr>
          <w:p w14:paraId="0C583609"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6</w:t>
            </w:r>
          </w:p>
        </w:tc>
        <w:tc>
          <w:tcPr>
            <w:tcW w:w="500" w:type="dxa"/>
            <w:tcBorders>
              <w:top w:val="single" w:sz="4" w:space="0" w:color="ADD6EA"/>
              <w:left w:val="nil"/>
              <w:bottom w:val="nil"/>
              <w:right w:val="nil"/>
            </w:tcBorders>
            <w:shd w:val="clear" w:color="auto" w:fill="auto"/>
            <w:noWrap/>
            <w:vAlign w:val="bottom"/>
            <w:hideMark/>
          </w:tcPr>
          <w:p w14:paraId="2F1DA1AE"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-7</w:t>
            </w:r>
          </w:p>
        </w:tc>
        <w:tc>
          <w:tcPr>
            <w:tcW w:w="500" w:type="dxa"/>
            <w:tcBorders>
              <w:top w:val="single" w:sz="4" w:space="0" w:color="ADD6EA"/>
              <w:left w:val="nil"/>
              <w:bottom w:val="nil"/>
              <w:right w:val="nil"/>
            </w:tcBorders>
            <w:shd w:val="clear" w:color="auto" w:fill="auto"/>
            <w:noWrap/>
            <w:vAlign w:val="bottom"/>
            <w:hideMark/>
          </w:tcPr>
          <w:p w14:paraId="1ED062B6"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-3</w:t>
            </w:r>
          </w:p>
        </w:tc>
        <w:tc>
          <w:tcPr>
            <w:tcW w:w="600" w:type="dxa"/>
            <w:tcBorders>
              <w:top w:val="single" w:sz="4" w:space="0" w:color="ADD6EA"/>
              <w:left w:val="nil"/>
              <w:bottom w:val="nil"/>
              <w:right w:val="nil"/>
            </w:tcBorders>
            <w:shd w:val="clear" w:color="auto" w:fill="auto"/>
            <w:noWrap/>
            <w:vAlign w:val="bottom"/>
            <w:hideMark/>
          </w:tcPr>
          <w:p w14:paraId="3B679312" w14:textId="77777777" w:rsidR="0096302F" w:rsidRPr="00AA0A35" w:rsidRDefault="0096302F" w:rsidP="0096302F">
            <w:pPr>
              <w:tabs>
                <w:tab w:val="clear" w:pos="567"/>
              </w:tabs>
              <w:spacing w:before="0" w:line="240" w:lineRule="auto"/>
              <w:jc w:val="right"/>
              <w:rPr>
                <w:rFonts w:eastAsia="Times New Roman" w:cs="Open Sans Light"/>
                <w:color w:val="000000"/>
                <w:sz w:val="16"/>
                <w:szCs w:val="16"/>
                <w:lang w:eastAsia="en-AU"/>
              </w:rPr>
            </w:pPr>
            <w:r w:rsidRPr="00AA0A35">
              <w:rPr>
                <w:rFonts w:eastAsia="Times New Roman" w:cs="Open Sans Light"/>
                <w:color w:val="000000"/>
                <w:sz w:val="16"/>
                <w:szCs w:val="16"/>
                <w:lang w:eastAsia="en-AU"/>
              </w:rPr>
              <w:t>56</w:t>
            </w:r>
          </w:p>
        </w:tc>
      </w:tr>
      <w:tr w:rsidR="0096302F" w:rsidRPr="0096302F" w14:paraId="2BEA5CB0" w14:textId="77777777" w:rsidTr="0096302F">
        <w:trPr>
          <w:trHeight w:val="315"/>
        </w:trPr>
        <w:tc>
          <w:tcPr>
            <w:tcW w:w="4280" w:type="dxa"/>
            <w:tcBorders>
              <w:top w:val="single" w:sz="4" w:space="0" w:color="ADD6EA"/>
              <w:left w:val="nil"/>
              <w:bottom w:val="single" w:sz="4" w:space="0" w:color="ADD6EA"/>
              <w:right w:val="nil"/>
            </w:tcBorders>
            <w:shd w:val="clear" w:color="000000" w:fill="D6E7F0"/>
            <w:vAlign w:val="bottom"/>
            <w:hideMark/>
          </w:tcPr>
          <w:p w14:paraId="0499C1FD" w14:textId="77777777" w:rsidR="0096302F" w:rsidRPr="00AA0A35" w:rsidRDefault="0096302F" w:rsidP="0096302F">
            <w:pPr>
              <w:tabs>
                <w:tab w:val="clear" w:pos="567"/>
              </w:tabs>
              <w:spacing w:before="0" w:line="240" w:lineRule="auto"/>
              <w:rPr>
                <w:rFonts w:ascii="Open Sans Semibold" w:eastAsia="Times New Roman" w:hAnsi="Open Sans Semibold" w:cs="Open Sans Semibold"/>
                <w:color w:val="000000"/>
                <w:sz w:val="16"/>
                <w:szCs w:val="16"/>
                <w:lang w:eastAsia="en-AU"/>
              </w:rPr>
            </w:pPr>
            <w:r w:rsidRPr="00AA0A35">
              <w:rPr>
                <w:rFonts w:ascii="Open Sans Semibold" w:eastAsia="Times New Roman" w:hAnsi="Open Sans Semibold" w:cs="Open Sans Semibold"/>
                <w:color w:val="000000"/>
                <w:sz w:val="16"/>
                <w:szCs w:val="16"/>
                <w:lang w:eastAsia="en-AU"/>
              </w:rPr>
              <w:t>Total</w:t>
            </w:r>
          </w:p>
        </w:tc>
        <w:tc>
          <w:tcPr>
            <w:tcW w:w="500" w:type="dxa"/>
            <w:tcBorders>
              <w:top w:val="single" w:sz="4" w:space="0" w:color="ADD6EA"/>
              <w:left w:val="nil"/>
              <w:bottom w:val="single" w:sz="4" w:space="0" w:color="ADD6EA"/>
              <w:right w:val="nil"/>
            </w:tcBorders>
            <w:shd w:val="clear" w:color="000000" w:fill="D6E7F0"/>
            <w:noWrap/>
            <w:vAlign w:val="bottom"/>
            <w:hideMark/>
          </w:tcPr>
          <w:p w14:paraId="19B3AC27" w14:textId="77777777" w:rsidR="0096302F" w:rsidRPr="00AA0A35"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0A35">
              <w:rPr>
                <w:rFonts w:ascii="Open Sans Semibold" w:eastAsia="Times New Roman" w:hAnsi="Open Sans Semibold" w:cs="Open Sans Semibold"/>
                <w:color w:val="000000"/>
                <w:sz w:val="16"/>
                <w:szCs w:val="16"/>
                <w:lang w:eastAsia="en-AU"/>
              </w:rPr>
              <w:t>68</w:t>
            </w:r>
          </w:p>
        </w:tc>
        <w:tc>
          <w:tcPr>
            <w:tcW w:w="500" w:type="dxa"/>
            <w:tcBorders>
              <w:top w:val="single" w:sz="4" w:space="0" w:color="ADD6EA"/>
              <w:left w:val="nil"/>
              <w:bottom w:val="single" w:sz="4" w:space="0" w:color="ADD6EA"/>
              <w:right w:val="nil"/>
            </w:tcBorders>
            <w:shd w:val="clear" w:color="000000" w:fill="D6E7F0"/>
            <w:noWrap/>
            <w:vAlign w:val="bottom"/>
            <w:hideMark/>
          </w:tcPr>
          <w:p w14:paraId="1CE01236" w14:textId="77777777" w:rsidR="0096302F" w:rsidRPr="00AA0A35"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0A35">
              <w:rPr>
                <w:rFonts w:ascii="Open Sans Semibold" w:eastAsia="Times New Roman" w:hAnsi="Open Sans Semibold" w:cs="Open Sans Semibold"/>
                <w:color w:val="000000"/>
                <w:sz w:val="16"/>
                <w:szCs w:val="16"/>
                <w:lang w:eastAsia="en-AU"/>
              </w:rPr>
              <w:t>-40</w:t>
            </w:r>
          </w:p>
        </w:tc>
        <w:tc>
          <w:tcPr>
            <w:tcW w:w="560" w:type="dxa"/>
            <w:tcBorders>
              <w:top w:val="single" w:sz="4" w:space="0" w:color="ADD6EA"/>
              <w:left w:val="nil"/>
              <w:bottom w:val="single" w:sz="4" w:space="0" w:color="ADD6EA"/>
              <w:right w:val="nil"/>
            </w:tcBorders>
            <w:shd w:val="clear" w:color="000000" w:fill="D6E7F0"/>
            <w:noWrap/>
            <w:vAlign w:val="bottom"/>
            <w:hideMark/>
          </w:tcPr>
          <w:p w14:paraId="5B276461" w14:textId="77777777" w:rsidR="0096302F" w:rsidRPr="00AA0A35"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0A35">
              <w:rPr>
                <w:rFonts w:ascii="Open Sans Semibold" w:eastAsia="Times New Roman" w:hAnsi="Open Sans Semibold" w:cs="Open Sans Semibold"/>
                <w:color w:val="000000"/>
                <w:sz w:val="16"/>
                <w:szCs w:val="16"/>
                <w:lang w:eastAsia="en-AU"/>
              </w:rPr>
              <w:t>-140</w:t>
            </w:r>
          </w:p>
        </w:tc>
        <w:tc>
          <w:tcPr>
            <w:tcW w:w="500" w:type="dxa"/>
            <w:tcBorders>
              <w:top w:val="single" w:sz="4" w:space="0" w:color="ADD6EA"/>
              <w:left w:val="nil"/>
              <w:bottom w:val="single" w:sz="4" w:space="0" w:color="ADD6EA"/>
              <w:right w:val="nil"/>
            </w:tcBorders>
            <w:shd w:val="clear" w:color="000000" w:fill="D6E7F0"/>
            <w:noWrap/>
            <w:vAlign w:val="bottom"/>
            <w:hideMark/>
          </w:tcPr>
          <w:p w14:paraId="1142B103" w14:textId="77777777" w:rsidR="0096302F" w:rsidRPr="00AA0A35"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0A35">
              <w:rPr>
                <w:rFonts w:ascii="Open Sans Semibold" w:eastAsia="Times New Roman" w:hAnsi="Open Sans Semibold" w:cs="Open Sans Semibold"/>
                <w:color w:val="000000"/>
                <w:sz w:val="16"/>
                <w:szCs w:val="16"/>
                <w:lang w:eastAsia="en-AU"/>
              </w:rPr>
              <w:t>-12</w:t>
            </w:r>
          </w:p>
        </w:tc>
        <w:tc>
          <w:tcPr>
            <w:tcW w:w="500" w:type="dxa"/>
            <w:tcBorders>
              <w:top w:val="single" w:sz="4" w:space="0" w:color="ADD6EA"/>
              <w:left w:val="nil"/>
              <w:bottom w:val="single" w:sz="4" w:space="0" w:color="ADD6EA"/>
              <w:right w:val="nil"/>
            </w:tcBorders>
            <w:shd w:val="clear" w:color="000000" w:fill="D6E7F0"/>
            <w:noWrap/>
            <w:vAlign w:val="bottom"/>
            <w:hideMark/>
          </w:tcPr>
          <w:p w14:paraId="468D766A" w14:textId="77777777" w:rsidR="0096302F" w:rsidRPr="00AA0A35"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0A35">
              <w:rPr>
                <w:rFonts w:ascii="Open Sans Semibold" w:eastAsia="Times New Roman" w:hAnsi="Open Sans Semibold" w:cs="Open Sans Semibold"/>
                <w:color w:val="000000"/>
                <w:sz w:val="16"/>
                <w:szCs w:val="16"/>
                <w:lang w:eastAsia="en-AU"/>
              </w:rPr>
              <w:t>89</w:t>
            </w:r>
          </w:p>
        </w:tc>
        <w:tc>
          <w:tcPr>
            <w:tcW w:w="500" w:type="dxa"/>
            <w:tcBorders>
              <w:top w:val="single" w:sz="4" w:space="0" w:color="ADD6EA"/>
              <w:left w:val="nil"/>
              <w:bottom w:val="single" w:sz="4" w:space="0" w:color="ADD6EA"/>
              <w:right w:val="nil"/>
            </w:tcBorders>
            <w:shd w:val="clear" w:color="000000" w:fill="D6E7F0"/>
            <w:noWrap/>
            <w:vAlign w:val="bottom"/>
            <w:hideMark/>
          </w:tcPr>
          <w:p w14:paraId="3C048E6F" w14:textId="77777777" w:rsidR="0096302F" w:rsidRPr="00AA0A35"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0A35">
              <w:rPr>
                <w:rFonts w:ascii="Open Sans Semibold" w:eastAsia="Times New Roman" w:hAnsi="Open Sans Semibold" w:cs="Open Sans Semibold"/>
                <w:color w:val="000000"/>
                <w:sz w:val="16"/>
                <w:szCs w:val="16"/>
                <w:lang w:eastAsia="en-AU"/>
              </w:rPr>
              <w:t>10</w:t>
            </w:r>
          </w:p>
        </w:tc>
        <w:tc>
          <w:tcPr>
            <w:tcW w:w="500" w:type="dxa"/>
            <w:tcBorders>
              <w:top w:val="single" w:sz="4" w:space="0" w:color="ADD6EA"/>
              <w:left w:val="nil"/>
              <w:bottom w:val="single" w:sz="4" w:space="0" w:color="ADD6EA"/>
              <w:right w:val="nil"/>
            </w:tcBorders>
            <w:shd w:val="clear" w:color="000000" w:fill="D6E7F0"/>
            <w:noWrap/>
            <w:vAlign w:val="bottom"/>
            <w:hideMark/>
          </w:tcPr>
          <w:p w14:paraId="15D90E92" w14:textId="77777777" w:rsidR="0096302F" w:rsidRPr="00AA0A35"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0A35">
              <w:rPr>
                <w:rFonts w:ascii="Open Sans Semibold" w:eastAsia="Times New Roman" w:hAnsi="Open Sans Semibold" w:cs="Open Sans Semibold"/>
                <w:color w:val="000000"/>
                <w:sz w:val="16"/>
                <w:szCs w:val="16"/>
                <w:lang w:eastAsia="en-AU"/>
              </w:rPr>
              <w:t>10</w:t>
            </w:r>
          </w:p>
        </w:tc>
        <w:tc>
          <w:tcPr>
            <w:tcW w:w="500" w:type="dxa"/>
            <w:tcBorders>
              <w:top w:val="single" w:sz="4" w:space="0" w:color="ADD6EA"/>
              <w:left w:val="nil"/>
              <w:bottom w:val="single" w:sz="4" w:space="0" w:color="ADD6EA"/>
              <w:right w:val="nil"/>
            </w:tcBorders>
            <w:shd w:val="clear" w:color="000000" w:fill="D6E7F0"/>
            <w:noWrap/>
            <w:vAlign w:val="bottom"/>
            <w:hideMark/>
          </w:tcPr>
          <w:p w14:paraId="4310AD23" w14:textId="77777777" w:rsidR="0096302F" w:rsidRPr="00AA0A35"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0A35">
              <w:rPr>
                <w:rFonts w:ascii="Open Sans Semibold" w:eastAsia="Times New Roman" w:hAnsi="Open Sans Semibold" w:cs="Open Sans Semibold"/>
                <w:color w:val="000000"/>
                <w:sz w:val="16"/>
                <w:szCs w:val="16"/>
                <w:lang w:eastAsia="en-AU"/>
              </w:rPr>
              <w:t>14</w:t>
            </w:r>
          </w:p>
        </w:tc>
        <w:tc>
          <w:tcPr>
            <w:tcW w:w="600" w:type="dxa"/>
            <w:tcBorders>
              <w:top w:val="single" w:sz="4" w:space="0" w:color="ADD6EA"/>
              <w:left w:val="nil"/>
              <w:bottom w:val="single" w:sz="4" w:space="0" w:color="ADD6EA"/>
              <w:right w:val="nil"/>
            </w:tcBorders>
            <w:shd w:val="clear" w:color="000000" w:fill="D6E7F0"/>
            <w:noWrap/>
            <w:vAlign w:val="bottom"/>
            <w:hideMark/>
          </w:tcPr>
          <w:p w14:paraId="71CEF719" w14:textId="77777777" w:rsidR="0096302F" w:rsidRPr="00AA0A35" w:rsidRDefault="0096302F" w:rsidP="0096302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0A35">
              <w:rPr>
                <w:rFonts w:ascii="Open Sans Semibold" w:eastAsia="Times New Roman" w:hAnsi="Open Sans Semibold" w:cs="Open Sans Semibold"/>
                <w:color w:val="000000"/>
                <w:sz w:val="16"/>
                <w:szCs w:val="16"/>
                <w:lang w:eastAsia="en-AU"/>
              </w:rPr>
              <w:t>192</w:t>
            </w:r>
          </w:p>
        </w:tc>
      </w:tr>
    </w:tbl>
    <w:p w14:paraId="107DEB28" w14:textId="6CA2E840" w:rsidR="00CE4066" w:rsidRPr="00237F8B" w:rsidRDefault="00CE4066" w:rsidP="00A6229D">
      <w:pPr>
        <w:pStyle w:val="CGCTablenote"/>
        <w:keepNext/>
        <w:widowControl w:val="0"/>
      </w:pPr>
      <w:r>
        <w:t>Source:</w:t>
      </w:r>
      <w:r>
        <w:tab/>
        <w:t>Commission calculation.</w:t>
      </w:r>
    </w:p>
    <w:p w14:paraId="7774D651" w14:textId="77777777" w:rsidR="00CE4066" w:rsidRDefault="00CE4066" w:rsidP="00A6229D">
      <w:pPr>
        <w:pStyle w:val="Heading4"/>
        <w:keepNext w:val="0"/>
        <w:keepLines w:val="0"/>
        <w:widowControl w:val="0"/>
      </w:pPr>
      <w:r>
        <w:t>Taxable payrolls</w:t>
      </w:r>
    </w:p>
    <w:p w14:paraId="584ECD9F" w14:textId="3D719D2D" w:rsidR="00CE4066" w:rsidRDefault="00CE4066" w:rsidP="0004064D">
      <w:pPr>
        <w:pStyle w:val="CGCBodyCopy"/>
      </w:pPr>
      <w:r>
        <w:t>States experienced different rates of growth in taxable payrolls between 2017</w:t>
      </w:r>
      <w:r w:rsidR="00C9133C">
        <w:noBreakHyphen/>
      </w:r>
      <w:r>
        <w:t>18 and 2020</w:t>
      </w:r>
      <w:r w:rsidR="00C9133C">
        <w:noBreakHyphen/>
      </w:r>
      <w:r>
        <w:t xml:space="preserve">21. These changes reduced the GST </w:t>
      </w:r>
      <w:r w:rsidR="005458F9">
        <w:t>needs</w:t>
      </w:r>
      <w:r>
        <w:t xml:space="preserve"> of Victoria, Western Australia and South Australia by a total of $141 million and increased the GST </w:t>
      </w:r>
      <w:r w:rsidR="005458F9">
        <w:t>needs</w:t>
      </w:r>
      <w:r>
        <w:t xml:space="preserve"> of other states except Tasmania.</w:t>
      </w:r>
    </w:p>
    <w:p w14:paraId="623331B0" w14:textId="7F6BD155" w:rsidR="00CE4066" w:rsidRDefault="00CE4066" w:rsidP="0004064D">
      <w:pPr>
        <w:pStyle w:val="CGCBodyCopy"/>
      </w:pPr>
      <w:r>
        <w:t>The Commission measures states’ payroll tax bases using ABS</w:t>
      </w:r>
      <w:r w:rsidR="00377A47">
        <w:t xml:space="preserve"> Compensation of Employees</w:t>
      </w:r>
      <w:r>
        <w:t xml:space="preserve"> </w:t>
      </w:r>
      <w:r w:rsidR="00377A47">
        <w:t>(</w:t>
      </w:r>
      <w:r>
        <w:t>CoE</w:t>
      </w:r>
      <w:r w:rsidR="00377A47">
        <w:t>)</w:t>
      </w:r>
      <w:r>
        <w:t xml:space="preserve"> data, adjusted for the average policy to exempt small employers. National average ‘taxable’ CoE per capita declined by 1.6% between 2017</w:t>
      </w:r>
      <w:r w:rsidR="007651E4">
        <w:t>–</w:t>
      </w:r>
      <w:r>
        <w:t>18 and 2020</w:t>
      </w:r>
      <w:r w:rsidR="007651E4">
        <w:t>–</w:t>
      </w:r>
      <w:r>
        <w:t>21. Taxable CoE grew in Western</w:t>
      </w:r>
      <w:r w:rsidR="007651E4">
        <w:t> </w:t>
      </w:r>
      <w:r>
        <w:t>Australia and South Australia over the period and declined by less than the average in Victoria. This increased the relative capacities of these states to raise payroll tax, reducing their GST shares.</w:t>
      </w:r>
    </w:p>
    <w:p w14:paraId="6106207A" w14:textId="6C6333A7" w:rsidR="00CE4066" w:rsidRDefault="00CE4066" w:rsidP="00474B72">
      <w:pPr>
        <w:pStyle w:val="Caption"/>
        <w:widowControl w:val="0"/>
      </w:pPr>
      <w:bookmarkStart w:id="64" w:name="_Ref93849073"/>
      <w:r>
        <w:t>Figure 2-</w:t>
      </w:r>
      <w:r>
        <w:fldChar w:fldCharType="begin"/>
      </w:r>
      <w:r>
        <w:instrText>SEQ Figure \* ARABIC</w:instrText>
      </w:r>
      <w:r>
        <w:fldChar w:fldCharType="separate"/>
      </w:r>
      <w:r w:rsidR="00FE4664">
        <w:rPr>
          <w:noProof/>
        </w:rPr>
        <w:t>5</w:t>
      </w:r>
      <w:r>
        <w:fldChar w:fldCharType="end"/>
      </w:r>
      <w:bookmarkEnd w:id="64"/>
      <w:r>
        <w:tab/>
        <w:t>Taxable compensation of employees per capita by state, 2017</w:t>
      </w:r>
      <w:r w:rsidR="009B3BF8">
        <w:t>–</w:t>
      </w:r>
      <w:r>
        <w:t>18 and 2020</w:t>
      </w:r>
      <w:r w:rsidR="009B3BF8">
        <w:t>–</w:t>
      </w:r>
      <w:r>
        <w:t>21</w:t>
      </w:r>
      <w:r w:rsidR="00635B05">
        <w:rPr>
          <w:noProof/>
        </w:rPr>
        <w:drawing>
          <wp:anchor distT="0" distB="0" distL="114300" distR="114300" simplePos="0" relativeHeight="251658293" behindDoc="1" locked="1" layoutInCell="1" allowOverlap="1" wp14:anchorId="5236A218" wp14:editId="1C86C1A8">
            <wp:simplePos x="0" y="0"/>
            <wp:positionH relativeFrom="page">
              <wp:posOffset>-635</wp:posOffset>
            </wp:positionH>
            <wp:positionV relativeFrom="margin">
              <wp:posOffset>-802640</wp:posOffset>
            </wp:positionV>
            <wp:extent cx="7563485" cy="10691495"/>
            <wp:effectExtent l="0" t="0" r="0" b="0"/>
            <wp:wrapNone/>
            <wp:docPr id="98" name="Picture 9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4318C59B" w14:textId="7F41FCBE" w:rsidR="00CE4066" w:rsidRPr="009F2D69" w:rsidRDefault="007D2568" w:rsidP="00474B72">
      <w:pPr>
        <w:keepNext/>
        <w:keepLines/>
        <w:widowControl w:val="0"/>
      </w:pPr>
      <w:r w:rsidRPr="007D2568">
        <w:rPr>
          <w:noProof/>
        </w:rPr>
        <w:drawing>
          <wp:inline distT="0" distB="0" distL="0" distR="0" wp14:anchorId="492AB652" wp14:editId="2369850D">
            <wp:extent cx="5693410" cy="3666490"/>
            <wp:effectExtent l="0" t="0" r="2540" b="0"/>
            <wp:docPr id="75" name="Picture 75" descr="A column chart comparing state shares of their payroll tax b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olumn chart comparing state shares of their payroll tax base.&#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93410" cy="3666490"/>
                    </a:xfrm>
                    <a:prstGeom prst="rect">
                      <a:avLst/>
                    </a:prstGeom>
                    <a:noFill/>
                    <a:ln>
                      <a:noFill/>
                    </a:ln>
                  </pic:spPr>
                </pic:pic>
              </a:graphicData>
            </a:graphic>
          </wp:inline>
        </w:drawing>
      </w:r>
    </w:p>
    <w:p w14:paraId="2861AA9F" w14:textId="77777777" w:rsidR="00CE4066" w:rsidRDefault="00CE4066" w:rsidP="00474B72">
      <w:pPr>
        <w:pStyle w:val="CGCTablenote"/>
        <w:keepNext/>
        <w:keepLines/>
        <w:widowControl w:val="0"/>
      </w:pPr>
      <w:r>
        <w:t>Source:</w:t>
      </w:r>
      <w:r>
        <w:tab/>
        <w:t xml:space="preserve">Commission calculation </w:t>
      </w:r>
      <w:bookmarkStart w:id="65" w:name="_Hlk96073674"/>
      <w:r>
        <w:t>based on ABS data.</w:t>
      </w:r>
      <w:bookmarkEnd w:id="65"/>
    </w:p>
    <w:p w14:paraId="45DB4B09" w14:textId="79CE843B" w:rsidR="00CE4066" w:rsidRDefault="00CE4066" w:rsidP="00214D86">
      <w:pPr>
        <w:pStyle w:val="Heading3"/>
      </w:pPr>
      <w:r>
        <w:t>COVID-19 in the 2022 Update</w:t>
      </w:r>
    </w:p>
    <w:p w14:paraId="08DA77BB" w14:textId="21F3AA0D" w:rsidR="00CE4066" w:rsidRPr="00C97B78" w:rsidRDefault="00CE4066" w:rsidP="0004064D">
      <w:pPr>
        <w:pStyle w:val="CGCBodyCopy"/>
      </w:pPr>
      <w:r w:rsidRPr="00C97B78">
        <w:t>COVID-19, and the Commonwealth and state government responses to it, continues to affect the Australian economy and society. The 2022 Update assesses state circumstances for the 36 months from July</w:t>
      </w:r>
      <w:r w:rsidR="00CE5F39">
        <w:t> </w:t>
      </w:r>
      <w:r w:rsidRPr="00C97B78">
        <w:t>2018 to June</w:t>
      </w:r>
      <w:r w:rsidR="00CE5F39">
        <w:t> </w:t>
      </w:r>
      <w:r w:rsidRPr="00C97B78">
        <w:t xml:space="preserve">2021, of which 16 months were affected by the pandemic. </w:t>
      </w:r>
      <w:r w:rsidR="00A34E3E" w:rsidRPr="00141E0D">
        <w:rPr>
          <w:rFonts w:eastAsia="Times New Roman" w:cs="Times New Roman"/>
          <w:szCs w:val="20"/>
        </w:rPr>
        <w:t xml:space="preserve">The Omicron variant </w:t>
      </w:r>
      <w:r w:rsidR="00A34E3E">
        <w:rPr>
          <w:rFonts w:eastAsia="Times New Roman" w:cs="Times New Roman"/>
          <w:szCs w:val="20"/>
        </w:rPr>
        <w:t>emerged</w:t>
      </w:r>
      <w:r w:rsidR="00A34E3E" w:rsidRPr="00141E0D">
        <w:rPr>
          <w:rFonts w:eastAsia="Times New Roman" w:cs="Times New Roman"/>
          <w:szCs w:val="20"/>
        </w:rPr>
        <w:t xml:space="preserve"> in 2021</w:t>
      </w:r>
      <w:r w:rsidR="00A34E3E">
        <w:rPr>
          <w:rFonts w:eastAsia="Times New Roman" w:cs="Times New Roman"/>
          <w:szCs w:val="20"/>
        </w:rPr>
        <w:t>–</w:t>
      </w:r>
      <w:r w:rsidR="00A34E3E" w:rsidRPr="00141E0D">
        <w:rPr>
          <w:rFonts w:eastAsia="Times New Roman" w:cs="Times New Roman"/>
          <w:szCs w:val="20"/>
        </w:rPr>
        <w:t>22, so its impacts are not reflected in this update.</w:t>
      </w:r>
    </w:p>
    <w:p w14:paraId="40300425" w14:textId="224F7B8B" w:rsidR="00CE4066" w:rsidRPr="00C97B78" w:rsidRDefault="00CE4066" w:rsidP="0004064D">
      <w:pPr>
        <w:pStyle w:val="CGCBodyCopy"/>
      </w:pPr>
      <w:r w:rsidRPr="00C97B78">
        <w:t xml:space="preserve">Pending receipt of terms of reference for the 2022 Update, the Commission asked states for their views on how the pandemic and government responses have influenced states’ relative fiscal capacities and whether these impacts are appropriately captured in the Commission’s assessments. This consultation, and the Commission’s response, is published in </w:t>
      </w:r>
      <w:bookmarkStart w:id="66" w:name="_Hlk97297251"/>
      <w:r w:rsidR="00640BCB">
        <w:rPr>
          <w:i/>
          <w:color w:val="0070C0"/>
          <w:u w:val="single"/>
        </w:rPr>
        <w:fldChar w:fldCharType="begin"/>
      </w:r>
      <w:r w:rsidR="00640BCB">
        <w:rPr>
          <w:i/>
          <w:color w:val="0070C0"/>
          <w:u w:val="single"/>
        </w:rPr>
        <w:instrText xml:space="preserve"> HYPERLINK "https://www.cgc.gov.au/sites/default/files/2022-03/New%20issues%20in%20the%202022%20Update.pdf" </w:instrText>
      </w:r>
      <w:r w:rsidR="00640BCB">
        <w:rPr>
          <w:i/>
          <w:color w:val="0070C0"/>
          <w:u w:val="single"/>
        </w:rPr>
      </w:r>
      <w:r w:rsidR="00640BCB">
        <w:rPr>
          <w:i/>
          <w:color w:val="0070C0"/>
          <w:u w:val="single"/>
        </w:rPr>
        <w:fldChar w:fldCharType="separate"/>
      </w:r>
      <w:r w:rsidRPr="00640BCB">
        <w:rPr>
          <w:rStyle w:val="Hyperlink"/>
          <w:i/>
        </w:rPr>
        <w:t>New</w:t>
      </w:r>
      <w:r w:rsidR="00DB7A92" w:rsidRPr="00640BCB">
        <w:rPr>
          <w:rStyle w:val="Hyperlink"/>
          <w:i/>
        </w:rPr>
        <w:t> </w:t>
      </w:r>
      <w:r w:rsidRPr="00640BCB">
        <w:rPr>
          <w:rStyle w:val="Hyperlink"/>
          <w:i/>
        </w:rPr>
        <w:t>issues</w:t>
      </w:r>
      <w:r w:rsidR="00DF38CC" w:rsidRPr="00640BCB">
        <w:rPr>
          <w:rStyle w:val="Hyperlink"/>
          <w:i/>
        </w:rPr>
        <w:t xml:space="preserve"> in the 2022 update</w:t>
      </w:r>
      <w:bookmarkEnd w:id="66"/>
      <w:r w:rsidR="00640BCB">
        <w:rPr>
          <w:i/>
          <w:color w:val="0070C0"/>
          <w:u w:val="single"/>
        </w:rPr>
        <w:fldChar w:fldCharType="end"/>
      </w:r>
      <w:r w:rsidRPr="00C97B78">
        <w:t xml:space="preserve">. In line with the terms of reference, no changes have been made to Commission </w:t>
      </w:r>
      <w:r w:rsidR="004B38D2">
        <w:t xml:space="preserve">assessment </w:t>
      </w:r>
      <w:r w:rsidRPr="00C97B78">
        <w:t xml:space="preserve">methods in this update. </w:t>
      </w:r>
    </w:p>
    <w:p w14:paraId="5CE10237" w14:textId="1391AFEC" w:rsidR="00510F81" w:rsidRPr="00C97B78" w:rsidRDefault="00510F81" w:rsidP="0004064D">
      <w:pPr>
        <w:pStyle w:val="CGCBodyCopy"/>
      </w:pPr>
      <w:r w:rsidRPr="00C97B78">
        <w:t xml:space="preserve">The Commission will continue to </w:t>
      </w:r>
      <w:r w:rsidR="00E722FD" w:rsidRPr="00C97B78">
        <w:t xml:space="preserve">explore the </w:t>
      </w:r>
      <w:r w:rsidR="00EA21AD">
        <w:t xml:space="preserve">implications </w:t>
      </w:r>
      <w:r w:rsidR="00450361">
        <w:t>of</w:t>
      </w:r>
      <w:r w:rsidR="00CE1F6B">
        <w:t xml:space="preserve"> </w:t>
      </w:r>
      <w:r w:rsidR="00AC5EED" w:rsidRPr="00C97B78">
        <w:t xml:space="preserve">state spending </w:t>
      </w:r>
      <w:r w:rsidR="00973A50" w:rsidRPr="00C97B78">
        <w:t xml:space="preserve">in response to </w:t>
      </w:r>
      <w:r w:rsidR="00F46473" w:rsidRPr="00F46473">
        <w:t>COVID-19</w:t>
      </w:r>
      <w:r w:rsidR="00AC4CD9" w:rsidRPr="00C97B78">
        <w:t xml:space="preserve"> as the pandemic </w:t>
      </w:r>
      <w:r w:rsidR="00AF2C2C">
        <w:t xml:space="preserve">further </w:t>
      </w:r>
      <w:r w:rsidR="00AC4CD9" w:rsidRPr="00C97B78">
        <w:t>unfold</w:t>
      </w:r>
      <w:r w:rsidR="00750384">
        <w:t>s</w:t>
      </w:r>
      <w:r w:rsidR="00B21D4B" w:rsidRPr="00C97B78">
        <w:t>.</w:t>
      </w:r>
    </w:p>
    <w:p w14:paraId="0006D55C" w14:textId="27CFF95A" w:rsidR="00CE4066" w:rsidRPr="00DB7A92" w:rsidRDefault="00CE4066" w:rsidP="0004064D">
      <w:pPr>
        <w:pStyle w:val="CGCBodyCopy"/>
      </w:pPr>
      <w:r w:rsidRPr="00C97B78">
        <w:t>The box below identifies some of the ways in which COVID-19 has affected the GST distribution in this update.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30"/>
      </w:tblGrid>
      <w:tr w:rsidR="00CE4066" w:rsidRPr="009F3039" w14:paraId="516C6F67" w14:textId="77777777" w:rsidTr="00A16572">
        <w:trPr>
          <w:trHeight w:val="10898"/>
        </w:trPr>
        <w:tc>
          <w:tcPr>
            <w:tcW w:w="8930" w:type="dxa"/>
            <w:shd w:val="clear" w:color="auto" w:fill="EBF3F5"/>
          </w:tcPr>
          <w:p w14:paraId="2133D43C" w14:textId="27ECBFC0" w:rsidR="00CE4066" w:rsidRPr="003E4724" w:rsidRDefault="00CE4066" w:rsidP="00A16572">
            <w:pPr>
              <w:pStyle w:val="Heading3"/>
              <w:spacing w:before="240"/>
            </w:pPr>
            <w:r>
              <w:t>How did COVID-19 change states’ GST shares?</w:t>
            </w:r>
            <w:r w:rsidR="00635B05">
              <w:rPr>
                <w:noProof/>
              </w:rPr>
              <w:t xml:space="preserve"> </w:t>
            </w:r>
            <w:r w:rsidR="00635B05">
              <w:rPr>
                <w:noProof/>
              </w:rPr>
              <w:drawing>
                <wp:anchor distT="0" distB="0" distL="114300" distR="114300" simplePos="0" relativeHeight="251658294" behindDoc="1" locked="1" layoutInCell="1" allowOverlap="1" wp14:anchorId="306BCEF6" wp14:editId="784D7F1A">
                  <wp:simplePos x="0" y="0"/>
                  <wp:positionH relativeFrom="page">
                    <wp:posOffset>-893445</wp:posOffset>
                  </wp:positionH>
                  <wp:positionV relativeFrom="margin">
                    <wp:posOffset>-1626235</wp:posOffset>
                  </wp:positionV>
                  <wp:extent cx="7563485" cy="10691495"/>
                  <wp:effectExtent l="0" t="0" r="0" b="0"/>
                  <wp:wrapNone/>
                  <wp:docPr id="101" name="Picture 10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5C61C2E9" w14:textId="710948C2" w:rsidR="00CE4066" w:rsidRPr="006E6FAA" w:rsidRDefault="00CE4066" w:rsidP="00A16572">
            <w:pPr>
              <w:rPr>
                <w:rFonts w:ascii="Work Sans" w:hAnsi="Work Sans"/>
                <w:sz w:val="24"/>
                <w:szCs w:val="24"/>
              </w:rPr>
            </w:pPr>
            <w:r w:rsidRPr="006E6FAA">
              <w:rPr>
                <w:rFonts w:ascii="Work Sans" w:hAnsi="Work Sans"/>
                <w:sz w:val="24"/>
                <w:szCs w:val="24"/>
              </w:rPr>
              <w:t>In 2019</w:t>
            </w:r>
            <w:r w:rsidR="009B3BF8" w:rsidRPr="006E6FAA">
              <w:rPr>
                <w:rFonts w:ascii="Work Sans" w:hAnsi="Work Sans"/>
                <w:sz w:val="24"/>
                <w:szCs w:val="24"/>
              </w:rPr>
              <w:t>–</w:t>
            </w:r>
            <w:r w:rsidRPr="006E6FAA">
              <w:rPr>
                <w:rFonts w:ascii="Work Sans" w:hAnsi="Work Sans"/>
                <w:sz w:val="24"/>
                <w:szCs w:val="24"/>
              </w:rPr>
              <w:t>20 and 2020</w:t>
            </w:r>
            <w:r w:rsidR="009B3BF8" w:rsidRPr="006E6FAA">
              <w:rPr>
                <w:rFonts w:ascii="Work Sans" w:hAnsi="Work Sans"/>
                <w:sz w:val="24"/>
                <w:szCs w:val="24"/>
              </w:rPr>
              <w:t>–</w:t>
            </w:r>
            <w:r w:rsidRPr="006E6FAA">
              <w:rPr>
                <w:rFonts w:ascii="Work Sans" w:hAnsi="Work Sans"/>
                <w:sz w:val="24"/>
                <w:szCs w:val="24"/>
              </w:rPr>
              <w:t>21, COVID-19 had a large effect on Australia’s economy and society. State budgets were also significantly affected. Where these changes affected all states similarly, this would have minimal implications for states’ GST shares. Changes in the distribution of GST would only come into play where there were differences in the fiscal impact of the pandemic</w:t>
            </w:r>
            <w:r w:rsidR="00DC5B51" w:rsidRPr="006E6FAA">
              <w:rPr>
                <w:rFonts w:ascii="Work Sans" w:hAnsi="Work Sans"/>
                <w:sz w:val="24"/>
                <w:szCs w:val="24"/>
              </w:rPr>
              <w:t xml:space="preserve"> that were beyond states’ control</w:t>
            </w:r>
            <w:r w:rsidRPr="006E6FAA">
              <w:rPr>
                <w:rFonts w:ascii="Work Sans" w:hAnsi="Work Sans"/>
                <w:sz w:val="24"/>
                <w:szCs w:val="24"/>
              </w:rPr>
              <w:t>.</w:t>
            </w:r>
          </w:p>
          <w:p w14:paraId="2D7F4634" w14:textId="47D533DB" w:rsidR="00CE4066" w:rsidRPr="006E6FAA" w:rsidRDefault="00CE4066" w:rsidP="00A16572">
            <w:pPr>
              <w:rPr>
                <w:rFonts w:ascii="Work Sans" w:hAnsi="Work Sans"/>
                <w:sz w:val="24"/>
                <w:szCs w:val="24"/>
              </w:rPr>
            </w:pPr>
            <w:r w:rsidRPr="006E6FAA">
              <w:rPr>
                <w:rFonts w:ascii="Work Sans" w:hAnsi="Work Sans"/>
                <w:sz w:val="24"/>
                <w:szCs w:val="24"/>
              </w:rPr>
              <w:t>It is not possible to reliably isolate COVID-19 from all other sources of change in state budgets. However, it is possible to identify some of its impacts. For example, in 2020</w:t>
            </w:r>
            <w:r w:rsidR="009B3BF8" w:rsidRPr="006E6FAA">
              <w:rPr>
                <w:rFonts w:ascii="Work Sans" w:hAnsi="Work Sans"/>
                <w:sz w:val="24"/>
                <w:szCs w:val="24"/>
              </w:rPr>
              <w:t>–</w:t>
            </w:r>
            <w:r w:rsidRPr="006E6FAA">
              <w:rPr>
                <w:rFonts w:ascii="Work Sans" w:hAnsi="Work Sans"/>
                <w:sz w:val="24"/>
                <w:szCs w:val="24"/>
              </w:rPr>
              <w:t>21, it increased the net cost of urban transport</w:t>
            </w:r>
            <w:r w:rsidRPr="006E6FAA" w:rsidDel="008B06AA">
              <w:rPr>
                <w:rFonts w:ascii="Work Sans" w:hAnsi="Work Sans"/>
                <w:sz w:val="24"/>
                <w:szCs w:val="24"/>
              </w:rPr>
              <w:t xml:space="preserve"> </w:t>
            </w:r>
            <w:r w:rsidRPr="006E6FAA">
              <w:rPr>
                <w:rFonts w:ascii="Work Sans" w:hAnsi="Work Sans"/>
                <w:sz w:val="24"/>
                <w:szCs w:val="24"/>
              </w:rPr>
              <w:t xml:space="preserve">and decreased payroll tax and stamp duty on conveyances revenue for the most affected states. </w:t>
            </w:r>
            <w:r w:rsidR="00021E4C" w:rsidRPr="006E6FAA">
              <w:rPr>
                <w:rFonts w:ascii="Work Sans" w:hAnsi="Work Sans"/>
                <w:sz w:val="24"/>
                <w:szCs w:val="24"/>
              </w:rPr>
              <w:t xml:space="preserve">Other </w:t>
            </w:r>
            <w:r w:rsidRPr="006E6FAA">
              <w:rPr>
                <w:rFonts w:ascii="Work Sans" w:hAnsi="Work Sans"/>
                <w:sz w:val="24"/>
                <w:szCs w:val="24"/>
              </w:rPr>
              <w:t xml:space="preserve">impacts </w:t>
            </w:r>
            <w:r w:rsidR="00C465BA" w:rsidRPr="006E6FAA">
              <w:rPr>
                <w:rFonts w:ascii="Work Sans" w:hAnsi="Work Sans"/>
                <w:sz w:val="24"/>
                <w:szCs w:val="24"/>
              </w:rPr>
              <w:t xml:space="preserve">reduced </w:t>
            </w:r>
            <w:r w:rsidRPr="006E6FAA">
              <w:rPr>
                <w:rFonts w:ascii="Work Sans" w:hAnsi="Work Sans"/>
                <w:sz w:val="24"/>
                <w:szCs w:val="24"/>
              </w:rPr>
              <w:t>expenditure needs in some states (such as investment via lower population growth).</w:t>
            </w:r>
          </w:p>
          <w:p w14:paraId="06B4FF67" w14:textId="0C3934FD" w:rsidR="00CE4066" w:rsidRPr="006E6FAA" w:rsidRDefault="00CE4066" w:rsidP="00A16572">
            <w:pPr>
              <w:rPr>
                <w:rFonts w:ascii="Work Sans" w:hAnsi="Work Sans"/>
                <w:sz w:val="24"/>
                <w:szCs w:val="24"/>
              </w:rPr>
            </w:pPr>
            <w:r w:rsidRPr="006E6FAA">
              <w:rPr>
                <w:rFonts w:ascii="Work Sans" w:hAnsi="Work Sans"/>
                <w:sz w:val="24"/>
                <w:szCs w:val="24"/>
              </w:rPr>
              <w:t>Consistent with the terms of reference, the Commission has not changed its assessment methods in response to the pandemic.</w:t>
            </w:r>
          </w:p>
          <w:p w14:paraId="68B6C2F8" w14:textId="77777777" w:rsidR="00CE4066" w:rsidRPr="006E6FAA" w:rsidRDefault="00CE4066" w:rsidP="00A16572">
            <w:pPr>
              <w:rPr>
                <w:rFonts w:ascii="Work Sans" w:hAnsi="Work Sans"/>
                <w:sz w:val="24"/>
                <w:szCs w:val="24"/>
              </w:rPr>
            </w:pPr>
            <w:r w:rsidRPr="006E6FAA">
              <w:rPr>
                <w:rFonts w:ascii="Work Sans" w:hAnsi="Work Sans"/>
                <w:sz w:val="24"/>
                <w:szCs w:val="24"/>
              </w:rPr>
              <w:t>The Commission’s existing revenue assessments largely capture the pandemic’s effect on state tax bases.</w:t>
            </w:r>
          </w:p>
          <w:p w14:paraId="466298E8" w14:textId="09B280CA" w:rsidR="00CE4066" w:rsidRPr="001E4637" w:rsidRDefault="00CE4066" w:rsidP="00A16572">
            <w:pPr>
              <w:pStyle w:val="BodyText"/>
              <w:numPr>
                <w:ilvl w:val="0"/>
                <w:numId w:val="30"/>
              </w:numPr>
            </w:pPr>
            <w:r w:rsidRPr="001E4637">
              <w:t xml:space="preserve">The value of properties transferred </w:t>
            </w:r>
            <w:r w:rsidR="00407121">
              <w:t>increased</w:t>
            </w:r>
            <w:r w:rsidRPr="001E4637">
              <w:t xml:space="preserve"> nationally by 29% between 2019</w:t>
            </w:r>
            <w:r w:rsidR="009B3BF8">
              <w:t>–</w:t>
            </w:r>
            <w:r w:rsidRPr="001E4637">
              <w:t>20 and 2020</w:t>
            </w:r>
            <w:r w:rsidR="009B3BF8">
              <w:t>–</w:t>
            </w:r>
            <w:r w:rsidRPr="001E4637">
              <w:t>21</w:t>
            </w:r>
            <w:r w:rsidR="00CC38E4">
              <w:t>.</w:t>
            </w:r>
            <w:r w:rsidRPr="00070816">
              <w:rPr>
                <w:vertAlign w:val="superscript"/>
              </w:rPr>
              <w:footnoteReference w:id="13"/>
            </w:r>
            <w:r w:rsidRPr="001E4637">
              <w:t xml:space="preserve"> This could </w:t>
            </w:r>
            <w:r w:rsidR="00A20A36">
              <w:t xml:space="preserve">arise from </w:t>
            </w:r>
            <w:r w:rsidRPr="001E4637">
              <w:t>increase</w:t>
            </w:r>
            <w:r w:rsidR="0059069E">
              <w:t>s</w:t>
            </w:r>
            <w:r w:rsidRPr="001E4637">
              <w:t xml:space="preserve"> in price</w:t>
            </w:r>
            <w:r w:rsidR="00610467">
              <w:t>s</w:t>
            </w:r>
            <w:r w:rsidR="0092252E">
              <w:t>,</w:t>
            </w:r>
            <w:r w:rsidRPr="001E4637">
              <w:t xml:space="preserve"> </w:t>
            </w:r>
            <w:r w:rsidR="0008530D">
              <w:t>the</w:t>
            </w:r>
            <w:r w:rsidRPr="001E4637">
              <w:t xml:space="preserve"> number of transactions or both. The value of properties transferred in Victoria grew by only 7%, while in Western Australia </w:t>
            </w:r>
            <w:r w:rsidR="005E6594">
              <w:t>it</w:t>
            </w:r>
            <w:r w:rsidRPr="001E4637">
              <w:t xml:space="preserve"> </w:t>
            </w:r>
            <w:r w:rsidR="00B73622">
              <w:t xml:space="preserve">increased </w:t>
            </w:r>
            <w:r w:rsidRPr="001E4637">
              <w:t>by 81%. The Victorian lockdowns during 2020</w:t>
            </w:r>
            <w:r w:rsidR="009B3BF8">
              <w:t>–</w:t>
            </w:r>
            <w:r w:rsidRPr="001E4637">
              <w:t>21 likely contributed to Victoria’s slow growth. In this update, differences in the value of transferred properties increased Victoria’s GST share by $429 million.</w:t>
            </w:r>
          </w:p>
          <w:p w14:paraId="4F90DCF0" w14:textId="200385AC" w:rsidR="00CE4066" w:rsidRPr="001E4637" w:rsidRDefault="00CE4066" w:rsidP="00A16572">
            <w:pPr>
              <w:pStyle w:val="BodyText"/>
              <w:numPr>
                <w:ilvl w:val="0"/>
                <w:numId w:val="30"/>
              </w:numPr>
            </w:pPr>
            <w:r w:rsidRPr="001E4637">
              <w:t xml:space="preserve">Taxable payrolls </w:t>
            </w:r>
            <w:r w:rsidR="00A3711A">
              <w:t xml:space="preserve">decreased </w:t>
            </w:r>
            <w:r w:rsidRPr="001E4637">
              <w:t>nationally by 3% between 2019</w:t>
            </w:r>
            <w:r w:rsidR="009B3BF8">
              <w:t>–</w:t>
            </w:r>
            <w:r w:rsidRPr="001E4637">
              <w:t>20 and 2020</w:t>
            </w:r>
            <w:r w:rsidR="00CC3D7E">
              <w:noBreakHyphen/>
            </w:r>
            <w:r w:rsidRPr="001E4637">
              <w:t>21, driven largely by the COVID-19 induced recession</w:t>
            </w:r>
            <w:r w:rsidR="00CB605E">
              <w:t>.</w:t>
            </w:r>
            <w:r w:rsidRPr="001E4637">
              <w:t xml:space="preserve"> </w:t>
            </w:r>
            <w:r w:rsidR="00CB605E">
              <w:t>T</w:t>
            </w:r>
            <w:r w:rsidRPr="001E4637">
              <w:t>he decline was slightly larger in Victoria (5%). However, other changes in taxable payrolls since 2017</w:t>
            </w:r>
            <w:r w:rsidR="009B3BF8">
              <w:t>–</w:t>
            </w:r>
            <w:r w:rsidRPr="001E4637">
              <w:t>18 had a greater effect. Victoria’s payroll tax base was stronger in relative terms in 2020</w:t>
            </w:r>
            <w:r w:rsidR="009B3BF8">
              <w:t>–</w:t>
            </w:r>
            <w:r w:rsidRPr="001E4637">
              <w:t>21 than in 2017</w:t>
            </w:r>
            <w:r w:rsidR="009B3BF8">
              <w:t>–</w:t>
            </w:r>
            <w:r w:rsidRPr="001E4637">
              <w:t>18, despite the effects of COVID-19. This meant that it required less GST.</w:t>
            </w:r>
          </w:p>
          <w:p w14:paraId="081CBC32" w14:textId="43BA0240" w:rsidR="00CE4066" w:rsidRPr="00225BAF" w:rsidRDefault="00CE4066" w:rsidP="00225BAF">
            <w:pPr>
              <w:spacing w:after="240"/>
              <w:rPr>
                <w:rFonts w:ascii="Work Sans" w:hAnsi="Work Sans"/>
                <w:sz w:val="24"/>
                <w:szCs w:val="24"/>
              </w:rPr>
            </w:pPr>
            <w:r w:rsidRPr="006E6FAA">
              <w:rPr>
                <w:rFonts w:ascii="Work Sans" w:hAnsi="Work Sans"/>
                <w:sz w:val="24"/>
                <w:szCs w:val="24"/>
              </w:rPr>
              <w:t>The Commission’s methods for assessing expense needs capture some, but not all, COVID</w:t>
            </w:r>
            <w:r w:rsidRPr="006E6FAA">
              <w:rPr>
                <w:rFonts w:ascii="Work Sans" w:hAnsi="Work Sans"/>
                <w:sz w:val="24"/>
                <w:szCs w:val="24"/>
              </w:rPr>
              <w:noBreakHyphen/>
              <w:t>19 related pressures on state spending.</w:t>
            </w:r>
          </w:p>
        </w:tc>
      </w:tr>
      <w:tr w:rsidR="0040052F" w:rsidRPr="009F3039" w14:paraId="26E22A23" w14:textId="77777777" w:rsidTr="00A16572">
        <w:trPr>
          <w:trHeight w:val="10898"/>
        </w:trPr>
        <w:tc>
          <w:tcPr>
            <w:tcW w:w="8930" w:type="dxa"/>
            <w:shd w:val="clear" w:color="auto" w:fill="EBF3F5"/>
          </w:tcPr>
          <w:p w14:paraId="7542612A" w14:textId="766A73EE" w:rsidR="000A79AB" w:rsidRPr="001E4637" w:rsidRDefault="000A79AB" w:rsidP="000A79AB">
            <w:pPr>
              <w:pStyle w:val="BodyText"/>
              <w:numPr>
                <w:ilvl w:val="0"/>
                <w:numId w:val="30"/>
              </w:numPr>
            </w:pPr>
            <w:r w:rsidRPr="001E4637">
              <w:t>The drivers of COVID-19 state health spending likely differ from the Commission’s usual approach for assessing health expenditure. States spent $1</w:t>
            </w:r>
            <w:r>
              <w:t>0</w:t>
            </w:r>
            <w:r w:rsidRPr="001E4637">
              <w:t>.</w:t>
            </w:r>
            <w:r>
              <w:t>7 </w:t>
            </w:r>
            <w:r w:rsidRPr="001E4637">
              <w:t xml:space="preserve">billion on health effects of </w:t>
            </w:r>
            <w:r>
              <w:rPr>
                <w:noProof/>
              </w:rPr>
              <w:drawing>
                <wp:anchor distT="0" distB="0" distL="114300" distR="114300" simplePos="0" relativeHeight="251658300" behindDoc="1" locked="1" layoutInCell="1" allowOverlap="1" wp14:anchorId="3E78097E" wp14:editId="1E10F6A6">
                  <wp:simplePos x="0" y="0"/>
                  <wp:positionH relativeFrom="page">
                    <wp:posOffset>-896620</wp:posOffset>
                  </wp:positionH>
                  <wp:positionV relativeFrom="margin">
                    <wp:posOffset>-796925</wp:posOffset>
                  </wp:positionV>
                  <wp:extent cx="7563485" cy="10691495"/>
                  <wp:effectExtent l="0" t="0" r="0" b="0"/>
                  <wp:wrapNone/>
                  <wp:docPr id="29"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1E4637">
              <w:t>COVID</w:t>
            </w:r>
            <w:r w:rsidRPr="001E4637">
              <w:noBreakHyphen/>
              <w:t xml:space="preserve">19 under the </w:t>
            </w:r>
            <w:r w:rsidRPr="001E4637">
              <w:rPr>
                <w:i/>
                <w:iCs/>
              </w:rPr>
              <w:t xml:space="preserve">National Partnership on COVID-19 </w:t>
            </w:r>
            <w:r>
              <w:rPr>
                <w:i/>
                <w:iCs/>
              </w:rPr>
              <w:t>R</w:t>
            </w:r>
            <w:r w:rsidRPr="001E4637">
              <w:rPr>
                <w:i/>
                <w:iCs/>
              </w:rPr>
              <w:t xml:space="preserve">esponse. </w:t>
            </w:r>
            <w:r w:rsidRPr="001E4637">
              <w:t xml:space="preserve">The Commission excluded the Commonwealth funded share of this expenditure from its GST calculations on the basis that the specific needs for this expenditure had not been assessed. This meant that this expenditure was assessed to have no impact on GST shares. However, the Commission applied the </w:t>
            </w:r>
            <w:r w:rsidR="00E9642F">
              <w:t xml:space="preserve">methods developed for the </w:t>
            </w:r>
            <w:r w:rsidRPr="001E4637">
              <w:t xml:space="preserve">health assessment </w:t>
            </w:r>
            <w:r w:rsidR="00E9642F">
              <w:t xml:space="preserve">in the </w:t>
            </w:r>
            <w:r w:rsidR="00E9642F" w:rsidRPr="001E4637">
              <w:t>2020</w:t>
            </w:r>
            <w:r w:rsidR="00E9642F">
              <w:t> </w:t>
            </w:r>
            <w:r w:rsidR="00E9642F" w:rsidRPr="001E4637">
              <w:t xml:space="preserve">Review </w:t>
            </w:r>
            <w:r w:rsidRPr="001E4637">
              <w:t xml:space="preserve">to the state funded spending under the </w:t>
            </w:r>
            <w:r w:rsidRPr="001E4637">
              <w:rPr>
                <w:i/>
                <w:iCs/>
              </w:rPr>
              <w:t xml:space="preserve">National Partnership on COVID-19 Response. </w:t>
            </w:r>
            <w:r w:rsidRPr="001E4637">
              <w:t>Any other approach would involve a method change and would be outside the terms of reference for the 2022</w:t>
            </w:r>
            <w:r>
              <w:t> </w:t>
            </w:r>
            <w:r w:rsidRPr="001E4637">
              <w:t xml:space="preserve">Update. </w:t>
            </w:r>
            <w:r w:rsidRPr="001E4637" w:rsidDel="00B41EEA">
              <w:t xml:space="preserve">The </w:t>
            </w:r>
            <w:r w:rsidRPr="001E4637">
              <w:t>Commission’s consideration</w:t>
            </w:r>
            <w:r w:rsidRPr="001E4637" w:rsidDel="00B41EEA">
              <w:t xml:space="preserve"> of this </w:t>
            </w:r>
            <w:r w:rsidRPr="001E4637">
              <w:t>issue is discussed</w:t>
            </w:r>
            <w:r w:rsidRPr="001E4637" w:rsidDel="00B41EEA">
              <w:t xml:space="preserve"> in </w:t>
            </w:r>
            <w:r w:rsidRPr="001E4637">
              <w:t xml:space="preserve">more detail in </w:t>
            </w:r>
            <w:hyperlink r:id="rId50" w:history="1">
              <w:r w:rsidRPr="00640BCB">
                <w:rPr>
                  <w:rStyle w:val="Hyperlink"/>
                  <w:i/>
                </w:rPr>
                <w:t>New issues in the 2022 Update</w:t>
              </w:r>
            </w:hyperlink>
            <w:r w:rsidRPr="003B7B49">
              <w:rPr>
                <w:i/>
                <w:color w:val="0070C0"/>
                <w:u w:val="single"/>
              </w:rPr>
              <w:t>.</w:t>
            </w:r>
          </w:p>
          <w:p w14:paraId="0E968039" w14:textId="77777777" w:rsidR="000A79AB" w:rsidRPr="001E4637" w:rsidRDefault="000A79AB" w:rsidP="000A79AB">
            <w:pPr>
              <w:pStyle w:val="BodyText"/>
              <w:numPr>
                <w:ilvl w:val="0"/>
                <w:numId w:val="30"/>
              </w:numPr>
            </w:pPr>
            <w:r w:rsidRPr="001E4637">
              <w:t xml:space="preserve">The economic impact of the pandemic </w:t>
            </w:r>
            <w:r>
              <w:t xml:space="preserve">resulted in </w:t>
            </w:r>
            <w:r w:rsidRPr="001E4637">
              <w:t xml:space="preserve">higher spending on business support. The Commonwealth provided $89 billion directly to businesses through JobKeeper </w:t>
            </w:r>
            <w:r>
              <w:t>Payments</w:t>
            </w:r>
            <w:r w:rsidRPr="001E4637">
              <w:t xml:space="preserve"> in 2020</w:t>
            </w:r>
            <w:r>
              <w:t>–</w:t>
            </w:r>
            <w:r w:rsidRPr="001E4637">
              <w:t>21</w:t>
            </w:r>
            <w:r>
              <w:t>; t</w:t>
            </w:r>
            <w:r w:rsidRPr="001E4637">
              <w:t>his had no direct effect on state finances, and so did not affect GST distributions. Some states increased business support spending in 2020</w:t>
            </w:r>
            <w:r>
              <w:t>–</w:t>
            </w:r>
            <w:r w:rsidRPr="001E4637">
              <w:t>21 although this increase cannot yet be reliably measured. The Commission is monitoring this issue but has not assessed COVID-19 specific drivers. A change in assessment method would be beyond the terms of reference for this update.</w:t>
            </w:r>
          </w:p>
          <w:p w14:paraId="3EC1B6D7" w14:textId="77777777" w:rsidR="000A79AB" w:rsidRPr="001E4637" w:rsidRDefault="000A79AB" w:rsidP="000A79AB">
            <w:pPr>
              <w:pStyle w:val="BodyText"/>
              <w:numPr>
                <w:ilvl w:val="0"/>
                <w:numId w:val="30"/>
              </w:numPr>
            </w:pPr>
            <w:r w:rsidRPr="001E4637">
              <w:t>Net recurrent spending on urban transport increased by 39% between 2017</w:t>
            </w:r>
            <w:r>
              <w:t>–</w:t>
            </w:r>
            <w:r w:rsidRPr="001E4637">
              <w:t>18 and 2020</w:t>
            </w:r>
            <w:r>
              <w:t>–</w:t>
            </w:r>
            <w:r w:rsidRPr="001E4637">
              <w:t>21. Part of this increase reflected a decrease in public transport use and hence in fare revenues collected during the pandemic. The national increase in net spending on urban transport increased the relative needs of New South Wales ($84 million) and Victoria ($29 million), which have above</w:t>
            </w:r>
            <w:r>
              <w:noBreakHyphen/>
            </w:r>
            <w:r w:rsidRPr="001E4637">
              <w:t>average needs in this area.</w:t>
            </w:r>
          </w:p>
          <w:p w14:paraId="38DA39A4" w14:textId="28902F6C" w:rsidR="0040052F" w:rsidRDefault="000A79AB" w:rsidP="00225BAF">
            <w:pPr>
              <w:pStyle w:val="BodyText"/>
              <w:numPr>
                <w:ilvl w:val="0"/>
                <w:numId w:val="30"/>
              </w:numPr>
              <w:spacing w:after="240"/>
              <w:ind w:left="714" w:hanging="357"/>
            </w:pPr>
            <w:r w:rsidRPr="001E4637">
              <w:t>Associated with COVID-19, Victoria experienced a significant decline in migrants from overseas and</w:t>
            </w:r>
            <w:r>
              <w:t xml:space="preserve">, to a lesser extent, </w:t>
            </w:r>
            <w:r w:rsidRPr="001E4637">
              <w:t>interstate. Its population growth rate fell from 2.3% in 2017</w:t>
            </w:r>
            <w:r>
              <w:t>–</w:t>
            </w:r>
            <w:r w:rsidRPr="001E4637">
              <w:t>18 to a declining population in 2020</w:t>
            </w:r>
            <w:r>
              <w:t>–</w:t>
            </w:r>
            <w:r w:rsidRPr="001E4637">
              <w:t>21. Lower population growth reduced its capital (investment less net borrowing) requirements, reducing its assessed needs by $67</w:t>
            </w:r>
            <w:r>
              <w:t>2</w:t>
            </w:r>
            <w:r w:rsidRPr="001E4637">
              <w:t> million.</w:t>
            </w:r>
          </w:p>
        </w:tc>
      </w:tr>
    </w:tbl>
    <w:p w14:paraId="47FAA6D2" w14:textId="77777777" w:rsidR="00CE4066" w:rsidRDefault="00CE4066" w:rsidP="00443214">
      <w:pPr>
        <w:pStyle w:val="Heading3"/>
        <w:keepNext/>
      </w:pPr>
      <w:r>
        <w:t>Impact of the 2018 legislated GST distribution arrangements</w:t>
      </w:r>
    </w:p>
    <w:bookmarkStart w:id="67" w:name="_Ref96353220"/>
    <w:bookmarkStart w:id="68" w:name="_Ref96353246"/>
    <w:p w14:paraId="1D52532E" w14:textId="3E50F6D8" w:rsidR="002003F0" w:rsidRPr="00395A19" w:rsidRDefault="00F1134F" w:rsidP="0004064D">
      <w:pPr>
        <w:pStyle w:val="CGCBodyCopy"/>
      </w:pPr>
      <w:r w:rsidRPr="00395A19">
        <w:fldChar w:fldCharType="begin"/>
      </w:r>
      <w:r w:rsidRPr="00395A19">
        <w:instrText xml:space="preserve"> REF _Ref96439546 \h </w:instrText>
      </w:r>
      <w:r w:rsidR="00C623B9" w:rsidRPr="00395A19">
        <w:instrText xml:space="preserve"> \* MERGEFORMAT </w:instrText>
      </w:r>
      <w:r w:rsidRPr="00395A19">
        <w:fldChar w:fldCharType="separate"/>
      </w:r>
      <w:r w:rsidR="00FE4664">
        <w:t>Table 2-8</w:t>
      </w:r>
      <w:r w:rsidRPr="00395A19">
        <w:fldChar w:fldCharType="end"/>
      </w:r>
      <w:r w:rsidR="002003F0" w:rsidRPr="00395A19">
        <w:t xml:space="preserve"> compares each state’s estimated distribution from the GST pool (including the pool top-ups) in 2022</w:t>
      </w:r>
      <w:r w:rsidRPr="00395A19">
        <w:t>–</w:t>
      </w:r>
      <w:r w:rsidR="002003F0" w:rsidRPr="00395A19">
        <w:t>23 with the Commission’s estimate of what each state would have received in 2022</w:t>
      </w:r>
      <w:r w:rsidR="00C623B9" w:rsidRPr="00395A19">
        <w:t>–</w:t>
      </w:r>
      <w:r w:rsidR="002003F0" w:rsidRPr="00395A19">
        <w:t xml:space="preserve">23 if the 2018 legislated arrangements had not been introduced. </w:t>
      </w:r>
      <w:r w:rsidR="009C01AD" w:rsidRPr="00395A19">
        <w:t>Seven</w:t>
      </w:r>
      <w:r w:rsidR="00EE1A14" w:rsidRPr="00395A19">
        <w:t> </w:t>
      </w:r>
      <w:r w:rsidR="002003F0" w:rsidRPr="00395A19">
        <w:t>states are estimated to be ‘worse off’ in 2022</w:t>
      </w:r>
      <w:r w:rsidR="00C623B9" w:rsidRPr="00395A19">
        <w:t>–</w:t>
      </w:r>
      <w:r w:rsidR="002003F0" w:rsidRPr="00395A19">
        <w:t>23, while Western Australia is estimated to be better off due to the 2018 legislated arrangements.</w:t>
      </w:r>
    </w:p>
    <w:p w14:paraId="7A4DD031" w14:textId="45A393F8" w:rsidR="002003F0" w:rsidRPr="004228C4" w:rsidRDefault="002003F0" w:rsidP="0004064D">
      <w:pPr>
        <w:pStyle w:val="CGCBodyCopy"/>
      </w:pPr>
      <w:r w:rsidRPr="004228C4">
        <w:t xml:space="preserve">These estimates of the impact of the 2018 legislated arrangements are </w:t>
      </w:r>
      <w:r w:rsidR="00CC3BF1" w:rsidRPr="004228C4">
        <w:t xml:space="preserve">not the same as </w:t>
      </w:r>
      <w:r w:rsidRPr="004228C4">
        <w:t>a s</w:t>
      </w:r>
      <w:r w:rsidR="00133F31">
        <w:rPr>
          <w:noProof/>
        </w:rPr>
        <w:drawing>
          <wp:anchor distT="0" distB="0" distL="114300" distR="114300" simplePos="0" relativeHeight="251658299" behindDoc="1" locked="1" layoutInCell="1" allowOverlap="1" wp14:anchorId="2F707CEB" wp14:editId="19094643">
            <wp:simplePos x="0" y="0"/>
            <wp:positionH relativeFrom="page">
              <wp:align>right</wp:align>
            </wp:positionH>
            <wp:positionV relativeFrom="page">
              <wp:align>top</wp:align>
            </wp:positionV>
            <wp:extent cx="7563485" cy="10691495"/>
            <wp:effectExtent l="0" t="0" r="0" b="0"/>
            <wp:wrapNone/>
            <wp:docPr id="28" name="Picture 2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4228C4">
        <w:t>tate’s no worse off payment for 2022</w:t>
      </w:r>
      <w:r w:rsidR="00C623B9" w:rsidRPr="004228C4">
        <w:t>–</w:t>
      </w:r>
      <w:r w:rsidRPr="004228C4">
        <w:t>23</w:t>
      </w:r>
      <w:r w:rsidR="002D18C4" w:rsidRPr="004228C4">
        <w:t>, which is calculated</w:t>
      </w:r>
      <w:r w:rsidR="00E2266F" w:rsidRPr="004228C4">
        <w:t xml:space="preserve"> by the Commonwealth</w:t>
      </w:r>
      <w:r w:rsidR="00862CFA" w:rsidRPr="004228C4">
        <w:t>. The</w:t>
      </w:r>
      <w:r w:rsidR="009B07F8" w:rsidRPr="004228C4">
        <w:t>y</w:t>
      </w:r>
      <w:r w:rsidR="00862CFA" w:rsidRPr="004228C4">
        <w:t xml:space="preserve"> differ</w:t>
      </w:r>
      <w:r w:rsidR="00725043" w:rsidRPr="004228C4">
        <w:t xml:space="preserve"> </w:t>
      </w:r>
      <w:r w:rsidRPr="004228C4">
        <w:t xml:space="preserve">for two reasons. </w:t>
      </w:r>
    </w:p>
    <w:p w14:paraId="1638E8C1" w14:textId="1969F7BF" w:rsidR="002003F0" w:rsidRPr="004228C4" w:rsidRDefault="002003F0" w:rsidP="002003F0">
      <w:pPr>
        <w:pStyle w:val="BodyText"/>
      </w:pPr>
      <w:r w:rsidRPr="004228C4">
        <w:t xml:space="preserve">First, a </w:t>
      </w:r>
      <w:r w:rsidR="004F613D">
        <w:t>final value of each</w:t>
      </w:r>
      <w:r w:rsidRPr="004228C4">
        <w:t xml:space="preserve"> state’s actual no worse off payment will be calculated based on the actual GST pool, pool top</w:t>
      </w:r>
      <w:r w:rsidRPr="004228C4">
        <w:noBreakHyphen/>
        <w:t>ups and population for 2022</w:t>
      </w:r>
      <w:r w:rsidR="00C623B9" w:rsidRPr="004228C4">
        <w:t>–</w:t>
      </w:r>
      <w:r w:rsidRPr="004228C4">
        <w:t xml:space="preserve">23, which will not be determined until after the end of that year. </w:t>
      </w:r>
    </w:p>
    <w:p w14:paraId="4979927C" w14:textId="77777777" w:rsidR="00C84D65" w:rsidRDefault="002003F0" w:rsidP="002003F0">
      <w:pPr>
        <w:pStyle w:val="BodyText"/>
      </w:pPr>
      <w:r w:rsidRPr="004228C4">
        <w:t>Second, a state’s potential no worse off payment in 2022</w:t>
      </w:r>
      <w:r w:rsidR="00C623B9" w:rsidRPr="004228C4">
        <w:t>–</w:t>
      </w:r>
      <w:r w:rsidRPr="004228C4">
        <w:t>23 will be reduced to the extent it was better off in 2021</w:t>
      </w:r>
      <w:r w:rsidR="00C623B9" w:rsidRPr="004228C4">
        <w:t>–</w:t>
      </w:r>
      <w:r w:rsidRPr="004228C4">
        <w:t xml:space="preserve">22. </w:t>
      </w:r>
    </w:p>
    <w:p w14:paraId="2045FED2" w14:textId="61A584CD" w:rsidR="002003F0" w:rsidRPr="004228C4" w:rsidRDefault="002003F0" w:rsidP="00AA0A35">
      <w:pPr>
        <w:pStyle w:val="BodyText"/>
        <w:numPr>
          <w:ilvl w:val="0"/>
          <w:numId w:val="0"/>
        </w:numPr>
      </w:pPr>
      <w:r w:rsidRPr="004228C4">
        <w:t>Subject to changes in the GST pool and population, a state that was worse off in 2021</w:t>
      </w:r>
      <w:r w:rsidR="00C623B9" w:rsidRPr="004228C4">
        <w:t>–</w:t>
      </w:r>
      <w:r w:rsidRPr="004228C4">
        <w:t>22 could expect a no worse off payment in 2022</w:t>
      </w:r>
      <w:r w:rsidR="00C623B9" w:rsidRPr="004228C4">
        <w:t>–</w:t>
      </w:r>
      <w:r w:rsidRPr="004228C4">
        <w:t xml:space="preserve">23 similar to the final line in </w:t>
      </w:r>
      <w:r w:rsidR="0029621A" w:rsidRPr="004228C4">
        <w:fldChar w:fldCharType="begin"/>
      </w:r>
      <w:r w:rsidR="0029621A" w:rsidRPr="004228C4">
        <w:instrText xml:space="preserve"> REF _Ref96439546 \h </w:instrText>
      </w:r>
      <w:r w:rsidR="00C623B9" w:rsidRPr="004228C4">
        <w:instrText xml:space="preserve"> \* MERGEFORMAT </w:instrText>
      </w:r>
      <w:r w:rsidR="0029621A" w:rsidRPr="004228C4">
        <w:fldChar w:fldCharType="separate"/>
      </w:r>
      <w:r w:rsidR="00FE4664">
        <w:t>Table 2-8</w:t>
      </w:r>
      <w:r w:rsidR="0029621A" w:rsidRPr="004228C4">
        <w:fldChar w:fldCharType="end"/>
      </w:r>
      <w:r w:rsidRPr="004228C4">
        <w:t>.</w:t>
      </w:r>
    </w:p>
    <w:p w14:paraId="0871287E" w14:textId="59012EC5" w:rsidR="00FB267A" w:rsidRDefault="00FB267A" w:rsidP="00B42F79">
      <w:pPr>
        <w:pStyle w:val="Caption"/>
        <w:widowControl w:val="0"/>
      </w:pPr>
      <w:bookmarkStart w:id="69" w:name="_Ref96439546"/>
      <w:r>
        <w:t xml:space="preserve">Table </w:t>
      </w:r>
      <w:r w:rsidR="00231C29">
        <w:t>2-</w:t>
      </w:r>
      <w:bookmarkEnd w:id="67"/>
      <w:r>
        <w:fldChar w:fldCharType="begin"/>
      </w:r>
      <w:r>
        <w:instrText xml:space="preserve"> SEQ Table \* ARABIC </w:instrText>
      </w:r>
      <w:r>
        <w:fldChar w:fldCharType="separate"/>
      </w:r>
      <w:r w:rsidR="00FE4664">
        <w:rPr>
          <w:noProof/>
        </w:rPr>
        <w:t>8</w:t>
      </w:r>
      <w:r>
        <w:rPr>
          <w:noProof/>
        </w:rPr>
        <w:fldChar w:fldCharType="end"/>
      </w:r>
      <w:bookmarkEnd w:id="68"/>
      <w:bookmarkEnd w:id="69"/>
      <w:r>
        <w:tab/>
      </w:r>
      <w:r w:rsidRPr="004378D6">
        <w:t xml:space="preserve">Impact of </w:t>
      </w:r>
      <w:r w:rsidR="00112302">
        <w:t xml:space="preserve">2018 </w:t>
      </w:r>
      <w:r w:rsidRPr="004378D6">
        <w:t>legislated arrangements on the distribution of the GST pool, 2022</w:t>
      </w:r>
      <w:r w:rsidR="009E0E62">
        <w:t>–</w:t>
      </w:r>
      <w:r w:rsidRPr="004378D6">
        <w:t>23 (excludes no worse off payments)</w:t>
      </w:r>
    </w:p>
    <w:tbl>
      <w:tblPr>
        <w:tblW w:w="8940" w:type="dxa"/>
        <w:tblLook w:val="04A0" w:firstRow="1" w:lastRow="0" w:firstColumn="1" w:lastColumn="0" w:noHBand="0" w:noVBand="1"/>
      </w:tblPr>
      <w:tblGrid>
        <w:gridCol w:w="2700"/>
        <w:gridCol w:w="760"/>
        <w:gridCol w:w="760"/>
        <w:gridCol w:w="760"/>
        <w:gridCol w:w="640"/>
        <w:gridCol w:w="640"/>
        <w:gridCol w:w="640"/>
        <w:gridCol w:w="640"/>
        <w:gridCol w:w="640"/>
        <w:gridCol w:w="760"/>
      </w:tblGrid>
      <w:tr w:rsidR="00B8425E" w:rsidRPr="00B8425E" w14:paraId="7A6C73AF" w14:textId="77777777" w:rsidTr="4CAE3B53">
        <w:trPr>
          <w:trHeight w:val="375"/>
        </w:trPr>
        <w:tc>
          <w:tcPr>
            <w:tcW w:w="2700" w:type="dxa"/>
            <w:tcBorders>
              <w:top w:val="single" w:sz="4" w:space="0" w:color="ADD6EA"/>
              <w:left w:val="nil"/>
              <w:bottom w:val="single" w:sz="4" w:space="0" w:color="ADD6EA"/>
              <w:right w:val="nil"/>
            </w:tcBorders>
            <w:shd w:val="clear" w:color="auto" w:fill="006991"/>
            <w:vAlign w:val="center"/>
            <w:hideMark/>
          </w:tcPr>
          <w:p w14:paraId="613F1467"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8425E">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auto" w:fill="006991"/>
            <w:vAlign w:val="center"/>
            <w:hideMark/>
          </w:tcPr>
          <w:p w14:paraId="4BFE9AAB"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8425E">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auto" w:fill="006991"/>
            <w:vAlign w:val="center"/>
            <w:hideMark/>
          </w:tcPr>
          <w:p w14:paraId="01807781"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8425E">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auto" w:fill="006991"/>
            <w:vAlign w:val="center"/>
            <w:hideMark/>
          </w:tcPr>
          <w:p w14:paraId="38753A20"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8425E">
              <w:rPr>
                <w:rFonts w:ascii="Open Sans Semibold" w:eastAsia="Times New Roman" w:hAnsi="Open Sans Semibold" w:cs="Open Sans Semibold"/>
                <w:color w:val="FFFFFF"/>
                <w:sz w:val="16"/>
                <w:szCs w:val="16"/>
                <w:lang w:eastAsia="en-AU"/>
              </w:rPr>
              <w:t>Qld</w:t>
            </w:r>
          </w:p>
        </w:tc>
        <w:tc>
          <w:tcPr>
            <w:tcW w:w="640" w:type="dxa"/>
            <w:tcBorders>
              <w:top w:val="single" w:sz="4" w:space="0" w:color="ADD6EA"/>
              <w:left w:val="nil"/>
              <w:bottom w:val="single" w:sz="4" w:space="0" w:color="ADD6EA"/>
              <w:right w:val="nil"/>
            </w:tcBorders>
            <w:shd w:val="clear" w:color="auto" w:fill="006991"/>
            <w:vAlign w:val="center"/>
            <w:hideMark/>
          </w:tcPr>
          <w:p w14:paraId="0443A231"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8425E">
              <w:rPr>
                <w:rFonts w:ascii="Open Sans Semibold" w:eastAsia="Times New Roman" w:hAnsi="Open Sans Semibold" w:cs="Open Sans Semibold"/>
                <w:color w:val="FFFFFF"/>
                <w:sz w:val="16"/>
                <w:szCs w:val="16"/>
                <w:lang w:eastAsia="en-AU"/>
              </w:rPr>
              <w:t>WA</w:t>
            </w:r>
          </w:p>
        </w:tc>
        <w:tc>
          <w:tcPr>
            <w:tcW w:w="640" w:type="dxa"/>
            <w:tcBorders>
              <w:top w:val="single" w:sz="4" w:space="0" w:color="ADD6EA"/>
              <w:left w:val="nil"/>
              <w:bottom w:val="single" w:sz="4" w:space="0" w:color="ADD6EA"/>
              <w:right w:val="nil"/>
            </w:tcBorders>
            <w:shd w:val="clear" w:color="auto" w:fill="006991"/>
            <w:vAlign w:val="center"/>
            <w:hideMark/>
          </w:tcPr>
          <w:p w14:paraId="31B1D219"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8425E">
              <w:rPr>
                <w:rFonts w:ascii="Open Sans Semibold" w:eastAsia="Times New Roman" w:hAnsi="Open Sans Semibold" w:cs="Open Sans Semibold"/>
                <w:color w:val="FFFFFF"/>
                <w:sz w:val="16"/>
                <w:szCs w:val="16"/>
                <w:lang w:eastAsia="en-AU"/>
              </w:rPr>
              <w:t>SA</w:t>
            </w:r>
          </w:p>
        </w:tc>
        <w:tc>
          <w:tcPr>
            <w:tcW w:w="640" w:type="dxa"/>
            <w:tcBorders>
              <w:top w:val="single" w:sz="4" w:space="0" w:color="ADD6EA"/>
              <w:left w:val="nil"/>
              <w:bottom w:val="single" w:sz="4" w:space="0" w:color="ADD6EA"/>
              <w:right w:val="nil"/>
            </w:tcBorders>
            <w:shd w:val="clear" w:color="auto" w:fill="006991"/>
            <w:vAlign w:val="center"/>
            <w:hideMark/>
          </w:tcPr>
          <w:p w14:paraId="0DD5C793"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8425E">
              <w:rPr>
                <w:rFonts w:ascii="Open Sans Semibold" w:eastAsia="Times New Roman" w:hAnsi="Open Sans Semibold" w:cs="Open Sans Semibold"/>
                <w:color w:val="FFFFFF"/>
                <w:sz w:val="16"/>
                <w:szCs w:val="16"/>
                <w:lang w:eastAsia="en-AU"/>
              </w:rPr>
              <w:t>Tas</w:t>
            </w:r>
          </w:p>
        </w:tc>
        <w:tc>
          <w:tcPr>
            <w:tcW w:w="640" w:type="dxa"/>
            <w:tcBorders>
              <w:top w:val="single" w:sz="4" w:space="0" w:color="ADD6EA"/>
              <w:left w:val="nil"/>
              <w:bottom w:val="single" w:sz="4" w:space="0" w:color="ADD6EA"/>
              <w:right w:val="nil"/>
            </w:tcBorders>
            <w:shd w:val="clear" w:color="auto" w:fill="006991"/>
            <w:vAlign w:val="center"/>
            <w:hideMark/>
          </w:tcPr>
          <w:p w14:paraId="5D56189C"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8425E">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auto" w:fill="006991"/>
            <w:vAlign w:val="center"/>
            <w:hideMark/>
          </w:tcPr>
          <w:p w14:paraId="4AFAFA14"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8425E">
              <w:rPr>
                <w:rFonts w:ascii="Open Sans Semibold" w:eastAsia="Times New Roman"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auto" w:fill="006991"/>
            <w:vAlign w:val="center"/>
            <w:hideMark/>
          </w:tcPr>
          <w:p w14:paraId="1958B034"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8425E">
              <w:rPr>
                <w:rFonts w:ascii="Open Sans Semibold" w:eastAsia="Times New Roman" w:hAnsi="Open Sans Semibold" w:cs="Open Sans Semibold"/>
                <w:color w:val="FFFFFF"/>
                <w:sz w:val="16"/>
                <w:szCs w:val="16"/>
                <w:lang w:eastAsia="en-AU"/>
              </w:rPr>
              <w:t>Total</w:t>
            </w:r>
          </w:p>
        </w:tc>
      </w:tr>
      <w:tr w:rsidR="00B8425E" w:rsidRPr="00B8425E" w14:paraId="0D1CFAF1" w14:textId="77777777" w:rsidTr="4CAE3B53">
        <w:trPr>
          <w:trHeight w:val="259"/>
        </w:trPr>
        <w:tc>
          <w:tcPr>
            <w:tcW w:w="2700" w:type="dxa"/>
            <w:tcBorders>
              <w:top w:val="nil"/>
              <w:left w:val="nil"/>
              <w:bottom w:val="single" w:sz="4" w:space="0" w:color="ADD6EA"/>
              <w:right w:val="nil"/>
            </w:tcBorders>
            <w:shd w:val="clear" w:color="auto" w:fill="B6D5E4"/>
            <w:vAlign w:val="bottom"/>
            <w:hideMark/>
          </w:tcPr>
          <w:p w14:paraId="2D9EF4A4" w14:textId="77777777" w:rsidR="00B8425E" w:rsidRPr="00B8425E" w:rsidRDefault="00B8425E" w:rsidP="00B8425E">
            <w:pPr>
              <w:tabs>
                <w:tab w:val="clear" w:pos="567"/>
              </w:tabs>
              <w:spacing w:before="0" w:line="240" w:lineRule="auto"/>
              <w:rPr>
                <w:rFonts w:eastAsia="Times New Roman" w:cs="Open Sans Light"/>
                <w:sz w:val="16"/>
                <w:szCs w:val="16"/>
                <w:lang w:eastAsia="en-AU"/>
              </w:rPr>
            </w:pPr>
            <w:r w:rsidRPr="00B8425E">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auto" w:fill="B6D5E4"/>
            <w:vAlign w:val="bottom"/>
            <w:hideMark/>
          </w:tcPr>
          <w:p w14:paraId="461BF8FE"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auto" w:fill="B6D5E4"/>
            <w:vAlign w:val="bottom"/>
            <w:hideMark/>
          </w:tcPr>
          <w:p w14:paraId="3A2BF1B4"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auto" w:fill="B6D5E4"/>
            <w:vAlign w:val="bottom"/>
            <w:hideMark/>
          </w:tcPr>
          <w:p w14:paraId="42E46088"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$m</w:t>
            </w:r>
          </w:p>
        </w:tc>
        <w:tc>
          <w:tcPr>
            <w:tcW w:w="640" w:type="dxa"/>
            <w:tcBorders>
              <w:top w:val="nil"/>
              <w:left w:val="nil"/>
              <w:bottom w:val="single" w:sz="4" w:space="0" w:color="ADD6EA"/>
              <w:right w:val="nil"/>
            </w:tcBorders>
            <w:shd w:val="clear" w:color="auto" w:fill="B6D5E4"/>
            <w:vAlign w:val="bottom"/>
            <w:hideMark/>
          </w:tcPr>
          <w:p w14:paraId="4E580896"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$m</w:t>
            </w:r>
          </w:p>
        </w:tc>
        <w:tc>
          <w:tcPr>
            <w:tcW w:w="640" w:type="dxa"/>
            <w:tcBorders>
              <w:top w:val="nil"/>
              <w:left w:val="nil"/>
              <w:bottom w:val="single" w:sz="4" w:space="0" w:color="ADD6EA"/>
              <w:right w:val="nil"/>
            </w:tcBorders>
            <w:shd w:val="clear" w:color="auto" w:fill="B6D5E4"/>
            <w:vAlign w:val="bottom"/>
            <w:hideMark/>
          </w:tcPr>
          <w:p w14:paraId="224E51C3"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$m</w:t>
            </w:r>
          </w:p>
        </w:tc>
        <w:tc>
          <w:tcPr>
            <w:tcW w:w="640" w:type="dxa"/>
            <w:tcBorders>
              <w:top w:val="nil"/>
              <w:left w:val="nil"/>
              <w:bottom w:val="single" w:sz="4" w:space="0" w:color="ADD6EA"/>
              <w:right w:val="nil"/>
            </w:tcBorders>
            <w:shd w:val="clear" w:color="auto" w:fill="B6D5E4"/>
            <w:vAlign w:val="bottom"/>
            <w:hideMark/>
          </w:tcPr>
          <w:p w14:paraId="31A37591"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$m</w:t>
            </w:r>
          </w:p>
        </w:tc>
        <w:tc>
          <w:tcPr>
            <w:tcW w:w="640" w:type="dxa"/>
            <w:tcBorders>
              <w:top w:val="nil"/>
              <w:left w:val="nil"/>
              <w:bottom w:val="single" w:sz="4" w:space="0" w:color="ADD6EA"/>
              <w:right w:val="nil"/>
            </w:tcBorders>
            <w:shd w:val="clear" w:color="auto" w:fill="B6D5E4"/>
            <w:vAlign w:val="bottom"/>
            <w:hideMark/>
          </w:tcPr>
          <w:p w14:paraId="66E1F957"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$m</w:t>
            </w:r>
          </w:p>
        </w:tc>
        <w:tc>
          <w:tcPr>
            <w:tcW w:w="640" w:type="dxa"/>
            <w:tcBorders>
              <w:top w:val="nil"/>
              <w:left w:val="nil"/>
              <w:bottom w:val="single" w:sz="4" w:space="0" w:color="ADD6EA"/>
              <w:right w:val="nil"/>
            </w:tcBorders>
            <w:shd w:val="clear" w:color="auto" w:fill="B6D5E4"/>
            <w:vAlign w:val="bottom"/>
            <w:hideMark/>
          </w:tcPr>
          <w:p w14:paraId="06276B41"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auto" w:fill="B6D5E4"/>
            <w:vAlign w:val="bottom"/>
            <w:hideMark/>
          </w:tcPr>
          <w:p w14:paraId="314A5EA0"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$m</w:t>
            </w:r>
          </w:p>
        </w:tc>
      </w:tr>
      <w:tr w:rsidR="00B8425E" w:rsidRPr="00B8425E" w14:paraId="3AC4E3C9" w14:textId="77777777" w:rsidTr="4CAE3B53">
        <w:trPr>
          <w:trHeight w:val="315"/>
        </w:trPr>
        <w:tc>
          <w:tcPr>
            <w:tcW w:w="2700" w:type="dxa"/>
            <w:tcBorders>
              <w:top w:val="nil"/>
              <w:left w:val="nil"/>
              <w:bottom w:val="single" w:sz="4" w:space="0" w:color="ADD6EA"/>
              <w:right w:val="nil"/>
            </w:tcBorders>
            <w:shd w:val="clear" w:color="auto" w:fill="auto"/>
            <w:vAlign w:val="bottom"/>
            <w:hideMark/>
          </w:tcPr>
          <w:p w14:paraId="2BD3A8B9" w14:textId="77777777" w:rsidR="00B8425E" w:rsidRPr="00B8425E" w:rsidRDefault="00B8425E" w:rsidP="00B8425E">
            <w:pPr>
              <w:tabs>
                <w:tab w:val="clear" w:pos="567"/>
              </w:tabs>
              <w:spacing w:before="0" w:line="240" w:lineRule="auto"/>
              <w:rPr>
                <w:rFonts w:eastAsia="Times New Roman" w:cs="Open Sans Light"/>
                <w:sz w:val="16"/>
                <w:szCs w:val="16"/>
                <w:lang w:eastAsia="en-AU"/>
              </w:rPr>
            </w:pPr>
            <w:r w:rsidRPr="00B8425E">
              <w:rPr>
                <w:rFonts w:eastAsia="Times New Roman" w:cs="Open Sans Light"/>
                <w:sz w:val="16"/>
                <w:szCs w:val="16"/>
                <w:lang w:eastAsia="en-AU"/>
              </w:rPr>
              <w:t>Estimated GST pool distribution</w:t>
            </w:r>
          </w:p>
        </w:tc>
        <w:tc>
          <w:tcPr>
            <w:tcW w:w="760" w:type="dxa"/>
            <w:tcBorders>
              <w:top w:val="nil"/>
              <w:left w:val="nil"/>
              <w:bottom w:val="single" w:sz="4" w:space="0" w:color="ADD6EA"/>
              <w:right w:val="nil"/>
            </w:tcBorders>
            <w:shd w:val="clear" w:color="auto" w:fill="auto"/>
            <w:vAlign w:val="bottom"/>
            <w:hideMark/>
          </w:tcPr>
          <w:p w14:paraId="71FC8B62"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23,218</w:t>
            </w:r>
          </w:p>
        </w:tc>
        <w:tc>
          <w:tcPr>
            <w:tcW w:w="760" w:type="dxa"/>
            <w:tcBorders>
              <w:top w:val="nil"/>
              <w:left w:val="nil"/>
              <w:bottom w:val="single" w:sz="4" w:space="0" w:color="ADD6EA"/>
              <w:right w:val="nil"/>
            </w:tcBorders>
            <w:shd w:val="clear" w:color="auto" w:fill="auto"/>
            <w:vAlign w:val="bottom"/>
            <w:hideMark/>
          </w:tcPr>
          <w:p w14:paraId="007C2811"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17,167</w:t>
            </w:r>
          </w:p>
        </w:tc>
        <w:tc>
          <w:tcPr>
            <w:tcW w:w="760" w:type="dxa"/>
            <w:tcBorders>
              <w:top w:val="nil"/>
              <w:left w:val="nil"/>
              <w:bottom w:val="single" w:sz="4" w:space="0" w:color="ADD6EA"/>
              <w:right w:val="nil"/>
            </w:tcBorders>
            <w:shd w:val="clear" w:color="auto" w:fill="auto"/>
            <w:vAlign w:val="bottom"/>
            <w:hideMark/>
          </w:tcPr>
          <w:p w14:paraId="3619B239"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16,384</w:t>
            </w:r>
          </w:p>
        </w:tc>
        <w:tc>
          <w:tcPr>
            <w:tcW w:w="640" w:type="dxa"/>
            <w:tcBorders>
              <w:top w:val="nil"/>
              <w:left w:val="nil"/>
              <w:bottom w:val="single" w:sz="4" w:space="0" w:color="ADD6EA"/>
              <w:right w:val="nil"/>
            </w:tcBorders>
            <w:shd w:val="clear" w:color="auto" w:fill="auto"/>
            <w:vAlign w:val="bottom"/>
            <w:hideMark/>
          </w:tcPr>
          <w:p w14:paraId="12D70855"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5,682</w:t>
            </w:r>
          </w:p>
        </w:tc>
        <w:tc>
          <w:tcPr>
            <w:tcW w:w="640" w:type="dxa"/>
            <w:tcBorders>
              <w:top w:val="nil"/>
              <w:left w:val="nil"/>
              <w:bottom w:val="single" w:sz="4" w:space="0" w:color="ADD6EA"/>
              <w:right w:val="nil"/>
            </w:tcBorders>
            <w:shd w:val="clear" w:color="auto" w:fill="auto"/>
            <w:vAlign w:val="bottom"/>
            <w:hideMark/>
          </w:tcPr>
          <w:p w14:paraId="5E6758BA"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6,865</w:t>
            </w:r>
          </w:p>
        </w:tc>
        <w:tc>
          <w:tcPr>
            <w:tcW w:w="640" w:type="dxa"/>
            <w:tcBorders>
              <w:top w:val="nil"/>
              <w:left w:val="nil"/>
              <w:bottom w:val="single" w:sz="4" w:space="0" w:color="ADD6EA"/>
              <w:right w:val="nil"/>
            </w:tcBorders>
            <w:shd w:val="clear" w:color="auto" w:fill="auto"/>
            <w:vAlign w:val="bottom"/>
            <w:hideMark/>
          </w:tcPr>
          <w:p w14:paraId="3DC3CC16"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3,035</w:t>
            </w:r>
          </w:p>
        </w:tc>
        <w:tc>
          <w:tcPr>
            <w:tcW w:w="640" w:type="dxa"/>
            <w:tcBorders>
              <w:top w:val="nil"/>
              <w:left w:val="nil"/>
              <w:bottom w:val="single" w:sz="4" w:space="0" w:color="ADD6EA"/>
              <w:right w:val="nil"/>
            </w:tcBorders>
            <w:shd w:val="clear" w:color="auto" w:fill="auto"/>
            <w:vAlign w:val="bottom"/>
            <w:hideMark/>
          </w:tcPr>
          <w:p w14:paraId="1B792CC7"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1,421</w:t>
            </w:r>
          </w:p>
        </w:tc>
        <w:tc>
          <w:tcPr>
            <w:tcW w:w="640" w:type="dxa"/>
            <w:tcBorders>
              <w:top w:val="nil"/>
              <w:left w:val="nil"/>
              <w:bottom w:val="single" w:sz="4" w:space="0" w:color="ADD6EA"/>
              <w:right w:val="nil"/>
            </w:tcBorders>
            <w:shd w:val="clear" w:color="auto" w:fill="auto"/>
            <w:vAlign w:val="bottom"/>
            <w:hideMark/>
          </w:tcPr>
          <w:p w14:paraId="12B79E65"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3,644</w:t>
            </w:r>
          </w:p>
        </w:tc>
        <w:tc>
          <w:tcPr>
            <w:tcW w:w="760" w:type="dxa"/>
            <w:tcBorders>
              <w:top w:val="nil"/>
              <w:left w:val="nil"/>
              <w:bottom w:val="single" w:sz="4" w:space="0" w:color="ADD6EA"/>
              <w:right w:val="nil"/>
            </w:tcBorders>
            <w:shd w:val="clear" w:color="auto" w:fill="auto"/>
            <w:vAlign w:val="bottom"/>
            <w:hideMark/>
          </w:tcPr>
          <w:p w14:paraId="294442D6"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77,416</w:t>
            </w:r>
          </w:p>
        </w:tc>
      </w:tr>
      <w:tr w:rsidR="00B8425E" w:rsidRPr="00B8425E" w14:paraId="1E15F8A5" w14:textId="77777777" w:rsidTr="4CAE3B53">
        <w:trPr>
          <w:trHeight w:val="555"/>
        </w:trPr>
        <w:tc>
          <w:tcPr>
            <w:tcW w:w="2700" w:type="dxa"/>
            <w:tcBorders>
              <w:top w:val="nil"/>
              <w:left w:val="nil"/>
              <w:bottom w:val="single" w:sz="4" w:space="0" w:color="ADD6EA"/>
              <w:right w:val="nil"/>
            </w:tcBorders>
            <w:shd w:val="clear" w:color="auto" w:fill="auto"/>
            <w:vAlign w:val="bottom"/>
            <w:hideMark/>
          </w:tcPr>
          <w:p w14:paraId="2E6359E8" w14:textId="77777777" w:rsidR="00B8425E" w:rsidRPr="00B8425E" w:rsidRDefault="00B8425E" w:rsidP="00B8425E">
            <w:pPr>
              <w:tabs>
                <w:tab w:val="clear" w:pos="567"/>
              </w:tabs>
              <w:spacing w:before="0" w:line="240" w:lineRule="auto"/>
              <w:rPr>
                <w:rFonts w:eastAsia="Times New Roman" w:cs="Open Sans Light"/>
                <w:sz w:val="16"/>
                <w:szCs w:val="16"/>
                <w:lang w:eastAsia="en-AU"/>
              </w:rPr>
            </w:pPr>
            <w:r w:rsidRPr="00B8425E">
              <w:rPr>
                <w:rFonts w:eastAsia="Times New Roman" w:cs="Open Sans Light"/>
                <w:sz w:val="16"/>
                <w:szCs w:val="16"/>
                <w:lang w:eastAsia="en-AU"/>
              </w:rPr>
              <w:t>Distribution under previous arrangements</w:t>
            </w:r>
          </w:p>
        </w:tc>
        <w:tc>
          <w:tcPr>
            <w:tcW w:w="760" w:type="dxa"/>
            <w:tcBorders>
              <w:top w:val="nil"/>
              <w:left w:val="nil"/>
              <w:bottom w:val="single" w:sz="4" w:space="0" w:color="ADD6EA"/>
              <w:right w:val="nil"/>
            </w:tcBorders>
            <w:shd w:val="clear" w:color="auto" w:fill="auto"/>
            <w:vAlign w:val="bottom"/>
            <w:hideMark/>
          </w:tcPr>
          <w:p w14:paraId="347CE27D"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24,565</w:t>
            </w:r>
          </w:p>
        </w:tc>
        <w:tc>
          <w:tcPr>
            <w:tcW w:w="760" w:type="dxa"/>
            <w:tcBorders>
              <w:top w:val="nil"/>
              <w:left w:val="nil"/>
              <w:bottom w:val="single" w:sz="4" w:space="0" w:color="ADD6EA"/>
              <w:right w:val="nil"/>
            </w:tcBorders>
            <w:shd w:val="clear" w:color="auto" w:fill="auto"/>
            <w:vAlign w:val="bottom"/>
            <w:hideMark/>
          </w:tcPr>
          <w:p w14:paraId="36099AA5"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18,285</w:t>
            </w:r>
          </w:p>
        </w:tc>
        <w:tc>
          <w:tcPr>
            <w:tcW w:w="760" w:type="dxa"/>
            <w:tcBorders>
              <w:top w:val="nil"/>
              <w:left w:val="nil"/>
              <w:bottom w:val="single" w:sz="4" w:space="0" w:color="ADD6EA"/>
              <w:right w:val="nil"/>
            </w:tcBorders>
            <w:shd w:val="clear" w:color="auto" w:fill="auto"/>
            <w:vAlign w:val="bottom"/>
            <w:hideMark/>
          </w:tcPr>
          <w:p w14:paraId="297E7F7D"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17,248</w:t>
            </w:r>
          </w:p>
        </w:tc>
        <w:tc>
          <w:tcPr>
            <w:tcW w:w="640" w:type="dxa"/>
            <w:tcBorders>
              <w:top w:val="nil"/>
              <w:left w:val="nil"/>
              <w:bottom w:val="single" w:sz="4" w:space="0" w:color="ADD6EA"/>
              <w:right w:val="nil"/>
            </w:tcBorders>
            <w:shd w:val="clear" w:color="auto" w:fill="auto"/>
            <w:vAlign w:val="bottom"/>
            <w:hideMark/>
          </w:tcPr>
          <w:p w14:paraId="74EDA630"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1,271</w:t>
            </w:r>
          </w:p>
        </w:tc>
        <w:tc>
          <w:tcPr>
            <w:tcW w:w="640" w:type="dxa"/>
            <w:tcBorders>
              <w:top w:val="nil"/>
              <w:left w:val="nil"/>
              <w:bottom w:val="single" w:sz="4" w:space="0" w:color="ADD6EA"/>
              <w:right w:val="nil"/>
            </w:tcBorders>
            <w:shd w:val="clear" w:color="auto" w:fill="auto"/>
            <w:vAlign w:val="bottom"/>
            <w:hideMark/>
          </w:tcPr>
          <w:p w14:paraId="5C0D8017"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7,145</w:t>
            </w:r>
          </w:p>
        </w:tc>
        <w:tc>
          <w:tcPr>
            <w:tcW w:w="640" w:type="dxa"/>
            <w:tcBorders>
              <w:top w:val="nil"/>
              <w:left w:val="nil"/>
              <w:bottom w:val="single" w:sz="4" w:space="0" w:color="ADD6EA"/>
              <w:right w:val="nil"/>
            </w:tcBorders>
            <w:shd w:val="clear" w:color="auto" w:fill="auto"/>
            <w:vAlign w:val="bottom"/>
            <w:hideMark/>
          </w:tcPr>
          <w:p w14:paraId="0CF7C78D"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3,113</w:t>
            </w:r>
          </w:p>
        </w:tc>
        <w:tc>
          <w:tcPr>
            <w:tcW w:w="640" w:type="dxa"/>
            <w:tcBorders>
              <w:top w:val="nil"/>
              <w:left w:val="nil"/>
              <w:bottom w:val="single" w:sz="4" w:space="0" w:color="ADD6EA"/>
              <w:right w:val="nil"/>
            </w:tcBorders>
            <w:shd w:val="clear" w:color="auto" w:fill="auto"/>
            <w:vAlign w:val="bottom"/>
            <w:hideMark/>
          </w:tcPr>
          <w:p w14:paraId="18AF33DB"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1,492</w:t>
            </w:r>
          </w:p>
        </w:tc>
        <w:tc>
          <w:tcPr>
            <w:tcW w:w="640" w:type="dxa"/>
            <w:tcBorders>
              <w:top w:val="nil"/>
              <w:left w:val="nil"/>
              <w:bottom w:val="single" w:sz="4" w:space="0" w:color="ADD6EA"/>
              <w:right w:val="nil"/>
            </w:tcBorders>
            <w:shd w:val="clear" w:color="auto" w:fill="auto"/>
            <w:vAlign w:val="bottom"/>
            <w:hideMark/>
          </w:tcPr>
          <w:p w14:paraId="146524EA"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3,662</w:t>
            </w:r>
          </w:p>
        </w:tc>
        <w:tc>
          <w:tcPr>
            <w:tcW w:w="760" w:type="dxa"/>
            <w:tcBorders>
              <w:top w:val="nil"/>
              <w:left w:val="nil"/>
              <w:bottom w:val="single" w:sz="4" w:space="0" w:color="ADD6EA"/>
              <w:right w:val="nil"/>
            </w:tcBorders>
            <w:shd w:val="clear" w:color="auto" w:fill="auto"/>
            <w:vAlign w:val="bottom"/>
            <w:hideMark/>
          </w:tcPr>
          <w:p w14:paraId="0745DC02" w14:textId="77777777" w:rsidR="00B8425E" w:rsidRPr="00B8425E" w:rsidRDefault="00B8425E" w:rsidP="00B8425E">
            <w:pPr>
              <w:tabs>
                <w:tab w:val="clear" w:pos="567"/>
              </w:tabs>
              <w:spacing w:before="0" w:line="240" w:lineRule="auto"/>
              <w:jc w:val="right"/>
              <w:rPr>
                <w:rFonts w:eastAsia="Times New Roman" w:cs="Open Sans Light"/>
                <w:sz w:val="16"/>
                <w:szCs w:val="16"/>
                <w:lang w:eastAsia="en-AU"/>
              </w:rPr>
            </w:pPr>
            <w:r w:rsidRPr="00B8425E">
              <w:rPr>
                <w:rFonts w:eastAsia="Times New Roman" w:cs="Open Sans Light"/>
                <w:sz w:val="16"/>
                <w:szCs w:val="16"/>
                <w:lang w:eastAsia="en-AU"/>
              </w:rPr>
              <w:t>76,780</w:t>
            </w:r>
          </w:p>
        </w:tc>
      </w:tr>
      <w:tr w:rsidR="00B8425E" w:rsidRPr="00B8425E" w14:paraId="3AC2FBC8" w14:textId="77777777" w:rsidTr="4CAE3B53">
        <w:trPr>
          <w:trHeight w:val="315"/>
        </w:trPr>
        <w:tc>
          <w:tcPr>
            <w:tcW w:w="2700" w:type="dxa"/>
            <w:tcBorders>
              <w:top w:val="nil"/>
              <w:left w:val="nil"/>
              <w:bottom w:val="single" w:sz="4" w:space="0" w:color="ADD6EA"/>
              <w:right w:val="nil"/>
            </w:tcBorders>
            <w:shd w:val="clear" w:color="auto" w:fill="D6E7F0"/>
            <w:vAlign w:val="bottom"/>
            <w:hideMark/>
          </w:tcPr>
          <w:p w14:paraId="4BF08318" w14:textId="77777777" w:rsidR="00B8425E" w:rsidRPr="00B8425E" w:rsidRDefault="00B8425E" w:rsidP="00B8425E">
            <w:pPr>
              <w:tabs>
                <w:tab w:val="clear" w:pos="567"/>
              </w:tabs>
              <w:spacing w:before="0" w:line="240" w:lineRule="auto"/>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Difference</w:t>
            </w:r>
          </w:p>
        </w:tc>
        <w:tc>
          <w:tcPr>
            <w:tcW w:w="760" w:type="dxa"/>
            <w:tcBorders>
              <w:top w:val="nil"/>
              <w:left w:val="nil"/>
              <w:bottom w:val="single" w:sz="4" w:space="0" w:color="ADD6EA"/>
              <w:right w:val="nil"/>
            </w:tcBorders>
            <w:shd w:val="clear" w:color="auto" w:fill="D6E7F0"/>
            <w:vAlign w:val="bottom"/>
            <w:hideMark/>
          </w:tcPr>
          <w:p w14:paraId="64E20F8D"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-1,347</w:t>
            </w:r>
          </w:p>
        </w:tc>
        <w:tc>
          <w:tcPr>
            <w:tcW w:w="760" w:type="dxa"/>
            <w:tcBorders>
              <w:top w:val="nil"/>
              <w:left w:val="nil"/>
              <w:bottom w:val="single" w:sz="4" w:space="0" w:color="ADD6EA"/>
              <w:right w:val="nil"/>
            </w:tcBorders>
            <w:shd w:val="clear" w:color="auto" w:fill="D6E7F0"/>
            <w:vAlign w:val="bottom"/>
            <w:hideMark/>
          </w:tcPr>
          <w:p w14:paraId="4F7B7A46"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-1,117</w:t>
            </w:r>
          </w:p>
        </w:tc>
        <w:tc>
          <w:tcPr>
            <w:tcW w:w="760" w:type="dxa"/>
            <w:tcBorders>
              <w:top w:val="nil"/>
              <w:left w:val="nil"/>
              <w:bottom w:val="single" w:sz="4" w:space="0" w:color="ADD6EA"/>
              <w:right w:val="nil"/>
            </w:tcBorders>
            <w:shd w:val="clear" w:color="auto" w:fill="D6E7F0"/>
            <w:vAlign w:val="bottom"/>
            <w:hideMark/>
          </w:tcPr>
          <w:p w14:paraId="4F0EB867"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-863</w:t>
            </w:r>
          </w:p>
        </w:tc>
        <w:tc>
          <w:tcPr>
            <w:tcW w:w="640" w:type="dxa"/>
            <w:tcBorders>
              <w:top w:val="nil"/>
              <w:left w:val="nil"/>
              <w:bottom w:val="single" w:sz="4" w:space="0" w:color="ADD6EA"/>
              <w:right w:val="nil"/>
            </w:tcBorders>
            <w:shd w:val="clear" w:color="auto" w:fill="D6E7F0"/>
            <w:vAlign w:val="bottom"/>
            <w:hideMark/>
          </w:tcPr>
          <w:p w14:paraId="02C5339E" w14:textId="77777777" w:rsidR="00B8425E" w:rsidRPr="00B8425E" w:rsidRDefault="677927F6"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4CAE3B53">
              <w:rPr>
                <w:rFonts w:ascii="Open Sans Semibold" w:eastAsia="Times New Roman" w:hAnsi="Open Sans Semibold" w:cs="Open Sans Semibold"/>
                <w:sz w:val="16"/>
                <w:szCs w:val="16"/>
                <w:lang w:eastAsia="en-AU"/>
              </w:rPr>
              <w:t>4,410</w:t>
            </w:r>
          </w:p>
        </w:tc>
        <w:tc>
          <w:tcPr>
            <w:tcW w:w="640" w:type="dxa"/>
            <w:tcBorders>
              <w:top w:val="nil"/>
              <w:left w:val="nil"/>
              <w:bottom w:val="single" w:sz="4" w:space="0" w:color="ADD6EA"/>
              <w:right w:val="nil"/>
            </w:tcBorders>
            <w:shd w:val="clear" w:color="auto" w:fill="D6E7F0"/>
            <w:vAlign w:val="bottom"/>
            <w:hideMark/>
          </w:tcPr>
          <w:p w14:paraId="6259F2F6" w14:textId="77777777" w:rsidR="00B8425E" w:rsidRPr="00B8425E" w:rsidRDefault="677927F6"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4CAE3B53">
              <w:rPr>
                <w:rFonts w:ascii="Open Sans Semibold" w:eastAsia="Times New Roman" w:hAnsi="Open Sans Semibold" w:cs="Open Sans Semibold"/>
                <w:sz w:val="16"/>
                <w:szCs w:val="16"/>
                <w:lang w:eastAsia="en-AU"/>
              </w:rPr>
              <w:t>-281</w:t>
            </w:r>
          </w:p>
        </w:tc>
        <w:tc>
          <w:tcPr>
            <w:tcW w:w="640" w:type="dxa"/>
            <w:tcBorders>
              <w:top w:val="nil"/>
              <w:left w:val="nil"/>
              <w:bottom w:val="single" w:sz="4" w:space="0" w:color="ADD6EA"/>
              <w:right w:val="nil"/>
            </w:tcBorders>
            <w:shd w:val="clear" w:color="auto" w:fill="D6E7F0"/>
            <w:vAlign w:val="bottom"/>
            <w:hideMark/>
          </w:tcPr>
          <w:p w14:paraId="2FCABAE9"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-79</w:t>
            </w:r>
          </w:p>
        </w:tc>
        <w:tc>
          <w:tcPr>
            <w:tcW w:w="640" w:type="dxa"/>
            <w:tcBorders>
              <w:top w:val="nil"/>
              <w:left w:val="nil"/>
              <w:bottom w:val="single" w:sz="4" w:space="0" w:color="ADD6EA"/>
              <w:right w:val="nil"/>
            </w:tcBorders>
            <w:shd w:val="clear" w:color="auto" w:fill="D6E7F0"/>
            <w:vAlign w:val="bottom"/>
            <w:hideMark/>
          </w:tcPr>
          <w:p w14:paraId="0F714A93"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-70</w:t>
            </w:r>
          </w:p>
        </w:tc>
        <w:tc>
          <w:tcPr>
            <w:tcW w:w="640" w:type="dxa"/>
            <w:tcBorders>
              <w:top w:val="nil"/>
              <w:left w:val="nil"/>
              <w:bottom w:val="single" w:sz="4" w:space="0" w:color="ADD6EA"/>
              <w:right w:val="nil"/>
            </w:tcBorders>
            <w:shd w:val="clear" w:color="auto" w:fill="D6E7F0"/>
            <w:vAlign w:val="bottom"/>
            <w:hideMark/>
          </w:tcPr>
          <w:p w14:paraId="08469949"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-18</w:t>
            </w:r>
          </w:p>
        </w:tc>
        <w:tc>
          <w:tcPr>
            <w:tcW w:w="760" w:type="dxa"/>
            <w:tcBorders>
              <w:top w:val="nil"/>
              <w:left w:val="nil"/>
              <w:bottom w:val="single" w:sz="4" w:space="0" w:color="ADD6EA"/>
              <w:right w:val="nil"/>
            </w:tcBorders>
            <w:shd w:val="clear" w:color="auto" w:fill="D6E7F0"/>
            <w:vAlign w:val="bottom"/>
            <w:hideMark/>
          </w:tcPr>
          <w:p w14:paraId="17733B9F" w14:textId="77777777" w:rsidR="00B8425E" w:rsidRPr="00B8425E" w:rsidRDefault="00B8425E" w:rsidP="00B8425E">
            <w:pPr>
              <w:tabs>
                <w:tab w:val="clear" w:pos="567"/>
              </w:tabs>
              <w:spacing w:before="0" w:line="240" w:lineRule="auto"/>
              <w:jc w:val="right"/>
              <w:rPr>
                <w:rFonts w:ascii="Open Sans Semibold" w:eastAsia="Times New Roman" w:hAnsi="Open Sans Semibold" w:cs="Open Sans Semibold"/>
                <w:sz w:val="16"/>
                <w:szCs w:val="16"/>
                <w:lang w:eastAsia="en-AU"/>
              </w:rPr>
            </w:pPr>
            <w:r w:rsidRPr="00B8425E">
              <w:rPr>
                <w:rFonts w:ascii="Open Sans Semibold" w:eastAsia="Times New Roman" w:hAnsi="Open Sans Semibold" w:cs="Open Sans Semibold"/>
                <w:sz w:val="16"/>
                <w:szCs w:val="16"/>
                <w:lang w:eastAsia="en-AU"/>
              </w:rPr>
              <w:t>636</w:t>
            </w:r>
          </w:p>
        </w:tc>
      </w:tr>
    </w:tbl>
    <w:p w14:paraId="7577568F" w14:textId="1DAEEDA9" w:rsidR="00E94CC7" w:rsidRDefault="00B42F79" w:rsidP="00B42F79">
      <w:pPr>
        <w:pStyle w:val="CGCTablenote"/>
        <w:keepNext/>
        <w:keepLines/>
        <w:widowControl w:val="0"/>
        <w:rPr>
          <w:noProof/>
        </w:rPr>
      </w:pPr>
      <w:r>
        <w:t>Source:</w:t>
      </w:r>
      <w:r>
        <w:tab/>
        <w:t>Commission calculation</w:t>
      </w:r>
      <w:r w:rsidR="002D4B54">
        <w:t>.</w:t>
      </w:r>
    </w:p>
    <w:p w14:paraId="018BA442" w14:textId="09C8B3E2" w:rsidR="00133462" w:rsidRDefault="004A62E7" w:rsidP="0004064D">
      <w:pPr>
        <w:pStyle w:val="CGCBodyCopy"/>
      </w:pPr>
      <w:r>
        <w:t xml:space="preserve">In determining whether a state is worse off </w:t>
      </w:r>
      <w:r w:rsidR="00967382">
        <w:t xml:space="preserve">in the absence of the </w:t>
      </w:r>
      <w:r w:rsidR="009039D9">
        <w:t>2018 legislated changes, allowance has to be made for the extent a state has gained from the t</w:t>
      </w:r>
      <w:r w:rsidR="009D7B8E">
        <w:t>op-up of the GST pool</w:t>
      </w:r>
      <w:r w:rsidR="00F35D2A">
        <w:t>,</w:t>
      </w:r>
      <w:r w:rsidR="009D7B8E">
        <w:t xml:space="preserve"> since this is part of the 2018</w:t>
      </w:r>
      <w:r w:rsidR="00301772">
        <w:t xml:space="preserve"> legislated</w:t>
      </w:r>
      <w:r w:rsidR="009D7B8E">
        <w:t xml:space="preserve"> changes. </w:t>
      </w:r>
      <w:r w:rsidR="00133462" w:rsidRPr="00207B48">
        <w:t>For example, in 2022</w:t>
      </w:r>
      <w:r w:rsidR="00C623B9" w:rsidRPr="00207B48">
        <w:t>–</w:t>
      </w:r>
      <w:r w:rsidR="00133462" w:rsidRPr="00207B48">
        <w:t>23, New South Wales is estimated to receive $23,</w:t>
      </w:r>
      <w:r w:rsidR="00944E75">
        <w:t>218</w:t>
      </w:r>
      <w:r w:rsidR="00133462" w:rsidRPr="00207B48">
        <w:t> million from the topped-up GST pool. If the 2018 legislated arrangements had not been introduced, it would receive an estimated $24,</w:t>
      </w:r>
      <w:r w:rsidR="006350AD">
        <w:t>565</w:t>
      </w:r>
      <w:r w:rsidR="00133462" w:rsidRPr="00207B48">
        <w:t> million. Therefore, New South Wales is estimated to be $1</w:t>
      </w:r>
      <w:r w:rsidR="00C623B9" w:rsidRPr="00207B48">
        <w:t>,</w:t>
      </w:r>
      <w:r w:rsidR="00133462" w:rsidRPr="00207B48">
        <w:t>3</w:t>
      </w:r>
      <w:r w:rsidR="004C44B0">
        <w:t>47</w:t>
      </w:r>
      <w:r w:rsidR="00E014F5">
        <w:t> </w:t>
      </w:r>
      <w:r w:rsidR="00133462" w:rsidRPr="00207B48">
        <w:t xml:space="preserve">million worse off under the 2018 legislated changes (comprising the effect of blended relativities and the GST floor, offset by </w:t>
      </w:r>
      <w:r w:rsidR="00F40678">
        <w:t xml:space="preserve">its </w:t>
      </w:r>
      <w:r w:rsidR="00133462" w:rsidRPr="00207B48">
        <w:t>share of the $636 million pool top</w:t>
      </w:r>
      <w:r w:rsidR="0090678E" w:rsidRPr="00207B48">
        <w:noBreakHyphen/>
      </w:r>
      <w:r w:rsidR="00133462" w:rsidRPr="00207B48">
        <w:t xml:space="preserve">up </w:t>
      </w:r>
      <w:r w:rsidR="005837F6">
        <w:t xml:space="preserve">for </w:t>
      </w:r>
      <w:r w:rsidR="00133462" w:rsidRPr="00207B48">
        <w:t>2022</w:t>
      </w:r>
      <w:r w:rsidR="00C623B9" w:rsidRPr="00207B48">
        <w:t>–</w:t>
      </w:r>
      <w:r w:rsidR="00133462" w:rsidRPr="00207B48">
        <w:t>23).</w:t>
      </w:r>
    </w:p>
    <w:p w14:paraId="50B4933D" w14:textId="77777777" w:rsidR="000A3595" w:rsidRDefault="000A3595" w:rsidP="0004064D">
      <w:pPr>
        <w:pStyle w:val="CGCBodyCopy"/>
        <w:rPr>
          <w:noProof/>
        </w:rPr>
      </w:pPr>
    </w:p>
    <w:p w14:paraId="1D48991F" w14:textId="1FB87E31" w:rsidR="00B42F79" w:rsidRDefault="00B42F79" w:rsidP="0004064D">
      <w:pPr>
        <w:pStyle w:val="CGCBodyCopy"/>
        <w:rPr>
          <w:noProof/>
        </w:rPr>
        <w:sectPr w:rsidR="00B42F79" w:rsidSect="008E2BFE">
          <w:pgSz w:w="11900" w:h="16840"/>
          <w:pgMar w:top="1247" w:right="1418" w:bottom="1134" w:left="1418" w:header="851" w:footer="284" w:gutter="0"/>
          <w:cols w:space="708"/>
          <w:docGrid w:linePitch="360"/>
        </w:sectPr>
      </w:pPr>
    </w:p>
    <w:p w14:paraId="1898D37B" w14:textId="5207E3C9" w:rsidR="00AD6395" w:rsidRPr="00133F31" w:rsidRDefault="005433BE" w:rsidP="00592BD3">
      <w:pPr>
        <w:pStyle w:val="Heading1"/>
        <w:numPr>
          <w:ilvl w:val="0"/>
          <w:numId w:val="25"/>
        </w:numPr>
      </w:pPr>
      <w:bookmarkStart w:id="70" w:name="_Toc96074917"/>
      <w:r w:rsidRPr="00133F31">
        <w:t xml:space="preserve">State by </w:t>
      </w:r>
      <w:r w:rsidR="00E752E8" w:rsidRPr="00133F31">
        <w:t>s</w:t>
      </w:r>
      <w:r w:rsidRPr="00133F31">
        <w:t xml:space="preserve">tate </w:t>
      </w:r>
      <w:r w:rsidR="00E752E8" w:rsidRPr="00133F31">
        <w:t>changes</w:t>
      </w:r>
      <w:r w:rsidR="00E25F59" w:rsidRPr="00C00D27">
        <w:rPr>
          <w:rStyle w:val="FootnoteReference"/>
          <w:sz w:val="24"/>
          <w:szCs w:val="24"/>
          <w:vertAlign w:val="superscript"/>
        </w:rPr>
        <w:footnoteReference w:id="14"/>
      </w:r>
      <w:bookmarkEnd w:id="7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9"/>
      </w:tblGrid>
      <w:tr w:rsidR="005A0452" w:rsidRPr="009F3039" w14:paraId="0150A227" w14:textId="77777777" w:rsidTr="00F638D3">
        <w:trPr>
          <w:trHeight w:val="1701"/>
        </w:trPr>
        <w:tc>
          <w:tcPr>
            <w:tcW w:w="8959" w:type="dxa"/>
            <w:shd w:val="clear" w:color="auto" w:fill="EBF3F5"/>
          </w:tcPr>
          <w:p w14:paraId="6E0EDE59" w14:textId="2CD69CFB" w:rsidR="005A0452" w:rsidRPr="00B45CA4" w:rsidRDefault="005A0452" w:rsidP="00C00D27">
            <w:pPr>
              <w:pStyle w:val="Heading3"/>
              <w:spacing w:before="240"/>
            </w:pPr>
            <w:r>
              <w:t>Key Points</w:t>
            </w:r>
          </w:p>
          <w:p w14:paraId="4B74F57E" w14:textId="3DBA9C8D" w:rsidR="005A0452" w:rsidRPr="00084A0A" w:rsidRDefault="005A0452" w:rsidP="00236025">
            <w:pPr>
              <w:pStyle w:val="BodyText"/>
            </w:pPr>
            <w:r w:rsidRPr="00084A0A">
              <w:t>The GST pool (</w:t>
            </w:r>
            <w:r w:rsidRPr="00236025">
              <w:t>which</w:t>
            </w:r>
            <w:r w:rsidRPr="00084A0A">
              <w:t xml:space="preserve"> does not include no worse off payments) is estimated to grow by more than $4 </w:t>
            </w:r>
            <w:r w:rsidRPr="00084A0A">
              <w:rPr>
                <w:noProof/>
              </w:rPr>
              <w:drawing>
                <wp:anchor distT="0" distB="0" distL="114300" distR="114300" simplePos="0" relativeHeight="251658295" behindDoc="1" locked="1" layoutInCell="1" allowOverlap="1" wp14:anchorId="2AF72A86" wp14:editId="24B40103">
                  <wp:simplePos x="0" y="0"/>
                  <wp:positionH relativeFrom="page">
                    <wp:posOffset>-897255</wp:posOffset>
                  </wp:positionH>
                  <wp:positionV relativeFrom="page">
                    <wp:posOffset>-1503045</wp:posOffset>
                  </wp:positionV>
                  <wp:extent cx="7563485" cy="10691495"/>
                  <wp:effectExtent l="0" t="0" r="0" b="0"/>
                  <wp:wrapNone/>
                  <wp:docPr id="66" name="Picture 6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084A0A">
              <w:t>billion. Consequently, several states would receive more GST in 2022</w:t>
            </w:r>
            <w:r w:rsidR="00085165">
              <w:t>–</w:t>
            </w:r>
            <w:r w:rsidRPr="00084A0A">
              <w:t xml:space="preserve">23, despite having a smaller relativity. </w:t>
            </w:r>
            <w:r w:rsidRPr="00A92E9A">
              <w:t>Victoria is expected to receive less revenue from the GST pool than it received in 2021</w:t>
            </w:r>
            <w:r w:rsidR="00085165" w:rsidRPr="00A92E9A">
              <w:t>–</w:t>
            </w:r>
            <w:r w:rsidRPr="00A92E9A">
              <w:t>22 and the ACT around the same.</w:t>
            </w:r>
            <w:r w:rsidRPr="00E80CDE">
              <w:t xml:space="preserve"> </w:t>
            </w:r>
            <w:r w:rsidRPr="00084A0A">
              <w:t xml:space="preserve">However, like the other states, they </w:t>
            </w:r>
            <w:r w:rsidR="00B317DE">
              <w:t xml:space="preserve">would </w:t>
            </w:r>
            <w:r w:rsidRPr="00084A0A">
              <w:t>receive higher overall payments under the GST distribution arrangements, which include no worse off payments during the transition period.</w:t>
            </w:r>
          </w:p>
          <w:p w14:paraId="60FAB1AC" w14:textId="72EBDB84" w:rsidR="005A0452" w:rsidRPr="0053695A" w:rsidRDefault="005A0452" w:rsidP="00236025">
            <w:pPr>
              <w:pStyle w:val="BodyText"/>
              <w:rPr>
                <w:rFonts w:asciiTheme="minorHAnsi" w:eastAsiaTheme="minorEastAsia" w:hAnsiTheme="minorHAnsi" w:cstheme="minorBidi"/>
                <w:sz w:val="20"/>
              </w:rPr>
            </w:pPr>
            <w:r w:rsidRPr="0053695A">
              <w:t>In per capita terms, and excluding no</w:t>
            </w:r>
            <w:r>
              <w:t> </w:t>
            </w:r>
            <w:r w:rsidRPr="0053695A">
              <w:t>worse</w:t>
            </w:r>
            <w:r>
              <w:t> </w:t>
            </w:r>
            <w:r w:rsidRPr="0053695A">
              <w:t>off payments, the Northern Territory’s distribution is estimated to increase by $1,</w:t>
            </w:r>
            <w:r w:rsidR="00FB59A3">
              <w:t>055</w:t>
            </w:r>
            <w:r w:rsidRPr="0053695A">
              <w:t>, Western Australia’s by $912, New</w:t>
            </w:r>
            <w:r w:rsidR="00236025">
              <w:t> </w:t>
            </w:r>
            <w:r w:rsidRPr="0053695A">
              <w:t>South</w:t>
            </w:r>
            <w:r w:rsidR="00236025">
              <w:t> </w:t>
            </w:r>
            <w:r w:rsidRPr="0053695A">
              <w:t>Wales’ by $</w:t>
            </w:r>
            <w:r w:rsidR="00DE0E5E" w:rsidRPr="0053695A">
              <w:t>1</w:t>
            </w:r>
            <w:r w:rsidR="00DE0E5E">
              <w:t>36</w:t>
            </w:r>
            <w:r w:rsidR="00DE0E5E" w:rsidRPr="0053695A">
              <w:t xml:space="preserve">, </w:t>
            </w:r>
            <w:r w:rsidRPr="0053695A">
              <w:t>Queensland’s by $1</w:t>
            </w:r>
            <w:r w:rsidR="00853AFB">
              <w:t>21</w:t>
            </w:r>
            <w:r w:rsidRPr="0053695A">
              <w:t>, South Australia’s by $</w:t>
            </w:r>
            <w:r w:rsidR="00853AFB">
              <w:t>45</w:t>
            </w:r>
            <w:r w:rsidRPr="0053695A">
              <w:t xml:space="preserve"> and Tasmania’s by $</w:t>
            </w:r>
            <w:r w:rsidR="00853AFB">
              <w:t>20</w:t>
            </w:r>
            <w:r w:rsidRPr="0053695A">
              <w:t xml:space="preserve">. </w:t>
            </w:r>
            <w:r>
              <w:t>Victoria’s</w:t>
            </w:r>
            <w:r w:rsidRPr="0053695A">
              <w:t xml:space="preserve"> per capita distribution would decrease by $</w:t>
            </w:r>
            <w:r w:rsidR="00853AFB">
              <w:t>36</w:t>
            </w:r>
            <w:r w:rsidRPr="0053695A">
              <w:t xml:space="preserve"> and </w:t>
            </w:r>
            <w:r>
              <w:t>the ACT</w:t>
            </w:r>
            <w:r w:rsidRPr="0053695A">
              <w:t>’s by $</w:t>
            </w:r>
            <w:r w:rsidR="00D948FF">
              <w:t>12</w:t>
            </w:r>
            <w:r w:rsidRPr="0053695A">
              <w:t>.</w:t>
            </w:r>
          </w:p>
          <w:p w14:paraId="0C7EF798" w14:textId="7A8A60D2" w:rsidR="005A0452" w:rsidRPr="0053695A" w:rsidRDefault="005A0452" w:rsidP="00101014">
            <w:pPr>
              <w:pStyle w:val="BodyText"/>
              <w:rPr>
                <w:rFonts w:asciiTheme="minorHAnsi" w:eastAsiaTheme="minorEastAsia" w:hAnsiTheme="minorHAnsi" w:cstheme="minorBidi"/>
                <w:sz w:val="20"/>
              </w:rPr>
            </w:pPr>
            <w:r w:rsidRPr="0053695A">
              <w:t>Excluding no</w:t>
            </w:r>
            <w:r>
              <w:t> </w:t>
            </w:r>
            <w:r w:rsidRPr="0053695A">
              <w:t>worse</w:t>
            </w:r>
            <w:r>
              <w:t> </w:t>
            </w:r>
            <w:r w:rsidRPr="0053695A">
              <w:t xml:space="preserve">off payments, the estimated increases in state GST </w:t>
            </w:r>
            <w:r w:rsidRPr="00101014">
              <w:t>distribution</w:t>
            </w:r>
            <w:r w:rsidRPr="0053695A">
              <w:t xml:space="preserve"> in 2022</w:t>
            </w:r>
            <w:r w:rsidR="00085165">
              <w:t>–</w:t>
            </w:r>
            <w:r w:rsidRPr="0053695A">
              <w:t>23 are: Western Australia $2,483 million; New South Wales $1,</w:t>
            </w:r>
            <w:r w:rsidR="00B143A6">
              <w:t>111</w:t>
            </w:r>
            <w:r w:rsidRPr="0053695A">
              <w:t> million; Queensland $6</w:t>
            </w:r>
            <w:r w:rsidR="00536894">
              <w:t>45</w:t>
            </w:r>
            <w:r w:rsidRPr="0053695A">
              <w:t> million; the Northern Territory $2</w:t>
            </w:r>
            <w:r w:rsidR="00536894">
              <w:t>65</w:t>
            </w:r>
            <w:r w:rsidRPr="0053695A">
              <w:t> million; South Australia $</w:t>
            </w:r>
            <w:r w:rsidR="0098514B">
              <w:t>80</w:t>
            </w:r>
            <w:r w:rsidRPr="0053695A">
              <w:t> million; and Tasmania $</w:t>
            </w:r>
            <w:r>
              <w:t>1</w:t>
            </w:r>
            <w:r w:rsidR="00143C86">
              <w:t>1</w:t>
            </w:r>
            <w:r w:rsidRPr="0053695A">
              <w:t> million. Victoria</w:t>
            </w:r>
            <w:r w:rsidR="00407D6F">
              <w:t>’</w:t>
            </w:r>
            <w:r w:rsidRPr="0053695A">
              <w:t>s GST distribution is estimated to decrease by $2</w:t>
            </w:r>
            <w:r w:rsidR="009412F3">
              <w:t>44</w:t>
            </w:r>
            <w:r w:rsidRPr="0053695A">
              <w:t> million and the ACT’s by $</w:t>
            </w:r>
            <w:r w:rsidR="009412F3">
              <w:t>5</w:t>
            </w:r>
            <w:r w:rsidRPr="0053695A">
              <w:t> million</w:t>
            </w:r>
            <w:r w:rsidR="001F5E32">
              <w:t xml:space="preserve"> (excluding no worse off payments)</w:t>
            </w:r>
            <w:r w:rsidRPr="0053695A">
              <w:t>.</w:t>
            </w:r>
          </w:p>
          <w:p w14:paraId="0E4ED511" w14:textId="2EA07C89" w:rsidR="005A0452" w:rsidRPr="009F3039" w:rsidRDefault="005A0452" w:rsidP="00623706">
            <w:pPr>
              <w:pStyle w:val="BodyText"/>
              <w:spacing w:after="240"/>
              <w:ind w:left="714" w:hanging="357"/>
            </w:pPr>
            <w:r>
              <w:t xml:space="preserve">This update is the </w:t>
            </w:r>
            <w:r w:rsidRPr="00084A0A">
              <w:t>first in which the relativity floor of 0.7 is drawn from the GST pool. Compared with 2021</w:t>
            </w:r>
            <w:r w:rsidR="00085165">
              <w:t>–</w:t>
            </w:r>
            <w:r w:rsidRPr="00084A0A">
              <w:t>22</w:t>
            </w:r>
            <w:r w:rsidR="003909DF">
              <w:t>,</w:t>
            </w:r>
            <w:r w:rsidRPr="00084A0A">
              <w:t xml:space="preserve"> the</w:t>
            </w:r>
            <w:r>
              <w:t xml:space="preserve"> combined effect of blended relativities and the GST floor would increase Western</w:t>
            </w:r>
            <w:r w:rsidR="00CC155E">
              <w:t> </w:t>
            </w:r>
            <w:r>
              <w:t>Australia’s estimated GST revenue by $3,6</w:t>
            </w:r>
            <w:r w:rsidR="00490647">
              <w:t>67</w:t>
            </w:r>
            <w:r>
              <w:t xml:space="preserve"> million. As a result, other states’ GST </w:t>
            </w:r>
            <w:r w:rsidR="00EE4A29">
              <w:t xml:space="preserve">distribution </w:t>
            </w:r>
            <w:r>
              <w:t xml:space="preserve">would </w:t>
            </w:r>
            <w:r w:rsidRPr="00CC155E">
              <w:t>be</w:t>
            </w:r>
            <w:r>
              <w:t xml:space="preserve"> reduced on a population share basis: New South Wales </w:t>
            </w:r>
            <w:r w:rsidRPr="005D1D64">
              <w:t>by</w:t>
            </w:r>
            <w:r>
              <w:t xml:space="preserve"> $1,2</w:t>
            </w:r>
            <w:r w:rsidR="00490647">
              <w:t>98</w:t>
            </w:r>
            <w:r>
              <w:t> million; Victoria by $1,0</w:t>
            </w:r>
            <w:r w:rsidR="00490647">
              <w:t>63</w:t>
            </w:r>
            <w:r w:rsidRPr="005D1D64">
              <w:t> </w:t>
            </w:r>
            <w:r>
              <w:t>million; Queensland by $83</w:t>
            </w:r>
            <w:r w:rsidR="00490647">
              <w:t>9</w:t>
            </w:r>
            <w:r>
              <w:t> million; South Australia by $2</w:t>
            </w:r>
            <w:r w:rsidR="00235F6B">
              <w:t>80</w:t>
            </w:r>
            <w:r>
              <w:t> million; Tasmania by $8</w:t>
            </w:r>
            <w:r w:rsidR="00235F6B">
              <w:t>4</w:t>
            </w:r>
            <w:r>
              <w:t> million; the ACT by $6</w:t>
            </w:r>
            <w:r w:rsidR="00235F6B">
              <w:t>9</w:t>
            </w:r>
            <w:r>
              <w:t> million; and the Northern Territory by $3</w:t>
            </w:r>
            <w:r w:rsidR="00C805B5">
              <w:t>5</w:t>
            </w:r>
            <w:r>
              <w:t xml:space="preserve"> million. </w:t>
            </w:r>
          </w:p>
        </w:tc>
      </w:tr>
    </w:tbl>
    <w:p w14:paraId="6A8F53FE" w14:textId="77777777" w:rsidR="00B6541A" w:rsidRDefault="00B6541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9"/>
      </w:tblGrid>
      <w:tr w:rsidR="00B524B8" w:rsidRPr="009F3039" w14:paraId="4C8624A5" w14:textId="77777777" w:rsidTr="00F638D3">
        <w:trPr>
          <w:trHeight w:val="1701"/>
        </w:trPr>
        <w:tc>
          <w:tcPr>
            <w:tcW w:w="8959" w:type="dxa"/>
            <w:shd w:val="clear" w:color="auto" w:fill="EBF3F5"/>
          </w:tcPr>
          <w:p w14:paraId="321AE313" w14:textId="14DF0354" w:rsidR="00B524B8" w:rsidRPr="00714254" w:rsidRDefault="00623706" w:rsidP="00623706">
            <w:pPr>
              <w:pStyle w:val="BodyText"/>
              <w:spacing w:after="240"/>
              <w:ind w:left="714" w:hanging="357"/>
            </w:pPr>
            <w:r w:rsidRPr="00714254">
              <w:t xml:space="preserve">States </w:t>
            </w:r>
            <w:r w:rsidRPr="00A56EE4">
              <w:t xml:space="preserve">that receive less from the GST pool during the transition period as a result of the legislated arrangements receive no worse off payments from the Commonwealth. Each year over the transition period, the total amount of financial assistance a state has received since 2021–22 (including GST distributions from the topped-up pool and previous no worse off payments) is </w:t>
            </w:r>
            <w:r w:rsidRPr="00FD77BD">
              <w:t>compared to the total amount of GST it would have received based on no worse off relativities applied to a GST revenue only pool (that is, excluding top-ups). The Commonwealth makes a no worse off payment equal to any cumulative shortfall. In 2022</w:t>
            </w:r>
            <w:r w:rsidR="004C5B7A">
              <w:noBreakHyphen/>
            </w:r>
            <w:r w:rsidRPr="00FD77BD">
              <w:t>23, all states are expected to receive higher overall payments under the GST distribution arrangements (which include the no worse off payments) than in 2021–22.</w:t>
            </w:r>
          </w:p>
        </w:tc>
      </w:tr>
    </w:tbl>
    <w:p w14:paraId="59DE266B" w14:textId="12550062" w:rsidR="005A0452" w:rsidRPr="0060601D" w:rsidRDefault="00A63BD4" w:rsidP="0004064D">
      <w:pPr>
        <w:pStyle w:val="CGCBodyCopy"/>
      </w:pPr>
      <w:r w:rsidRPr="00084A0A">
        <w:rPr>
          <w:noProof/>
        </w:rPr>
        <w:drawing>
          <wp:anchor distT="0" distB="0" distL="114300" distR="114300" simplePos="0" relativeHeight="251658274" behindDoc="1" locked="1" layoutInCell="1" allowOverlap="1" wp14:anchorId="61FC71E9" wp14:editId="72FB71FE">
            <wp:simplePos x="0" y="0"/>
            <wp:positionH relativeFrom="page">
              <wp:align>left</wp:align>
            </wp:positionH>
            <wp:positionV relativeFrom="page">
              <wp:align>bottom</wp:align>
            </wp:positionV>
            <wp:extent cx="7563485" cy="10691495"/>
            <wp:effectExtent l="0" t="0" r="0" b="0"/>
            <wp:wrapNone/>
            <wp:docPr id="85" name="Picture 8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5A0452" w:rsidRPr="0060601D">
        <w:t xml:space="preserve">This chapter sets out the major </w:t>
      </w:r>
      <w:r w:rsidR="005A0452">
        <w:t xml:space="preserve">drivers </w:t>
      </w:r>
      <w:r w:rsidR="005A0452" w:rsidRPr="0060601D">
        <w:t xml:space="preserve">of change in each </w:t>
      </w:r>
      <w:r w:rsidR="005A0452">
        <w:t>s</w:t>
      </w:r>
      <w:r w:rsidR="005A0452" w:rsidRPr="0060601D">
        <w:t xml:space="preserve">tate’s </w:t>
      </w:r>
      <w:r w:rsidR="005A0452">
        <w:t>GST revenue</w:t>
      </w:r>
      <w:r w:rsidR="005A0452" w:rsidRPr="0060601D">
        <w:t xml:space="preserve"> since the 202</w:t>
      </w:r>
      <w:r w:rsidR="005A0452">
        <w:t>1</w:t>
      </w:r>
      <w:r w:rsidR="005A0452" w:rsidRPr="0060601D">
        <w:t> </w:t>
      </w:r>
      <w:r w:rsidR="005A0452">
        <w:t>Update</w:t>
      </w:r>
      <w:r w:rsidR="005A0452" w:rsidRPr="0060601D">
        <w:t>. In addition to changes in assessed needs</w:t>
      </w:r>
      <w:r w:rsidR="005A0452">
        <w:t xml:space="preserve"> and the combined impact of blended relativities and the GST floor</w:t>
      </w:r>
      <w:r w:rsidR="005A0452" w:rsidRPr="0060601D">
        <w:t xml:space="preserve">, </w:t>
      </w:r>
      <w:r w:rsidR="005A0452">
        <w:t>s</w:t>
      </w:r>
      <w:r w:rsidR="005A0452" w:rsidRPr="0060601D">
        <w:t>tate</w:t>
      </w:r>
      <w:r w:rsidR="005A0452">
        <w:t>s’</w:t>
      </w:r>
      <w:r w:rsidR="005A0452" w:rsidRPr="0060601D">
        <w:t xml:space="preserve"> </w:t>
      </w:r>
      <w:r w:rsidR="005A0452">
        <w:t>estimated GST distributions</w:t>
      </w:r>
      <w:r w:rsidR="005A0452" w:rsidRPr="0060601D">
        <w:t xml:space="preserve"> </w:t>
      </w:r>
      <w:r w:rsidR="005A0452">
        <w:t>will be</w:t>
      </w:r>
      <w:r w:rsidR="005A0452" w:rsidRPr="0060601D">
        <w:t xml:space="preserve"> affected by </w:t>
      </w:r>
      <w:r w:rsidR="005A0452" w:rsidRPr="00167E21">
        <w:t xml:space="preserve">changes in state populations in the year of distribution, and changes in the size of the GST pool (including </w:t>
      </w:r>
      <w:r w:rsidR="005A0452">
        <w:t xml:space="preserve">Commonwealth </w:t>
      </w:r>
      <w:r w:rsidR="005A0452" w:rsidRPr="00167E21">
        <w:t>top-up payments as part of the legislated arrangements).</w:t>
      </w:r>
    </w:p>
    <w:p w14:paraId="3A74B791" w14:textId="2E9D6E3B" w:rsidR="005A0452" w:rsidRPr="0060601D" w:rsidRDefault="008C62CE" w:rsidP="0004064D">
      <w:pPr>
        <w:pStyle w:val="CGCBodyCopy"/>
      </w:pPr>
      <w:r>
        <w:fldChar w:fldCharType="begin"/>
      </w:r>
      <w:r>
        <w:instrText xml:space="preserve"> REF _Ref95902373 \h </w:instrText>
      </w:r>
      <w:r>
        <w:fldChar w:fldCharType="separate"/>
      </w:r>
      <w:r w:rsidR="00FE4664" w:rsidRPr="005C2FCB">
        <w:t>Figure 3-</w:t>
      </w:r>
      <w:r w:rsidR="00FE4664">
        <w:rPr>
          <w:noProof/>
        </w:rPr>
        <w:t>1</w:t>
      </w:r>
      <w:r>
        <w:fldChar w:fldCharType="end"/>
      </w:r>
      <w:r w:rsidR="005A0452" w:rsidRPr="0060601D">
        <w:t xml:space="preserve"> shows changes in </w:t>
      </w:r>
      <w:r w:rsidR="005A0452">
        <w:t>s</w:t>
      </w:r>
      <w:r w:rsidR="005A0452" w:rsidRPr="0060601D">
        <w:t xml:space="preserve">tates’ </w:t>
      </w:r>
      <w:r w:rsidR="005A0452">
        <w:t>GST relativities</w:t>
      </w:r>
      <w:r w:rsidR="005A0452" w:rsidRPr="0060601D">
        <w:t xml:space="preserve"> since 2010</w:t>
      </w:r>
      <w:r w:rsidR="00BA1BC8">
        <w:t>–</w:t>
      </w:r>
      <w:r w:rsidR="005A0452" w:rsidRPr="0060601D">
        <w:t xml:space="preserve">11. </w:t>
      </w:r>
      <w:r w:rsidR="005A0452">
        <w:t>Chapter 2</w:t>
      </w:r>
      <w:r w:rsidR="005A0452" w:rsidRPr="0060601D">
        <w:t xml:space="preserve"> explains why </w:t>
      </w:r>
      <w:r w:rsidR="005A0452">
        <w:t>s</w:t>
      </w:r>
      <w:r w:rsidR="005A0452" w:rsidRPr="0060601D">
        <w:t xml:space="preserve">tates’ </w:t>
      </w:r>
      <w:r w:rsidR="005A0452">
        <w:t>GST needs differ from each other</w:t>
      </w:r>
      <w:r w:rsidR="00D901BC">
        <w:t>,</w:t>
      </w:r>
      <w:r w:rsidR="005A0452">
        <w:t xml:space="preserve"> and the changes from 2021</w:t>
      </w:r>
      <w:r w:rsidR="00BA1BC8">
        <w:t>–</w:t>
      </w:r>
      <w:r w:rsidR="005A0452">
        <w:t>22</w:t>
      </w:r>
      <w:r w:rsidR="005A0452" w:rsidRPr="0060601D">
        <w:t>.</w:t>
      </w:r>
    </w:p>
    <w:p w14:paraId="31DFF2B4" w14:textId="25683E83" w:rsidR="005A0452" w:rsidRPr="005C2FCB" w:rsidRDefault="005A0452" w:rsidP="005C2FCB">
      <w:pPr>
        <w:pStyle w:val="Caption"/>
      </w:pPr>
      <w:bookmarkStart w:id="71" w:name="_Ref95902373"/>
      <w:r w:rsidRPr="005C2FCB">
        <w:t>Figure 3-</w:t>
      </w:r>
      <w:r w:rsidRPr="005C2FCB">
        <w:fldChar w:fldCharType="begin"/>
      </w:r>
      <w:r w:rsidRPr="005C2FCB">
        <w:instrText>SEQ Figure \* ARABIC</w:instrText>
      </w:r>
      <w:r w:rsidR="00946411">
        <w:instrText xml:space="preserve"> \r1</w:instrText>
      </w:r>
      <w:r w:rsidRPr="005C2FCB">
        <w:fldChar w:fldCharType="separate"/>
      </w:r>
      <w:r w:rsidR="00FE4664">
        <w:rPr>
          <w:noProof/>
        </w:rPr>
        <w:t>1</w:t>
      </w:r>
      <w:r w:rsidRPr="005C2FCB">
        <w:fldChar w:fldCharType="end"/>
      </w:r>
      <w:bookmarkEnd w:id="71"/>
      <w:r w:rsidRPr="005C2FCB">
        <w:tab/>
        <w:t>GST relativities, 2010</w:t>
      </w:r>
      <w:r w:rsidR="00BA1BC8">
        <w:t>–</w:t>
      </w:r>
      <w:r w:rsidRPr="005C2FCB">
        <w:t>11 to 2022</w:t>
      </w:r>
      <w:r w:rsidR="00BA1BC8">
        <w:t>–</w:t>
      </w:r>
      <w:r w:rsidRPr="005C2FCB">
        <w:t>23</w:t>
      </w:r>
    </w:p>
    <w:p w14:paraId="776EBEA6" w14:textId="2580D895" w:rsidR="005A0452" w:rsidRDefault="00BA7A52" w:rsidP="002A27B1">
      <w:pPr>
        <w:keepNext/>
        <w:keepLines/>
        <w:widowControl w:val="0"/>
      </w:pPr>
      <w:r w:rsidRPr="00BA7A52">
        <w:rPr>
          <w:noProof/>
        </w:rPr>
        <w:drawing>
          <wp:inline distT="0" distB="0" distL="0" distR="0" wp14:anchorId="572DE27B" wp14:editId="165482DB">
            <wp:extent cx="5689600" cy="3568700"/>
            <wp:effectExtent l="0" t="0" r="6350" b="0"/>
            <wp:docPr id="56" name="Picture 56" descr="A timeseries of each state and territory's GST relativities from 2010-11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timeseries of each state and territory's GST relativities from 2010-11 to 2022-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89600" cy="3568700"/>
                    </a:xfrm>
                    <a:prstGeom prst="rect">
                      <a:avLst/>
                    </a:prstGeom>
                    <a:noFill/>
                    <a:ln>
                      <a:noFill/>
                    </a:ln>
                  </pic:spPr>
                </pic:pic>
              </a:graphicData>
            </a:graphic>
          </wp:inline>
        </w:drawing>
      </w:r>
    </w:p>
    <w:p w14:paraId="6E94EFA5" w14:textId="06A46E50" w:rsidR="005A0452" w:rsidRPr="00B13372" w:rsidRDefault="005A0452" w:rsidP="00B13372">
      <w:pPr>
        <w:pStyle w:val="CGCTablenote"/>
      </w:pPr>
      <w:r w:rsidRPr="00B13372">
        <w:t>Note:</w:t>
      </w:r>
      <w:r w:rsidRPr="00B13372">
        <w:tab/>
      </w:r>
      <w:r w:rsidRPr="00B13372">
        <w:tab/>
        <w:t>The GST relativities in 2010</w:t>
      </w:r>
      <w:r w:rsidR="00BA1BC8">
        <w:t>–</w:t>
      </w:r>
      <w:r w:rsidRPr="00B13372">
        <w:t>11, 2015</w:t>
      </w:r>
      <w:r w:rsidR="00BA1BC8">
        <w:t>–</w:t>
      </w:r>
      <w:r w:rsidRPr="00B13372">
        <w:t>16 and 2020</w:t>
      </w:r>
      <w:r w:rsidR="00BA1BC8">
        <w:t>–</w:t>
      </w:r>
      <w:r w:rsidRPr="00B13372">
        <w:t>21 included the impacts of method reviews.</w:t>
      </w:r>
    </w:p>
    <w:p w14:paraId="62BA8B32" w14:textId="77777777" w:rsidR="005A0452" w:rsidRPr="00B13372" w:rsidRDefault="005A0452" w:rsidP="00B13372">
      <w:pPr>
        <w:pStyle w:val="CGCTablenote"/>
      </w:pPr>
      <w:r w:rsidRPr="00B13372">
        <w:t>Source:</w:t>
      </w:r>
      <w:r w:rsidRPr="00B13372">
        <w:tab/>
        <w:t>Commission calculation.</w:t>
      </w:r>
    </w:p>
    <w:p w14:paraId="297AD98D" w14:textId="521ABC83" w:rsidR="005A0452" w:rsidRDefault="005A0452" w:rsidP="0004064D">
      <w:pPr>
        <w:pStyle w:val="CGCBodyCopy"/>
      </w:pPr>
      <w:r w:rsidRPr="00FD77BD">
        <w:t>Australia’s GST arrangements are transitioning from relativities based on assessed relativities</w:t>
      </w:r>
      <w:r w:rsidRPr="00FD77BD">
        <w:rPr>
          <w:rStyle w:val="FootnoteReference"/>
          <w:sz w:val="24"/>
          <w:szCs w:val="24"/>
          <w:vertAlign w:val="superscript"/>
        </w:rPr>
        <w:footnoteReference w:id="15"/>
      </w:r>
      <w:r w:rsidRPr="00A56EE4">
        <w:t xml:space="preserve"> to relativities based on a benchmark of the fiscally stronger of New South Wales or Victoria. In the 2022 Update, Victoria </w:t>
      </w:r>
      <w:r w:rsidR="00DA2E43" w:rsidRPr="00A56EE4">
        <w:t>was</w:t>
      </w:r>
      <w:r w:rsidRPr="00A56EE4">
        <w:t xml:space="preserve"> assessed as fiscally stronger. From 2022</w:t>
      </w:r>
      <w:r w:rsidR="00BA1BC8" w:rsidRPr="00A56EE4">
        <w:t>–</w:t>
      </w:r>
      <w:r w:rsidRPr="00A56EE4">
        <w:t>23, the fiscal impact of the relativity floor of 0.7 is drawn from the</w:t>
      </w:r>
      <w:r>
        <w:t xml:space="preserve"> GST pool.</w:t>
      </w:r>
    </w:p>
    <w:p w14:paraId="484A0AC6" w14:textId="1C934419" w:rsidR="00613B2C" w:rsidRDefault="005A0452" w:rsidP="0004064D">
      <w:pPr>
        <w:pStyle w:val="CGCBodyCopy"/>
      </w:pPr>
      <w:r w:rsidRPr="009A12BE">
        <w:t xml:space="preserve">Section 5(3) of the amended </w:t>
      </w:r>
      <w:r w:rsidRPr="009A12BE">
        <w:rPr>
          <w:i/>
        </w:rPr>
        <w:t>Federal Financial Relations Act 2009</w:t>
      </w:r>
      <w:r w:rsidRPr="009A12BE">
        <w:t xml:space="preserve"> allows for additional financial assistance to be made to a </w:t>
      </w:r>
      <w:r>
        <w:t>s</w:t>
      </w:r>
      <w:r w:rsidRPr="009A12BE">
        <w:t xml:space="preserve">tate should the GST </w:t>
      </w:r>
      <w:r>
        <w:t xml:space="preserve">that </w:t>
      </w:r>
      <w:r w:rsidRPr="009A12BE">
        <w:t xml:space="preserve">it receives </w:t>
      </w:r>
      <w:r w:rsidRPr="00A56EE4">
        <w:t>be less than it would have received prior to the transition.</w:t>
      </w:r>
      <w:r w:rsidRPr="00A56EE4">
        <w:rPr>
          <w:rFonts w:eastAsiaTheme="minorEastAsia"/>
        </w:rPr>
        <w:t xml:space="preserve"> </w:t>
      </w:r>
      <w:r w:rsidRPr="00A56EE4">
        <w:t>The</w:t>
      </w:r>
      <w:r w:rsidR="006B6081">
        <w:t> </w:t>
      </w:r>
      <w:r w:rsidRPr="00A56EE4">
        <w:t xml:space="preserve">no worse off payments apply </w:t>
      </w:r>
      <w:r w:rsidR="00167142" w:rsidRPr="00A56EE4">
        <w:t>until</w:t>
      </w:r>
      <w:r w:rsidRPr="00A56EE4">
        <w:t xml:space="preserve"> the end of the transition period in 2026</w:t>
      </w:r>
      <w:r w:rsidR="001F4C47">
        <w:noBreakHyphen/>
      </w:r>
      <w:r w:rsidRPr="00A56EE4">
        <w:t>27.</w:t>
      </w:r>
      <w:r>
        <w:t xml:space="preserve"> </w:t>
      </w:r>
      <w:r w:rsidRPr="009A12BE">
        <w:t>More information about the</w:t>
      </w:r>
      <w:r>
        <w:t>se</w:t>
      </w:r>
      <w:r w:rsidRPr="009A12BE">
        <w:t xml:space="preserve"> payments is in Attachment A</w:t>
      </w:r>
      <w:r>
        <w:t>.</w:t>
      </w:r>
    </w:p>
    <w:p w14:paraId="68F8CEA3" w14:textId="468A7227" w:rsidR="005A0452" w:rsidRPr="006B4565" w:rsidRDefault="005A0452" w:rsidP="0004064D">
      <w:pPr>
        <w:pStyle w:val="CGCBodyCopy"/>
        <w:rPr>
          <w:rFonts w:eastAsiaTheme="minorEastAsia"/>
        </w:rPr>
      </w:pPr>
      <w:r>
        <w:br w:type="page"/>
      </w:r>
      <w:r w:rsidR="0055260E" w:rsidRPr="00084A0A">
        <w:rPr>
          <w:noProof/>
        </w:rPr>
        <w:drawing>
          <wp:anchor distT="0" distB="0" distL="114300" distR="114300" simplePos="0" relativeHeight="251658265" behindDoc="1" locked="1" layoutInCell="1" allowOverlap="1" wp14:anchorId="499C7444" wp14:editId="25E2F469">
            <wp:simplePos x="0" y="0"/>
            <wp:positionH relativeFrom="page">
              <wp:posOffset>-13335</wp:posOffset>
            </wp:positionH>
            <wp:positionV relativeFrom="margin">
              <wp:posOffset>-801370</wp:posOffset>
            </wp:positionV>
            <wp:extent cx="7563485" cy="10691495"/>
            <wp:effectExtent l="0" t="0" r="0" b="0"/>
            <wp:wrapNone/>
            <wp:docPr id="105" name="Picture 10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2C1C29F1" w14:textId="50A182B6" w:rsidR="005A0452" w:rsidRDefault="005A0452" w:rsidP="000D6032">
      <w:pPr>
        <w:pStyle w:val="Heading2"/>
      </w:pPr>
      <w:r>
        <w:rPr>
          <w:noProof/>
        </w:rPr>
        <w:drawing>
          <wp:anchor distT="0" distB="0" distL="114300" distR="114300" simplePos="0" relativeHeight="251658266" behindDoc="1" locked="1" layoutInCell="1" allowOverlap="1" wp14:anchorId="55BF886D" wp14:editId="3DAF1CD4">
            <wp:simplePos x="0" y="0"/>
            <wp:positionH relativeFrom="page">
              <wp:posOffset>-635</wp:posOffset>
            </wp:positionH>
            <wp:positionV relativeFrom="margin">
              <wp:posOffset>-792480</wp:posOffset>
            </wp:positionV>
            <wp:extent cx="7563485" cy="10691495"/>
            <wp:effectExtent l="0" t="0" r="0" b="0"/>
            <wp:wrapNone/>
            <wp:docPr id="68" name="Picture 6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t>New South Wales</w:t>
      </w:r>
    </w:p>
    <w:p w14:paraId="4F81DD83" w14:textId="70CFA08D" w:rsidR="005A0452" w:rsidRPr="00A56EE4" w:rsidRDefault="005A0452" w:rsidP="0004064D">
      <w:pPr>
        <w:pStyle w:val="CGCBodyCopy"/>
      </w:pPr>
      <w:r w:rsidRPr="00753BF5">
        <w:t xml:space="preserve">New South Wales’ share of the GST pool is estimated to fall </w:t>
      </w:r>
      <w:r w:rsidRPr="00207C53">
        <w:t>slightly</w:t>
      </w:r>
      <w:r w:rsidRPr="00753BF5">
        <w:t xml:space="preserve"> from 30.3% to </w:t>
      </w:r>
      <w:r w:rsidR="002D695F">
        <w:t>30.0</w:t>
      </w:r>
      <w:r w:rsidRPr="00753BF5">
        <w:t>%. Including pool growth, but excluding no</w:t>
      </w:r>
      <w:r>
        <w:t> </w:t>
      </w:r>
      <w:r w:rsidRPr="00753BF5">
        <w:t>worse</w:t>
      </w:r>
      <w:r>
        <w:t> </w:t>
      </w:r>
      <w:r w:rsidRPr="00753BF5">
        <w:t>off payments, its estimated GST distribution in 2022</w:t>
      </w:r>
      <w:r w:rsidR="00BA1BC8">
        <w:t>–</w:t>
      </w:r>
      <w:r w:rsidRPr="00753BF5">
        <w:t>23 would increase by $1,</w:t>
      </w:r>
      <w:r w:rsidR="008F027A">
        <w:t>111</w:t>
      </w:r>
      <w:r w:rsidR="001F4C47">
        <w:t> </w:t>
      </w:r>
      <w:r w:rsidRPr="00A56EE4">
        <w:t xml:space="preserve">million, or </w:t>
      </w:r>
      <w:r w:rsidR="002D695F">
        <w:t>5.0</w:t>
      </w:r>
      <w:r w:rsidRPr="00A56EE4">
        <w:t>%.</w:t>
      </w:r>
    </w:p>
    <w:p w14:paraId="441BD80F" w14:textId="62C2A720" w:rsidR="005A0452" w:rsidRPr="00EB59F8" w:rsidRDefault="005A0452" w:rsidP="0004064D">
      <w:pPr>
        <w:pStyle w:val="CGCBodyCopy"/>
        <w:rPr>
          <w:highlight w:val="yellow"/>
        </w:rPr>
      </w:pPr>
      <w:r w:rsidRPr="00A56EE4">
        <w:t>New South Wales’ assessed needs are higher than average for the first time. Major changes increasing its GST needs included an increase in the value of iron ore production in Western Australia, a national increase in investment in urban transport and a relative increase in its wage costs. The</w:t>
      </w:r>
      <w:r w:rsidRPr="00207C53">
        <w:t xml:space="preserve"> combined effect of blended relativities and the GST floor reduced </w:t>
      </w:r>
      <w:r w:rsidR="005B15E8">
        <w:t>New South Wales’</w:t>
      </w:r>
      <w:r w:rsidRPr="00207C53">
        <w:t xml:space="preserve"> distribution by $1,2</w:t>
      </w:r>
      <w:r w:rsidR="009E609B">
        <w:t>98</w:t>
      </w:r>
      <w:r w:rsidRPr="00207C53">
        <w:t> million</w:t>
      </w:r>
      <w:r w:rsidRPr="00753BF5">
        <w:t xml:space="preserve">. Across the transition period, this impact </w:t>
      </w:r>
      <w:r w:rsidR="006B60E3">
        <w:t>would be</w:t>
      </w:r>
      <w:r w:rsidR="00C44125">
        <w:t xml:space="preserve"> </w:t>
      </w:r>
      <w:r w:rsidRPr="00753BF5">
        <w:t>ameliorated by no worse off payments.</w:t>
      </w:r>
    </w:p>
    <w:p w14:paraId="7B3C9FBF" w14:textId="06D93AB7" w:rsidR="005A0452" w:rsidRPr="000F6831" w:rsidRDefault="005A0452" w:rsidP="005A0452">
      <w:pPr>
        <w:pStyle w:val="Caption"/>
      </w:pPr>
      <w:bookmarkStart w:id="72" w:name="_Ref30689432"/>
      <w:bookmarkStart w:id="73" w:name="_Toc62487282"/>
      <w:bookmarkStart w:id="74" w:name="_Toc62723812"/>
      <w:r w:rsidRPr="00442A3B">
        <w:t>Table 3</w:t>
      </w:r>
      <w:r w:rsidRPr="00442A3B">
        <w:noBreakHyphen/>
      </w:r>
      <w:bookmarkEnd w:id="72"/>
      <w:r w:rsidRPr="00442A3B">
        <w:fldChar w:fldCharType="begin"/>
      </w:r>
      <w:r w:rsidRPr="00442A3B">
        <w:instrText>SEQ Table \* ARABIC</w:instrText>
      </w:r>
      <w:r w:rsidR="00021819">
        <w:instrText xml:space="preserve"> \r1</w:instrText>
      </w:r>
      <w:r w:rsidRPr="00442A3B">
        <w:fldChar w:fldCharType="separate"/>
      </w:r>
      <w:r w:rsidR="00FE4664">
        <w:rPr>
          <w:noProof/>
        </w:rPr>
        <w:t>1</w:t>
      </w:r>
      <w:r w:rsidRPr="00442A3B">
        <w:fldChar w:fldCharType="end"/>
      </w:r>
      <w:r w:rsidRPr="00442A3B">
        <w:tab/>
        <w:t>Change in estimated GST distribution from 202</w:t>
      </w:r>
      <w:r>
        <w:t>1</w:t>
      </w:r>
      <w:r w:rsidR="005D7252">
        <w:t>–</w:t>
      </w:r>
      <w:r w:rsidRPr="00442A3B">
        <w:t>2</w:t>
      </w:r>
      <w:r>
        <w:t>2</w:t>
      </w:r>
      <w:r w:rsidRPr="00442A3B">
        <w:t xml:space="preserve"> to 202</w:t>
      </w:r>
      <w:r>
        <w:t>2</w:t>
      </w:r>
      <w:r w:rsidR="005D7252">
        <w:t>–</w:t>
      </w:r>
      <w:r w:rsidRPr="00442A3B">
        <w:t>2</w:t>
      </w:r>
      <w:r>
        <w:t>3</w:t>
      </w:r>
      <w:r w:rsidRPr="00442A3B">
        <w:t>,</w:t>
      </w:r>
      <w:r w:rsidR="006F4CF7">
        <w:t xml:space="preserve"> </w:t>
      </w:r>
      <w:r>
        <w:t>New</w:t>
      </w:r>
      <w:r w:rsidR="006F4CF7">
        <w:t> </w:t>
      </w:r>
      <w:r>
        <w:t>South</w:t>
      </w:r>
      <w:r w:rsidR="006F4CF7">
        <w:t> </w:t>
      </w:r>
      <w:r>
        <w:t>Wales (</w:t>
      </w:r>
      <w:r w:rsidRPr="00E50D19">
        <w:t>exclud</w:t>
      </w:r>
      <w:r w:rsidR="0011097E">
        <w:t>es</w:t>
      </w:r>
      <w:r w:rsidRPr="00E50D19">
        <w:t xml:space="preserve"> no</w:t>
      </w:r>
      <w:r>
        <w:t> </w:t>
      </w:r>
      <w:r w:rsidRPr="00E50D19">
        <w:t>worse</w:t>
      </w:r>
      <w:r>
        <w:t> </w:t>
      </w:r>
      <w:r w:rsidRPr="00E50D19">
        <w:t>off payments)</w:t>
      </w:r>
      <w:bookmarkEnd w:id="73"/>
      <w:bookmarkEnd w:id="74"/>
    </w:p>
    <w:tbl>
      <w:tblPr>
        <w:tblW w:w="8940" w:type="dxa"/>
        <w:tblLook w:val="04A0" w:firstRow="1" w:lastRow="0" w:firstColumn="1" w:lastColumn="0" w:noHBand="0" w:noVBand="1"/>
      </w:tblPr>
      <w:tblGrid>
        <w:gridCol w:w="4040"/>
        <w:gridCol w:w="2500"/>
        <w:gridCol w:w="2400"/>
      </w:tblGrid>
      <w:tr w:rsidR="00517C38" w:rsidRPr="00517C38" w14:paraId="06706B44" w14:textId="77777777" w:rsidTr="00517C38">
        <w:trPr>
          <w:trHeight w:val="259"/>
        </w:trPr>
        <w:tc>
          <w:tcPr>
            <w:tcW w:w="4040" w:type="dxa"/>
            <w:tcBorders>
              <w:top w:val="nil"/>
              <w:left w:val="nil"/>
              <w:bottom w:val="single" w:sz="4" w:space="0" w:color="ADD6EA"/>
              <w:right w:val="nil"/>
            </w:tcBorders>
            <w:shd w:val="clear" w:color="000000" w:fill="006991"/>
            <w:noWrap/>
            <w:vAlign w:val="center"/>
            <w:hideMark/>
          </w:tcPr>
          <w:p w14:paraId="0B054001" w14:textId="77777777" w:rsidR="00517C38" w:rsidRPr="00517C38" w:rsidRDefault="00517C38" w:rsidP="00517C3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75" w:name="RANGE!A4:C11"/>
            <w:r w:rsidRPr="00517C38">
              <w:rPr>
                <w:rFonts w:ascii="Open Sans Semibold" w:eastAsia="Times New Roman" w:hAnsi="Open Sans Semibold" w:cs="Open Sans Semibold"/>
                <w:color w:val="FFFFFF"/>
                <w:sz w:val="16"/>
                <w:szCs w:val="16"/>
                <w:lang w:eastAsia="en-AU"/>
              </w:rPr>
              <w:t> </w:t>
            </w:r>
            <w:bookmarkEnd w:id="75"/>
          </w:p>
        </w:tc>
        <w:tc>
          <w:tcPr>
            <w:tcW w:w="2500" w:type="dxa"/>
            <w:tcBorders>
              <w:top w:val="nil"/>
              <w:left w:val="nil"/>
              <w:bottom w:val="single" w:sz="4" w:space="0" w:color="ADD6EA"/>
              <w:right w:val="nil"/>
            </w:tcBorders>
            <w:shd w:val="clear" w:color="000000" w:fill="006991"/>
            <w:noWrap/>
            <w:vAlign w:val="center"/>
            <w:hideMark/>
          </w:tcPr>
          <w:p w14:paraId="63751F9B" w14:textId="77777777" w:rsidR="00517C38" w:rsidRPr="00517C38" w:rsidRDefault="00517C38" w:rsidP="00517C3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17C38">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1F4A74D2" w14:textId="77777777" w:rsidR="00517C38" w:rsidRPr="00517C38" w:rsidRDefault="00517C38" w:rsidP="00517C38">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17C38">
              <w:rPr>
                <w:rFonts w:ascii="Open Sans Semibold" w:eastAsia="Times New Roman" w:hAnsi="Open Sans Semibold" w:cs="Open Sans Semibold"/>
                <w:color w:val="FFFFFF"/>
                <w:sz w:val="16"/>
                <w:szCs w:val="16"/>
                <w:lang w:eastAsia="en-AU"/>
              </w:rPr>
              <w:t>$pc</w:t>
            </w:r>
          </w:p>
        </w:tc>
      </w:tr>
      <w:tr w:rsidR="00517C38" w:rsidRPr="00517C38" w14:paraId="4D320A22" w14:textId="77777777" w:rsidTr="00517C38">
        <w:trPr>
          <w:trHeight w:val="259"/>
        </w:trPr>
        <w:tc>
          <w:tcPr>
            <w:tcW w:w="4040" w:type="dxa"/>
            <w:tcBorders>
              <w:top w:val="nil"/>
              <w:left w:val="nil"/>
              <w:bottom w:val="single" w:sz="4" w:space="0" w:color="ADD6EA"/>
              <w:right w:val="nil"/>
            </w:tcBorders>
            <w:shd w:val="clear" w:color="auto" w:fill="auto"/>
            <w:noWrap/>
            <w:vAlign w:val="bottom"/>
            <w:hideMark/>
          </w:tcPr>
          <w:p w14:paraId="21CFD46A" w14:textId="77777777" w:rsidR="00517C38" w:rsidRPr="00517C38" w:rsidRDefault="00517C38" w:rsidP="00517C38">
            <w:pPr>
              <w:tabs>
                <w:tab w:val="clear" w:pos="567"/>
              </w:tabs>
              <w:spacing w:before="0" w:line="240" w:lineRule="auto"/>
              <w:rPr>
                <w:rFonts w:eastAsia="Times New Roman" w:cs="Open Sans Light"/>
                <w:sz w:val="16"/>
                <w:szCs w:val="16"/>
                <w:lang w:eastAsia="en-AU"/>
              </w:rPr>
            </w:pPr>
            <w:r w:rsidRPr="00517C38">
              <w:rPr>
                <w:rFonts w:eastAsia="Times New Roman" w:cs="Open Sans Light"/>
                <w:sz w:val="16"/>
                <w:szCs w:val="16"/>
                <w:lang w:eastAsia="en-AU"/>
              </w:rPr>
              <w:t xml:space="preserve">Change in </w:t>
            </w:r>
            <w:r w:rsidRPr="00517C38">
              <w:rPr>
                <w:rFonts w:eastAsia="Times New Roman" w:cs="Open Sans Light"/>
                <w:color w:val="000000"/>
                <w:sz w:val="16"/>
                <w:szCs w:val="16"/>
                <w:lang w:eastAsia="en-AU"/>
              </w:rPr>
              <w:t>population</w:t>
            </w:r>
          </w:p>
        </w:tc>
        <w:tc>
          <w:tcPr>
            <w:tcW w:w="2500" w:type="dxa"/>
            <w:tcBorders>
              <w:top w:val="nil"/>
              <w:left w:val="nil"/>
              <w:bottom w:val="single" w:sz="4" w:space="0" w:color="ADD6EA"/>
              <w:right w:val="nil"/>
            </w:tcBorders>
            <w:shd w:val="clear" w:color="auto" w:fill="auto"/>
            <w:noWrap/>
            <w:vAlign w:val="bottom"/>
            <w:hideMark/>
          </w:tcPr>
          <w:p w14:paraId="3D14AFA3" w14:textId="77777777" w:rsidR="00517C38" w:rsidRPr="00517C38" w:rsidRDefault="00517C38" w:rsidP="00517C38">
            <w:pPr>
              <w:tabs>
                <w:tab w:val="clear" w:pos="567"/>
              </w:tabs>
              <w:spacing w:before="0" w:line="240" w:lineRule="auto"/>
              <w:jc w:val="right"/>
              <w:rPr>
                <w:rFonts w:eastAsia="Times New Roman" w:cs="Open Sans Light"/>
                <w:sz w:val="16"/>
                <w:szCs w:val="16"/>
                <w:lang w:eastAsia="en-AU"/>
              </w:rPr>
            </w:pPr>
            <w:r w:rsidRPr="00517C38">
              <w:rPr>
                <w:rFonts w:eastAsia="Times New Roman" w:cs="Open Sans Light"/>
                <w:sz w:val="16"/>
                <w:szCs w:val="16"/>
                <w:lang w:eastAsia="en-AU"/>
              </w:rPr>
              <w:t>-95</w:t>
            </w:r>
          </w:p>
        </w:tc>
        <w:tc>
          <w:tcPr>
            <w:tcW w:w="2400" w:type="dxa"/>
            <w:tcBorders>
              <w:top w:val="nil"/>
              <w:left w:val="nil"/>
              <w:bottom w:val="single" w:sz="4" w:space="0" w:color="ADD6EA"/>
              <w:right w:val="nil"/>
            </w:tcBorders>
            <w:shd w:val="clear" w:color="auto" w:fill="auto"/>
            <w:noWrap/>
            <w:vAlign w:val="bottom"/>
            <w:hideMark/>
          </w:tcPr>
          <w:p w14:paraId="5DA2E4D8" w14:textId="77777777" w:rsidR="00517C38" w:rsidRPr="00517C38" w:rsidRDefault="00517C38" w:rsidP="00517C38">
            <w:pPr>
              <w:tabs>
                <w:tab w:val="clear" w:pos="567"/>
              </w:tabs>
              <w:spacing w:before="0" w:line="240" w:lineRule="auto"/>
              <w:jc w:val="right"/>
              <w:rPr>
                <w:rFonts w:eastAsia="Times New Roman" w:cs="Open Sans Light"/>
                <w:sz w:val="16"/>
                <w:szCs w:val="16"/>
                <w:lang w:eastAsia="en-AU"/>
              </w:rPr>
            </w:pPr>
            <w:r w:rsidRPr="00517C38">
              <w:rPr>
                <w:rFonts w:eastAsia="Times New Roman" w:cs="Open Sans Light"/>
                <w:sz w:val="16"/>
                <w:szCs w:val="16"/>
                <w:lang w:eastAsia="en-AU"/>
              </w:rPr>
              <w:t>-12</w:t>
            </w:r>
          </w:p>
        </w:tc>
      </w:tr>
      <w:tr w:rsidR="00517C38" w:rsidRPr="00517C38" w14:paraId="224BBE7F" w14:textId="77777777" w:rsidTr="00517C38">
        <w:trPr>
          <w:trHeight w:val="259"/>
        </w:trPr>
        <w:tc>
          <w:tcPr>
            <w:tcW w:w="4040" w:type="dxa"/>
            <w:tcBorders>
              <w:top w:val="nil"/>
              <w:left w:val="nil"/>
              <w:bottom w:val="single" w:sz="4" w:space="0" w:color="ADD6EA"/>
              <w:right w:val="nil"/>
            </w:tcBorders>
            <w:shd w:val="clear" w:color="auto" w:fill="auto"/>
            <w:noWrap/>
            <w:vAlign w:val="bottom"/>
            <w:hideMark/>
          </w:tcPr>
          <w:p w14:paraId="13BBA820" w14:textId="77777777" w:rsidR="00517C38" w:rsidRPr="00517C38" w:rsidRDefault="00517C38" w:rsidP="00517C38">
            <w:pPr>
              <w:tabs>
                <w:tab w:val="clear" w:pos="567"/>
              </w:tabs>
              <w:spacing w:before="0" w:line="240" w:lineRule="auto"/>
              <w:rPr>
                <w:rFonts w:eastAsia="Times New Roman" w:cs="Open Sans Light"/>
                <w:sz w:val="16"/>
                <w:szCs w:val="16"/>
                <w:lang w:eastAsia="en-AU"/>
              </w:rPr>
            </w:pPr>
            <w:r w:rsidRPr="00517C38">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212D8B13" w14:textId="77777777" w:rsidR="00517C38" w:rsidRPr="00517C38" w:rsidRDefault="00517C38" w:rsidP="00517C38">
            <w:pPr>
              <w:tabs>
                <w:tab w:val="clear" w:pos="567"/>
              </w:tabs>
              <w:spacing w:before="0" w:line="240" w:lineRule="auto"/>
              <w:jc w:val="right"/>
              <w:rPr>
                <w:rFonts w:eastAsia="Times New Roman" w:cs="Open Sans Light"/>
                <w:sz w:val="16"/>
                <w:szCs w:val="16"/>
                <w:lang w:eastAsia="en-AU"/>
              </w:rPr>
            </w:pPr>
            <w:r w:rsidRPr="00517C38">
              <w:rPr>
                <w:rFonts w:eastAsia="Times New Roman" w:cs="Open Sans Light"/>
                <w:sz w:val="16"/>
                <w:szCs w:val="16"/>
                <w:lang w:eastAsia="en-AU"/>
              </w:rPr>
              <w:t>1,309</w:t>
            </w:r>
          </w:p>
        </w:tc>
        <w:tc>
          <w:tcPr>
            <w:tcW w:w="2400" w:type="dxa"/>
            <w:tcBorders>
              <w:top w:val="nil"/>
              <w:left w:val="nil"/>
              <w:bottom w:val="single" w:sz="4" w:space="0" w:color="ADD6EA"/>
              <w:right w:val="nil"/>
            </w:tcBorders>
            <w:shd w:val="clear" w:color="auto" w:fill="auto"/>
            <w:noWrap/>
            <w:vAlign w:val="bottom"/>
            <w:hideMark/>
          </w:tcPr>
          <w:p w14:paraId="6B3D1B43" w14:textId="77777777" w:rsidR="00517C38" w:rsidRPr="00517C38" w:rsidRDefault="00517C38" w:rsidP="00517C38">
            <w:pPr>
              <w:tabs>
                <w:tab w:val="clear" w:pos="567"/>
              </w:tabs>
              <w:spacing w:before="0" w:line="240" w:lineRule="auto"/>
              <w:jc w:val="right"/>
              <w:rPr>
                <w:rFonts w:eastAsia="Times New Roman" w:cs="Open Sans Light"/>
                <w:sz w:val="16"/>
                <w:szCs w:val="16"/>
                <w:lang w:eastAsia="en-AU"/>
              </w:rPr>
            </w:pPr>
            <w:r w:rsidRPr="00517C38">
              <w:rPr>
                <w:rFonts w:eastAsia="Times New Roman" w:cs="Open Sans Light"/>
                <w:sz w:val="16"/>
                <w:szCs w:val="16"/>
                <w:lang w:eastAsia="en-AU"/>
              </w:rPr>
              <w:t>160</w:t>
            </w:r>
          </w:p>
        </w:tc>
      </w:tr>
      <w:tr w:rsidR="00517C38" w:rsidRPr="00517C38" w14:paraId="5170C260" w14:textId="77777777" w:rsidTr="00517C38">
        <w:trPr>
          <w:trHeight w:val="259"/>
        </w:trPr>
        <w:tc>
          <w:tcPr>
            <w:tcW w:w="4040" w:type="dxa"/>
            <w:tcBorders>
              <w:top w:val="nil"/>
              <w:left w:val="nil"/>
              <w:bottom w:val="single" w:sz="4" w:space="0" w:color="ADD6EA"/>
              <w:right w:val="nil"/>
            </w:tcBorders>
            <w:shd w:val="clear" w:color="auto" w:fill="auto"/>
            <w:noWrap/>
            <w:vAlign w:val="bottom"/>
            <w:hideMark/>
          </w:tcPr>
          <w:p w14:paraId="4ED7CA01" w14:textId="77777777" w:rsidR="00517C38" w:rsidRPr="00517C38" w:rsidRDefault="00517C38" w:rsidP="00517C38">
            <w:pPr>
              <w:tabs>
                <w:tab w:val="clear" w:pos="567"/>
              </w:tabs>
              <w:spacing w:before="0" w:line="240" w:lineRule="auto"/>
              <w:rPr>
                <w:rFonts w:eastAsia="Times New Roman" w:cs="Open Sans Light"/>
                <w:sz w:val="16"/>
                <w:szCs w:val="16"/>
                <w:lang w:eastAsia="en-AU"/>
              </w:rPr>
            </w:pPr>
            <w:r w:rsidRPr="00517C38">
              <w:rPr>
                <w:rFonts w:eastAsia="Times New Roman" w:cs="Open Sans Light"/>
                <w:sz w:val="16"/>
                <w:szCs w:val="16"/>
                <w:lang w:eastAsia="en-AU"/>
              </w:rPr>
              <w:t>Changes in assessed needs</w:t>
            </w:r>
          </w:p>
        </w:tc>
        <w:tc>
          <w:tcPr>
            <w:tcW w:w="2500" w:type="dxa"/>
            <w:tcBorders>
              <w:top w:val="nil"/>
              <w:left w:val="nil"/>
              <w:bottom w:val="single" w:sz="4" w:space="0" w:color="ADD6EA"/>
              <w:right w:val="nil"/>
            </w:tcBorders>
            <w:shd w:val="clear" w:color="auto" w:fill="auto"/>
            <w:noWrap/>
            <w:vAlign w:val="bottom"/>
            <w:hideMark/>
          </w:tcPr>
          <w:p w14:paraId="476D6739" w14:textId="77777777" w:rsidR="00517C38" w:rsidRPr="00517C38" w:rsidRDefault="00517C38" w:rsidP="00517C38">
            <w:pPr>
              <w:tabs>
                <w:tab w:val="clear" w:pos="567"/>
              </w:tabs>
              <w:spacing w:before="0" w:line="240" w:lineRule="auto"/>
              <w:jc w:val="right"/>
              <w:rPr>
                <w:rFonts w:eastAsia="Times New Roman" w:cs="Open Sans Light"/>
                <w:sz w:val="16"/>
                <w:szCs w:val="16"/>
                <w:lang w:eastAsia="en-AU"/>
              </w:rPr>
            </w:pPr>
            <w:r w:rsidRPr="00517C38">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4B1DCDE6" w14:textId="77777777" w:rsidR="00517C38" w:rsidRPr="00517C38" w:rsidRDefault="00517C38" w:rsidP="00517C38">
            <w:pPr>
              <w:tabs>
                <w:tab w:val="clear" w:pos="567"/>
              </w:tabs>
              <w:spacing w:before="0" w:line="240" w:lineRule="auto"/>
              <w:jc w:val="right"/>
              <w:rPr>
                <w:rFonts w:eastAsia="Times New Roman" w:cs="Open Sans Light"/>
                <w:sz w:val="16"/>
                <w:szCs w:val="16"/>
                <w:lang w:eastAsia="en-AU"/>
              </w:rPr>
            </w:pPr>
            <w:r w:rsidRPr="00517C38">
              <w:rPr>
                <w:rFonts w:eastAsia="Times New Roman" w:cs="Open Sans Light"/>
                <w:sz w:val="16"/>
                <w:szCs w:val="16"/>
                <w:lang w:eastAsia="en-AU"/>
              </w:rPr>
              <w:t> </w:t>
            </w:r>
          </w:p>
        </w:tc>
      </w:tr>
      <w:tr w:rsidR="00517C38" w:rsidRPr="00517C38" w14:paraId="30C3E97D" w14:textId="77777777" w:rsidTr="00517C38">
        <w:trPr>
          <w:trHeight w:val="259"/>
        </w:trPr>
        <w:tc>
          <w:tcPr>
            <w:tcW w:w="4040" w:type="dxa"/>
            <w:tcBorders>
              <w:top w:val="nil"/>
              <w:left w:val="nil"/>
              <w:bottom w:val="single" w:sz="4" w:space="0" w:color="ADD6EA"/>
              <w:right w:val="nil"/>
            </w:tcBorders>
            <w:shd w:val="clear" w:color="auto" w:fill="auto"/>
            <w:noWrap/>
            <w:vAlign w:val="bottom"/>
            <w:hideMark/>
          </w:tcPr>
          <w:p w14:paraId="6DDDC433" w14:textId="77777777" w:rsidR="00517C38" w:rsidRPr="00517C38" w:rsidRDefault="00517C38" w:rsidP="00517C38">
            <w:pPr>
              <w:tabs>
                <w:tab w:val="clear" w:pos="567"/>
              </w:tabs>
              <w:spacing w:before="0" w:line="240" w:lineRule="auto"/>
              <w:ind w:firstLineChars="100" w:firstLine="160"/>
              <w:rPr>
                <w:rFonts w:eastAsia="Times New Roman" w:cs="Open Sans Light"/>
                <w:sz w:val="16"/>
                <w:szCs w:val="16"/>
                <w:lang w:eastAsia="en-AU"/>
              </w:rPr>
            </w:pPr>
            <w:r w:rsidRPr="00517C38">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6FBCC4DF" w14:textId="77777777" w:rsidR="00517C38" w:rsidRPr="00517C38" w:rsidRDefault="00517C38" w:rsidP="00517C38">
            <w:pPr>
              <w:tabs>
                <w:tab w:val="clear" w:pos="567"/>
              </w:tabs>
              <w:spacing w:before="0" w:line="240" w:lineRule="auto"/>
              <w:jc w:val="right"/>
              <w:rPr>
                <w:rFonts w:eastAsia="Times New Roman" w:cs="Open Sans Light"/>
                <w:sz w:val="16"/>
                <w:szCs w:val="16"/>
                <w:lang w:eastAsia="en-AU"/>
              </w:rPr>
            </w:pPr>
            <w:r w:rsidRPr="00517C38">
              <w:rPr>
                <w:rFonts w:eastAsia="Times New Roman" w:cs="Open Sans Light"/>
                <w:sz w:val="16"/>
                <w:szCs w:val="16"/>
                <w:lang w:eastAsia="en-AU"/>
              </w:rPr>
              <w:t>135</w:t>
            </w:r>
          </w:p>
        </w:tc>
        <w:tc>
          <w:tcPr>
            <w:tcW w:w="2400" w:type="dxa"/>
            <w:tcBorders>
              <w:top w:val="nil"/>
              <w:left w:val="nil"/>
              <w:bottom w:val="single" w:sz="4" w:space="0" w:color="ADD6EA"/>
              <w:right w:val="nil"/>
            </w:tcBorders>
            <w:shd w:val="clear" w:color="auto" w:fill="auto"/>
            <w:noWrap/>
            <w:vAlign w:val="bottom"/>
            <w:hideMark/>
          </w:tcPr>
          <w:p w14:paraId="37D99207" w14:textId="77777777" w:rsidR="00517C38" w:rsidRPr="00517C38" w:rsidRDefault="00517C38" w:rsidP="00517C38">
            <w:pPr>
              <w:tabs>
                <w:tab w:val="clear" w:pos="567"/>
              </w:tabs>
              <w:spacing w:before="0" w:line="240" w:lineRule="auto"/>
              <w:jc w:val="right"/>
              <w:rPr>
                <w:rFonts w:eastAsia="Times New Roman" w:cs="Open Sans Light"/>
                <w:sz w:val="16"/>
                <w:szCs w:val="16"/>
                <w:lang w:eastAsia="en-AU"/>
              </w:rPr>
            </w:pPr>
            <w:r w:rsidRPr="00517C38">
              <w:rPr>
                <w:rFonts w:eastAsia="Times New Roman" w:cs="Open Sans Light"/>
                <w:sz w:val="16"/>
                <w:szCs w:val="16"/>
                <w:lang w:eastAsia="en-AU"/>
              </w:rPr>
              <w:t>16</w:t>
            </w:r>
          </w:p>
        </w:tc>
      </w:tr>
      <w:tr w:rsidR="00517C38" w:rsidRPr="00517C38" w14:paraId="517596C2" w14:textId="77777777" w:rsidTr="00517C38">
        <w:trPr>
          <w:trHeight w:val="259"/>
        </w:trPr>
        <w:tc>
          <w:tcPr>
            <w:tcW w:w="4040" w:type="dxa"/>
            <w:tcBorders>
              <w:top w:val="nil"/>
              <w:left w:val="nil"/>
              <w:bottom w:val="single" w:sz="4" w:space="0" w:color="ADD6EA"/>
              <w:right w:val="nil"/>
            </w:tcBorders>
            <w:shd w:val="clear" w:color="auto" w:fill="auto"/>
            <w:noWrap/>
            <w:vAlign w:val="bottom"/>
            <w:hideMark/>
          </w:tcPr>
          <w:p w14:paraId="66E13D2B" w14:textId="77777777" w:rsidR="00517C38" w:rsidRPr="00517C38" w:rsidRDefault="00517C38" w:rsidP="00517C38">
            <w:pPr>
              <w:tabs>
                <w:tab w:val="clear" w:pos="567"/>
              </w:tabs>
              <w:spacing w:before="0" w:line="240" w:lineRule="auto"/>
              <w:ind w:firstLineChars="100" w:firstLine="160"/>
              <w:rPr>
                <w:rFonts w:eastAsia="Times New Roman" w:cs="Open Sans Light"/>
                <w:sz w:val="16"/>
                <w:szCs w:val="16"/>
                <w:lang w:eastAsia="en-AU"/>
              </w:rPr>
            </w:pPr>
            <w:r w:rsidRPr="00517C38">
              <w:rPr>
                <w:rFonts w:eastAsia="Times New Roman" w:cs="Open Sans Light"/>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69F495E0" w14:textId="77777777" w:rsidR="00517C38" w:rsidRPr="00517C38" w:rsidRDefault="00517C38" w:rsidP="00517C38">
            <w:pPr>
              <w:tabs>
                <w:tab w:val="clear" w:pos="567"/>
              </w:tabs>
              <w:spacing w:before="0" w:line="240" w:lineRule="auto"/>
              <w:jc w:val="right"/>
              <w:rPr>
                <w:rFonts w:eastAsia="Times New Roman" w:cs="Open Sans Light"/>
                <w:sz w:val="16"/>
                <w:szCs w:val="16"/>
                <w:lang w:eastAsia="en-AU"/>
              </w:rPr>
            </w:pPr>
            <w:r w:rsidRPr="00517C38">
              <w:rPr>
                <w:rFonts w:eastAsia="Times New Roman" w:cs="Open Sans Light"/>
                <w:sz w:val="16"/>
                <w:szCs w:val="16"/>
                <w:lang w:eastAsia="en-AU"/>
              </w:rPr>
              <w:t>1,061</w:t>
            </w:r>
          </w:p>
        </w:tc>
        <w:tc>
          <w:tcPr>
            <w:tcW w:w="2400" w:type="dxa"/>
            <w:tcBorders>
              <w:top w:val="nil"/>
              <w:left w:val="nil"/>
              <w:bottom w:val="single" w:sz="4" w:space="0" w:color="ADD6EA"/>
              <w:right w:val="nil"/>
            </w:tcBorders>
            <w:shd w:val="clear" w:color="auto" w:fill="auto"/>
            <w:noWrap/>
            <w:vAlign w:val="bottom"/>
            <w:hideMark/>
          </w:tcPr>
          <w:p w14:paraId="6726AADC" w14:textId="77777777" w:rsidR="00517C38" w:rsidRPr="00517C38" w:rsidRDefault="00517C38" w:rsidP="00517C38">
            <w:pPr>
              <w:tabs>
                <w:tab w:val="clear" w:pos="567"/>
              </w:tabs>
              <w:spacing w:before="0" w:line="240" w:lineRule="auto"/>
              <w:jc w:val="right"/>
              <w:rPr>
                <w:rFonts w:eastAsia="Times New Roman" w:cs="Open Sans Light"/>
                <w:sz w:val="16"/>
                <w:szCs w:val="16"/>
                <w:lang w:eastAsia="en-AU"/>
              </w:rPr>
            </w:pPr>
            <w:r w:rsidRPr="00517C38">
              <w:rPr>
                <w:rFonts w:eastAsia="Times New Roman" w:cs="Open Sans Light"/>
                <w:sz w:val="16"/>
                <w:szCs w:val="16"/>
                <w:lang w:eastAsia="en-AU"/>
              </w:rPr>
              <w:t>129</w:t>
            </w:r>
          </w:p>
        </w:tc>
      </w:tr>
      <w:tr w:rsidR="00517C38" w:rsidRPr="00517C38" w14:paraId="1AC70CA9" w14:textId="77777777" w:rsidTr="00517C38">
        <w:trPr>
          <w:trHeight w:val="259"/>
        </w:trPr>
        <w:tc>
          <w:tcPr>
            <w:tcW w:w="4040" w:type="dxa"/>
            <w:tcBorders>
              <w:top w:val="nil"/>
              <w:left w:val="nil"/>
              <w:bottom w:val="single" w:sz="4" w:space="0" w:color="ADD6EA"/>
              <w:right w:val="nil"/>
            </w:tcBorders>
            <w:shd w:val="clear" w:color="auto" w:fill="auto"/>
            <w:noWrap/>
            <w:vAlign w:val="bottom"/>
            <w:hideMark/>
          </w:tcPr>
          <w:p w14:paraId="27256C57" w14:textId="77777777" w:rsidR="00517C38" w:rsidRPr="00517C38" w:rsidRDefault="00517C38" w:rsidP="00517C38">
            <w:pPr>
              <w:tabs>
                <w:tab w:val="clear" w:pos="567"/>
              </w:tabs>
              <w:spacing w:before="0" w:line="240" w:lineRule="auto"/>
              <w:ind w:firstLineChars="100" w:firstLine="160"/>
              <w:rPr>
                <w:rFonts w:eastAsia="Times New Roman" w:cs="Open Sans Light"/>
                <w:sz w:val="16"/>
                <w:szCs w:val="16"/>
                <w:lang w:eastAsia="en-AU"/>
              </w:rPr>
            </w:pPr>
            <w:r w:rsidRPr="00517C38">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61BA139B" w14:textId="77777777" w:rsidR="00517C38" w:rsidRPr="00517C38" w:rsidRDefault="00517C38" w:rsidP="00517C38">
            <w:pPr>
              <w:tabs>
                <w:tab w:val="clear" w:pos="567"/>
              </w:tabs>
              <w:spacing w:before="0" w:line="240" w:lineRule="auto"/>
              <w:jc w:val="right"/>
              <w:rPr>
                <w:rFonts w:eastAsia="Times New Roman" w:cs="Open Sans Light"/>
                <w:sz w:val="16"/>
                <w:szCs w:val="16"/>
                <w:lang w:eastAsia="en-AU"/>
              </w:rPr>
            </w:pPr>
            <w:r w:rsidRPr="00517C38">
              <w:rPr>
                <w:rFonts w:eastAsia="Times New Roman" w:cs="Open Sans Light"/>
                <w:sz w:val="16"/>
                <w:szCs w:val="16"/>
                <w:lang w:eastAsia="en-AU"/>
              </w:rPr>
              <w:t>1,195</w:t>
            </w:r>
          </w:p>
        </w:tc>
        <w:tc>
          <w:tcPr>
            <w:tcW w:w="2400" w:type="dxa"/>
            <w:tcBorders>
              <w:top w:val="nil"/>
              <w:left w:val="nil"/>
              <w:bottom w:val="single" w:sz="4" w:space="0" w:color="ADD6EA"/>
              <w:right w:val="nil"/>
            </w:tcBorders>
            <w:shd w:val="clear" w:color="auto" w:fill="auto"/>
            <w:noWrap/>
            <w:vAlign w:val="bottom"/>
            <w:hideMark/>
          </w:tcPr>
          <w:p w14:paraId="3A8EFE85" w14:textId="77777777" w:rsidR="00517C38" w:rsidRPr="00517C38" w:rsidRDefault="00517C38" w:rsidP="00517C38">
            <w:pPr>
              <w:tabs>
                <w:tab w:val="clear" w:pos="567"/>
              </w:tabs>
              <w:spacing w:before="0" w:line="240" w:lineRule="auto"/>
              <w:jc w:val="right"/>
              <w:rPr>
                <w:rFonts w:eastAsia="Times New Roman" w:cs="Open Sans Light"/>
                <w:sz w:val="16"/>
                <w:szCs w:val="16"/>
                <w:lang w:eastAsia="en-AU"/>
              </w:rPr>
            </w:pPr>
            <w:r w:rsidRPr="00517C38">
              <w:rPr>
                <w:rFonts w:eastAsia="Times New Roman" w:cs="Open Sans Light"/>
                <w:sz w:val="16"/>
                <w:szCs w:val="16"/>
                <w:lang w:eastAsia="en-AU"/>
              </w:rPr>
              <w:t>146</w:t>
            </w:r>
          </w:p>
        </w:tc>
      </w:tr>
      <w:tr w:rsidR="00517C38" w:rsidRPr="00517C38" w14:paraId="27F821FA" w14:textId="77777777" w:rsidTr="00517C38">
        <w:trPr>
          <w:trHeight w:val="259"/>
        </w:trPr>
        <w:tc>
          <w:tcPr>
            <w:tcW w:w="4040" w:type="dxa"/>
            <w:tcBorders>
              <w:top w:val="nil"/>
              <w:left w:val="nil"/>
              <w:bottom w:val="single" w:sz="4" w:space="0" w:color="ADD6EA"/>
              <w:right w:val="nil"/>
            </w:tcBorders>
            <w:shd w:val="clear" w:color="auto" w:fill="auto"/>
            <w:noWrap/>
            <w:vAlign w:val="bottom"/>
            <w:hideMark/>
          </w:tcPr>
          <w:p w14:paraId="613D68CA" w14:textId="77777777" w:rsidR="00517C38" w:rsidRPr="00517C38" w:rsidRDefault="00517C38" w:rsidP="00517C38">
            <w:pPr>
              <w:tabs>
                <w:tab w:val="clear" w:pos="567"/>
              </w:tabs>
              <w:spacing w:before="0" w:line="240" w:lineRule="auto"/>
              <w:rPr>
                <w:rFonts w:eastAsia="Times New Roman" w:cs="Open Sans Light"/>
                <w:sz w:val="16"/>
                <w:szCs w:val="16"/>
                <w:lang w:eastAsia="en-AU"/>
              </w:rPr>
            </w:pPr>
            <w:r w:rsidRPr="00517C38">
              <w:rPr>
                <w:rFonts w:eastAsia="Times New Roman" w:cs="Open Sans Light"/>
                <w:sz w:val="16"/>
                <w:szCs w:val="16"/>
                <w:lang w:eastAsia="en-AU"/>
              </w:rPr>
              <w:t>Blended relativities and GST floor (a)</w:t>
            </w:r>
          </w:p>
        </w:tc>
        <w:tc>
          <w:tcPr>
            <w:tcW w:w="2500" w:type="dxa"/>
            <w:tcBorders>
              <w:top w:val="nil"/>
              <w:left w:val="nil"/>
              <w:bottom w:val="single" w:sz="4" w:space="0" w:color="ADD6EA"/>
              <w:right w:val="nil"/>
            </w:tcBorders>
            <w:shd w:val="clear" w:color="auto" w:fill="auto"/>
            <w:noWrap/>
            <w:vAlign w:val="bottom"/>
            <w:hideMark/>
          </w:tcPr>
          <w:p w14:paraId="0BE9EC78" w14:textId="77777777" w:rsidR="00517C38" w:rsidRPr="00517C38" w:rsidRDefault="00517C38" w:rsidP="00517C38">
            <w:pPr>
              <w:tabs>
                <w:tab w:val="clear" w:pos="567"/>
              </w:tabs>
              <w:spacing w:before="0" w:line="240" w:lineRule="auto"/>
              <w:jc w:val="right"/>
              <w:rPr>
                <w:rFonts w:eastAsia="Times New Roman" w:cs="Open Sans Light"/>
                <w:sz w:val="16"/>
                <w:szCs w:val="16"/>
                <w:lang w:eastAsia="en-AU"/>
              </w:rPr>
            </w:pPr>
            <w:r w:rsidRPr="00517C38">
              <w:rPr>
                <w:rFonts w:eastAsia="Times New Roman" w:cs="Open Sans Light"/>
                <w:sz w:val="16"/>
                <w:szCs w:val="16"/>
                <w:lang w:eastAsia="en-AU"/>
              </w:rPr>
              <w:t>-1,298</w:t>
            </w:r>
          </w:p>
        </w:tc>
        <w:tc>
          <w:tcPr>
            <w:tcW w:w="2400" w:type="dxa"/>
            <w:tcBorders>
              <w:top w:val="nil"/>
              <w:left w:val="nil"/>
              <w:bottom w:val="single" w:sz="4" w:space="0" w:color="ADD6EA"/>
              <w:right w:val="nil"/>
            </w:tcBorders>
            <w:shd w:val="clear" w:color="auto" w:fill="auto"/>
            <w:noWrap/>
            <w:vAlign w:val="bottom"/>
            <w:hideMark/>
          </w:tcPr>
          <w:p w14:paraId="28217E54" w14:textId="77777777" w:rsidR="00517C38" w:rsidRPr="00517C38" w:rsidRDefault="00517C38" w:rsidP="00517C38">
            <w:pPr>
              <w:tabs>
                <w:tab w:val="clear" w:pos="567"/>
              </w:tabs>
              <w:spacing w:before="0" w:line="240" w:lineRule="auto"/>
              <w:jc w:val="right"/>
              <w:rPr>
                <w:rFonts w:eastAsia="Times New Roman" w:cs="Open Sans Light"/>
                <w:sz w:val="16"/>
                <w:szCs w:val="16"/>
                <w:lang w:eastAsia="en-AU"/>
              </w:rPr>
            </w:pPr>
            <w:r w:rsidRPr="00517C38">
              <w:rPr>
                <w:rFonts w:eastAsia="Times New Roman" w:cs="Open Sans Light"/>
                <w:sz w:val="16"/>
                <w:szCs w:val="16"/>
                <w:lang w:eastAsia="en-AU"/>
              </w:rPr>
              <w:t>-158</w:t>
            </w:r>
          </w:p>
        </w:tc>
      </w:tr>
      <w:tr w:rsidR="00517C38" w:rsidRPr="00517C38" w14:paraId="15D5577F" w14:textId="77777777" w:rsidTr="00517C38">
        <w:trPr>
          <w:trHeight w:val="259"/>
        </w:trPr>
        <w:tc>
          <w:tcPr>
            <w:tcW w:w="4040" w:type="dxa"/>
            <w:tcBorders>
              <w:top w:val="nil"/>
              <w:left w:val="nil"/>
              <w:bottom w:val="single" w:sz="4" w:space="0" w:color="ADD6EA"/>
              <w:right w:val="nil"/>
            </w:tcBorders>
            <w:shd w:val="clear" w:color="000000" w:fill="D6E7F0"/>
            <w:noWrap/>
            <w:vAlign w:val="bottom"/>
            <w:hideMark/>
          </w:tcPr>
          <w:p w14:paraId="753C35E7" w14:textId="77777777" w:rsidR="00517C38" w:rsidRPr="00517C38" w:rsidRDefault="00517C38" w:rsidP="00517C38">
            <w:pPr>
              <w:tabs>
                <w:tab w:val="clear" w:pos="567"/>
              </w:tabs>
              <w:spacing w:before="0" w:line="240" w:lineRule="auto"/>
              <w:rPr>
                <w:rFonts w:ascii="Open Sans Semibold" w:eastAsia="Times New Roman" w:hAnsi="Open Sans Semibold" w:cs="Open Sans Semibold"/>
                <w:color w:val="000000"/>
                <w:sz w:val="16"/>
                <w:szCs w:val="16"/>
                <w:lang w:eastAsia="en-AU"/>
              </w:rPr>
            </w:pPr>
            <w:r w:rsidRPr="00517C38">
              <w:rPr>
                <w:rFonts w:ascii="Open Sans Semibold" w:eastAsia="Times New Roman" w:hAnsi="Open Sans Semibold" w:cs="Open Sans Semibold"/>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21ECE711" w14:textId="77777777" w:rsidR="00517C38" w:rsidRPr="00517C38" w:rsidRDefault="00517C38" w:rsidP="00517C3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17C38">
              <w:rPr>
                <w:rFonts w:ascii="Open Sans Semibold" w:eastAsia="Times New Roman" w:hAnsi="Open Sans Semibold" w:cs="Open Sans Semibold"/>
                <w:color w:val="000000"/>
                <w:sz w:val="16"/>
                <w:szCs w:val="16"/>
                <w:lang w:eastAsia="en-AU"/>
              </w:rPr>
              <w:t>1,111</w:t>
            </w:r>
          </w:p>
        </w:tc>
        <w:tc>
          <w:tcPr>
            <w:tcW w:w="2400" w:type="dxa"/>
            <w:tcBorders>
              <w:top w:val="nil"/>
              <w:left w:val="nil"/>
              <w:bottom w:val="single" w:sz="4" w:space="0" w:color="ADD6EA"/>
              <w:right w:val="nil"/>
            </w:tcBorders>
            <w:shd w:val="clear" w:color="000000" w:fill="D6E7F0"/>
            <w:noWrap/>
            <w:vAlign w:val="bottom"/>
            <w:hideMark/>
          </w:tcPr>
          <w:p w14:paraId="18692C4D" w14:textId="77777777" w:rsidR="00517C38" w:rsidRPr="00517C38" w:rsidRDefault="00517C38" w:rsidP="00517C3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17C38">
              <w:rPr>
                <w:rFonts w:ascii="Open Sans Semibold" w:eastAsia="Times New Roman" w:hAnsi="Open Sans Semibold" w:cs="Open Sans Semibold"/>
                <w:color w:val="000000"/>
                <w:sz w:val="16"/>
                <w:szCs w:val="16"/>
                <w:lang w:eastAsia="en-AU"/>
              </w:rPr>
              <w:t>136</w:t>
            </w:r>
          </w:p>
        </w:tc>
      </w:tr>
    </w:tbl>
    <w:p w14:paraId="2B7E217C" w14:textId="4A24186E" w:rsidR="005A0452" w:rsidRPr="00D57580" w:rsidRDefault="005A0452" w:rsidP="00D57580">
      <w:pPr>
        <w:pStyle w:val="CGCTablenote"/>
      </w:pPr>
      <w:r w:rsidRPr="00D57580">
        <w:t>Note:</w:t>
      </w:r>
      <w:r w:rsidRPr="00D57580">
        <w:tab/>
        <w:t>Table may not add due to rounding.</w:t>
      </w:r>
    </w:p>
    <w:p w14:paraId="20D74EE4" w14:textId="77777777" w:rsidR="005A0452" w:rsidRPr="00D57580" w:rsidRDefault="005A0452" w:rsidP="00D57580">
      <w:pPr>
        <w:pStyle w:val="CGCTablenote"/>
      </w:pPr>
      <w:r w:rsidRPr="00D57580">
        <w:t>(a)</w:t>
      </w:r>
      <w:r w:rsidRPr="00D57580">
        <w:tab/>
        <w:t xml:space="preserve">This represents the difference between applying the GST relativities and assessed relativities to the GST pool. It is not the basis of the no worse off payments calculation, which is explained in Attachment A. </w:t>
      </w:r>
    </w:p>
    <w:p w14:paraId="7EFA472F" w14:textId="77777777" w:rsidR="005A0452" w:rsidRPr="00D57580" w:rsidRDefault="005A0452" w:rsidP="00D57580">
      <w:pPr>
        <w:pStyle w:val="CGCTablenote"/>
      </w:pPr>
      <w:r w:rsidRPr="00D57580">
        <w:t>Source:</w:t>
      </w:r>
      <w:r w:rsidRPr="00D57580">
        <w:tab/>
        <w:t>Commission calculation.</w:t>
      </w:r>
    </w:p>
    <w:p w14:paraId="6289C56A" w14:textId="399AC980" w:rsidR="005A0452" w:rsidRDefault="005A0452" w:rsidP="008626CB">
      <w:pPr>
        <w:pStyle w:val="Caption"/>
        <w:widowControl w:val="0"/>
        <w:ind w:left="0" w:firstLine="0"/>
      </w:pPr>
      <w:r>
        <w:t>Figure 3-</w:t>
      </w:r>
      <w:r>
        <w:fldChar w:fldCharType="begin"/>
      </w:r>
      <w:r>
        <w:instrText>SEQ Figure \* ARABIC</w:instrText>
      </w:r>
      <w:r>
        <w:fldChar w:fldCharType="separate"/>
      </w:r>
      <w:r w:rsidR="00FE4664">
        <w:rPr>
          <w:noProof/>
        </w:rPr>
        <w:t>2</w:t>
      </w:r>
      <w:r>
        <w:fldChar w:fldCharType="end"/>
      </w:r>
      <w:r>
        <w:tab/>
        <w:t>New South Wales: Main changes in assessed GST distribution, 2022 Update</w:t>
      </w:r>
    </w:p>
    <w:p w14:paraId="29EB3795" w14:textId="6FE9B4FD" w:rsidR="005A0452" w:rsidRDefault="004D7AA8" w:rsidP="008626CB">
      <w:pPr>
        <w:pStyle w:val="CGCTablenote"/>
        <w:keepNext/>
        <w:keepLines/>
        <w:widowControl w:val="0"/>
        <w:rPr>
          <w:noProof/>
        </w:rPr>
      </w:pPr>
      <w:r w:rsidRPr="004D7AA8">
        <w:rPr>
          <w:noProof/>
        </w:rPr>
        <w:drawing>
          <wp:inline distT="0" distB="0" distL="0" distR="0" wp14:anchorId="462CF699" wp14:editId="7E510D1F">
            <wp:extent cx="5755640" cy="2522855"/>
            <wp:effectExtent l="0" t="0" r="0" b="0"/>
            <wp:docPr id="100" name="Picture 100" descr="A figure describing the main changes in assessed GST distribution in the 2022 Update for New South 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figure describing the main changes in assessed GST distribution in the 2022 Update for New South Wales.&#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5640" cy="2522855"/>
                    </a:xfrm>
                    <a:prstGeom prst="rect">
                      <a:avLst/>
                    </a:prstGeom>
                    <a:noFill/>
                    <a:ln>
                      <a:noFill/>
                    </a:ln>
                  </pic:spPr>
                </pic:pic>
              </a:graphicData>
            </a:graphic>
          </wp:inline>
        </w:drawing>
      </w:r>
    </w:p>
    <w:p w14:paraId="4D5BE3F6" w14:textId="17C634FB" w:rsidR="005A0452" w:rsidRDefault="005A0452" w:rsidP="008626CB">
      <w:pPr>
        <w:pStyle w:val="CGCTablenote"/>
        <w:keepNext/>
        <w:keepLines/>
        <w:widowControl w:val="0"/>
      </w:pPr>
      <w:r w:rsidRPr="004C1B2D">
        <w:rPr>
          <w:rStyle w:val="FootnoteReference"/>
        </w:rPr>
        <w:t>Source:</w:t>
      </w:r>
      <w:r>
        <w:tab/>
      </w:r>
      <w:r w:rsidRPr="004C1B2D">
        <w:rPr>
          <w:rStyle w:val="FootnoteReference"/>
        </w:rPr>
        <w:t>Commission calculation.</w:t>
      </w:r>
      <w:r>
        <w:br w:type="page"/>
      </w:r>
    </w:p>
    <w:p w14:paraId="59453925" w14:textId="66123027" w:rsidR="005A0452" w:rsidRDefault="005A0452" w:rsidP="000D6032">
      <w:pPr>
        <w:pStyle w:val="Heading2"/>
      </w:pPr>
      <w:r>
        <w:t>Victoria</w:t>
      </w:r>
      <w:r w:rsidR="00AE3F71" w:rsidRPr="00AE3F71">
        <w:rPr>
          <w:noProof/>
        </w:rPr>
        <w:t xml:space="preserve"> </w:t>
      </w:r>
      <w:r>
        <w:rPr>
          <w:noProof/>
        </w:rPr>
        <w:drawing>
          <wp:anchor distT="0" distB="0" distL="114300" distR="114300" simplePos="0" relativeHeight="251658278" behindDoc="1" locked="1" layoutInCell="1" allowOverlap="1" wp14:anchorId="314CA179" wp14:editId="0053DEA3">
            <wp:simplePos x="0" y="0"/>
            <wp:positionH relativeFrom="page">
              <wp:align>right</wp:align>
            </wp:positionH>
            <wp:positionV relativeFrom="page">
              <wp:align>bottom</wp:align>
            </wp:positionV>
            <wp:extent cx="7563485" cy="10691495"/>
            <wp:effectExtent l="0" t="0" r="0" b="0"/>
            <wp:wrapNone/>
            <wp:docPr id="70" name="Picture 7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4FAE260B" w14:textId="5A774CDC" w:rsidR="005A0452" w:rsidRPr="00753BF5" w:rsidRDefault="002C742E" w:rsidP="0004064D">
      <w:pPr>
        <w:pStyle w:val="CGCBodyCopy"/>
      </w:pPr>
      <w:r w:rsidRPr="00A56EE4">
        <w:t>In the 2022 Update, Victoria was assessed as the standard state under the 2018 legislated arrangement</w:t>
      </w:r>
      <w:r w:rsidR="00A120C3">
        <w:t>s</w:t>
      </w:r>
      <w:r w:rsidR="00A56EE4">
        <w:t xml:space="preserve">. </w:t>
      </w:r>
      <w:r w:rsidR="005A0452" w:rsidRPr="00684642">
        <w:t>Victoria’s share of the GST pool is estimated to decrease from 23.8% to 22.</w:t>
      </w:r>
      <w:r w:rsidR="002D695F">
        <w:t>2</w:t>
      </w:r>
      <w:r w:rsidR="005A0452" w:rsidRPr="00684642">
        <w:t>%.</w:t>
      </w:r>
      <w:r w:rsidR="005A0452">
        <w:t xml:space="preserve"> </w:t>
      </w:r>
      <w:r w:rsidR="005A0452" w:rsidRPr="00A56EE4">
        <w:t>With pool growth, but excluding no worse off payments, its estimated GST distribution in 2022</w:t>
      </w:r>
      <w:r w:rsidR="005D7252" w:rsidRPr="00A56EE4">
        <w:t>–</w:t>
      </w:r>
      <w:r w:rsidR="005A0452" w:rsidRPr="00A56EE4">
        <w:t xml:space="preserve">23 </w:t>
      </w:r>
      <w:r w:rsidR="009D3C30" w:rsidRPr="00A56EE4">
        <w:t>would</w:t>
      </w:r>
      <w:r w:rsidR="005A0452" w:rsidRPr="00A56EE4">
        <w:t xml:space="preserve"> decrease by $2</w:t>
      </w:r>
      <w:r w:rsidR="009F4D69">
        <w:t>44</w:t>
      </w:r>
      <w:r w:rsidR="005A0452" w:rsidRPr="00A56EE4">
        <w:t> million</w:t>
      </w:r>
      <w:r w:rsidR="007F394A" w:rsidRPr="00A56EE4">
        <w:t>,</w:t>
      </w:r>
      <w:r w:rsidR="005A0452" w:rsidRPr="00A56EE4">
        <w:t xml:space="preserve"> or 1.</w:t>
      </w:r>
      <w:r w:rsidR="002D695F">
        <w:t>4</w:t>
      </w:r>
      <w:r w:rsidR="005A0452" w:rsidRPr="00A56EE4">
        <w:t xml:space="preserve">%. It is expected that no worse off payments </w:t>
      </w:r>
      <w:r w:rsidR="003178FD" w:rsidRPr="00A56EE4">
        <w:t>will</w:t>
      </w:r>
      <w:r w:rsidR="005A0452" w:rsidRPr="00A56EE4">
        <w:t xml:space="preserve"> result in Victoria receiving more revenue overall from the GST distribution arrangements in 2022</w:t>
      </w:r>
      <w:r w:rsidR="005D7252" w:rsidRPr="00A56EE4">
        <w:t>–</w:t>
      </w:r>
      <w:r w:rsidR="005A0452" w:rsidRPr="00A56EE4">
        <w:t>23 than it received in 2021</w:t>
      </w:r>
      <w:r w:rsidR="005D7252" w:rsidRPr="00A56EE4">
        <w:t>–</w:t>
      </w:r>
      <w:r w:rsidR="005A0452" w:rsidRPr="00A56EE4">
        <w:t>22.</w:t>
      </w:r>
      <w:r w:rsidR="005A0452" w:rsidRPr="00753BF5">
        <w:t xml:space="preserve"> </w:t>
      </w:r>
    </w:p>
    <w:p w14:paraId="66F65986" w14:textId="348A1C27" w:rsidR="005A0452" w:rsidRPr="00442A3B" w:rsidRDefault="005A0452" w:rsidP="0004064D">
      <w:pPr>
        <w:pStyle w:val="CGCBodyCopy"/>
      </w:pPr>
      <w:r w:rsidRPr="00753BF5">
        <w:t>From 2019</w:t>
      </w:r>
      <w:r w:rsidR="005D7252">
        <w:t>–</w:t>
      </w:r>
      <w:r w:rsidRPr="00753BF5">
        <w:t>20 to 2020</w:t>
      </w:r>
      <w:r w:rsidR="005D7252">
        <w:t>–</w:t>
      </w:r>
      <w:r w:rsidRPr="00753BF5">
        <w:t>21, Victoria’s population grew at a much slower rate (-0.04%) than from 2016</w:t>
      </w:r>
      <w:r w:rsidR="005D7252">
        <w:t>–</w:t>
      </w:r>
      <w:r w:rsidRPr="00753BF5">
        <w:t>17 to 2017</w:t>
      </w:r>
      <w:r w:rsidR="005D7252">
        <w:t>–</w:t>
      </w:r>
      <w:r w:rsidRPr="00753BF5">
        <w:t xml:space="preserve">18 (2.28%). </w:t>
      </w:r>
      <w:r w:rsidR="002311F3">
        <w:t>W</w:t>
      </w:r>
      <w:r w:rsidR="00A35B8A">
        <w:t xml:space="preserve">ith </w:t>
      </w:r>
      <w:r w:rsidR="00AF125B">
        <w:t>2020</w:t>
      </w:r>
      <w:r w:rsidR="009E0E62">
        <w:t>–</w:t>
      </w:r>
      <w:r w:rsidR="00AF125B">
        <w:t xml:space="preserve">21 replacing </w:t>
      </w:r>
      <w:r w:rsidR="00A03839">
        <w:t>2017</w:t>
      </w:r>
      <w:r w:rsidR="009E0E62">
        <w:t>–</w:t>
      </w:r>
      <w:r w:rsidR="00A03839">
        <w:t>18 in th</w:t>
      </w:r>
      <w:r w:rsidR="007E2BB6">
        <w:t>is</w:t>
      </w:r>
      <w:r w:rsidR="00A03839">
        <w:t xml:space="preserve"> update, </w:t>
      </w:r>
      <w:r w:rsidR="009F52CE">
        <w:t xml:space="preserve">the </w:t>
      </w:r>
      <w:r w:rsidR="00F02609">
        <w:t xml:space="preserve">relative </w:t>
      </w:r>
      <w:r w:rsidR="007534ED">
        <w:t>decline in Victoria’s po</w:t>
      </w:r>
      <w:r w:rsidR="00F02609">
        <w:t xml:space="preserve">pulation growth </w:t>
      </w:r>
      <w:r w:rsidRPr="00753BF5">
        <w:t>reduced</w:t>
      </w:r>
      <w:r w:rsidR="00F02609">
        <w:t xml:space="preserve"> its</w:t>
      </w:r>
      <w:r w:rsidRPr="00753BF5">
        <w:t xml:space="preserve"> </w:t>
      </w:r>
      <w:r w:rsidR="00CE2822">
        <w:t xml:space="preserve">assessed </w:t>
      </w:r>
      <w:r w:rsidRPr="00753BF5">
        <w:t>need for new infrastructure</w:t>
      </w:r>
      <w:r w:rsidR="000626D6">
        <w:t xml:space="preserve">, relative to other states, </w:t>
      </w:r>
      <w:r w:rsidRPr="00753BF5">
        <w:t>while increasing its net borrowing needs</w:t>
      </w:r>
      <w:r w:rsidR="00027543">
        <w:t>.</w:t>
      </w:r>
      <w:r w:rsidRPr="00753BF5">
        <w:t xml:space="preserve"> This was partly offset by below</w:t>
      </w:r>
      <w:r w:rsidR="002E7313">
        <w:noBreakHyphen/>
      </w:r>
      <w:r w:rsidRPr="00753BF5">
        <w:t xml:space="preserve">average growth in </w:t>
      </w:r>
      <w:r w:rsidR="004F4BF8">
        <w:t xml:space="preserve">the </w:t>
      </w:r>
      <w:r w:rsidRPr="00753BF5">
        <w:t>value of property sales and a fall in its relative capacity to raise mining revenue</w:t>
      </w:r>
      <w:r w:rsidRPr="00F10BEC">
        <w:t>.</w:t>
      </w:r>
      <w:r w:rsidRPr="00753BF5">
        <w:t xml:space="preserve"> The combined effect of blended relativities and the GST floor </w:t>
      </w:r>
      <w:r w:rsidR="007F394A">
        <w:t xml:space="preserve">would </w:t>
      </w:r>
      <w:r w:rsidRPr="00753BF5">
        <w:t>reduce Victoria’s distribution by $1,0</w:t>
      </w:r>
      <w:r w:rsidR="00BE79E1">
        <w:t>63</w:t>
      </w:r>
      <w:r w:rsidRPr="00753BF5">
        <w:t> million.</w:t>
      </w:r>
      <w:r w:rsidR="00456F3A">
        <w:t xml:space="preserve"> </w:t>
      </w:r>
      <w:r w:rsidR="00456F3A" w:rsidRPr="00A56EE4">
        <w:t>Across the transition period, this impact would be ameliorated by no worse off payments.</w:t>
      </w:r>
    </w:p>
    <w:p w14:paraId="13D5483E" w14:textId="2E8D23FA" w:rsidR="005A0452" w:rsidRPr="00442A3B" w:rsidRDefault="005A0452" w:rsidP="005A0452">
      <w:pPr>
        <w:pStyle w:val="Caption"/>
        <w:widowControl w:val="0"/>
      </w:pPr>
      <w:bookmarkStart w:id="76" w:name="_Toc62487283"/>
      <w:bookmarkStart w:id="77" w:name="_Toc62723813"/>
      <w:r w:rsidRPr="00442A3B">
        <w:t>Table 3</w:t>
      </w:r>
      <w:r w:rsidRPr="00442A3B">
        <w:noBreakHyphen/>
      </w:r>
      <w:r w:rsidRPr="00442A3B">
        <w:fldChar w:fldCharType="begin"/>
      </w:r>
      <w:r w:rsidRPr="00442A3B">
        <w:instrText>SEQ Table \* ARABIC</w:instrText>
      </w:r>
      <w:r w:rsidRPr="00442A3B">
        <w:fldChar w:fldCharType="separate"/>
      </w:r>
      <w:r w:rsidR="00FE4664">
        <w:rPr>
          <w:noProof/>
        </w:rPr>
        <w:t>2</w:t>
      </w:r>
      <w:r w:rsidRPr="00442A3B">
        <w:fldChar w:fldCharType="end"/>
      </w:r>
      <w:r w:rsidRPr="00442A3B">
        <w:tab/>
        <w:t xml:space="preserve">Change in </w:t>
      </w:r>
      <w:r w:rsidRPr="003B1662">
        <w:t>estimated GST distribution from 2021</w:t>
      </w:r>
      <w:r w:rsidR="005D7252">
        <w:t>–</w:t>
      </w:r>
      <w:r w:rsidRPr="003B1662">
        <w:t>22 to 2022</w:t>
      </w:r>
      <w:r w:rsidR="005D7252">
        <w:t>–</w:t>
      </w:r>
      <w:r w:rsidRPr="003B1662">
        <w:t>23, Victoria</w:t>
      </w:r>
      <w:bookmarkEnd w:id="76"/>
      <w:bookmarkEnd w:id="77"/>
      <w:r w:rsidRPr="003B1662">
        <w:t xml:space="preserve"> </w:t>
      </w:r>
      <w:r w:rsidRPr="00E50D19">
        <w:t>(exclud</w:t>
      </w:r>
      <w:r w:rsidR="0011097E">
        <w:t>es</w:t>
      </w:r>
      <w:r w:rsidRPr="00E50D19">
        <w:t xml:space="preserve"> no</w:t>
      </w:r>
      <w:r>
        <w:t> </w:t>
      </w:r>
      <w:r w:rsidRPr="00E50D19">
        <w:t>worse</w:t>
      </w:r>
      <w:r>
        <w:t> </w:t>
      </w:r>
      <w:r w:rsidRPr="00E50D19">
        <w:t>off payments)</w:t>
      </w:r>
    </w:p>
    <w:tbl>
      <w:tblPr>
        <w:tblW w:w="8940" w:type="dxa"/>
        <w:tblLook w:val="04A0" w:firstRow="1" w:lastRow="0" w:firstColumn="1" w:lastColumn="0" w:noHBand="0" w:noVBand="1"/>
      </w:tblPr>
      <w:tblGrid>
        <w:gridCol w:w="4040"/>
        <w:gridCol w:w="2500"/>
        <w:gridCol w:w="2400"/>
      </w:tblGrid>
      <w:tr w:rsidR="00D859B1" w:rsidRPr="00D859B1" w14:paraId="148E83DF" w14:textId="77777777" w:rsidTr="00D859B1">
        <w:trPr>
          <w:trHeight w:val="259"/>
        </w:trPr>
        <w:tc>
          <w:tcPr>
            <w:tcW w:w="4040" w:type="dxa"/>
            <w:tcBorders>
              <w:top w:val="nil"/>
              <w:left w:val="nil"/>
              <w:bottom w:val="single" w:sz="4" w:space="0" w:color="ADD6EA"/>
              <w:right w:val="nil"/>
            </w:tcBorders>
            <w:shd w:val="clear" w:color="000000" w:fill="006991"/>
            <w:noWrap/>
            <w:vAlign w:val="center"/>
            <w:hideMark/>
          </w:tcPr>
          <w:p w14:paraId="3686B771" w14:textId="77777777" w:rsidR="00D859B1" w:rsidRPr="00D859B1" w:rsidRDefault="00D859B1" w:rsidP="00D859B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78" w:name="_Toc62487173"/>
            <w:bookmarkStart w:id="79" w:name="_Toc62487329"/>
            <w:r w:rsidRPr="00D859B1">
              <w:rPr>
                <w:rFonts w:ascii="Open Sans Semibold" w:eastAsia="Times New Roman" w:hAnsi="Open Sans Semibold" w:cs="Open Sans Semibold"/>
                <w:color w:val="FFFFFF"/>
                <w:sz w:val="16"/>
                <w:szCs w:val="16"/>
                <w:lang w:eastAsia="en-AU"/>
              </w:rPr>
              <w:t> </w:t>
            </w:r>
          </w:p>
        </w:tc>
        <w:tc>
          <w:tcPr>
            <w:tcW w:w="2500" w:type="dxa"/>
            <w:tcBorders>
              <w:top w:val="nil"/>
              <w:left w:val="nil"/>
              <w:bottom w:val="single" w:sz="4" w:space="0" w:color="ADD6EA"/>
              <w:right w:val="nil"/>
            </w:tcBorders>
            <w:shd w:val="clear" w:color="000000" w:fill="006991"/>
            <w:noWrap/>
            <w:vAlign w:val="center"/>
            <w:hideMark/>
          </w:tcPr>
          <w:p w14:paraId="6938399F" w14:textId="77777777" w:rsidR="00D859B1" w:rsidRPr="00D859B1" w:rsidRDefault="00D859B1" w:rsidP="00D859B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859B1">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2D078538" w14:textId="77777777" w:rsidR="00D859B1" w:rsidRPr="00D859B1" w:rsidRDefault="00D859B1" w:rsidP="00D859B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859B1">
              <w:rPr>
                <w:rFonts w:ascii="Open Sans Semibold" w:eastAsia="Times New Roman" w:hAnsi="Open Sans Semibold" w:cs="Open Sans Semibold"/>
                <w:color w:val="FFFFFF"/>
                <w:sz w:val="16"/>
                <w:szCs w:val="16"/>
                <w:lang w:eastAsia="en-AU"/>
              </w:rPr>
              <w:t>$pc</w:t>
            </w:r>
          </w:p>
        </w:tc>
      </w:tr>
      <w:tr w:rsidR="00D859B1" w:rsidRPr="00D859B1" w14:paraId="40D4146D" w14:textId="77777777" w:rsidTr="00D859B1">
        <w:trPr>
          <w:trHeight w:val="259"/>
        </w:trPr>
        <w:tc>
          <w:tcPr>
            <w:tcW w:w="4040" w:type="dxa"/>
            <w:tcBorders>
              <w:top w:val="nil"/>
              <w:left w:val="nil"/>
              <w:bottom w:val="single" w:sz="4" w:space="0" w:color="ADD6EA"/>
              <w:right w:val="nil"/>
            </w:tcBorders>
            <w:shd w:val="clear" w:color="auto" w:fill="auto"/>
            <w:noWrap/>
            <w:vAlign w:val="bottom"/>
            <w:hideMark/>
          </w:tcPr>
          <w:p w14:paraId="3A65C346" w14:textId="77777777" w:rsidR="00D859B1" w:rsidRPr="00D859B1" w:rsidRDefault="00D859B1" w:rsidP="00D859B1">
            <w:pPr>
              <w:tabs>
                <w:tab w:val="clear" w:pos="567"/>
              </w:tabs>
              <w:spacing w:before="0" w:line="240" w:lineRule="auto"/>
              <w:rPr>
                <w:rFonts w:eastAsia="Times New Roman" w:cs="Open Sans Light"/>
                <w:sz w:val="16"/>
                <w:szCs w:val="16"/>
                <w:lang w:eastAsia="en-AU"/>
              </w:rPr>
            </w:pPr>
            <w:r w:rsidRPr="00D859B1">
              <w:rPr>
                <w:rFonts w:eastAsia="Times New Roman" w:cs="Open Sans Light"/>
                <w:sz w:val="16"/>
                <w:szCs w:val="16"/>
                <w:lang w:eastAsia="en-AU"/>
              </w:rPr>
              <w:t>Change in population</w:t>
            </w:r>
          </w:p>
        </w:tc>
        <w:tc>
          <w:tcPr>
            <w:tcW w:w="2500" w:type="dxa"/>
            <w:tcBorders>
              <w:top w:val="nil"/>
              <w:left w:val="nil"/>
              <w:bottom w:val="single" w:sz="4" w:space="0" w:color="ADD6EA"/>
              <w:right w:val="nil"/>
            </w:tcBorders>
            <w:shd w:val="clear" w:color="auto" w:fill="auto"/>
            <w:noWrap/>
            <w:vAlign w:val="bottom"/>
            <w:hideMark/>
          </w:tcPr>
          <w:p w14:paraId="6D013649" w14:textId="77777777" w:rsidR="00D859B1" w:rsidRPr="00D859B1" w:rsidRDefault="00D859B1" w:rsidP="00D859B1">
            <w:pPr>
              <w:tabs>
                <w:tab w:val="clear" w:pos="567"/>
              </w:tabs>
              <w:spacing w:before="0" w:line="240" w:lineRule="auto"/>
              <w:jc w:val="right"/>
              <w:rPr>
                <w:rFonts w:eastAsia="Times New Roman" w:cs="Open Sans Light"/>
                <w:sz w:val="16"/>
                <w:szCs w:val="16"/>
                <w:lang w:eastAsia="en-AU"/>
              </w:rPr>
            </w:pPr>
            <w:r w:rsidRPr="00D859B1">
              <w:rPr>
                <w:rFonts w:eastAsia="Times New Roman" w:cs="Open Sans Light"/>
                <w:sz w:val="16"/>
                <w:szCs w:val="16"/>
                <w:lang w:eastAsia="en-AU"/>
              </w:rPr>
              <w:t>-10</w:t>
            </w:r>
          </w:p>
        </w:tc>
        <w:tc>
          <w:tcPr>
            <w:tcW w:w="2400" w:type="dxa"/>
            <w:tcBorders>
              <w:top w:val="nil"/>
              <w:left w:val="nil"/>
              <w:bottom w:val="single" w:sz="4" w:space="0" w:color="ADD6EA"/>
              <w:right w:val="nil"/>
            </w:tcBorders>
            <w:shd w:val="clear" w:color="auto" w:fill="auto"/>
            <w:noWrap/>
            <w:vAlign w:val="bottom"/>
            <w:hideMark/>
          </w:tcPr>
          <w:p w14:paraId="628C70E6" w14:textId="77777777" w:rsidR="00D859B1" w:rsidRPr="00D859B1" w:rsidRDefault="00D859B1" w:rsidP="00D859B1">
            <w:pPr>
              <w:tabs>
                <w:tab w:val="clear" w:pos="567"/>
              </w:tabs>
              <w:spacing w:before="0" w:line="240" w:lineRule="auto"/>
              <w:jc w:val="right"/>
              <w:rPr>
                <w:rFonts w:eastAsia="Times New Roman" w:cs="Open Sans Light"/>
                <w:sz w:val="16"/>
                <w:szCs w:val="16"/>
                <w:lang w:eastAsia="en-AU"/>
              </w:rPr>
            </w:pPr>
            <w:r w:rsidRPr="00D859B1">
              <w:rPr>
                <w:rFonts w:eastAsia="Times New Roman" w:cs="Open Sans Light"/>
                <w:sz w:val="16"/>
                <w:szCs w:val="16"/>
                <w:lang w:eastAsia="en-AU"/>
              </w:rPr>
              <w:t>-2</w:t>
            </w:r>
          </w:p>
        </w:tc>
      </w:tr>
      <w:tr w:rsidR="00D859B1" w:rsidRPr="00D859B1" w14:paraId="44AEC4E1" w14:textId="77777777" w:rsidTr="00D859B1">
        <w:trPr>
          <w:trHeight w:val="259"/>
        </w:trPr>
        <w:tc>
          <w:tcPr>
            <w:tcW w:w="4040" w:type="dxa"/>
            <w:tcBorders>
              <w:top w:val="nil"/>
              <w:left w:val="nil"/>
              <w:bottom w:val="single" w:sz="4" w:space="0" w:color="ADD6EA"/>
              <w:right w:val="nil"/>
            </w:tcBorders>
            <w:shd w:val="clear" w:color="auto" w:fill="auto"/>
            <w:noWrap/>
            <w:vAlign w:val="bottom"/>
            <w:hideMark/>
          </w:tcPr>
          <w:p w14:paraId="23207084" w14:textId="77777777" w:rsidR="00D859B1" w:rsidRPr="00D859B1" w:rsidRDefault="00D859B1" w:rsidP="00D859B1">
            <w:pPr>
              <w:tabs>
                <w:tab w:val="clear" w:pos="567"/>
              </w:tabs>
              <w:spacing w:before="0" w:line="240" w:lineRule="auto"/>
              <w:rPr>
                <w:rFonts w:eastAsia="Times New Roman" w:cs="Open Sans Light"/>
                <w:sz w:val="16"/>
                <w:szCs w:val="16"/>
                <w:lang w:eastAsia="en-AU"/>
              </w:rPr>
            </w:pPr>
            <w:r w:rsidRPr="00D859B1">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2E894668" w14:textId="77777777" w:rsidR="00D859B1" w:rsidRPr="00D859B1" w:rsidRDefault="00D859B1" w:rsidP="00D859B1">
            <w:pPr>
              <w:tabs>
                <w:tab w:val="clear" w:pos="567"/>
              </w:tabs>
              <w:spacing w:before="0" w:line="240" w:lineRule="auto"/>
              <w:jc w:val="right"/>
              <w:rPr>
                <w:rFonts w:eastAsia="Times New Roman" w:cs="Open Sans Light"/>
                <w:sz w:val="16"/>
                <w:szCs w:val="16"/>
                <w:lang w:eastAsia="en-AU"/>
              </w:rPr>
            </w:pPr>
            <w:r w:rsidRPr="00D859B1">
              <w:rPr>
                <w:rFonts w:eastAsia="Times New Roman" w:cs="Open Sans Light"/>
                <w:sz w:val="16"/>
                <w:szCs w:val="16"/>
                <w:lang w:eastAsia="en-AU"/>
              </w:rPr>
              <w:t>1,035</w:t>
            </w:r>
          </w:p>
        </w:tc>
        <w:tc>
          <w:tcPr>
            <w:tcW w:w="2400" w:type="dxa"/>
            <w:tcBorders>
              <w:top w:val="nil"/>
              <w:left w:val="nil"/>
              <w:bottom w:val="single" w:sz="4" w:space="0" w:color="ADD6EA"/>
              <w:right w:val="nil"/>
            </w:tcBorders>
            <w:shd w:val="clear" w:color="auto" w:fill="auto"/>
            <w:noWrap/>
            <w:vAlign w:val="bottom"/>
            <w:hideMark/>
          </w:tcPr>
          <w:p w14:paraId="635EBE13" w14:textId="77777777" w:rsidR="00D859B1" w:rsidRPr="00D859B1" w:rsidRDefault="00D859B1" w:rsidP="00D859B1">
            <w:pPr>
              <w:tabs>
                <w:tab w:val="clear" w:pos="567"/>
              </w:tabs>
              <w:spacing w:before="0" w:line="240" w:lineRule="auto"/>
              <w:jc w:val="right"/>
              <w:rPr>
                <w:rFonts w:eastAsia="Times New Roman" w:cs="Open Sans Light"/>
                <w:sz w:val="16"/>
                <w:szCs w:val="16"/>
                <w:lang w:eastAsia="en-AU"/>
              </w:rPr>
            </w:pPr>
            <w:r w:rsidRPr="00D859B1">
              <w:rPr>
                <w:rFonts w:eastAsia="Times New Roman" w:cs="Open Sans Light"/>
                <w:sz w:val="16"/>
                <w:szCs w:val="16"/>
                <w:lang w:eastAsia="en-AU"/>
              </w:rPr>
              <w:t>154</w:t>
            </w:r>
          </w:p>
        </w:tc>
      </w:tr>
      <w:tr w:rsidR="00D859B1" w:rsidRPr="00D859B1" w14:paraId="77D8BD76" w14:textId="77777777" w:rsidTr="00D859B1">
        <w:trPr>
          <w:trHeight w:val="259"/>
        </w:trPr>
        <w:tc>
          <w:tcPr>
            <w:tcW w:w="4040" w:type="dxa"/>
            <w:tcBorders>
              <w:top w:val="nil"/>
              <w:left w:val="nil"/>
              <w:bottom w:val="single" w:sz="4" w:space="0" w:color="ADD6EA"/>
              <w:right w:val="nil"/>
            </w:tcBorders>
            <w:shd w:val="clear" w:color="auto" w:fill="auto"/>
            <w:noWrap/>
            <w:vAlign w:val="bottom"/>
            <w:hideMark/>
          </w:tcPr>
          <w:p w14:paraId="7FC3CDBE" w14:textId="77777777" w:rsidR="00D859B1" w:rsidRPr="00D859B1" w:rsidRDefault="00D859B1" w:rsidP="00D859B1">
            <w:pPr>
              <w:tabs>
                <w:tab w:val="clear" w:pos="567"/>
              </w:tabs>
              <w:spacing w:before="0" w:line="240" w:lineRule="auto"/>
              <w:rPr>
                <w:rFonts w:eastAsia="Times New Roman" w:cs="Open Sans Light"/>
                <w:sz w:val="16"/>
                <w:szCs w:val="16"/>
                <w:lang w:eastAsia="en-AU"/>
              </w:rPr>
            </w:pPr>
            <w:r w:rsidRPr="00D859B1">
              <w:rPr>
                <w:rFonts w:eastAsia="Times New Roman" w:cs="Open Sans Light"/>
                <w:sz w:val="16"/>
                <w:szCs w:val="16"/>
                <w:lang w:eastAsia="en-AU"/>
              </w:rPr>
              <w:t>Changes in assessed needs</w:t>
            </w:r>
          </w:p>
        </w:tc>
        <w:tc>
          <w:tcPr>
            <w:tcW w:w="2500" w:type="dxa"/>
            <w:tcBorders>
              <w:top w:val="nil"/>
              <w:left w:val="nil"/>
              <w:bottom w:val="single" w:sz="4" w:space="0" w:color="ADD6EA"/>
              <w:right w:val="nil"/>
            </w:tcBorders>
            <w:shd w:val="clear" w:color="auto" w:fill="auto"/>
            <w:noWrap/>
            <w:vAlign w:val="bottom"/>
            <w:hideMark/>
          </w:tcPr>
          <w:p w14:paraId="15B8E258" w14:textId="77777777" w:rsidR="00D859B1" w:rsidRPr="00D859B1" w:rsidRDefault="00D859B1" w:rsidP="00D859B1">
            <w:pPr>
              <w:tabs>
                <w:tab w:val="clear" w:pos="567"/>
              </w:tabs>
              <w:spacing w:before="0" w:line="240" w:lineRule="auto"/>
              <w:jc w:val="right"/>
              <w:rPr>
                <w:rFonts w:eastAsia="Times New Roman" w:cs="Open Sans Light"/>
                <w:sz w:val="16"/>
                <w:szCs w:val="16"/>
                <w:lang w:eastAsia="en-AU"/>
              </w:rPr>
            </w:pPr>
            <w:r w:rsidRPr="00D859B1">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70D0083B" w14:textId="77777777" w:rsidR="00D859B1" w:rsidRPr="00D859B1" w:rsidRDefault="00D859B1" w:rsidP="00D859B1">
            <w:pPr>
              <w:tabs>
                <w:tab w:val="clear" w:pos="567"/>
              </w:tabs>
              <w:spacing w:before="0" w:line="240" w:lineRule="auto"/>
              <w:jc w:val="right"/>
              <w:rPr>
                <w:rFonts w:eastAsia="Times New Roman" w:cs="Open Sans Light"/>
                <w:sz w:val="16"/>
                <w:szCs w:val="16"/>
                <w:lang w:eastAsia="en-AU"/>
              </w:rPr>
            </w:pPr>
            <w:r w:rsidRPr="00D859B1">
              <w:rPr>
                <w:rFonts w:eastAsia="Times New Roman" w:cs="Open Sans Light"/>
                <w:sz w:val="16"/>
                <w:szCs w:val="16"/>
                <w:lang w:eastAsia="en-AU"/>
              </w:rPr>
              <w:t> </w:t>
            </w:r>
          </w:p>
        </w:tc>
      </w:tr>
      <w:tr w:rsidR="00D859B1" w:rsidRPr="00D859B1" w14:paraId="6FE9FC5D" w14:textId="77777777" w:rsidTr="00D859B1">
        <w:trPr>
          <w:trHeight w:val="259"/>
        </w:trPr>
        <w:tc>
          <w:tcPr>
            <w:tcW w:w="4040" w:type="dxa"/>
            <w:tcBorders>
              <w:top w:val="nil"/>
              <w:left w:val="nil"/>
              <w:bottom w:val="single" w:sz="4" w:space="0" w:color="ADD6EA"/>
              <w:right w:val="nil"/>
            </w:tcBorders>
            <w:shd w:val="clear" w:color="auto" w:fill="auto"/>
            <w:noWrap/>
            <w:vAlign w:val="bottom"/>
            <w:hideMark/>
          </w:tcPr>
          <w:p w14:paraId="50E945C9" w14:textId="77777777" w:rsidR="00D859B1" w:rsidRPr="00D859B1" w:rsidRDefault="00D859B1" w:rsidP="00D859B1">
            <w:pPr>
              <w:tabs>
                <w:tab w:val="clear" w:pos="567"/>
              </w:tabs>
              <w:spacing w:before="0" w:line="240" w:lineRule="auto"/>
              <w:ind w:firstLineChars="100" w:firstLine="160"/>
              <w:rPr>
                <w:rFonts w:eastAsia="Times New Roman" w:cs="Open Sans Light"/>
                <w:sz w:val="16"/>
                <w:szCs w:val="16"/>
                <w:lang w:eastAsia="en-AU"/>
              </w:rPr>
            </w:pPr>
            <w:r w:rsidRPr="00D859B1">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20271BD8" w14:textId="77777777" w:rsidR="00D859B1" w:rsidRPr="00D859B1" w:rsidRDefault="00D859B1" w:rsidP="00D859B1">
            <w:pPr>
              <w:tabs>
                <w:tab w:val="clear" w:pos="567"/>
              </w:tabs>
              <w:spacing w:before="0" w:line="240" w:lineRule="auto"/>
              <w:jc w:val="right"/>
              <w:rPr>
                <w:rFonts w:eastAsia="Times New Roman" w:cs="Open Sans Light"/>
                <w:sz w:val="16"/>
                <w:szCs w:val="16"/>
                <w:lang w:eastAsia="en-AU"/>
              </w:rPr>
            </w:pPr>
            <w:r w:rsidRPr="00D859B1">
              <w:rPr>
                <w:rFonts w:eastAsia="Times New Roman" w:cs="Open Sans Light"/>
                <w:sz w:val="16"/>
                <w:szCs w:val="16"/>
                <w:lang w:eastAsia="en-AU"/>
              </w:rPr>
              <w:t>46</w:t>
            </w:r>
          </w:p>
        </w:tc>
        <w:tc>
          <w:tcPr>
            <w:tcW w:w="2400" w:type="dxa"/>
            <w:tcBorders>
              <w:top w:val="nil"/>
              <w:left w:val="nil"/>
              <w:bottom w:val="single" w:sz="4" w:space="0" w:color="ADD6EA"/>
              <w:right w:val="nil"/>
            </w:tcBorders>
            <w:shd w:val="clear" w:color="auto" w:fill="auto"/>
            <w:noWrap/>
            <w:vAlign w:val="bottom"/>
            <w:hideMark/>
          </w:tcPr>
          <w:p w14:paraId="1763EF8F" w14:textId="77777777" w:rsidR="00D859B1" w:rsidRPr="00D859B1" w:rsidRDefault="00D859B1" w:rsidP="00D859B1">
            <w:pPr>
              <w:tabs>
                <w:tab w:val="clear" w:pos="567"/>
              </w:tabs>
              <w:spacing w:before="0" w:line="240" w:lineRule="auto"/>
              <w:jc w:val="right"/>
              <w:rPr>
                <w:rFonts w:eastAsia="Times New Roman" w:cs="Open Sans Light"/>
                <w:sz w:val="16"/>
                <w:szCs w:val="16"/>
                <w:lang w:eastAsia="en-AU"/>
              </w:rPr>
            </w:pPr>
            <w:r w:rsidRPr="00D859B1">
              <w:rPr>
                <w:rFonts w:eastAsia="Times New Roman" w:cs="Open Sans Light"/>
                <w:sz w:val="16"/>
                <w:szCs w:val="16"/>
                <w:lang w:eastAsia="en-AU"/>
              </w:rPr>
              <w:t>7</w:t>
            </w:r>
          </w:p>
        </w:tc>
      </w:tr>
      <w:tr w:rsidR="00D859B1" w:rsidRPr="00D859B1" w14:paraId="5A68C3AB" w14:textId="77777777" w:rsidTr="00D859B1">
        <w:trPr>
          <w:trHeight w:val="259"/>
        </w:trPr>
        <w:tc>
          <w:tcPr>
            <w:tcW w:w="4040" w:type="dxa"/>
            <w:tcBorders>
              <w:top w:val="nil"/>
              <w:left w:val="nil"/>
              <w:bottom w:val="single" w:sz="4" w:space="0" w:color="ADD6EA"/>
              <w:right w:val="nil"/>
            </w:tcBorders>
            <w:shd w:val="clear" w:color="auto" w:fill="auto"/>
            <w:noWrap/>
            <w:vAlign w:val="bottom"/>
            <w:hideMark/>
          </w:tcPr>
          <w:p w14:paraId="7E837D8F" w14:textId="77777777" w:rsidR="00D859B1" w:rsidRPr="00D859B1" w:rsidRDefault="00D859B1" w:rsidP="00D859B1">
            <w:pPr>
              <w:tabs>
                <w:tab w:val="clear" w:pos="567"/>
              </w:tabs>
              <w:spacing w:before="0" w:line="240" w:lineRule="auto"/>
              <w:ind w:firstLineChars="100" w:firstLine="160"/>
              <w:rPr>
                <w:rFonts w:eastAsia="Times New Roman" w:cs="Open Sans Light"/>
                <w:sz w:val="16"/>
                <w:szCs w:val="16"/>
                <w:lang w:eastAsia="en-AU"/>
              </w:rPr>
            </w:pPr>
            <w:r w:rsidRPr="00D859B1">
              <w:rPr>
                <w:rFonts w:eastAsia="Times New Roman" w:cs="Open Sans Light"/>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1574C7DE" w14:textId="77777777" w:rsidR="00D859B1" w:rsidRPr="00D859B1" w:rsidRDefault="00D859B1" w:rsidP="00D859B1">
            <w:pPr>
              <w:tabs>
                <w:tab w:val="clear" w:pos="567"/>
              </w:tabs>
              <w:spacing w:before="0" w:line="240" w:lineRule="auto"/>
              <w:jc w:val="right"/>
              <w:rPr>
                <w:rFonts w:eastAsia="Times New Roman" w:cs="Open Sans Light"/>
                <w:sz w:val="16"/>
                <w:szCs w:val="16"/>
                <w:lang w:eastAsia="en-AU"/>
              </w:rPr>
            </w:pPr>
            <w:r w:rsidRPr="00D859B1">
              <w:rPr>
                <w:rFonts w:eastAsia="Times New Roman" w:cs="Open Sans Light"/>
                <w:sz w:val="16"/>
                <w:szCs w:val="16"/>
                <w:lang w:eastAsia="en-AU"/>
              </w:rPr>
              <w:t>-251</w:t>
            </w:r>
          </w:p>
        </w:tc>
        <w:tc>
          <w:tcPr>
            <w:tcW w:w="2400" w:type="dxa"/>
            <w:tcBorders>
              <w:top w:val="nil"/>
              <w:left w:val="nil"/>
              <w:bottom w:val="single" w:sz="4" w:space="0" w:color="ADD6EA"/>
              <w:right w:val="nil"/>
            </w:tcBorders>
            <w:shd w:val="clear" w:color="auto" w:fill="auto"/>
            <w:noWrap/>
            <w:vAlign w:val="bottom"/>
            <w:hideMark/>
          </w:tcPr>
          <w:p w14:paraId="3C245F4C" w14:textId="77777777" w:rsidR="00D859B1" w:rsidRPr="00D859B1" w:rsidRDefault="00D859B1" w:rsidP="00D859B1">
            <w:pPr>
              <w:tabs>
                <w:tab w:val="clear" w:pos="567"/>
              </w:tabs>
              <w:spacing w:before="0" w:line="240" w:lineRule="auto"/>
              <w:jc w:val="right"/>
              <w:rPr>
                <w:rFonts w:eastAsia="Times New Roman" w:cs="Open Sans Light"/>
                <w:sz w:val="16"/>
                <w:szCs w:val="16"/>
                <w:lang w:eastAsia="en-AU"/>
              </w:rPr>
            </w:pPr>
            <w:r w:rsidRPr="00D859B1">
              <w:rPr>
                <w:rFonts w:eastAsia="Times New Roman" w:cs="Open Sans Light"/>
                <w:sz w:val="16"/>
                <w:szCs w:val="16"/>
                <w:lang w:eastAsia="en-AU"/>
              </w:rPr>
              <w:t>-37</w:t>
            </w:r>
          </w:p>
        </w:tc>
      </w:tr>
      <w:tr w:rsidR="00D859B1" w:rsidRPr="00D859B1" w14:paraId="422BECD3" w14:textId="77777777" w:rsidTr="00D859B1">
        <w:trPr>
          <w:trHeight w:val="259"/>
        </w:trPr>
        <w:tc>
          <w:tcPr>
            <w:tcW w:w="4040" w:type="dxa"/>
            <w:tcBorders>
              <w:top w:val="nil"/>
              <w:left w:val="nil"/>
              <w:bottom w:val="single" w:sz="4" w:space="0" w:color="ADD6EA"/>
              <w:right w:val="nil"/>
            </w:tcBorders>
            <w:shd w:val="clear" w:color="auto" w:fill="auto"/>
            <w:noWrap/>
            <w:vAlign w:val="bottom"/>
            <w:hideMark/>
          </w:tcPr>
          <w:p w14:paraId="002767E4" w14:textId="77777777" w:rsidR="00D859B1" w:rsidRPr="00D859B1" w:rsidRDefault="00D859B1" w:rsidP="00D859B1">
            <w:pPr>
              <w:tabs>
                <w:tab w:val="clear" w:pos="567"/>
              </w:tabs>
              <w:spacing w:before="0" w:line="240" w:lineRule="auto"/>
              <w:ind w:firstLineChars="100" w:firstLine="160"/>
              <w:rPr>
                <w:rFonts w:eastAsia="Times New Roman" w:cs="Open Sans Light"/>
                <w:sz w:val="16"/>
                <w:szCs w:val="16"/>
                <w:lang w:eastAsia="en-AU"/>
              </w:rPr>
            </w:pPr>
            <w:r w:rsidRPr="00D859B1">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02C95778" w14:textId="77777777" w:rsidR="00D859B1" w:rsidRPr="00D859B1" w:rsidRDefault="00D859B1" w:rsidP="00D859B1">
            <w:pPr>
              <w:tabs>
                <w:tab w:val="clear" w:pos="567"/>
              </w:tabs>
              <w:spacing w:before="0" w:line="240" w:lineRule="auto"/>
              <w:jc w:val="right"/>
              <w:rPr>
                <w:rFonts w:eastAsia="Times New Roman" w:cs="Open Sans Light"/>
                <w:sz w:val="16"/>
                <w:szCs w:val="16"/>
                <w:lang w:eastAsia="en-AU"/>
              </w:rPr>
            </w:pPr>
            <w:r w:rsidRPr="00D859B1">
              <w:rPr>
                <w:rFonts w:eastAsia="Times New Roman" w:cs="Open Sans Light"/>
                <w:sz w:val="16"/>
                <w:szCs w:val="16"/>
                <w:lang w:eastAsia="en-AU"/>
              </w:rPr>
              <w:t>-206</w:t>
            </w:r>
          </w:p>
        </w:tc>
        <w:tc>
          <w:tcPr>
            <w:tcW w:w="2400" w:type="dxa"/>
            <w:tcBorders>
              <w:top w:val="nil"/>
              <w:left w:val="nil"/>
              <w:bottom w:val="single" w:sz="4" w:space="0" w:color="ADD6EA"/>
              <w:right w:val="nil"/>
            </w:tcBorders>
            <w:shd w:val="clear" w:color="auto" w:fill="auto"/>
            <w:noWrap/>
            <w:vAlign w:val="bottom"/>
            <w:hideMark/>
          </w:tcPr>
          <w:p w14:paraId="012D4E92" w14:textId="77777777" w:rsidR="00D859B1" w:rsidRPr="00D859B1" w:rsidRDefault="00D859B1" w:rsidP="00D859B1">
            <w:pPr>
              <w:tabs>
                <w:tab w:val="clear" w:pos="567"/>
              </w:tabs>
              <w:spacing w:before="0" w:line="240" w:lineRule="auto"/>
              <w:jc w:val="right"/>
              <w:rPr>
                <w:rFonts w:eastAsia="Times New Roman" w:cs="Open Sans Light"/>
                <w:sz w:val="16"/>
                <w:szCs w:val="16"/>
                <w:lang w:eastAsia="en-AU"/>
              </w:rPr>
            </w:pPr>
            <w:r w:rsidRPr="00D859B1">
              <w:rPr>
                <w:rFonts w:eastAsia="Times New Roman" w:cs="Open Sans Light"/>
                <w:sz w:val="16"/>
                <w:szCs w:val="16"/>
                <w:lang w:eastAsia="en-AU"/>
              </w:rPr>
              <w:t>-31</w:t>
            </w:r>
          </w:p>
        </w:tc>
      </w:tr>
      <w:tr w:rsidR="00D859B1" w:rsidRPr="00D859B1" w14:paraId="6D5CB78A" w14:textId="77777777" w:rsidTr="00D859B1">
        <w:trPr>
          <w:trHeight w:val="259"/>
        </w:trPr>
        <w:tc>
          <w:tcPr>
            <w:tcW w:w="4040" w:type="dxa"/>
            <w:tcBorders>
              <w:top w:val="nil"/>
              <w:left w:val="nil"/>
              <w:bottom w:val="single" w:sz="4" w:space="0" w:color="ADD6EA"/>
              <w:right w:val="nil"/>
            </w:tcBorders>
            <w:shd w:val="clear" w:color="auto" w:fill="auto"/>
            <w:noWrap/>
            <w:vAlign w:val="bottom"/>
            <w:hideMark/>
          </w:tcPr>
          <w:p w14:paraId="2A2944A4" w14:textId="77777777" w:rsidR="00D859B1" w:rsidRPr="00D859B1" w:rsidRDefault="00D859B1" w:rsidP="00D859B1">
            <w:pPr>
              <w:tabs>
                <w:tab w:val="clear" w:pos="567"/>
              </w:tabs>
              <w:spacing w:before="0" w:line="240" w:lineRule="auto"/>
              <w:rPr>
                <w:rFonts w:eastAsia="Times New Roman" w:cs="Open Sans Light"/>
                <w:sz w:val="16"/>
                <w:szCs w:val="16"/>
                <w:lang w:eastAsia="en-AU"/>
              </w:rPr>
            </w:pPr>
            <w:r w:rsidRPr="00D859B1">
              <w:rPr>
                <w:rFonts w:eastAsia="Times New Roman" w:cs="Open Sans Light"/>
                <w:sz w:val="16"/>
                <w:szCs w:val="16"/>
                <w:lang w:eastAsia="en-AU"/>
              </w:rPr>
              <w:t>Blended relativities and GST floor (a)</w:t>
            </w:r>
          </w:p>
        </w:tc>
        <w:tc>
          <w:tcPr>
            <w:tcW w:w="2500" w:type="dxa"/>
            <w:tcBorders>
              <w:top w:val="nil"/>
              <w:left w:val="nil"/>
              <w:bottom w:val="single" w:sz="4" w:space="0" w:color="ADD6EA"/>
              <w:right w:val="nil"/>
            </w:tcBorders>
            <w:shd w:val="clear" w:color="auto" w:fill="auto"/>
            <w:noWrap/>
            <w:vAlign w:val="bottom"/>
            <w:hideMark/>
          </w:tcPr>
          <w:p w14:paraId="0C3B0014" w14:textId="77777777" w:rsidR="00D859B1" w:rsidRPr="00D859B1" w:rsidRDefault="00D859B1" w:rsidP="00D859B1">
            <w:pPr>
              <w:tabs>
                <w:tab w:val="clear" w:pos="567"/>
              </w:tabs>
              <w:spacing w:before="0" w:line="240" w:lineRule="auto"/>
              <w:jc w:val="right"/>
              <w:rPr>
                <w:rFonts w:eastAsia="Times New Roman" w:cs="Open Sans Light"/>
                <w:sz w:val="16"/>
                <w:szCs w:val="16"/>
                <w:lang w:eastAsia="en-AU"/>
              </w:rPr>
            </w:pPr>
            <w:r w:rsidRPr="00D859B1">
              <w:rPr>
                <w:rFonts w:eastAsia="Times New Roman" w:cs="Open Sans Light"/>
                <w:sz w:val="16"/>
                <w:szCs w:val="16"/>
                <w:lang w:eastAsia="en-AU"/>
              </w:rPr>
              <w:t>-1,063</w:t>
            </w:r>
          </w:p>
        </w:tc>
        <w:tc>
          <w:tcPr>
            <w:tcW w:w="2400" w:type="dxa"/>
            <w:tcBorders>
              <w:top w:val="nil"/>
              <w:left w:val="nil"/>
              <w:bottom w:val="single" w:sz="4" w:space="0" w:color="ADD6EA"/>
              <w:right w:val="nil"/>
            </w:tcBorders>
            <w:shd w:val="clear" w:color="auto" w:fill="auto"/>
            <w:noWrap/>
            <w:vAlign w:val="bottom"/>
            <w:hideMark/>
          </w:tcPr>
          <w:p w14:paraId="4E7EB118" w14:textId="77777777" w:rsidR="00D859B1" w:rsidRPr="00D859B1" w:rsidRDefault="00D859B1" w:rsidP="00D859B1">
            <w:pPr>
              <w:tabs>
                <w:tab w:val="clear" w:pos="567"/>
              </w:tabs>
              <w:spacing w:before="0" w:line="240" w:lineRule="auto"/>
              <w:jc w:val="right"/>
              <w:rPr>
                <w:rFonts w:eastAsia="Times New Roman" w:cs="Open Sans Light"/>
                <w:sz w:val="16"/>
                <w:szCs w:val="16"/>
                <w:lang w:eastAsia="en-AU"/>
              </w:rPr>
            </w:pPr>
            <w:r w:rsidRPr="00D859B1">
              <w:rPr>
                <w:rFonts w:eastAsia="Times New Roman" w:cs="Open Sans Light"/>
                <w:sz w:val="16"/>
                <w:szCs w:val="16"/>
                <w:lang w:eastAsia="en-AU"/>
              </w:rPr>
              <w:t>-159</w:t>
            </w:r>
          </w:p>
        </w:tc>
      </w:tr>
      <w:tr w:rsidR="00D859B1" w:rsidRPr="00D859B1" w14:paraId="048BA0DB" w14:textId="77777777" w:rsidTr="00D859B1">
        <w:trPr>
          <w:trHeight w:val="259"/>
        </w:trPr>
        <w:tc>
          <w:tcPr>
            <w:tcW w:w="4040" w:type="dxa"/>
            <w:tcBorders>
              <w:top w:val="nil"/>
              <w:left w:val="nil"/>
              <w:bottom w:val="single" w:sz="4" w:space="0" w:color="ADD6EA"/>
              <w:right w:val="nil"/>
            </w:tcBorders>
            <w:shd w:val="clear" w:color="000000" w:fill="D6E7F0"/>
            <w:noWrap/>
            <w:vAlign w:val="bottom"/>
            <w:hideMark/>
          </w:tcPr>
          <w:p w14:paraId="18FA1076" w14:textId="77777777" w:rsidR="00D859B1" w:rsidRPr="00D859B1" w:rsidRDefault="00D859B1" w:rsidP="00D859B1">
            <w:pPr>
              <w:tabs>
                <w:tab w:val="clear" w:pos="567"/>
              </w:tabs>
              <w:spacing w:before="0" w:line="240" w:lineRule="auto"/>
              <w:rPr>
                <w:rFonts w:ascii="Open Sans Semibold" w:eastAsia="Times New Roman" w:hAnsi="Open Sans Semibold" w:cs="Open Sans Semibold"/>
                <w:color w:val="000000"/>
                <w:sz w:val="16"/>
                <w:szCs w:val="16"/>
                <w:lang w:eastAsia="en-AU"/>
              </w:rPr>
            </w:pPr>
            <w:r w:rsidRPr="00D859B1">
              <w:rPr>
                <w:rFonts w:ascii="Open Sans Semibold" w:eastAsia="Times New Roman" w:hAnsi="Open Sans Semibold" w:cs="Open Sans Semibold"/>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4C5644ED" w14:textId="77777777" w:rsidR="00D859B1" w:rsidRPr="00D859B1" w:rsidRDefault="00D859B1" w:rsidP="00D859B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859B1">
              <w:rPr>
                <w:rFonts w:ascii="Open Sans Semibold" w:eastAsia="Times New Roman" w:hAnsi="Open Sans Semibold" w:cs="Open Sans Semibold"/>
                <w:color w:val="000000"/>
                <w:sz w:val="16"/>
                <w:szCs w:val="16"/>
                <w:lang w:eastAsia="en-AU"/>
              </w:rPr>
              <w:t>-244</w:t>
            </w:r>
          </w:p>
        </w:tc>
        <w:tc>
          <w:tcPr>
            <w:tcW w:w="2400" w:type="dxa"/>
            <w:tcBorders>
              <w:top w:val="nil"/>
              <w:left w:val="nil"/>
              <w:bottom w:val="single" w:sz="4" w:space="0" w:color="ADD6EA"/>
              <w:right w:val="nil"/>
            </w:tcBorders>
            <w:shd w:val="clear" w:color="000000" w:fill="D6E7F0"/>
            <w:noWrap/>
            <w:vAlign w:val="bottom"/>
            <w:hideMark/>
          </w:tcPr>
          <w:p w14:paraId="249F0B92" w14:textId="77777777" w:rsidR="00D859B1" w:rsidRPr="00D859B1" w:rsidRDefault="00D859B1" w:rsidP="00D859B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859B1">
              <w:rPr>
                <w:rFonts w:ascii="Open Sans Semibold" w:eastAsia="Times New Roman" w:hAnsi="Open Sans Semibold" w:cs="Open Sans Semibold"/>
                <w:color w:val="000000"/>
                <w:sz w:val="16"/>
                <w:szCs w:val="16"/>
                <w:lang w:eastAsia="en-AU"/>
              </w:rPr>
              <w:t>-36</w:t>
            </w:r>
          </w:p>
        </w:tc>
      </w:tr>
    </w:tbl>
    <w:p w14:paraId="6A71641E" w14:textId="7E5A475E" w:rsidR="005A0452" w:rsidRPr="00923B2A" w:rsidRDefault="005A0452" w:rsidP="00923B2A">
      <w:pPr>
        <w:pStyle w:val="CGCTablenote"/>
      </w:pPr>
      <w:r w:rsidRPr="00923B2A">
        <w:t>Note:</w:t>
      </w:r>
      <w:r w:rsidRPr="00923B2A">
        <w:tab/>
        <w:t>Table may not add due to rounding.</w:t>
      </w:r>
    </w:p>
    <w:p w14:paraId="1B1ABAFA" w14:textId="77777777" w:rsidR="005A0452" w:rsidRPr="00923B2A" w:rsidRDefault="005A0452" w:rsidP="00923B2A">
      <w:pPr>
        <w:pStyle w:val="CGCTablenote"/>
      </w:pPr>
      <w:r w:rsidRPr="00923B2A">
        <w:t>(a)</w:t>
      </w:r>
      <w:r w:rsidRPr="00923B2A">
        <w:tab/>
        <w:t>This represents the difference between applying the GST relativities and assessed relativities to the GST pool. It is not the basis of the no worse off payments calculation, which is explained in Attachment A.</w:t>
      </w:r>
    </w:p>
    <w:p w14:paraId="6B83C7C2" w14:textId="35D7F176" w:rsidR="005A0452" w:rsidRPr="00923B2A" w:rsidRDefault="005A0452" w:rsidP="00923B2A">
      <w:pPr>
        <w:pStyle w:val="CGCTablenote"/>
      </w:pPr>
      <w:r w:rsidRPr="00923B2A">
        <w:t>Source:</w:t>
      </w:r>
      <w:r w:rsidRPr="00923B2A">
        <w:tab/>
        <w:t>Commission calculation</w:t>
      </w:r>
      <w:r w:rsidR="000C76DC" w:rsidRPr="000C76DC">
        <w:t>.</w:t>
      </w:r>
    </w:p>
    <w:p w14:paraId="39934D7F" w14:textId="3B50870B" w:rsidR="005A0452" w:rsidRDefault="005A0452" w:rsidP="003D5CC0">
      <w:pPr>
        <w:pStyle w:val="Caption"/>
        <w:widowControl w:val="0"/>
        <w:ind w:left="0" w:firstLine="0"/>
      </w:pPr>
      <w:r>
        <w:t>F</w:t>
      </w:r>
      <w:r w:rsidRPr="00442A3B">
        <w:t>igure 3</w:t>
      </w:r>
      <w:r w:rsidRPr="00442A3B">
        <w:noBreakHyphen/>
      </w:r>
      <w:r w:rsidRPr="00442A3B">
        <w:fldChar w:fldCharType="begin"/>
      </w:r>
      <w:r w:rsidRPr="00442A3B">
        <w:instrText>SEQ Figure \* ARABIC</w:instrText>
      </w:r>
      <w:r w:rsidRPr="00442A3B">
        <w:fldChar w:fldCharType="separate"/>
      </w:r>
      <w:r w:rsidR="00FE4664">
        <w:rPr>
          <w:noProof/>
        </w:rPr>
        <w:t>3</w:t>
      </w:r>
      <w:r w:rsidRPr="00442A3B">
        <w:fldChar w:fldCharType="end"/>
      </w:r>
      <w:r w:rsidRPr="00442A3B">
        <w:tab/>
      </w:r>
      <w:bookmarkEnd w:id="78"/>
      <w:bookmarkEnd w:id="79"/>
      <w:r>
        <w:t>Victoria: Main changes in assessed GST distribution, 2022 Update</w:t>
      </w:r>
    </w:p>
    <w:p w14:paraId="694888DC" w14:textId="01ADDD84" w:rsidR="003D5CC0" w:rsidRDefault="00C33B7B" w:rsidP="000C76DC">
      <w:pPr>
        <w:pStyle w:val="CGCTablenote"/>
        <w:rPr>
          <w:noProof/>
        </w:rPr>
      </w:pPr>
      <w:r w:rsidRPr="00C33B7B">
        <w:rPr>
          <w:noProof/>
        </w:rPr>
        <w:drawing>
          <wp:inline distT="0" distB="0" distL="0" distR="0" wp14:anchorId="16E848EF" wp14:editId="1FB7E54A">
            <wp:extent cx="5755640" cy="22967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5640" cy="2296795"/>
                    </a:xfrm>
                    <a:prstGeom prst="rect">
                      <a:avLst/>
                    </a:prstGeom>
                    <a:noFill/>
                    <a:ln>
                      <a:noFill/>
                    </a:ln>
                  </pic:spPr>
                </pic:pic>
              </a:graphicData>
            </a:graphic>
          </wp:inline>
        </w:drawing>
      </w:r>
    </w:p>
    <w:p w14:paraId="1B8ABE18" w14:textId="5CA96304" w:rsidR="005A0452" w:rsidRPr="00752C2C" w:rsidRDefault="005A0452" w:rsidP="00777AD5">
      <w:pPr>
        <w:pStyle w:val="CGCTablenote"/>
        <w:ind w:left="0" w:firstLine="0"/>
        <w:rPr>
          <w:rStyle w:val="FootnoteReference"/>
        </w:rPr>
      </w:pPr>
      <w:r w:rsidRPr="001F02C3">
        <w:rPr>
          <w:rStyle w:val="FootnoteReference"/>
        </w:rPr>
        <w:t>Source:</w:t>
      </w:r>
      <w:r w:rsidRPr="001F02C3">
        <w:rPr>
          <w:rStyle w:val="FootnoteReference"/>
        </w:rPr>
        <w:tab/>
        <w:t>Commission calculation</w:t>
      </w:r>
      <w:r w:rsidR="001F02C3">
        <w:t>.</w:t>
      </w:r>
      <w:r w:rsidRPr="00752C2C">
        <w:rPr>
          <w:rStyle w:val="FootnoteReference"/>
        </w:rPr>
        <w:br w:type="page"/>
      </w:r>
    </w:p>
    <w:p w14:paraId="34AB6441" w14:textId="77777777" w:rsidR="005A0452" w:rsidRDefault="005A0452" w:rsidP="000D6032">
      <w:pPr>
        <w:pStyle w:val="Heading2"/>
      </w:pPr>
      <w:r>
        <w:t>Quee</w:t>
      </w:r>
      <w:r>
        <w:rPr>
          <w:noProof/>
        </w:rPr>
        <w:drawing>
          <wp:anchor distT="0" distB="0" distL="114300" distR="114300" simplePos="0" relativeHeight="251658296" behindDoc="1" locked="1" layoutInCell="1" allowOverlap="1" wp14:anchorId="7338229E" wp14:editId="4BF44B8D">
            <wp:simplePos x="0" y="0"/>
            <wp:positionH relativeFrom="page">
              <wp:posOffset>0</wp:posOffset>
            </wp:positionH>
            <wp:positionV relativeFrom="margin">
              <wp:posOffset>-796925</wp:posOffset>
            </wp:positionV>
            <wp:extent cx="7563485" cy="10691495"/>
            <wp:effectExtent l="0" t="0" r="0" b="0"/>
            <wp:wrapNone/>
            <wp:docPr id="72" name="Picture 7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t>nsland</w:t>
      </w:r>
    </w:p>
    <w:p w14:paraId="2E31DAAB" w14:textId="34C9B04E" w:rsidR="005A0452" w:rsidRPr="00442A3B" w:rsidRDefault="005A0452" w:rsidP="0004064D">
      <w:pPr>
        <w:pStyle w:val="CGCBodyCopy"/>
      </w:pPr>
      <w:r w:rsidRPr="00442A3B">
        <w:t xml:space="preserve">Queensland’s </w:t>
      </w:r>
      <w:r>
        <w:t xml:space="preserve">share of the </w:t>
      </w:r>
      <w:r w:rsidRPr="00442A3B">
        <w:t xml:space="preserve">GST pool </w:t>
      </w:r>
      <w:r>
        <w:t>is estimated to</w:t>
      </w:r>
      <w:r w:rsidRPr="00442A3B">
        <w:t xml:space="preserve"> </w:t>
      </w:r>
      <w:r>
        <w:t>decrease</w:t>
      </w:r>
      <w:r w:rsidRPr="00442A3B">
        <w:t xml:space="preserve"> from </w:t>
      </w:r>
      <w:r w:rsidRPr="00200548">
        <w:t>21.</w:t>
      </w:r>
      <w:r>
        <w:t>5</w:t>
      </w:r>
      <w:r w:rsidRPr="00200548">
        <w:t>% to 21.2%</w:t>
      </w:r>
      <w:r>
        <w:t>. Combined w</w:t>
      </w:r>
      <w:r w:rsidRPr="00442A3B">
        <w:t xml:space="preserve">ith pool growth, </w:t>
      </w:r>
      <w:r>
        <w:t xml:space="preserve">but excluding no worse off payments, </w:t>
      </w:r>
      <w:r w:rsidRPr="00442A3B">
        <w:t xml:space="preserve">its </w:t>
      </w:r>
      <w:r w:rsidRPr="00097CB1">
        <w:t>estimated</w:t>
      </w:r>
      <w:r>
        <w:t xml:space="preserve"> </w:t>
      </w:r>
      <w:r w:rsidRPr="00442A3B">
        <w:t xml:space="preserve">GST </w:t>
      </w:r>
      <w:r>
        <w:t>distribution</w:t>
      </w:r>
      <w:r w:rsidRPr="00442A3B">
        <w:t xml:space="preserve"> in 202</w:t>
      </w:r>
      <w:r>
        <w:t>2</w:t>
      </w:r>
      <w:r w:rsidR="005D7252">
        <w:t>–</w:t>
      </w:r>
      <w:r w:rsidRPr="00442A3B">
        <w:t>2</w:t>
      </w:r>
      <w:r>
        <w:t>3</w:t>
      </w:r>
      <w:r w:rsidRPr="00442A3B">
        <w:t xml:space="preserve"> </w:t>
      </w:r>
      <w:r w:rsidR="00097CB1" w:rsidRPr="00097CB1">
        <w:t>w</w:t>
      </w:r>
      <w:r w:rsidR="00FC6C77">
        <w:t>ould</w:t>
      </w:r>
      <w:r>
        <w:t xml:space="preserve"> increase </w:t>
      </w:r>
      <w:r w:rsidRPr="00442A3B">
        <w:t xml:space="preserve">by </w:t>
      </w:r>
      <w:r w:rsidRPr="00B22E25">
        <w:t>$</w:t>
      </w:r>
      <w:r w:rsidR="008C2C9D">
        <w:t>645</w:t>
      </w:r>
      <w:r w:rsidRPr="00B22E25">
        <w:t> million</w:t>
      </w:r>
      <w:r w:rsidRPr="00A917D1">
        <w:t xml:space="preserve">, or </w:t>
      </w:r>
      <w:r>
        <w:t>4.</w:t>
      </w:r>
      <w:r w:rsidR="004E45CA">
        <w:t>1</w:t>
      </w:r>
      <w:r w:rsidRPr="00A917D1">
        <w:t>%</w:t>
      </w:r>
      <w:r w:rsidR="007F394A">
        <w:t>.</w:t>
      </w:r>
    </w:p>
    <w:p w14:paraId="499EAFC8" w14:textId="46B41C4A" w:rsidR="005A0452" w:rsidRPr="00442A3B" w:rsidRDefault="005A0452" w:rsidP="0004064D">
      <w:pPr>
        <w:pStyle w:val="CGCBodyCopy"/>
      </w:pPr>
      <w:r>
        <w:t>Queensland’s estimated GST distribution would increase</w:t>
      </w:r>
      <w:r w:rsidR="005337E4">
        <w:t>,</w:t>
      </w:r>
      <w:r w:rsidRPr="00442A3B">
        <w:t xml:space="preserve"> </w:t>
      </w:r>
      <w:r>
        <w:t xml:space="preserve">largely due to growth </w:t>
      </w:r>
      <w:r w:rsidR="002A7479">
        <w:t>in</w:t>
      </w:r>
      <w:r>
        <w:t xml:space="preserve"> the GST pool. </w:t>
      </w:r>
      <w:r w:rsidR="00F65F4B">
        <w:t>A</w:t>
      </w:r>
      <w:r w:rsidR="00532E90">
        <w:t xml:space="preserve"> </w:t>
      </w:r>
      <w:r>
        <w:t>decrease in the value of coal production</w:t>
      </w:r>
      <w:r w:rsidR="00532E90">
        <w:t>, combined with</w:t>
      </w:r>
      <w:r>
        <w:t xml:space="preserve"> </w:t>
      </w:r>
      <w:r w:rsidR="00532E90">
        <w:t xml:space="preserve">an </w:t>
      </w:r>
      <w:r w:rsidRPr="00213746">
        <w:t xml:space="preserve">increase in </w:t>
      </w:r>
      <w:r w:rsidR="00D56BA0">
        <w:t xml:space="preserve">the </w:t>
      </w:r>
      <w:r>
        <w:t>value of iron ore production</w:t>
      </w:r>
      <w:r w:rsidRPr="00213746">
        <w:t xml:space="preserve"> </w:t>
      </w:r>
      <w:r w:rsidR="00532E90">
        <w:t>in Western</w:t>
      </w:r>
      <w:r w:rsidR="000752E9">
        <w:t> </w:t>
      </w:r>
      <w:r w:rsidR="00532E90">
        <w:t xml:space="preserve">Australia, </w:t>
      </w:r>
      <w:r w:rsidRPr="00213746">
        <w:t>reduc</w:t>
      </w:r>
      <w:r>
        <w:t>ed</w:t>
      </w:r>
      <w:r w:rsidRPr="00213746">
        <w:t xml:space="preserve"> Queensland’s relative capacity to </w:t>
      </w:r>
      <w:r>
        <w:t>raise</w:t>
      </w:r>
      <w:r w:rsidRPr="00213746">
        <w:t xml:space="preserve"> mining revenue. The</w:t>
      </w:r>
      <w:r>
        <w:t>se factors</w:t>
      </w:r>
      <w:r w:rsidR="00087D2A">
        <w:t>, which</w:t>
      </w:r>
      <w:r w:rsidRPr="00213746">
        <w:t xml:space="preserve"> increas</w:t>
      </w:r>
      <w:r w:rsidR="00087D2A">
        <w:t>ed</w:t>
      </w:r>
      <w:r>
        <w:t xml:space="preserve"> Queensland’s assessed needs</w:t>
      </w:r>
      <w:r w:rsidR="00087D2A">
        <w:t>,</w:t>
      </w:r>
      <w:r>
        <w:t xml:space="preserve"> </w:t>
      </w:r>
      <w:r w:rsidRPr="00213746">
        <w:t>w</w:t>
      </w:r>
      <w:r>
        <w:t>ere</w:t>
      </w:r>
      <w:r w:rsidRPr="00213746">
        <w:t xml:space="preserve"> partly offset by </w:t>
      </w:r>
      <w:r>
        <w:t xml:space="preserve">its falling relative </w:t>
      </w:r>
      <w:r w:rsidRPr="00213746">
        <w:t xml:space="preserve">wage costs. </w:t>
      </w:r>
      <w:r>
        <w:t xml:space="preserve">The combined effect </w:t>
      </w:r>
      <w:r w:rsidRPr="000B025F">
        <w:t xml:space="preserve">of </w:t>
      </w:r>
      <w:r w:rsidRPr="00CD6D34">
        <w:t>blended relativities</w:t>
      </w:r>
      <w:r w:rsidRPr="000B025F">
        <w:t xml:space="preserve"> </w:t>
      </w:r>
      <w:r w:rsidRPr="00CD6D34">
        <w:t>and</w:t>
      </w:r>
      <w:r w:rsidRPr="000B025F">
        <w:t xml:space="preserve"> the</w:t>
      </w:r>
      <w:r>
        <w:t xml:space="preserve"> GST floor would </w:t>
      </w:r>
      <w:r w:rsidRPr="00C677B4">
        <w:t xml:space="preserve">reduce </w:t>
      </w:r>
      <w:r>
        <w:t>Queensland’</w:t>
      </w:r>
      <w:r w:rsidRPr="00C677B4">
        <w:t>s distribution</w:t>
      </w:r>
      <w:r w:rsidRPr="00602985">
        <w:t xml:space="preserve"> </w:t>
      </w:r>
      <w:r w:rsidRPr="00C677B4">
        <w:t>by $</w:t>
      </w:r>
      <w:r>
        <w:t>83</w:t>
      </w:r>
      <w:r w:rsidR="008C2C9D">
        <w:t>9</w:t>
      </w:r>
      <w:r>
        <w:t> </w:t>
      </w:r>
      <w:r w:rsidRPr="00707043">
        <w:t xml:space="preserve">million. Across the transition period, this impact </w:t>
      </w:r>
      <w:r w:rsidR="00A56EE4">
        <w:t xml:space="preserve">would be </w:t>
      </w:r>
      <w:r w:rsidRPr="00707043">
        <w:t>ameliorated by no</w:t>
      </w:r>
      <w:r>
        <w:t> </w:t>
      </w:r>
      <w:r w:rsidRPr="00707043">
        <w:t>worse</w:t>
      </w:r>
      <w:r>
        <w:t> </w:t>
      </w:r>
      <w:r w:rsidRPr="00707043">
        <w:t>off payments.</w:t>
      </w:r>
    </w:p>
    <w:p w14:paraId="67CA6771" w14:textId="64673544" w:rsidR="005A0452" w:rsidRPr="00442A3B" w:rsidRDefault="005A0452" w:rsidP="005A0452">
      <w:pPr>
        <w:pStyle w:val="Caption"/>
        <w:widowControl w:val="0"/>
      </w:pPr>
      <w:bookmarkStart w:id="80" w:name="_Toc62487284"/>
      <w:bookmarkStart w:id="81" w:name="_Toc62723814"/>
      <w:r w:rsidRPr="00442A3B">
        <w:t>Table 3</w:t>
      </w:r>
      <w:r w:rsidRPr="00442A3B">
        <w:noBreakHyphen/>
      </w:r>
      <w:r w:rsidRPr="00442A3B">
        <w:fldChar w:fldCharType="begin"/>
      </w:r>
      <w:r w:rsidRPr="00442A3B">
        <w:instrText>SEQ Table \* ARABIC</w:instrText>
      </w:r>
      <w:r w:rsidRPr="00442A3B">
        <w:fldChar w:fldCharType="separate"/>
      </w:r>
      <w:r w:rsidR="00FE4664">
        <w:rPr>
          <w:noProof/>
        </w:rPr>
        <w:t>3</w:t>
      </w:r>
      <w:r w:rsidRPr="00442A3B">
        <w:fldChar w:fldCharType="end"/>
      </w:r>
      <w:r w:rsidRPr="00442A3B">
        <w:tab/>
        <w:t>Change in estimated GST distribution from 202</w:t>
      </w:r>
      <w:r>
        <w:t>1</w:t>
      </w:r>
      <w:r w:rsidR="005D7252">
        <w:t>–</w:t>
      </w:r>
      <w:r w:rsidRPr="00442A3B">
        <w:t>2</w:t>
      </w:r>
      <w:r>
        <w:t>2</w:t>
      </w:r>
      <w:r w:rsidRPr="00442A3B">
        <w:t xml:space="preserve"> to 202</w:t>
      </w:r>
      <w:r>
        <w:t>2</w:t>
      </w:r>
      <w:r w:rsidR="005D7252">
        <w:t>–</w:t>
      </w:r>
      <w:r w:rsidRPr="00442A3B">
        <w:t>2</w:t>
      </w:r>
      <w:r>
        <w:t>3</w:t>
      </w:r>
      <w:r w:rsidRPr="00442A3B">
        <w:t>, Queensland</w:t>
      </w:r>
      <w:bookmarkEnd w:id="80"/>
      <w:bookmarkEnd w:id="81"/>
      <w:r>
        <w:t xml:space="preserve"> </w:t>
      </w:r>
      <w:r w:rsidRPr="00E50D19">
        <w:t>(exclud</w:t>
      </w:r>
      <w:r w:rsidR="0011097E">
        <w:t>es</w:t>
      </w:r>
      <w:r w:rsidRPr="00E50D19">
        <w:t xml:space="preserve"> no</w:t>
      </w:r>
      <w:r>
        <w:t> </w:t>
      </w:r>
      <w:r w:rsidRPr="00E50D19">
        <w:t>worse</w:t>
      </w:r>
      <w:r>
        <w:t> </w:t>
      </w:r>
      <w:r w:rsidRPr="00E50D19">
        <w:t>off payments)</w:t>
      </w:r>
    </w:p>
    <w:tbl>
      <w:tblPr>
        <w:tblW w:w="8940" w:type="dxa"/>
        <w:tblLook w:val="04A0" w:firstRow="1" w:lastRow="0" w:firstColumn="1" w:lastColumn="0" w:noHBand="0" w:noVBand="1"/>
      </w:tblPr>
      <w:tblGrid>
        <w:gridCol w:w="4040"/>
        <w:gridCol w:w="2500"/>
        <w:gridCol w:w="2400"/>
      </w:tblGrid>
      <w:tr w:rsidR="004A48DB" w:rsidRPr="004A48DB" w14:paraId="26D492AB" w14:textId="77777777" w:rsidTr="004A48DB">
        <w:trPr>
          <w:trHeight w:val="259"/>
        </w:trPr>
        <w:tc>
          <w:tcPr>
            <w:tcW w:w="4040" w:type="dxa"/>
            <w:tcBorders>
              <w:top w:val="nil"/>
              <w:left w:val="nil"/>
              <w:bottom w:val="single" w:sz="4" w:space="0" w:color="ADD6EA"/>
              <w:right w:val="nil"/>
            </w:tcBorders>
            <w:shd w:val="clear" w:color="000000" w:fill="006991"/>
            <w:noWrap/>
            <w:vAlign w:val="center"/>
            <w:hideMark/>
          </w:tcPr>
          <w:p w14:paraId="7DA5592D" w14:textId="77777777" w:rsidR="004A48DB" w:rsidRPr="004A48DB" w:rsidRDefault="004A48DB" w:rsidP="004A48D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82" w:name="_Toc62487174"/>
            <w:bookmarkStart w:id="83" w:name="_Toc62487330"/>
            <w:r w:rsidRPr="004A48DB">
              <w:rPr>
                <w:rFonts w:ascii="Open Sans Semibold" w:eastAsia="Times New Roman" w:hAnsi="Open Sans Semibold" w:cs="Open Sans Semibold"/>
                <w:color w:val="FFFFFF"/>
                <w:sz w:val="16"/>
                <w:szCs w:val="16"/>
                <w:lang w:eastAsia="en-AU"/>
              </w:rPr>
              <w:t> </w:t>
            </w:r>
          </w:p>
        </w:tc>
        <w:tc>
          <w:tcPr>
            <w:tcW w:w="2500" w:type="dxa"/>
            <w:tcBorders>
              <w:top w:val="nil"/>
              <w:left w:val="nil"/>
              <w:bottom w:val="single" w:sz="4" w:space="0" w:color="ADD6EA"/>
              <w:right w:val="nil"/>
            </w:tcBorders>
            <w:shd w:val="clear" w:color="000000" w:fill="006991"/>
            <w:noWrap/>
            <w:vAlign w:val="center"/>
            <w:hideMark/>
          </w:tcPr>
          <w:p w14:paraId="4B5B0E9B" w14:textId="77777777" w:rsidR="004A48DB" w:rsidRPr="004A48DB" w:rsidRDefault="004A48DB" w:rsidP="004A48D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A48DB">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7F4C2280" w14:textId="77777777" w:rsidR="004A48DB" w:rsidRPr="004A48DB" w:rsidRDefault="004A48DB" w:rsidP="004A48D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A48DB">
              <w:rPr>
                <w:rFonts w:ascii="Open Sans Semibold" w:eastAsia="Times New Roman" w:hAnsi="Open Sans Semibold" w:cs="Open Sans Semibold"/>
                <w:color w:val="FFFFFF"/>
                <w:sz w:val="16"/>
                <w:szCs w:val="16"/>
                <w:lang w:eastAsia="en-AU"/>
              </w:rPr>
              <w:t>$pc</w:t>
            </w:r>
          </w:p>
        </w:tc>
      </w:tr>
      <w:tr w:rsidR="004A48DB" w:rsidRPr="004A48DB" w14:paraId="18E839BB" w14:textId="77777777" w:rsidTr="004A48DB">
        <w:trPr>
          <w:trHeight w:val="259"/>
        </w:trPr>
        <w:tc>
          <w:tcPr>
            <w:tcW w:w="4040" w:type="dxa"/>
            <w:tcBorders>
              <w:top w:val="nil"/>
              <w:left w:val="nil"/>
              <w:bottom w:val="single" w:sz="4" w:space="0" w:color="ADD6EA"/>
              <w:right w:val="nil"/>
            </w:tcBorders>
            <w:shd w:val="clear" w:color="auto" w:fill="auto"/>
            <w:noWrap/>
            <w:vAlign w:val="bottom"/>
            <w:hideMark/>
          </w:tcPr>
          <w:p w14:paraId="440B81DD" w14:textId="77777777" w:rsidR="004A48DB" w:rsidRPr="004A48DB" w:rsidRDefault="004A48DB" w:rsidP="004A48DB">
            <w:pPr>
              <w:tabs>
                <w:tab w:val="clear" w:pos="567"/>
              </w:tabs>
              <w:spacing w:before="0" w:line="240" w:lineRule="auto"/>
              <w:rPr>
                <w:rFonts w:eastAsia="Times New Roman" w:cs="Open Sans Light"/>
                <w:sz w:val="16"/>
                <w:szCs w:val="16"/>
                <w:lang w:eastAsia="en-AU"/>
              </w:rPr>
            </w:pPr>
            <w:r w:rsidRPr="004A48DB">
              <w:rPr>
                <w:rFonts w:eastAsia="Times New Roman" w:cs="Open Sans Light"/>
                <w:sz w:val="16"/>
                <w:szCs w:val="16"/>
                <w:lang w:eastAsia="en-AU"/>
              </w:rPr>
              <w:t>Change in population</w:t>
            </w:r>
          </w:p>
        </w:tc>
        <w:tc>
          <w:tcPr>
            <w:tcW w:w="2500" w:type="dxa"/>
            <w:tcBorders>
              <w:top w:val="nil"/>
              <w:left w:val="nil"/>
              <w:bottom w:val="single" w:sz="4" w:space="0" w:color="ADD6EA"/>
              <w:right w:val="nil"/>
            </w:tcBorders>
            <w:shd w:val="clear" w:color="auto" w:fill="auto"/>
            <w:noWrap/>
            <w:vAlign w:val="bottom"/>
            <w:hideMark/>
          </w:tcPr>
          <w:p w14:paraId="0881C9AA" w14:textId="77777777" w:rsidR="004A48DB" w:rsidRPr="004A48DB" w:rsidRDefault="004A48DB" w:rsidP="004A48DB">
            <w:pPr>
              <w:tabs>
                <w:tab w:val="clear" w:pos="567"/>
              </w:tabs>
              <w:spacing w:before="0" w:line="240" w:lineRule="auto"/>
              <w:jc w:val="right"/>
              <w:rPr>
                <w:rFonts w:eastAsia="Times New Roman" w:cs="Open Sans Light"/>
                <w:sz w:val="16"/>
                <w:szCs w:val="16"/>
                <w:lang w:eastAsia="en-AU"/>
              </w:rPr>
            </w:pPr>
            <w:r w:rsidRPr="004A48DB">
              <w:rPr>
                <w:rFonts w:eastAsia="Times New Roman" w:cs="Open Sans Light"/>
                <w:sz w:val="16"/>
                <w:szCs w:val="16"/>
                <w:lang w:eastAsia="en-AU"/>
              </w:rPr>
              <w:t>83</w:t>
            </w:r>
          </w:p>
        </w:tc>
        <w:tc>
          <w:tcPr>
            <w:tcW w:w="2400" w:type="dxa"/>
            <w:tcBorders>
              <w:top w:val="nil"/>
              <w:left w:val="nil"/>
              <w:bottom w:val="single" w:sz="4" w:space="0" w:color="ADD6EA"/>
              <w:right w:val="nil"/>
            </w:tcBorders>
            <w:shd w:val="clear" w:color="auto" w:fill="auto"/>
            <w:noWrap/>
            <w:vAlign w:val="bottom"/>
            <w:hideMark/>
          </w:tcPr>
          <w:p w14:paraId="76223215" w14:textId="77777777" w:rsidR="004A48DB" w:rsidRPr="004A48DB" w:rsidRDefault="004A48DB" w:rsidP="004A48DB">
            <w:pPr>
              <w:tabs>
                <w:tab w:val="clear" w:pos="567"/>
              </w:tabs>
              <w:spacing w:before="0" w:line="240" w:lineRule="auto"/>
              <w:jc w:val="right"/>
              <w:rPr>
                <w:rFonts w:eastAsia="Times New Roman" w:cs="Open Sans Light"/>
                <w:sz w:val="16"/>
                <w:szCs w:val="16"/>
                <w:lang w:eastAsia="en-AU"/>
              </w:rPr>
            </w:pPr>
            <w:r w:rsidRPr="004A48DB">
              <w:rPr>
                <w:rFonts w:eastAsia="Times New Roman" w:cs="Open Sans Light"/>
                <w:sz w:val="16"/>
                <w:szCs w:val="16"/>
                <w:lang w:eastAsia="en-AU"/>
              </w:rPr>
              <w:t>16</w:t>
            </w:r>
          </w:p>
        </w:tc>
      </w:tr>
      <w:tr w:rsidR="004A48DB" w:rsidRPr="004A48DB" w14:paraId="27E400BE" w14:textId="77777777" w:rsidTr="004A48DB">
        <w:trPr>
          <w:trHeight w:val="259"/>
        </w:trPr>
        <w:tc>
          <w:tcPr>
            <w:tcW w:w="4040" w:type="dxa"/>
            <w:tcBorders>
              <w:top w:val="nil"/>
              <w:left w:val="nil"/>
              <w:bottom w:val="single" w:sz="4" w:space="0" w:color="ADD6EA"/>
              <w:right w:val="nil"/>
            </w:tcBorders>
            <w:shd w:val="clear" w:color="auto" w:fill="auto"/>
            <w:noWrap/>
            <w:vAlign w:val="bottom"/>
            <w:hideMark/>
          </w:tcPr>
          <w:p w14:paraId="1FFB7634" w14:textId="77777777" w:rsidR="004A48DB" w:rsidRPr="004A48DB" w:rsidRDefault="004A48DB" w:rsidP="004A48DB">
            <w:pPr>
              <w:tabs>
                <w:tab w:val="clear" w:pos="567"/>
              </w:tabs>
              <w:spacing w:before="0" w:line="240" w:lineRule="auto"/>
              <w:rPr>
                <w:rFonts w:eastAsia="Times New Roman" w:cs="Open Sans Light"/>
                <w:sz w:val="16"/>
                <w:szCs w:val="16"/>
                <w:lang w:eastAsia="en-AU"/>
              </w:rPr>
            </w:pPr>
            <w:r w:rsidRPr="004A48DB">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0CF2765F" w14:textId="77777777" w:rsidR="004A48DB" w:rsidRPr="004A48DB" w:rsidRDefault="004A48DB" w:rsidP="004A48DB">
            <w:pPr>
              <w:tabs>
                <w:tab w:val="clear" w:pos="567"/>
              </w:tabs>
              <w:spacing w:before="0" w:line="240" w:lineRule="auto"/>
              <w:jc w:val="right"/>
              <w:rPr>
                <w:rFonts w:eastAsia="Times New Roman" w:cs="Open Sans Light"/>
                <w:sz w:val="16"/>
                <w:szCs w:val="16"/>
                <w:lang w:eastAsia="en-AU"/>
              </w:rPr>
            </w:pPr>
            <w:r w:rsidRPr="004A48DB">
              <w:rPr>
                <w:rFonts w:eastAsia="Times New Roman" w:cs="Open Sans Light"/>
                <w:sz w:val="16"/>
                <w:szCs w:val="16"/>
                <w:lang w:eastAsia="en-AU"/>
              </w:rPr>
              <w:t>941</w:t>
            </w:r>
          </w:p>
        </w:tc>
        <w:tc>
          <w:tcPr>
            <w:tcW w:w="2400" w:type="dxa"/>
            <w:tcBorders>
              <w:top w:val="nil"/>
              <w:left w:val="nil"/>
              <w:bottom w:val="single" w:sz="4" w:space="0" w:color="ADD6EA"/>
              <w:right w:val="nil"/>
            </w:tcBorders>
            <w:shd w:val="clear" w:color="auto" w:fill="auto"/>
            <w:noWrap/>
            <w:vAlign w:val="bottom"/>
            <w:hideMark/>
          </w:tcPr>
          <w:p w14:paraId="4CB3C6F2" w14:textId="77777777" w:rsidR="004A48DB" w:rsidRPr="004A48DB" w:rsidRDefault="004A48DB" w:rsidP="004A48DB">
            <w:pPr>
              <w:tabs>
                <w:tab w:val="clear" w:pos="567"/>
              </w:tabs>
              <w:spacing w:before="0" w:line="240" w:lineRule="auto"/>
              <w:jc w:val="right"/>
              <w:rPr>
                <w:rFonts w:eastAsia="Times New Roman" w:cs="Open Sans Light"/>
                <w:sz w:val="16"/>
                <w:szCs w:val="16"/>
                <w:lang w:eastAsia="en-AU"/>
              </w:rPr>
            </w:pPr>
            <w:r w:rsidRPr="004A48DB">
              <w:rPr>
                <w:rFonts w:eastAsia="Times New Roman" w:cs="Open Sans Light"/>
                <w:sz w:val="16"/>
                <w:szCs w:val="16"/>
                <w:lang w:eastAsia="en-AU"/>
              </w:rPr>
              <w:t>177</w:t>
            </w:r>
          </w:p>
        </w:tc>
      </w:tr>
      <w:tr w:rsidR="004A48DB" w:rsidRPr="004A48DB" w14:paraId="1486A2C4" w14:textId="77777777" w:rsidTr="004A48DB">
        <w:trPr>
          <w:trHeight w:val="259"/>
        </w:trPr>
        <w:tc>
          <w:tcPr>
            <w:tcW w:w="4040" w:type="dxa"/>
            <w:tcBorders>
              <w:top w:val="nil"/>
              <w:left w:val="nil"/>
              <w:bottom w:val="single" w:sz="4" w:space="0" w:color="ADD6EA"/>
              <w:right w:val="nil"/>
            </w:tcBorders>
            <w:shd w:val="clear" w:color="auto" w:fill="auto"/>
            <w:noWrap/>
            <w:vAlign w:val="bottom"/>
            <w:hideMark/>
          </w:tcPr>
          <w:p w14:paraId="70FD2FCB" w14:textId="77777777" w:rsidR="004A48DB" w:rsidRPr="004A48DB" w:rsidRDefault="004A48DB" w:rsidP="004A48DB">
            <w:pPr>
              <w:tabs>
                <w:tab w:val="clear" w:pos="567"/>
              </w:tabs>
              <w:spacing w:before="0" w:line="240" w:lineRule="auto"/>
              <w:rPr>
                <w:rFonts w:eastAsia="Times New Roman" w:cs="Open Sans Light"/>
                <w:sz w:val="16"/>
                <w:szCs w:val="16"/>
                <w:lang w:eastAsia="en-AU"/>
              </w:rPr>
            </w:pPr>
            <w:r w:rsidRPr="004A48DB">
              <w:rPr>
                <w:rFonts w:eastAsia="Times New Roman" w:cs="Open Sans Light"/>
                <w:sz w:val="16"/>
                <w:szCs w:val="16"/>
                <w:lang w:eastAsia="en-AU"/>
              </w:rPr>
              <w:t>Changes in assessed needs</w:t>
            </w:r>
          </w:p>
        </w:tc>
        <w:tc>
          <w:tcPr>
            <w:tcW w:w="2500" w:type="dxa"/>
            <w:tcBorders>
              <w:top w:val="nil"/>
              <w:left w:val="nil"/>
              <w:bottom w:val="single" w:sz="4" w:space="0" w:color="ADD6EA"/>
              <w:right w:val="nil"/>
            </w:tcBorders>
            <w:shd w:val="clear" w:color="auto" w:fill="auto"/>
            <w:noWrap/>
            <w:vAlign w:val="bottom"/>
            <w:hideMark/>
          </w:tcPr>
          <w:p w14:paraId="3C1F767B" w14:textId="77777777" w:rsidR="004A48DB" w:rsidRPr="004A48DB" w:rsidRDefault="004A48DB" w:rsidP="004A48DB">
            <w:pPr>
              <w:tabs>
                <w:tab w:val="clear" w:pos="567"/>
              </w:tabs>
              <w:spacing w:before="0" w:line="240" w:lineRule="auto"/>
              <w:jc w:val="right"/>
              <w:rPr>
                <w:rFonts w:eastAsia="Times New Roman" w:cs="Open Sans Light"/>
                <w:sz w:val="16"/>
                <w:szCs w:val="16"/>
                <w:lang w:eastAsia="en-AU"/>
              </w:rPr>
            </w:pPr>
            <w:r w:rsidRPr="004A48DB">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1E1130B7" w14:textId="77777777" w:rsidR="004A48DB" w:rsidRPr="004A48DB" w:rsidRDefault="004A48DB" w:rsidP="004A48DB">
            <w:pPr>
              <w:tabs>
                <w:tab w:val="clear" w:pos="567"/>
              </w:tabs>
              <w:spacing w:before="0" w:line="240" w:lineRule="auto"/>
              <w:jc w:val="right"/>
              <w:rPr>
                <w:rFonts w:eastAsia="Times New Roman" w:cs="Open Sans Light"/>
                <w:sz w:val="16"/>
                <w:szCs w:val="16"/>
                <w:lang w:eastAsia="en-AU"/>
              </w:rPr>
            </w:pPr>
            <w:r w:rsidRPr="004A48DB">
              <w:rPr>
                <w:rFonts w:eastAsia="Times New Roman" w:cs="Open Sans Light"/>
                <w:sz w:val="16"/>
                <w:szCs w:val="16"/>
                <w:lang w:eastAsia="en-AU"/>
              </w:rPr>
              <w:t> </w:t>
            </w:r>
          </w:p>
        </w:tc>
      </w:tr>
      <w:tr w:rsidR="004A48DB" w:rsidRPr="004A48DB" w14:paraId="76EE9255" w14:textId="77777777" w:rsidTr="004A48DB">
        <w:trPr>
          <w:trHeight w:val="259"/>
        </w:trPr>
        <w:tc>
          <w:tcPr>
            <w:tcW w:w="4040" w:type="dxa"/>
            <w:tcBorders>
              <w:top w:val="nil"/>
              <w:left w:val="nil"/>
              <w:bottom w:val="single" w:sz="4" w:space="0" w:color="ADD6EA"/>
              <w:right w:val="nil"/>
            </w:tcBorders>
            <w:shd w:val="clear" w:color="auto" w:fill="auto"/>
            <w:noWrap/>
            <w:vAlign w:val="bottom"/>
            <w:hideMark/>
          </w:tcPr>
          <w:p w14:paraId="0C1EFB38" w14:textId="77777777" w:rsidR="004A48DB" w:rsidRPr="004A48DB" w:rsidRDefault="004A48DB" w:rsidP="004A48DB">
            <w:pPr>
              <w:tabs>
                <w:tab w:val="clear" w:pos="567"/>
              </w:tabs>
              <w:spacing w:before="0" w:line="240" w:lineRule="auto"/>
              <w:ind w:firstLineChars="100" w:firstLine="160"/>
              <w:rPr>
                <w:rFonts w:eastAsia="Times New Roman" w:cs="Open Sans Light"/>
                <w:sz w:val="16"/>
                <w:szCs w:val="16"/>
                <w:lang w:eastAsia="en-AU"/>
              </w:rPr>
            </w:pPr>
            <w:r w:rsidRPr="004A48DB">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1B9847CC" w14:textId="77777777" w:rsidR="004A48DB" w:rsidRPr="004A48DB" w:rsidRDefault="004A48DB" w:rsidP="004A48DB">
            <w:pPr>
              <w:tabs>
                <w:tab w:val="clear" w:pos="567"/>
              </w:tabs>
              <w:spacing w:before="0" w:line="240" w:lineRule="auto"/>
              <w:jc w:val="right"/>
              <w:rPr>
                <w:rFonts w:eastAsia="Times New Roman" w:cs="Open Sans Light"/>
                <w:sz w:val="16"/>
                <w:szCs w:val="16"/>
                <w:lang w:eastAsia="en-AU"/>
              </w:rPr>
            </w:pPr>
            <w:r w:rsidRPr="004A48DB">
              <w:rPr>
                <w:rFonts w:eastAsia="Times New Roman" w:cs="Open Sans Light"/>
                <w:sz w:val="16"/>
                <w:szCs w:val="16"/>
                <w:lang w:eastAsia="en-AU"/>
              </w:rPr>
              <w:t>-73</w:t>
            </w:r>
          </w:p>
        </w:tc>
        <w:tc>
          <w:tcPr>
            <w:tcW w:w="2400" w:type="dxa"/>
            <w:tcBorders>
              <w:top w:val="nil"/>
              <w:left w:val="nil"/>
              <w:bottom w:val="single" w:sz="4" w:space="0" w:color="ADD6EA"/>
              <w:right w:val="nil"/>
            </w:tcBorders>
            <w:shd w:val="clear" w:color="auto" w:fill="auto"/>
            <w:noWrap/>
            <w:vAlign w:val="bottom"/>
            <w:hideMark/>
          </w:tcPr>
          <w:p w14:paraId="3C071648" w14:textId="77777777" w:rsidR="004A48DB" w:rsidRPr="004A48DB" w:rsidRDefault="004A48DB" w:rsidP="004A48DB">
            <w:pPr>
              <w:tabs>
                <w:tab w:val="clear" w:pos="567"/>
              </w:tabs>
              <w:spacing w:before="0" w:line="240" w:lineRule="auto"/>
              <w:jc w:val="right"/>
              <w:rPr>
                <w:rFonts w:eastAsia="Times New Roman" w:cs="Open Sans Light"/>
                <w:sz w:val="16"/>
                <w:szCs w:val="16"/>
                <w:lang w:eastAsia="en-AU"/>
              </w:rPr>
            </w:pPr>
            <w:r w:rsidRPr="004A48DB">
              <w:rPr>
                <w:rFonts w:eastAsia="Times New Roman" w:cs="Open Sans Light"/>
                <w:sz w:val="16"/>
                <w:szCs w:val="16"/>
                <w:lang w:eastAsia="en-AU"/>
              </w:rPr>
              <w:t>-14</w:t>
            </w:r>
          </w:p>
        </w:tc>
      </w:tr>
      <w:tr w:rsidR="004A48DB" w:rsidRPr="004A48DB" w14:paraId="68AABEA6" w14:textId="77777777" w:rsidTr="004A48DB">
        <w:trPr>
          <w:trHeight w:val="259"/>
        </w:trPr>
        <w:tc>
          <w:tcPr>
            <w:tcW w:w="4040" w:type="dxa"/>
            <w:tcBorders>
              <w:top w:val="nil"/>
              <w:left w:val="nil"/>
              <w:bottom w:val="single" w:sz="4" w:space="0" w:color="ADD6EA"/>
              <w:right w:val="nil"/>
            </w:tcBorders>
            <w:shd w:val="clear" w:color="auto" w:fill="auto"/>
            <w:noWrap/>
            <w:vAlign w:val="bottom"/>
            <w:hideMark/>
          </w:tcPr>
          <w:p w14:paraId="3970C057" w14:textId="77777777" w:rsidR="004A48DB" w:rsidRPr="004A48DB" w:rsidRDefault="004A48DB" w:rsidP="004A48DB">
            <w:pPr>
              <w:tabs>
                <w:tab w:val="clear" w:pos="567"/>
              </w:tabs>
              <w:spacing w:before="0" w:line="240" w:lineRule="auto"/>
              <w:ind w:firstLineChars="100" w:firstLine="160"/>
              <w:rPr>
                <w:rFonts w:eastAsia="Times New Roman" w:cs="Open Sans Light"/>
                <w:sz w:val="16"/>
                <w:szCs w:val="16"/>
                <w:lang w:eastAsia="en-AU"/>
              </w:rPr>
            </w:pPr>
            <w:r w:rsidRPr="004A48DB">
              <w:rPr>
                <w:rFonts w:eastAsia="Times New Roman" w:cs="Open Sans Light"/>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358F8E04" w14:textId="77777777" w:rsidR="004A48DB" w:rsidRPr="004A48DB" w:rsidRDefault="004A48DB" w:rsidP="004A48DB">
            <w:pPr>
              <w:tabs>
                <w:tab w:val="clear" w:pos="567"/>
              </w:tabs>
              <w:spacing w:before="0" w:line="240" w:lineRule="auto"/>
              <w:jc w:val="right"/>
              <w:rPr>
                <w:rFonts w:eastAsia="Times New Roman" w:cs="Open Sans Light"/>
                <w:sz w:val="16"/>
                <w:szCs w:val="16"/>
                <w:lang w:eastAsia="en-AU"/>
              </w:rPr>
            </w:pPr>
            <w:r w:rsidRPr="004A48DB">
              <w:rPr>
                <w:rFonts w:eastAsia="Times New Roman" w:cs="Open Sans Light"/>
                <w:sz w:val="16"/>
                <w:szCs w:val="16"/>
                <w:lang w:eastAsia="en-AU"/>
              </w:rPr>
              <w:t>533</w:t>
            </w:r>
          </w:p>
        </w:tc>
        <w:tc>
          <w:tcPr>
            <w:tcW w:w="2400" w:type="dxa"/>
            <w:tcBorders>
              <w:top w:val="nil"/>
              <w:left w:val="nil"/>
              <w:bottom w:val="single" w:sz="4" w:space="0" w:color="ADD6EA"/>
              <w:right w:val="nil"/>
            </w:tcBorders>
            <w:shd w:val="clear" w:color="auto" w:fill="auto"/>
            <w:noWrap/>
            <w:vAlign w:val="bottom"/>
            <w:hideMark/>
          </w:tcPr>
          <w:p w14:paraId="5F480312" w14:textId="77777777" w:rsidR="004A48DB" w:rsidRPr="004A48DB" w:rsidRDefault="004A48DB" w:rsidP="004A48DB">
            <w:pPr>
              <w:tabs>
                <w:tab w:val="clear" w:pos="567"/>
              </w:tabs>
              <w:spacing w:before="0" w:line="240" w:lineRule="auto"/>
              <w:jc w:val="right"/>
              <w:rPr>
                <w:rFonts w:eastAsia="Times New Roman" w:cs="Open Sans Light"/>
                <w:sz w:val="16"/>
                <w:szCs w:val="16"/>
                <w:lang w:eastAsia="en-AU"/>
              </w:rPr>
            </w:pPr>
            <w:r w:rsidRPr="004A48DB">
              <w:rPr>
                <w:rFonts w:eastAsia="Times New Roman" w:cs="Open Sans Light"/>
                <w:sz w:val="16"/>
                <w:szCs w:val="16"/>
                <w:lang w:eastAsia="en-AU"/>
              </w:rPr>
              <w:t>100</w:t>
            </w:r>
          </w:p>
        </w:tc>
      </w:tr>
      <w:tr w:rsidR="004A48DB" w:rsidRPr="004A48DB" w14:paraId="5CB4D213" w14:textId="77777777" w:rsidTr="004A48DB">
        <w:trPr>
          <w:trHeight w:val="259"/>
        </w:trPr>
        <w:tc>
          <w:tcPr>
            <w:tcW w:w="4040" w:type="dxa"/>
            <w:tcBorders>
              <w:top w:val="nil"/>
              <w:left w:val="nil"/>
              <w:bottom w:val="single" w:sz="4" w:space="0" w:color="ADD6EA"/>
              <w:right w:val="nil"/>
            </w:tcBorders>
            <w:shd w:val="clear" w:color="auto" w:fill="auto"/>
            <w:noWrap/>
            <w:vAlign w:val="bottom"/>
            <w:hideMark/>
          </w:tcPr>
          <w:p w14:paraId="7960E2D5" w14:textId="77777777" w:rsidR="004A48DB" w:rsidRPr="004A48DB" w:rsidRDefault="004A48DB" w:rsidP="004A48DB">
            <w:pPr>
              <w:tabs>
                <w:tab w:val="clear" w:pos="567"/>
              </w:tabs>
              <w:spacing w:before="0" w:line="240" w:lineRule="auto"/>
              <w:ind w:firstLineChars="100" w:firstLine="160"/>
              <w:rPr>
                <w:rFonts w:eastAsia="Times New Roman" w:cs="Open Sans Light"/>
                <w:sz w:val="16"/>
                <w:szCs w:val="16"/>
                <w:lang w:eastAsia="en-AU"/>
              </w:rPr>
            </w:pPr>
            <w:r w:rsidRPr="004A48DB">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14EB013D" w14:textId="77777777" w:rsidR="004A48DB" w:rsidRPr="004A48DB" w:rsidRDefault="004A48DB" w:rsidP="004A48DB">
            <w:pPr>
              <w:tabs>
                <w:tab w:val="clear" w:pos="567"/>
              </w:tabs>
              <w:spacing w:before="0" w:line="240" w:lineRule="auto"/>
              <w:jc w:val="right"/>
              <w:rPr>
                <w:rFonts w:eastAsia="Times New Roman" w:cs="Open Sans Light"/>
                <w:sz w:val="16"/>
                <w:szCs w:val="16"/>
                <w:lang w:eastAsia="en-AU"/>
              </w:rPr>
            </w:pPr>
            <w:r w:rsidRPr="004A48DB">
              <w:rPr>
                <w:rFonts w:eastAsia="Times New Roman" w:cs="Open Sans Light"/>
                <w:sz w:val="16"/>
                <w:szCs w:val="16"/>
                <w:lang w:eastAsia="en-AU"/>
              </w:rPr>
              <w:t>459</w:t>
            </w:r>
          </w:p>
        </w:tc>
        <w:tc>
          <w:tcPr>
            <w:tcW w:w="2400" w:type="dxa"/>
            <w:tcBorders>
              <w:top w:val="nil"/>
              <w:left w:val="nil"/>
              <w:bottom w:val="single" w:sz="4" w:space="0" w:color="ADD6EA"/>
              <w:right w:val="nil"/>
            </w:tcBorders>
            <w:shd w:val="clear" w:color="auto" w:fill="auto"/>
            <w:noWrap/>
            <w:vAlign w:val="bottom"/>
            <w:hideMark/>
          </w:tcPr>
          <w:p w14:paraId="169B3E61" w14:textId="77777777" w:rsidR="004A48DB" w:rsidRPr="004A48DB" w:rsidRDefault="004A48DB" w:rsidP="004A48DB">
            <w:pPr>
              <w:tabs>
                <w:tab w:val="clear" w:pos="567"/>
              </w:tabs>
              <w:spacing w:before="0" w:line="240" w:lineRule="auto"/>
              <w:jc w:val="right"/>
              <w:rPr>
                <w:rFonts w:eastAsia="Times New Roman" w:cs="Open Sans Light"/>
                <w:sz w:val="16"/>
                <w:szCs w:val="16"/>
                <w:lang w:eastAsia="en-AU"/>
              </w:rPr>
            </w:pPr>
            <w:r w:rsidRPr="004A48DB">
              <w:rPr>
                <w:rFonts w:eastAsia="Times New Roman" w:cs="Open Sans Light"/>
                <w:sz w:val="16"/>
                <w:szCs w:val="16"/>
                <w:lang w:eastAsia="en-AU"/>
              </w:rPr>
              <w:t>86</w:t>
            </w:r>
          </w:p>
        </w:tc>
      </w:tr>
      <w:tr w:rsidR="004A48DB" w:rsidRPr="004A48DB" w14:paraId="336B5DBF" w14:textId="77777777" w:rsidTr="004A48DB">
        <w:trPr>
          <w:trHeight w:val="259"/>
        </w:trPr>
        <w:tc>
          <w:tcPr>
            <w:tcW w:w="4040" w:type="dxa"/>
            <w:tcBorders>
              <w:top w:val="nil"/>
              <w:left w:val="nil"/>
              <w:bottom w:val="single" w:sz="4" w:space="0" w:color="ADD6EA"/>
              <w:right w:val="nil"/>
            </w:tcBorders>
            <w:shd w:val="clear" w:color="auto" w:fill="auto"/>
            <w:noWrap/>
            <w:vAlign w:val="bottom"/>
            <w:hideMark/>
          </w:tcPr>
          <w:p w14:paraId="1FEBFDA5" w14:textId="77777777" w:rsidR="004A48DB" w:rsidRPr="004A48DB" w:rsidRDefault="004A48DB" w:rsidP="004A48DB">
            <w:pPr>
              <w:tabs>
                <w:tab w:val="clear" w:pos="567"/>
              </w:tabs>
              <w:spacing w:before="0" w:line="240" w:lineRule="auto"/>
              <w:rPr>
                <w:rFonts w:eastAsia="Times New Roman" w:cs="Open Sans Light"/>
                <w:sz w:val="16"/>
                <w:szCs w:val="16"/>
                <w:lang w:eastAsia="en-AU"/>
              </w:rPr>
            </w:pPr>
            <w:r w:rsidRPr="004A48DB">
              <w:rPr>
                <w:rFonts w:eastAsia="Times New Roman" w:cs="Open Sans Light"/>
                <w:sz w:val="16"/>
                <w:szCs w:val="16"/>
                <w:lang w:eastAsia="en-AU"/>
              </w:rPr>
              <w:t>Blended relativities and GST floor (a)</w:t>
            </w:r>
          </w:p>
        </w:tc>
        <w:tc>
          <w:tcPr>
            <w:tcW w:w="2500" w:type="dxa"/>
            <w:tcBorders>
              <w:top w:val="nil"/>
              <w:left w:val="nil"/>
              <w:bottom w:val="single" w:sz="4" w:space="0" w:color="ADD6EA"/>
              <w:right w:val="nil"/>
            </w:tcBorders>
            <w:shd w:val="clear" w:color="auto" w:fill="auto"/>
            <w:noWrap/>
            <w:vAlign w:val="bottom"/>
            <w:hideMark/>
          </w:tcPr>
          <w:p w14:paraId="3B6E5525" w14:textId="77777777" w:rsidR="004A48DB" w:rsidRPr="004A48DB" w:rsidRDefault="004A48DB" w:rsidP="004A48DB">
            <w:pPr>
              <w:tabs>
                <w:tab w:val="clear" w:pos="567"/>
              </w:tabs>
              <w:spacing w:before="0" w:line="240" w:lineRule="auto"/>
              <w:jc w:val="right"/>
              <w:rPr>
                <w:rFonts w:eastAsia="Times New Roman" w:cs="Open Sans Light"/>
                <w:sz w:val="16"/>
                <w:szCs w:val="16"/>
                <w:lang w:eastAsia="en-AU"/>
              </w:rPr>
            </w:pPr>
            <w:r w:rsidRPr="004A48DB">
              <w:rPr>
                <w:rFonts w:eastAsia="Times New Roman" w:cs="Open Sans Light"/>
                <w:sz w:val="16"/>
                <w:szCs w:val="16"/>
                <w:lang w:eastAsia="en-AU"/>
              </w:rPr>
              <w:t>-839</w:t>
            </w:r>
          </w:p>
        </w:tc>
        <w:tc>
          <w:tcPr>
            <w:tcW w:w="2400" w:type="dxa"/>
            <w:tcBorders>
              <w:top w:val="nil"/>
              <w:left w:val="nil"/>
              <w:bottom w:val="single" w:sz="4" w:space="0" w:color="ADD6EA"/>
              <w:right w:val="nil"/>
            </w:tcBorders>
            <w:shd w:val="clear" w:color="auto" w:fill="auto"/>
            <w:noWrap/>
            <w:vAlign w:val="bottom"/>
            <w:hideMark/>
          </w:tcPr>
          <w:p w14:paraId="12C53ABF" w14:textId="77777777" w:rsidR="004A48DB" w:rsidRPr="004A48DB" w:rsidRDefault="004A48DB" w:rsidP="004A48DB">
            <w:pPr>
              <w:tabs>
                <w:tab w:val="clear" w:pos="567"/>
              </w:tabs>
              <w:spacing w:before="0" w:line="240" w:lineRule="auto"/>
              <w:jc w:val="right"/>
              <w:rPr>
                <w:rFonts w:eastAsia="Times New Roman" w:cs="Open Sans Light"/>
                <w:sz w:val="16"/>
                <w:szCs w:val="16"/>
                <w:lang w:eastAsia="en-AU"/>
              </w:rPr>
            </w:pPr>
            <w:r w:rsidRPr="004A48DB">
              <w:rPr>
                <w:rFonts w:eastAsia="Times New Roman" w:cs="Open Sans Light"/>
                <w:sz w:val="16"/>
                <w:szCs w:val="16"/>
                <w:lang w:eastAsia="en-AU"/>
              </w:rPr>
              <w:t>-158</w:t>
            </w:r>
          </w:p>
        </w:tc>
      </w:tr>
      <w:tr w:rsidR="004A48DB" w:rsidRPr="004A48DB" w14:paraId="1D06A612" w14:textId="77777777" w:rsidTr="004A48DB">
        <w:trPr>
          <w:trHeight w:val="259"/>
        </w:trPr>
        <w:tc>
          <w:tcPr>
            <w:tcW w:w="4040" w:type="dxa"/>
            <w:tcBorders>
              <w:top w:val="nil"/>
              <w:left w:val="nil"/>
              <w:bottom w:val="single" w:sz="4" w:space="0" w:color="ADD6EA"/>
              <w:right w:val="nil"/>
            </w:tcBorders>
            <w:shd w:val="clear" w:color="000000" w:fill="D6E7F0"/>
            <w:noWrap/>
            <w:vAlign w:val="bottom"/>
            <w:hideMark/>
          </w:tcPr>
          <w:p w14:paraId="38F8303E" w14:textId="77777777" w:rsidR="004A48DB" w:rsidRPr="004A48DB" w:rsidRDefault="004A48DB" w:rsidP="004A48DB">
            <w:pPr>
              <w:tabs>
                <w:tab w:val="clear" w:pos="567"/>
              </w:tabs>
              <w:spacing w:before="0" w:line="240" w:lineRule="auto"/>
              <w:rPr>
                <w:rFonts w:ascii="Open Sans Semibold" w:eastAsia="Times New Roman" w:hAnsi="Open Sans Semibold" w:cs="Open Sans Semibold"/>
                <w:color w:val="000000"/>
                <w:sz w:val="16"/>
                <w:szCs w:val="16"/>
                <w:lang w:eastAsia="en-AU"/>
              </w:rPr>
            </w:pPr>
            <w:r w:rsidRPr="004A48DB">
              <w:rPr>
                <w:rFonts w:ascii="Open Sans Semibold" w:eastAsia="Times New Roman" w:hAnsi="Open Sans Semibold" w:cs="Open Sans Semibold"/>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245F9BC8" w14:textId="77777777" w:rsidR="004A48DB" w:rsidRPr="004A48DB" w:rsidRDefault="004A48DB" w:rsidP="004A48D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A48DB">
              <w:rPr>
                <w:rFonts w:ascii="Open Sans Semibold" w:eastAsia="Times New Roman" w:hAnsi="Open Sans Semibold" w:cs="Open Sans Semibold"/>
                <w:color w:val="000000"/>
                <w:sz w:val="16"/>
                <w:szCs w:val="16"/>
                <w:lang w:eastAsia="en-AU"/>
              </w:rPr>
              <w:t>645</w:t>
            </w:r>
          </w:p>
        </w:tc>
        <w:tc>
          <w:tcPr>
            <w:tcW w:w="2400" w:type="dxa"/>
            <w:tcBorders>
              <w:top w:val="nil"/>
              <w:left w:val="nil"/>
              <w:bottom w:val="single" w:sz="4" w:space="0" w:color="ADD6EA"/>
              <w:right w:val="nil"/>
            </w:tcBorders>
            <w:shd w:val="clear" w:color="000000" w:fill="D6E7F0"/>
            <w:noWrap/>
            <w:vAlign w:val="bottom"/>
            <w:hideMark/>
          </w:tcPr>
          <w:p w14:paraId="02E818A8" w14:textId="77777777" w:rsidR="004A48DB" w:rsidRPr="004A48DB" w:rsidRDefault="004A48DB" w:rsidP="004A48D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A48DB">
              <w:rPr>
                <w:rFonts w:ascii="Open Sans Semibold" w:eastAsia="Times New Roman" w:hAnsi="Open Sans Semibold" w:cs="Open Sans Semibold"/>
                <w:color w:val="000000"/>
                <w:sz w:val="16"/>
                <w:szCs w:val="16"/>
                <w:lang w:eastAsia="en-AU"/>
              </w:rPr>
              <w:t>121</w:t>
            </w:r>
          </w:p>
        </w:tc>
      </w:tr>
    </w:tbl>
    <w:p w14:paraId="20678A4A" w14:textId="6716CC97" w:rsidR="005A0452" w:rsidRPr="00DD3055" w:rsidRDefault="005A0452" w:rsidP="00DD3055">
      <w:pPr>
        <w:pStyle w:val="CGCTablenote"/>
      </w:pPr>
      <w:r w:rsidRPr="00DD3055">
        <w:t>Note:</w:t>
      </w:r>
      <w:r w:rsidRPr="00DD3055">
        <w:tab/>
        <w:t>Table may not add due to rounding.</w:t>
      </w:r>
    </w:p>
    <w:p w14:paraId="3F3105E9" w14:textId="77777777" w:rsidR="005A0452" w:rsidRPr="00DD3055" w:rsidRDefault="005A0452" w:rsidP="00DD3055">
      <w:pPr>
        <w:pStyle w:val="CGCTablenote"/>
      </w:pPr>
      <w:r w:rsidRPr="00DD3055">
        <w:t>(a)</w:t>
      </w:r>
      <w:r w:rsidRPr="00DD3055">
        <w:tab/>
        <w:t>This represents the difference between applying the GST relativities and assessed relativities to the GST pool. It is not the basis of the no worse off payments calculation, which is explained in Attachment A.</w:t>
      </w:r>
    </w:p>
    <w:p w14:paraId="56BC8AFE" w14:textId="4CC2F996" w:rsidR="005A0452" w:rsidRPr="00DD3055" w:rsidRDefault="005A0452" w:rsidP="00DD3055">
      <w:pPr>
        <w:pStyle w:val="CGCTablenote"/>
      </w:pPr>
      <w:r w:rsidRPr="00DD3055">
        <w:t>Source:</w:t>
      </w:r>
      <w:r w:rsidRPr="00DD3055">
        <w:tab/>
        <w:t>Commission calculation</w:t>
      </w:r>
      <w:r w:rsidR="000C76DC">
        <w:t>.</w:t>
      </w:r>
    </w:p>
    <w:p w14:paraId="1A2D19D4" w14:textId="45116D16" w:rsidR="005A0452" w:rsidRPr="00442A3B" w:rsidRDefault="005A0452" w:rsidP="005A0452">
      <w:pPr>
        <w:pStyle w:val="Caption"/>
      </w:pPr>
      <w:r w:rsidRPr="00442A3B">
        <w:t>Figure 3</w:t>
      </w:r>
      <w:r w:rsidRPr="00442A3B">
        <w:noBreakHyphen/>
      </w:r>
      <w:r w:rsidRPr="00442A3B">
        <w:fldChar w:fldCharType="begin"/>
      </w:r>
      <w:r w:rsidRPr="00442A3B">
        <w:instrText xml:space="preserve">SEQ Figure \* ARABIC </w:instrText>
      </w:r>
      <w:r w:rsidRPr="00442A3B">
        <w:fldChar w:fldCharType="separate"/>
      </w:r>
      <w:r w:rsidR="00FE4664">
        <w:rPr>
          <w:noProof/>
        </w:rPr>
        <w:t>4</w:t>
      </w:r>
      <w:r w:rsidRPr="00442A3B">
        <w:fldChar w:fldCharType="end"/>
      </w:r>
      <w:r w:rsidRPr="00442A3B">
        <w:tab/>
      </w:r>
      <w:bookmarkEnd w:id="82"/>
      <w:bookmarkEnd w:id="83"/>
      <w:r>
        <w:t>Queensland: Main changes in assessed GST distribution, 2022 Update</w:t>
      </w:r>
    </w:p>
    <w:p w14:paraId="4F448E8A" w14:textId="1388D235" w:rsidR="005A0452" w:rsidRDefault="00B4621F" w:rsidP="005A0452">
      <w:r w:rsidRPr="00B4621F">
        <w:rPr>
          <w:noProof/>
        </w:rPr>
        <w:drawing>
          <wp:inline distT="0" distB="0" distL="0" distR="0" wp14:anchorId="1EA46AAB" wp14:editId="5CC217D1">
            <wp:extent cx="5755640" cy="2478405"/>
            <wp:effectExtent l="0" t="0" r="0" b="0"/>
            <wp:docPr id="104" name="Picture 104" descr="A figure describing the main changes in assessed GST distribution in the 2022 Update for Queens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figure describing the main changes in assessed GST distribution in the 2022 Update for Queensland.&#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5640" cy="2478405"/>
                    </a:xfrm>
                    <a:prstGeom prst="rect">
                      <a:avLst/>
                    </a:prstGeom>
                    <a:noFill/>
                    <a:ln>
                      <a:noFill/>
                    </a:ln>
                  </pic:spPr>
                </pic:pic>
              </a:graphicData>
            </a:graphic>
          </wp:inline>
        </w:drawing>
      </w:r>
    </w:p>
    <w:p w14:paraId="141D2AA3" w14:textId="77777777" w:rsidR="005A0452" w:rsidRDefault="005A0452" w:rsidP="005A0452">
      <w:pPr>
        <w:pStyle w:val="CGCTablenote"/>
      </w:pPr>
      <w:r w:rsidRPr="00442A3B">
        <w:t>Source:</w:t>
      </w:r>
      <w:r w:rsidRPr="00442A3B">
        <w:tab/>
        <w:t>Commission calculation.</w:t>
      </w:r>
    </w:p>
    <w:p w14:paraId="3DF97546" w14:textId="7BD5F37B" w:rsidR="005A0452" w:rsidRDefault="005A0452" w:rsidP="000D6032">
      <w:pPr>
        <w:pStyle w:val="Heading2"/>
      </w:pPr>
      <w:r>
        <w:br w:type="page"/>
      </w:r>
      <w:r>
        <w:rPr>
          <w:noProof/>
        </w:rPr>
        <w:drawing>
          <wp:anchor distT="0" distB="0" distL="114300" distR="114300" simplePos="0" relativeHeight="251658267" behindDoc="1" locked="1" layoutInCell="1" allowOverlap="1" wp14:anchorId="5D2B5768" wp14:editId="67A40477">
            <wp:simplePos x="0" y="0"/>
            <wp:positionH relativeFrom="page">
              <wp:posOffset>3810</wp:posOffset>
            </wp:positionH>
            <wp:positionV relativeFrom="page">
              <wp:posOffset>5080</wp:posOffset>
            </wp:positionV>
            <wp:extent cx="7563485" cy="10691495"/>
            <wp:effectExtent l="0" t="0" r="0" b="0"/>
            <wp:wrapNone/>
            <wp:docPr id="74" name="Picture 7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t>Western Australia</w:t>
      </w:r>
    </w:p>
    <w:p w14:paraId="2614D1E7" w14:textId="21A3CBD5" w:rsidR="005A0452" w:rsidRDefault="005A0452" w:rsidP="0004064D">
      <w:pPr>
        <w:pStyle w:val="CGCBodyCopy"/>
      </w:pPr>
      <w:r w:rsidRPr="387CCAB2">
        <w:t xml:space="preserve">Western Australia’s </w:t>
      </w:r>
      <w:r>
        <w:t xml:space="preserve">share of the </w:t>
      </w:r>
      <w:r w:rsidRPr="387CCAB2">
        <w:t xml:space="preserve">GST pool </w:t>
      </w:r>
      <w:r>
        <w:t>is estimated to</w:t>
      </w:r>
      <w:r w:rsidRPr="387CCAB2">
        <w:t xml:space="preserve"> increase from 4.4% to 7.3%. Combined </w:t>
      </w:r>
      <w:r>
        <w:t>w</w:t>
      </w:r>
      <w:r w:rsidRPr="00442A3B">
        <w:t xml:space="preserve">ith pool growth, its </w:t>
      </w:r>
      <w:r>
        <w:t xml:space="preserve">estimated </w:t>
      </w:r>
      <w:r w:rsidRPr="00442A3B">
        <w:t xml:space="preserve">GST </w:t>
      </w:r>
      <w:r>
        <w:t>distribution</w:t>
      </w:r>
      <w:r w:rsidRPr="387CCAB2">
        <w:t xml:space="preserve"> in 2022</w:t>
      </w:r>
      <w:r w:rsidR="005D7252">
        <w:t>–</w:t>
      </w:r>
      <w:r w:rsidRPr="387CCAB2">
        <w:t xml:space="preserve">23 </w:t>
      </w:r>
      <w:r w:rsidR="00FC6C77">
        <w:t>would</w:t>
      </w:r>
      <w:r w:rsidR="00FC6C77" w:rsidRPr="387CCAB2">
        <w:t xml:space="preserve"> </w:t>
      </w:r>
      <w:r w:rsidRPr="387CCAB2">
        <w:t>increase by $2,483 million</w:t>
      </w:r>
      <w:r w:rsidR="000A69A3">
        <w:t>,</w:t>
      </w:r>
      <w:r w:rsidRPr="387CCAB2">
        <w:t xml:space="preserve"> or 77.6%.</w:t>
      </w:r>
      <w:r w:rsidRPr="00235186">
        <w:t xml:space="preserve"> </w:t>
      </w:r>
    </w:p>
    <w:p w14:paraId="07C54BBC" w14:textId="2AC59CD0" w:rsidR="005A0452" w:rsidRPr="00C2520C" w:rsidRDefault="005A0452" w:rsidP="0004064D">
      <w:pPr>
        <w:pStyle w:val="CGCBodyCopy"/>
      </w:pPr>
      <w:r w:rsidRPr="00707043">
        <w:t xml:space="preserve">Western Australia’s assessed </w:t>
      </w:r>
      <w:r w:rsidR="003600C5">
        <w:t xml:space="preserve">GST </w:t>
      </w:r>
      <w:r w:rsidRPr="00707043">
        <w:t>need</w:t>
      </w:r>
      <w:r w:rsidR="007B5243">
        <w:t>s</w:t>
      </w:r>
      <w:r w:rsidRPr="00707043">
        <w:t xml:space="preserve"> decreased due to significant growth in the value of </w:t>
      </w:r>
      <w:r w:rsidR="002D68FE">
        <w:t xml:space="preserve">its </w:t>
      </w:r>
      <w:r w:rsidRPr="00707043">
        <w:t>iron ore production. The decrease was partly offset by increases in relative wage costs and population growth. Nonetheless, its estimated GST distribution increase</w:t>
      </w:r>
      <w:r w:rsidR="00096F9B">
        <w:t>d</w:t>
      </w:r>
      <w:r w:rsidRPr="00707043">
        <w:t xml:space="preserve"> by $3,</w:t>
      </w:r>
      <w:r w:rsidR="008C2C9D">
        <w:t>667</w:t>
      </w:r>
      <w:r w:rsidR="0050541F">
        <w:t> </w:t>
      </w:r>
      <w:r w:rsidRPr="00707043">
        <w:t>million due to the combined effects of blended relativities and the GST floor. Th</w:t>
      </w:r>
      <w:r w:rsidR="009532BF">
        <w:t>is has</w:t>
      </w:r>
      <w:r w:rsidRPr="00707043">
        <w:t xml:space="preserve"> replaced Commonwealth general revenue assistance for </w:t>
      </w:r>
      <w:r w:rsidR="00A11BFB" w:rsidRPr="00707043">
        <w:t>Western Australia</w:t>
      </w:r>
      <w:r w:rsidRPr="00707043">
        <w:t xml:space="preserve"> </w:t>
      </w:r>
      <w:r w:rsidR="00445165">
        <w:t xml:space="preserve">previously </w:t>
      </w:r>
      <w:r w:rsidRPr="00707043">
        <w:t>provided outside the GST pool.</w:t>
      </w:r>
    </w:p>
    <w:p w14:paraId="36F72358" w14:textId="4FD9A3D3" w:rsidR="005A0452" w:rsidRPr="00442A3B" w:rsidRDefault="005A0452" w:rsidP="005A0452">
      <w:pPr>
        <w:pStyle w:val="Caption"/>
      </w:pPr>
      <w:bookmarkStart w:id="84" w:name="_Toc62487285"/>
      <w:bookmarkStart w:id="85" w:name="_Toc62723815"/>
      <w:r w:rsidRPr="00442A3B">
        <w:t>Table 3</w:t>
      </w:r>
      <w:r w:rsidRPr="00442A3B">
        <w:noBreakHyphen/>
      </w:r>
      <w:r w:rsidRPr="00442A3B">
        <w:fldChar w:fldCharType="begin"/>
      </w:r>
      <w:r w:rsidRPr="00442A3B">
        <w:instrText>SEQ Table \* ARABIC</w:instrText>
      </w:r>
      <w:r w:rsidRPr="00442A3B">
        <w:fldChar w:fldCharType="separate"/>
      </w:r>
      <w:r w:rsidR="00FE4664">
        <w:rPr>
          <w:noProof/>
        </w:rPr>
        <w:t>4</w:t>
      </w:r>
      <w:r w:rsidRPr="00442A3B">
        <w:fldChar w:fldCharType="end"/>
      </w:r>
      <w:r w:rsidRPr="00442A3B">
        <w:tab/>
        <w:t>Change in estimated GST distribution from 202</w:t>
      </w:r>
      <w:r>
        <w:t>1</w:t>
      </w:r>
      <w:r w:rsidR="005D7252">
        <w:t>–</w:t>
      </w:r>
      <w:r w:rsidRPr="00442A3B">
        <w:t>2</w:t>
      </w:r>
      <w:r>
        <w:t>2</w:t>
      </w:r>
      <w:r w:rsidRPr="00442A3B">
        <w:t xml:space="preserve"> to 202</w:t>
      </w:r>
      <w:r>
        <w:t>2</w:t>
      </w:r>
      <w:r w:rsidR="005D7252">
        <w:t>–</w:t>
      </w:r>
      <w:r w:rsidRPr="00442A3B">
        <w:t>2</w:t>
      </w:r>
      <w:r>
        <w:t>3</w:t>
      </w:r>
      <w:r w:rsidRPr="00442A3B">
        <w:t>, Western Australia</w:t>
      </w:r>
      <w:bookmarkEnd w:id="84"/>
      <w:bookmarkEnd w:id="85"/>
    </w:p>
    <w:tbl>
      <w:tblPr>
        <w:tblW w:w="8940" w:type="dxa"/>
        <w:tblLook w:val="04A0" w:firstRow="1" w:lastRow="0" w:firstColumn="1" w:lastColumn="0" w:noHBand="0" w:noVBand="1"/>
      </w:tblPr>
      <w:tblGrid>
        <w:gridCol w:w="4040"/>
        <w:gridCol w:w="2500"/>
        <w:gridCol w:w="2400"/>
      </w:tblGrid>
      <w:tr w:rsidR="00FC0D34" w:rsidRPr="00FC0D34" w14:paraId="7835CFC8" w14:textId="77777777" w:rsidTr="00FC0D34">
        <w:trPr>
          <w:trHeight w:val="259"/>
        </w:trPr>
        <w:tc>
          <w:tcPr>
            <w:tcW w:w="4040" w:type="dxa"/>
            <w:tcBorders>
              <w:top w:val="nil"/>
              <w:left w:val="nil"/>
              <w:bottom w:val="single" w:sz="4" w:space="0" w:color="ADD6EA"/>
              <w:right w:val="nil"/>
            </w:tcBorders>
            <w:shd w:val="clear" w:color="000000" w:fill="006991"/>
            <w:noWrap/>
            <w:vAlign w:val="center"/>
            <w:hideMark/>
          </w:tcPr>
          <w:p w14:paraId="423700D1" w14:textId="77777777" w:rsidR="00FC0D34" w:rsidRPr="00FC0D34" w:rsidRDefault="00FC0D34" w:rsidP="00FC0D3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86" w:name="_Toc62487175"/>
            <w:bookmarkStart w:id="87" w:name="_Toc62487331"/>
            <w:r w:rsidRPr="00FC0D34">
              <w:rPr>
                <w:rFonts w:ascii="Open Sans Semibold" w:eastAsia="Times New Roman" w:hAnsi="Open Sans Semibold" w:cs="Open Sans Semibold"/>
                <w:color w:val="FFFFFF"/>
                <w:sz w:val="16"/>
                <w:szCs w:val="16"/>
                <w:lang w:eastAsia="en-AU"/>
              </w:rPr>
              <w:t> </w:t>
            </w:r>
          </w:p>
        </w:tc>
        <w:tc>
          <w:tcPr>
            <w:tcW w:w="2500" w:type="dxa"/>
            <w:tcBorders>
              <w:top w:val="nil"/>
              <w:left w:val="nil"/>
              <w:bottom w:val="single" w:sz="4" w:space="0" w:color="ADD6EA"/>
              <w:right w:val="nil"/>
            </w:tcBorders>
            <w:shd w:val="clear" w:color="000000" w:fill="006991"/>
            <w:noWrap/>
            <w:vAlign w:val="center"/>
            <w:hideMark/>
          </w:tcPr>
          <w:p w14:paraId="5327313C" w14:textId="77777777" w:rsidR="00FC0D34" w:rsidRPr="00FC0D34" w:rsidRDefault="00FC0D34" w:rsidP="00FC0D3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0D34">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2198A670" w14:textId="77777777" w:rsidR="00FC0D34" w:rsidRPr="00FC0D34" w:rsidRDefault="00FC0D34" w:rsidP="00FC0D3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0D34">
              <w:rPr>
                <w:rFonts w:ascii="Open Sans Semibold" w:eastAsia="Times New Roman" w:hAnsi="Open Sans Semibold" w:cs="Open Sans Semibold"/>
                <w:color w:val="FFFFFF"/>
                <w:sz w:val="16"/>
                <w:szCs w:val="16"/>
                <w:lang w:eastAsia="en-AU"/>
              </w:rPr>
              <w:t>$pc</w:t>
            </w:r>
          </w:p>
        </w:tc>
      </w:tr>
      <w:tr w:rsidR="00FC0D34" w:rsidRPr="00FC0D34" w14:paraId="123AC38E" w14:textId="77777777" w:rsidTr="00FC0D34">
        <w:trPr>
          <w:trHeight w:val="259"/>
        </w:trPr>
        <w:tc>
          <w:tcPr>
            <w:tcW w:w="4040" w:type="dxa"/>
            <w:tcBorders>
              <w:top w:val="nil"/>
              <w:left w:val="nil"/>
              <w:bottom w:val="single" w:sz="4" w:space="0" w:color="ADD6EA"/>
              <w:right w:val="nil"/>
            </w:tcBorders>
            <w:shd w:val="clear" w:color="auto" w:fill="auto"/>
            <w:noWrap/>
            <w:vAlign w:val="bottom"/>
            <w:hideMark/>
          </w:tcPr>
          <w:p w14:paraId="4371153B" w14:textId="77777777" w:rsidR="00FC0D34" w:rsidRPr="00FC0D34" w:rsidRDefault="00FC0D34" w:rsidP="00FC0D34">
            <w:pPr>
              <w:tabs>
                <w:tab w:val="clear" w:pos="567"/>
              </w:tabs>
              <w:spacing w:before="0" w:line="240" w:lineRule="auto"/>
              <w:rPr>
                <w:rFonts w:eastAsia="Times New Roman" w:cs="Open Sans Light"/>
                <w:sz w:val="16"/>
                <w:szCs w:val="16"/>
                <w:lang w:eastAsia="en-AU"/>
              </w:rPr>
            </w:pPr>
            <w:r w:rsidRPr="00FC0D34">
              <w:rPr>
                <w:rFonts w:eastAsia="Times New Roman" w:cs="Open Sans Light"/>
                <w:sz w:val="16"/>
                <w:szCs w:val="16"/>
                <w:lang w:eastAsia="en-AU"/>
              </w:rPr>
              <w:t>Change in population</w:t>
            </w:r>
          </w:p>
        </w:tc>
        <w:tc>
          <w:tcPr>
            <w:tcW w:w="2500" w:type="dxa"/>
            <w:tcBorders>
              <w:top w:val="nil"/>
              <w:left w:val="nil"/>
              <w:bottom w:val="single" w:sz="4" w:space="0" w:color="ADD6EA"/>
              <w:right w:val="nil"/>
            </w:tcBorders>
            <w:shd w:val="clear" w:color="auto" w:fill="auto"/>
            <w:noWrap/>
            <w:vAlign w:val="bottom"/>
            <w:hideMark/>
          </w:tcPr>
          <w:p w14:paraId="64484FB9" w14:textId="77777777" w:rsidR="00FC0D34" w:rsidRPr="00FC0D34" w:rsidRDefault="00FC0D34" w:rsidP="00FC0D34">
            <w:pPr>
              <w:tabs>
                <w:tab w:val="clear" w:pos="567"/>
              </w:tabs>
              <w:spacing w:before="0" w:line="240" w:lineRule="auto"/>
              <w:jc w:val="right"/>
              <w:rPr>
                <w:rFonts w:eastAsia="Times New Roman" w:cs="Open Sans Light"/>
                <w:sz w:val="16"/>
                <w:szCs w:val="16"/>
                <w:lang w:eastAsia="en-AU"/>
              </w:rPr>
            </w:pPr>
            <w:r w:rsidRPr="00FC0D34">
              <w:rPr>
                <w:rFonts w:eastAsia="Times New Roman" w:cs="Open Sans Light"/>
                <w:sz w:val="16"/>
                <w:szCs w:val="16"/>
                <w:lang w:eastAsia="en-AU"/>
              </w:rPr>
              <w:t>12</w:t>
            </w:r>
          </w:p>
        </w:tc>
        <w:tc>
          <w:tcPr>
            <w:tcW w:w="2400" w:type="dxa"/>
            <w:tcBorders>
              <w:top w:val="nil"/>
              <w:left w:val="nil"/>
              <w:bottom w:val="single" w:sz="4" w:space="0" w:color="ADD6EA"/>
              <w:right w:val="nil"/>
            </w:tcBorders>
            <w:shd w:val="clear" w:color="auto" w:fill="auto"/>
            <w:noWrap/>
            <w:vAlign w:val="bottom"/>
            <w:hideMark/>
          </w:tcPr>
          <w:p w14:paraId="45275D80" w14:textId="77777777" w:rsidR="00FC0D34" w:rsidRPr="00FC0D34" w:rsidRDefault="00FC0D34" w:rsidP="00FC0D34">
            <w:pPr>
              <w:tabs>
                <w:tab w:val="clear" w:pos="567"/>
              </w:tabs>
              <w:spacing w:before="0" w:line="240" w:lineRule="auto"/>
              <w:jc w:val="right"/>
              <w:rPr>
                <w:rFonts w:eastAsia="Times New Roman" w:cs="Open Sans Light"/>
                <w:sz w:val="16"/>
                <w:szCs w:val="16"/>
                <w:lang w:eastAsia="en-AU"/>
              </w:rPr>
            </w:pPr>
            <w:r w:rsidRPr="00FC0D34">
              <w:rPr>
                <w:rFonts w:eastAsia="Times New Roman" w:cs="Open Sans Light"/>
                <w:sz w:val="16"/>
                <w:szCs w:val="16"/>
                <w:lang w:eastAsia="en-AU"/>
              </w:rPr>
              <w:t>4</w:t>
            </w:r>
          </w:p>
        </w:tc>
      </w:tr>
      <w:tr w:rsidR="00FC0D34" w:rsidRPr="00FC0D34" w14:paraId="675B4BB3" w14:textId="77777777" w:rsidTr="00FC0D34">
        <w:trPr>
          <w:trHeight w:val="259"/>
        </w:trPr>
        <w:tc>
          <w:tcPr>
            <w:tcW w:w="4040" w:type="dxa"/>
            <w:tcBorders>
              <w:top w:val="nil"/>
              <w:left w:val="nil"/>
              <w:bottom w:val="single" w:sz="4" w:space="0" w:color="ADD6EA"/>
              <w:right w:val="nil"/>
            </w:tcBorders>
            <w:shd w:val="clear" w:color="auto" w:fill="auto"/>
            <w:noWrap/>
            <w:vAlign w:val="bottom"/>
            <w:hideMark/>
          </w:tcPr>
          <w:p w14:paraId="736CE012" w14:textId="77777777" w:rsidR="00FC0D34" w:rsidRPr="00FC0D34" w:rsidRDefault="00FC0D34" w:rsidP="00FC0D34">
            <w:pPr>
              <w:tabs>
                <w:tab w:val="clear" w:pos="567"/>
              </w:tabs>
              <w:spacing w:before="0" w:line="240" w:lineRule="auto"/>
              <w:rPr>
                <w:rFonts w:eastAsia="Times New Roman" w:cs="Open Sans Light"/>
                <w:sz w:val="16"/>
                <w:szCs w:val="16"/>
                <w:lang w:eastAsia="en-AU"/>
              </w:rPr>
            </w:pPr>
            <w:r w:rsidRPr="00FC0D34">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32DD094D" w14:textId="77777777" w:rsidR="00FC0D34" w:rsidRPr="00FC0D34" w:rsidRDefault="00FC0D34" w:rsidP="00FC0D34">
            <w:pPr>
              <w:tabs>
                <w:tab w:val="clear" w:pos="567"/>
              </w:tabs>
              <w:spacing w:before="0" w:line="240" w:lineRule="auto"/>
              <w:jc w:val="right"/>
              <w:rPr>
                <w:rFonts w:eastAsia="Times New Roman" w:cs="Open Sans Light"/>
                <w:sz w:val="16"/>
                <w:szCs w:val="16"/>
                <w:lang w:eastAsia="en-AU"/>
              </w:rPr>
            </w:pPr>
            <w:r w:rsidRPr="00FC0D34">
              <w:rPr>
                <w:rFonts w:eastAsia="Times New Roman" w:cs="Open Sans Light"/>
                <w:sz w:val="16"/>
                <w:szCs w:val="16"/>
                <w:lang w:eastAsia="en-AU"/>
              </w:rPr>
              <w:t>191</w:t>
            </w:r>
          </w:p>
        </w:tc>
        <w:tc>
          <w:tcPr>
            <w:tcW w:w="2400" w:type="dxa"/>
            <w:tcBorders>
              <w:top w:val="nil"/>
              <w:left w:val="nil"/>
              <w:bottom w:val="single" w:sz="4" w:space="0" w:color="ADD6EA"/>
              <w:right w:val="nil"/>
            </w:tcBorders>
            <w:shd w:val="clear" w:color="auto" w:fill="auto"/>
            <w:noWrap/>
            <w:vAlign w:val="bottom"/>
            <w:hideMark/>
          </w:tcPr>
          <w:p w14:paraId="64BAA510" w14:textId="77777777" w:rsidR="00FC0D34" w:rsidRPr="00FC0D34" w:rsidRDefault="00FC0D34" w:rsidP="00FC0D34">
            <w:pPr>
              <w:tabs>
                <w:tab w:val="clear" w:pos="567"/>
              </w:tabs>
              <w:spacing w:before="0" w:line="240" w:lineRule="auto"/>
              <w:jc w:val="right"/>
              <w:rPr>
                <w:rFonts w:eastAsia="Times New Roman" w:cs="Open Sans Light"/>
                <w:sz w:val="16"/>
                <w:szCs w:val="16"/>
                <w:lang w:eastAsia="en-AU"/>
              </w:rPr>
            </w:pPr>
            <w:r w:rsidRPr="00FC0D34">
              <w:rPr>
                <w:rFonts w:eastAsia="Times New Roman" w:cs="Open Sans Light"/>
                <w:sz w:val="16"/>
                <w:szCs w:val="16"/>
                <w:lang w:eastAsia="en-AU"/>
              </w:rPr>
              <w:t>70</w:t>
            </w:r>
          </w:p>
        </w:tc>
      </w:tr>
      <w:tr w:rsidR="00FC0D34" w:rsidRPr="00FC0D34" w14:paraId="1B89EC3F" w14:textId="77777777" w:rsidTr="00FC0D34">
        <w:trPr>
          <w:trHeight w:val="259"/>
        </w:trPr>
        <w:tc>
          <w:tcPr>
            <w:tcW w:w="4040" w:type="dxa"/>
            <w:tcBorders>
              <w:top w:val="nil"/>
              <w:left w:val="nil"/>
              <w:bottom w:val="single" w:sz="4" w:space="0" w:color="ADD6EA"/>
              <w:right w:val="nil"/>
            </w:tcBorders>
            <w:shd w:val="clear" w:color="auto" w:fill="auto"/>
            <w:noWrap/>
            <w:vAlign w:val="bottom"/>
            <w:hideMark/>
          </w:tcPr>
          <w:p w14:paraId="3473F9A7" w14:textId="77777777" w:rsidR="00FC0D34" w:rsidRPr="00FC0D34" w:rsidRDefault="00FC0D34" w:rsidP="00FC0D34">
            <w:pPr>
              <w:tabs>
                <w:tab w:val="clear" w:pos="567"/>
              </w:tabs>
              <w:spacing w:before="0" w:line="240" w:lineRule="auto"/>
              <w:rPr>
                <w:rFonts w:eastAsia="Times New Roman" w:cs="Open Sans Light"/>
                <w:sz w:val="16"/>
                <w:szCs w:val="16"/>
                <w:lang w:eastAsia="en-AU"/>
              </w:rPr>
            </w:pPr>
            <w:r w:rsidRPr="00FC0D34">
              <w:rPr>
                <w:rFonts w:eastAsia="Times New Roman" w:cs="Open Sans Light"/>
                <w:sz w:val="16"/>
                <w:szCs w:val="16"/>
                <w:lang w:eastAsia="en-AU"/>
              </w:rPr>
              <w:t>Changes in assessed needs</w:t>
            </w:r>
          </w:p>
        </w:tc>
        <w:tc>
          <w:tcPr>
            <w:tcW w:w="2500" w:type="dxa"/>
            <w:tcBorders>
              <w:top w:val="nil"/>
              <w:left w:val="nil"/>
              <w:bottom w:val="single" w:sz="4" w:space="0" w:color="ADD6EA"/>
              <w:right w:val="nil"/>
            </w:tcBorders>
            <w:shd w:val="clear" w:color="auto" w:fill="auto"/>
            <w:noWrap/>
            <w:vAlign w:val="bottom"/>
            <w:hideMark/>
          </w:tcPr>
          <w:p w14:paraId="603D5D86" w14:textId="77777777" w:rsidR="00FC0D34" w:rsidRPr="00FC0D34" w:rsidRDefault="00FC0D34" w:rsidP="00FC0D34">
            <w:pPr>
              <w:tabs>
                <w:tab w:val="clear" w:pos="567"/>
              </w:tabs>
              <w:spacing w:before="0" w:line="240" w:lineRule="auto"/>
              <w:jc w:val="right"/>
              <w:rPr>
                <w:rFonts w:eastAsia="Times New Roman" w:cs="Open Sans Light"/>
                <w:sz w:val="16"/>
                <w:szCs w:val="16"/>
                <w:lang w:eastAsia="en-AU"/>
              </w:rPr>
            </w:pPr>
            <w:r w:rsidRPr="00FC0D34">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2D39C010" w14:textId="77777777" w:rsidR="00FC0D34" w:rsidRPr="00FC0D34" w:rsidRDefault="00FC0D34" w:rsidP="00FC0D34">
            <w:pPr>
              <w:tabs>
                <w:tab w:val="clear" w:pos="567"/>
              </w:tabs>
              <w:spacing w:before="0" w:line="240" w:lineRule="auto"/>
              <w:jc w:val="right"/>
              <w:rPr>
                <w:rFonts w:eastAsia="Times New Roman" w:cs="Open Sans Light"/>
                <w:sz w:val="16"/>
                <w:szCs w:val="16"/>
                <w:lang w:eastAsia="en-AU"/>
              </w:rPr>
            </w:pPr>
            <w:r w:rsidRPr="00FC0D34">
              <w:rPr>
                <w:rFonts w:eastAsia="Times New Roman" w:cs="Open Sans Light"/>
                <w:sz w:val="16"/>
                <w:szCs w:val="16"/>
                <w:lang w:eastAsia="en-AU"/>
              </w:rPr>
              <w:t> </w:t>
            </w:r>
          </w:p>
        </w:tc>
      </w:tr>
      <w:tr w:rsidR="00FC0D34" w:rsidRPr="00FC0D34" w14:paraId="5D805277" w14:textId="77777777" w:rsidTr="00FC0D34">
        <w:trPr>
          <w:trHeight w:val="259"/>
        </w:trPr>
        <w:tc>
          <w:tcPr>
            <w:tcW w:w="4040" w:type="dxa"/>
            <w:tcBorders>
              <w:top w:val="nil"/>
              <w:left w:val="nil"/>
              <w:bottom w:val="single" w:sz="4" w:space="0" w:color="ADD6EA"/>
              <w:right w:val="nil"/>
            </w:tcBorders>
            <w:shd w:val="clear" w:color="auto" w:fill="auto"/>
            <w:noWrap/>
            <w:vAlign w:val="bottom"/>
            <w:hideMark/>
          </w:tcPr>
          <w:p w14:paraId="1538FCD7" w14:textId="77777777" w:rsidR="00FC0D34" w:rsidRPr="00FC0D34" w:rsidRDefault="00FC0D34" w:rsidP="00FC0D34">
            <w:pPr>
              <w:tabs>
                <w:tab w:val="clear" w:pos="567"/>
              </w:tabs>
              <w:spacing w:before="0" w:line="240" w:lineRule="auto"/>
              <w:ind w:firstLineChars="100" w:firstLine="160"/>
              <w:rPr>
                <w:rFonts w:eastAsia="Times New Roman" w:cs="Open Sans Light"/>
                <w:sz w:val="16"/>
                <w:szCs w:val="16"/>
                <w:lang w:eastAsia="en-AU"/>
              </w:rPr>
            </w:pPr>
            <w:r w:rsidRPr="00FC0D34">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46487050" w14:textId="77777777" w:rsidR="00FC0D34" w:rsidRPr="00FC0D34" w:rsidRDefault="00FC0D34" w:rsidP="00FC0D34">
            <w:pPr>
              <w:tabs>
                <w:tab w:val="clear" w:pos="567"/>
              </w:tabs>
              <w:spacing w:before="0" w:line="240" w:lineRule="auto"/>
              <w:jc w:val="right"/>
              <w:rPr>
                <w:rFonts w:eastAsia="Times New Roman" w:cs="Open Sans Light"/>
                <w:sz w:val="16"/>
                <w:szCs w:val="16"/>
                <w:lang w:eastAsia="en-AU"/>
              </w:rPr>
            </w:pPr>
            <w:r w:rsidRPr="00FC0D34">
              <w:rPr>
                <w:rFonts w:eastAsia="Times New Roman" w:cs="Open Sans Light"/>
                <w:sz w:val="16"/>
                <w:szCs w:val="16"/>
                <w:lang w:eastAsia="en-AU"/>
              </w:rPr>
              <w:t>-11</w:t>
            </w:r>
          </w:p>
        </w:tc>
        <w:tc>
          <w:tcPr>
            <w:tcW w:w="2400" w:type="dxa"/>
            <w:tcBorders>
              <w:top w:val="nil"/>
              <w:left w:val="nil"/>
              <w:bottom w:val="single" w:sz="4" w:space="0" w:color="ADD6EA"/>
              <w:right w:val="nil"/>
            </w:tcBorders>
            <w:shd w:val="clear" w:color="auto" w:fill="auto"/>
            <w:noWrap/>
            <w:vAlign w:val="bottom"/>
            <w:hideMark/>
          </w:tcPr>
          <w:p w14:paraId="64098D58" w14:textId="77777777" w:rsidR="00FC0D34" w:rsidRPr="00FC0D34" w:rsidRDefault="00FC0D34" w:rsidP="00FC0D34">
            <w:pPr>
              <w:tabs>
                <w:tab w:val="clear" w:pos="567"/>
              </w:tabs>
              <w:spacing w:before="0" w:line="240" w:lineRule="auto"/>
              <w:jc w:val="right"/>
              <w:rPr>
                <w:rFonts w:eastAsia="Times New Roman" w:cs="Open Sans Light"/>
                <w:sz w:val="16"/>
                <w:szCs w:val="16"/>
                <w:lang w:eastAsia="en-AU"/>
              </w:rPr>
            </w:pPr>
            <w:r w:rsidRPr="00FC0D34">
              <w:rPr>
                <w:rFonts w:eastAsia="Times New Roman" w:cs="Open Sans Light"/>
                <w:sz w:val="16"/>
                <w:szCs w:val="16"/>
                <w:lang w:eastAsia="en-AU"/>
              </w:rPr>
              <w:t>-4</w:t>
            </w:r>
          </w:p>
        </w:tc>
      </w:tr>
      <w:tr w:rsidR="00FC0D34" w:rsidRPr="00FC0D34" w14:paraId="239BF6D1" w14:textId="77777777" w:rsidTr="00FC0D34">
        <w:trPr>
          <w:trHeight w:val="259"/>
        </w:trPr>
        <w:tc>
          <w:tcPr>
            <w:tcW w:w="4040" w:type="dxa"/>
            <w:tcBorders>
              <w:top w:val="nil"/>
              <w:left w:val="nil"/>
              <w:bottom w:val="single" w:sz="4" w:space="0" w:color="ADD6EA"/>
              <w:right w:val="nil"/>
            </w:tcBorders>
            <w:shd w:val="clear" w:color="auto" w:fill="auto"/>
            <w:noWrap/>
            <w:vAlign w:val="bottom"/>
            <w:hideMark/>
          </w:tcPr>
          <w:p w14:paraId="1EE895D8" w14:textId="77777777" w:rsidR="00FC0D34" w:rsidRPr="00FC0D34" w:rsidRDefault="00FC0D34" w:rsidP="00FC0D34">
            <w:pPr>
              <w:tabs>
                <w:tab w:val="clear" w:pos="567"/>
              </w:tabs>
              <w:spacing w:before="0" w:line="240" w:lineRule="auto"/>
              <w:ind w:firstLineChars="100" w:firstLine="160"/>
              <w:rPr>
                <w:rFonts w:eastAsia="Times New Roman" w:cs="Open Sans Light"/>
                <w:sz w:val="16"/>
                <w:szCs w:val="16"/>
                <w:lang w:eastAsia="en-AU"/>
              </w:rPr>
            </w:pPr>
            <w:r w:rsidRPr="00FC0D34">
              <w:rPr>
                <w:rFonts w:eastAsia="Times New Roman" w:cs="Open Sans Light"/>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5BC9478C" w14:textId="77777777" w:rsidR="00FC0D34" w:rsidRPr="00FC0D34" w:rsidRDefault="00FC0D34" w:rsidP="00FC0D34">
            <w:pPr>
              <w:tabs>
                <w:tab w:val="clear" w:pos="567"/>
              </w:tabs>
              <w:spacing w:before="0" w:line="240" w:lineRule="auto"/>
              <w:jc w:val="right"/>
              <w:rPr>
                <w:rFonts w:eastAsia="Times New Roman" w:cs="Open Sans Light"/>
                <w:sz w:val="16"/>
                <w:szCs w:val="16"/>
                <w:lang w:eastAsia="en-AU"/>
              </w:rPr>
            </w:pPr>
            <w:r w:rsidRPr="00FC0D34">
              <w:rPr>
                <w:rFonts w:eastAsia="Times New Roman" w:cs="Open Sans Light"/>
                <w:sz w:val="16"/>
                <w:szCs w:val="16"/>
                <w:lang w:eastAsia="en-AU"/>
              </w:rPr>
              <w:t>-1,376</w:t>
            </w:r>
          </w:p>
        </w:tc>
        <w:tc>
          <w:tcPr>
            <w:tcW w:w="2400" w:type="dxa"/>
            <w:tcBorders>
              <w:top w:val="nil"/>
              <w:left w:val="nil"/>
              <w:bottom w:val="single" w:sz="4" w:space="0" w:color="ADD6EA"/>
              <w:right w:val="nil"/>
            </w:tcBorders>
            <w:shd w:val="clear" w:color="auto" w:fill="auto"/>
            <w:noWrap/>
            <w:vAlign w:val="bottom"/>
            <w:hideMark/>
          </w:tcPr>
          <w:p w14:paraId="53CABC05" w14:textId="77777777" w:rsidR="00FC0D34" w:rsidRPr="00FC0D34" w:rsidRDefault="00FC0D34" w:rsidP="00FC0D34">
            <w:pPr>
              <w:tabs>
                <w:tab w:val="clear" w:pos="567"/>
              </w:tabs>
              <w:spacing w:before="0" w:line="240" w:lineRule="auto"/>
              <w:jc w:val="right"/>
              <w:rPr>
                <w:rFonts w:eastAsia="Times New Roman" w:cs="Open Sans Light"/>
                <w:sz w:val="16"/>
                <w:szCs w:val="16"/>
                <w:lang w:eastAsia="en-AU"/>
              </w:rPr>
            </w:pPr>
            <w:r w:rsidRPr="00FC0D34">
              <w:rPr>
                <w:rFonts w:eastAsia="Times New Roman" w:cs="Open Sans Light"/>
                <w:sz w:val="16"/>
                <w:szCs w:val="16"/>
                <w:lang w:eastAsia="en-AU"/>
              </w:rPr>
              <w:t>-505</w:t>
            </w:r>
          </w:p>
        </w:tc>
      </w:tr>
      <w:tr w:rsidR="00FC0D34" w:rsidRPr="00FC0D34" w14:paraId="22E20C5B" w14:textId="77777777" w:rsidTr="00FC0D34">
        <w:trPr>
          <w:trHeight w:val="259"/>
        </w:trPr>
        <w:tc>
          <w:tcPr>
            <w:tcW w:w="4040" w:type="dxa"/>
            <w:tcBorders>
              <w:top w:val="nil"/>
              <w:left w:val="nil"/>
              <w:bottom w:val="single" w:sz="4" w:space="0" w:color="ADD6EA"/>
              <w:right w:val="nil"/>
            </w:tcBorders>
            <w:shd w:val="clear" w:color="auto" w:fill="auto"/>
            <w:noWrap/>
            <w:vAlign w:val="bottom"/>
            <w:hideMark/>
          </w:tcPr>
          <w:p w14:paraId="31587217" w14:textId="77777777" w:rsidR="00FC0D34" w:rsidRPr="00FC0D34" w:rsidRDefault="00FC0D34" w:rsidP="00FC0D34">
            <w:pPr>
              <w:tabs>
                <w:tab w:val="clear" w:pos="567"/>
              </w:tabs>
              <w:spacing w:before="0" w:line="240" w:lineRule="auto"/>
              <w:ind w:firstLineChars="100" w:firstLine="160"/>
              <w:rPr>
                <w:rFonts w:eastAsia="Times New Roman" w:cs="Open Sans Light"/>
                <w:sz w:val="16"/>
                <w:szCs w:val="16"/>
                <w:lang w:eastAsia="en-AU"/>
              </w:rPr>
            </w:pPr>
            <w:r w:rsidRPr="00FC0D34">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291D9EBE" w14:textId="77777777" w:rsidR="00FC0D34" w:rsidRPr="00FC0D34" w:rsidRDefault="00FC0D34" w:rsidP="00FC0D34">
            <w:pPr>
              <w:tabs>
                <w:tab w:val="clear" w:pos="567"/>
              </w:tabs>
              <w:spacing w:before="0" w:line="240" w:lineRule="auto"/>
              <w:jc w:val="right"/>
              <w:rPr>
                <w:rFonts w:eastAsia="Times New Roman" w:cs="Open Sans Light"/>
                <w:sz w:val="16"/>
                <w:szCs w:val="16"/>
                <w:lang w:eastAsia="en-AU"/>
              </w:rPr>
            </w:pPr>
            <w:r w:rsidRPr="00FC0D34">
              <w:rPr>
                <w:rFonts w:eastAsia="Times New Roman" w:cs="Open Sans Light"/>
                <w:sz w:val="16"/>
                <w:szCs w:val="16"/>
                <w:lang w:eastAsia="en-AU"/>
              </w:rPr>
              <w:t>-1,387</w:t>
            </w:r>
          </w:p>
        </w:tc>
        <w:tc>
          <w:tcPr>
            <w:tcW w:w="2400" w:type="dxa"/>
            <w:tcBorders>
              <w:top w:val="nil"/>
              <w:left w:val="nil"/>
              <w:bottom w:val="single" w:sz="4" w:space="0" w:color="ADD6EA"/>
              <w:right w:val="nil"/>
            </w:tcBorders>
            <w:shd w:val="clear" w:color="auto" w:fill="auto"/>
            <w:noWrap/>
            <w:vAlign w:val="bottom"/>
            <w:hideMark/>
          </w:tcPr>
          <w:p w14:paraId="705FB650" w14:textId="77777777" w:rsidR="00FC0D34" w:rsidRPr="00FC0D34" w:rsidRDefault="00FC0D34" w:rsidP="00FC0D34">
            <w:pPr>
              <w:tabs>
                <w:tab w:val="clear" w:pos="567"/>
              </w:tabs>
              <w:spacing w:before="0" w:line="240" w:lineRule="auto"/>
              <w:jc w:val="right"/>
              <w:rPr>
                <w:rFonts w:eastAsia="Times New Roman" w:cs="Open Sans Light"/>
                <w:sz w:val="16"/>
                <w:szCs w:val="16"/>
                <w:lang w:eastAsia="en-AU"/>
              </w:rPr>
            </w:pPr>
            <w:r w:rsidRPr="00FC0D34">
              <w:rPr>
                <w:rFonts w:eastAsia="Times New Roman" w:cs="Open Sans Light"/>
                <w:sz w:val="16"/>
                <w:szCs w:val="16"/>
                <w:lang w:eastAsia="en-AU"/>
              </w:rPr>
              <w:t>-509</w:t>
            </w:r>
          </w:p>
        </w:tc>
      </w:tr>
      <w:tr w:rsidR="00FC0D34" w:rsidRPr="00FC0D34" w14:paraId="575D82C8" w14:textId="77777777" w:rsidTr="00FC0D34">
        <w:trPr>
          <w:trHeight w:val="259"/>
        </w:trPr>
        <w:tc>
          <w:tcPr>
            <w:tcW w:w="4040" w:type="dxa"/>
            <w:tcBorders>
              <w:top w:val="nil"/>
              <w:left w:val="nil"/>
              <w:bottom w:val="single" w:sz="4" w:space="0" w:color="ADD6EA"/>
              <w:right w:val="nil"/>
            </w:tcBorders>
            <w:shd w:val="clear" w:color="auto" w:fill="auto"/>
            <w:noWrap/>
            <w:vAlign w:val="bottom"/>
            <w:hideMark/>
          </w:tcPr>
          <w:p w14:paraId="5500CB1C" w14:textId="77777777" w:rsidR="00FC0D34" w:rsidRPr="00FC0D34" w:rsidRDefault="00FC0D34" w:rsidP="00FC0D34">
            <w:pPr>
              <w:tabs>
                <w:tab w:val="clear" w:pos="567"/>
              </w:tabs>
              <w:spacing w:before="0" w:line="240" w:lineRule="auto"/>
              <w:rPr>
                <w:rFonts w:eastAsia="Times New Roman" w:cs="Open Sans Light"/>
                <w:sz w:val="16"/>
                <w:szCs w:val="16"/>
                <w:lang w:eastAsia="en-AU"/>
              </w:rPr>
            </w:pPr>
            <w:r w:rsidRPr="00FC0D34">
              <w:rPr>
                <w:rFonts w:eastAsia="Times New Roman" w:cs="Open Sans Light"/>
                <w:sz w:val="16"/>
                <w:szCs w:val="16"/>
                <w:lang w:eastAsia="en-AU"/>
              </w:rPr>
              <w:t>Blended relativities and GST floor (a)</w:t>
            </w:r>
          </w:p>
        </w:tc>
        <w:tc>
          <w:tcPr>
            <w:tcW w:w="2500" w:type="dxa"/>
            <w:tcBorders>
              <w:top w:val="nil"/>
              <w:left w:val="nil"/>
              <w:bottom w:val="single" w:sz="4" w:space="0" w:color="ADD6EA"/>
              <w:right w:val="nil"/>
            </w:tcBorders>
            <w:shd w:val="clear" w:color="auto" w:fill="auto"/>
            <w:noWrap/>
            <w:vAlign w:val="bottom"/>
            <w:hideMark/>
          </w:tcPr>
          <w:p w14:paraId="1A7CD906" w14:textId="77777777" w:rsidR="00FC0D34" w:rsidRPr="00FC0D34" w:rsidRDefault="00FC0D34" w:rsidP="00FC0D34">
            <w:pPr>
              <w:tabs>
                <w:tab w:val="clear" w:pos="567"/>
              </w:tabs>
              <w:spacing w:before="0" w:line="240" w:lineRule="auto"/>
              <w:jc w:val="right"/>
              <w:rPr>
                <w:rFonts w:eastAsia="Times New Roman" w:cs="Open Sans Light"/>
                <w:sz w:val="16"/>
                <w:szCs w:val="16"/>
                <w:lang w:eastAsia="en-AU"/>
              </w:rPr>
            </w:pPr>
            <w:r w:rsidRPr="00FC0D34">
              <w:rPr>
                <w:rFonts w:eastAsia="Times New Roman" w:cs="Open Sans Light"/>
                <w:sz w:val="16"/>
                <w:szCs w:val="16"/>
                <w:lang w:eastAsia="en-AU"/>
              </w:rPr>
              <w:t>3,667</w:t>
            </w:r>
          </w:p>
        </w:tc>
        <w:tc>
          <w:tcPr>
            <w:tcW w:w="2400" w:type="dxa"/>
            <w:tcBorders>
              <w:top w:val="nil"/>
              <w:left w:val="nil"/>
              <w:bottom w:val="single" w:sz="4" w:space="0" w:color="ADD6EA"/>
              <w:right w:val="nil"/>
            </w:tcBorders>
            <w:shd w:val="clear" w:color="auto" w:fill="auto"/>
            <w:noWrap/>
            <w:vAlign w:val="bottom"/>
            <w:hideMark/>
          </w:tcPr>
          <w:p w14:paraId="429E8B94" w14:textId="77777777" w:rsidR="00FC0D34" w:rsidRPr="00FC0D34" w:rsidRDefault="00FC0D34" w:rsidP="00FC0D34">
            <w:pPr>
              <w:tabs>
                <w:tab w:val="clear" w:pos="567"/>
              </w:tabs>
              <w:spacing w:before="0" w:line="240" w:lineRule="auto"/>
              <w:jc w:val="right"/>
              <w:rPr>
                <w:rFonts w:eastAsia="Times New Roman" w:cs="Open Sans Light"/>
                <w:sz w:val="16"/>
                <w:szCs w:val="16"/>
                <w:lang w:eastAsia="en-AU"/>
              </w:rPr>
            </w:pPr>
            <w:r w:rsidRPr="00FC0D34">
              <w:rPr>
                <w:rFonts w:eastAsia="Times New Roman" w:cs="Open Sans Light"/>
                <w:sz w:val="16"/>
                <w:szCs w:val="16"/>
                <w:lang w:eastAsia="en-AU"/>
              </w:rPr>
              <w:t>1,347</w:t>
            </w:r>
          </w:p>
        </w:tc>
      </w:tr>
      <w:tr w:rsidR="00FC0D34" w:rsidRPr="00FC0D34" w14:paraId="6BACA87F" w14:textId="77777777" w:rsidTr="00FC0D34">
        <w:trPr>
          <w:trHeight w:val="259"/>
        </w:trPr>
        <w:tc>
          <w:tcPr>
            <w:tcW w:w="4040" w:type="dxa"/>
            <w:tcBorders>
              <w:top w:val="nil"/>
              <w:left w:val="nil"/>
              <w:bottom w:val="single" w:sz="4" w:space="0" w:color="ADD6EA"/>
              <w:right w:val="nil"/>
            </w:tcBorders>
            <w:shd w:val="clear" w:color="000000" w:fill="D6E7F0"/>
            <w:noWrap/>
            <w:vAlign w:val="bottom"/>
            <w:hideMark/>
          </w:tcPr>
          <w:p w14:paraId="396F2094" w14:textId="77777777" w:rsidR="00FC0D34" w:rsidRPr="00FC0D34" w:rsidRDefault="00FC0D34" w:rsidP="00FC0D34">
            <w:pPr>
              <w:tabs>
                <w:tab w:val="clear" w:pos="567"/>
              </w:tabs>
              <w:spacing w:before="0" w:line="240" w:lineRule="auto"/>
              <w:rPr>
                <w:rFonts w:ascii="Open Sans Semibold" w:eastAsia="Times New Roman" w:hAnsi="Open Sans Semibold" w:cs="Open Sans Semibold"/>
                <w:color w:val="000000"/>
                <w:sz w:val="16"/>
                <w:szCs w:val="16"/>
                <w:lang w:eastAsia="en-AU"/>
              </w:rPr>
            </w:pPr>
            <w:r w:rsidRPr="00FC0D34">
              <w:rPr>
                <w:rFonts w:ascii="Open Sans Semibold" w:eastAsia="Times New Roman" w:hAnsi="Open Sans Semibold" w:cs="Open Sans Semibold"/>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77419325" w14:textId="77777777" w:rsidR="00FC0D34" w:rsidRPr="00FC0D34" w:rsidRDefault="00FC0D34" w:rsidP="00FC0D3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0D34">
              <w:rPr>
                <w:rFonts w:ascii="Open Sans Semibold" w:eastAsia="Times New Roman" w:hAnsi="Open Sans Semibold" w:cs="Open Sans Semibold"/>
                <w:color w:val="000000"/>
                <w:sz w:val="16"/>
                <w:szCs w:val="16"/>
                <w:lang w:eastAsia="en-AU"/>
              </w:rPr>
              <w:t>2,483</w:t>
            </w:r>
          </w:p>
        </w:tc>
        <w:tc>
          <w:tcPr>
            <w:tcW w:w="2400" w:type="dxa"/>
            <w:tcBorders>
              <w:top w:val="nil"/>
              <w:left w:val="nil"/>
              <w:bottom w:val="single" w:sz="4" w:space="0" w:color="ADD6EA"/>
              <w:right w:val="nil"/>
            </w:tcBorders>
            <w:shd w:val="clear" w:color="000000" w:fill="D6E7F0"/>
            <w:noWrap/>
            <w:vAlign w:val="bottom"/>
            <w:hideMark/>
          </w:tcPr>
          <w:p w14:paraId="29B6FA4A" w14:textId="77777777" w:rsidR="00FC0D34" w:rsidRPr="00FC0D34" w:rsidRDefault="00FC0D34" w:rsidP="00FC0D3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0D34">
              <w:rPr>
                <w:rFonts w:ascii="Open Sans Semibold" w:eastAsia="Times New Roman" w:hAnsi="Open Sans Semibold" w:cs="Open Sans Semibold"/>
                <w:color w:val="000000"/>
                <w:sz w:val="16"/>
                <w:szCs w:val="16"/>
                <w:lang w:eastAsia="en-AU"/>
              </w:rPr>
              <w:t>912</w:t>
            </w:r>
          </w:p>
        </w:tc>
      </w:tr>
    </w:tbl>
    <w:p w14:paraId="3B0A33C7" w14:textId="342ED389" w:rsidR="005A0452" w:rsidRPr="00442A3B" w:rsidRDefault="005A0452" w:rsidP="005A0452">
      <w:pPr>
        <w:pStyle w:val="CGCTablenote"/>
        <w:keepNext/>
        <w:keepLines/>
        <w:widowControl w:val="0"/>
        <w:spacing w:before="0"/>
      </w:pPr>
      <w:r w:rsidRPr="00442A3B">
        <w:t>Note:</w:t>
      </w:r>
      <w:r w:rsidRPr="00442A3B">
        <w:tab/>
        <w:t>Table may not add due to rounding.</w:t>
      </w:r>
    </w:p>
    <w:p w14:paraId="11711F6E" w14:textId="471229E1" w:rsidR="005A0452" w:rsidRPr="00442A3B" w:rsidRDefault="005A0452" w:rsidP="005A0452">
      <w:pPr>
        <w:pStyle w:val="CGCTablenote"/>
        <w:keepNext/>
        <w:keepLines/>
        <w:widowControl w:val="0"/>
        <w:spacing w:before="0"/>
      </w:pPr>
      <w:r w:rsidRPr="00442A3B">
        <w:t>(a)</w:t>
      </w:r>
      <w:r w:rsidRPr="00442A3B">
        <w:tab/>
        <w:t xml:space="preserve">This represents the difference between applying the GST relativities and </w:t>
      </w:r>
      <w:r>
        <w:t>assessed relativities</w:t>
      </w:r>
      <w:r w:rsidRPr="00442A3B">
        <w:t xml:space="preserve"> to the GST pool. </w:t>
      </w:r>
    </w:p>
    <w:p w14:paraId="3BCF7309" w14:textId="6EEDD70A" w:rsidR="005A0452" w:rsidRPr="00442A3B" w:rsidRDefault="005A0452" w:rsidP="005A0452">
      <w:pPr>
        <w:pStyle w:val="CGCTablenote"/>
        <w:keepNext/>
        <w:keepLines/>
        <w:widowControl w:val="0"/>
        <w:spacing w:before="0"/>
      </w:pPr>
      <w:r w:rsidRPr="00442A3B">
        <w:t>Source:</w:t>
      </w:r>
      <w:r w:rsidRPr="00442A3B">
        <w:tab/>
        <w:t>Commission calculation</w:t>
      </w:r>
      <w:r w:rsidR="000C76DC">
        <w:t>.</w:t>
      </w:r>
    </w:p>
    <w:p w14:paraId="207D0354" w14:textId="0BB89DE7" w:rsidR="005A0452" w:rsidRPr="00442A3B" w:rsidRDefault="005A0452" w:rsidP="00387742">
      <w:pPr>
        <w:pStyle w:val="Caption"/>
        <w:widowControl w:val="0"/>
        <w:ind w:left="0" w:firstLine="0"/>
      </w:pPr>
      <w:r w:rsidRPr="00442A3B">
        <w:t>Figure 3</w:t>
      </w:r>
      <w:r w:rsidRPr="00442A3B">
        <w:noBreakHyphen/>
      </w:r>
      <w:r w:rsidRPr="00442A3B">
        <w:fldChar w:fldCharType="begin"/>
      </w:r>
      <w:r w:rsidRPr="00442A3B">
        <w:instrText>SEQ Figure \* ARABIC</w:instrText>
      </w:r>
      <w:r w:rsidRPr="00442A3B">
        <w:fldChar w:fldCharType="separate"/>
      </w:r>
      <w:r w:rsidR="00FE4664">
        <w:rPr>
          <w:noProof/>
        </w:rPr>
        <w:t>5</w:t>
      </w:r>
      <w:r w:rsidRPr="00442A3B">
        <w:fldChar w:fldCharType="end"/>
      </w:r>
      <w:r w:rsidRPr="00442A3B">
        <w:tab/>
      </w:r>
      <w:bookmarkEnd w:id="86"/>
      <w:bookmarkEnd w:id="87"/>
      <w:r>
        <w:t>Western Australia: Main changes in assessed GST distribution, 2022 Update</w:t>
      </w:r>
    </w:p>
    <w:p w14:paraId="76F565EF" w14:textId="6C5B0980" w:rsidR="005A0452" w:rsidRPr="00442A3B" w:rsidRDefault="00EA5D7B" w:rsidP="00387742">
      <w:pPr>
        <w:keepNext/>
        <w:keepLines/>
        <w:widowControl w:val="0"/>
      </w:pPr>
      <w:r w:rsidRPr="00EA5D7B">
        <w:rPr>
          <w:noProof/>
        </w:rPr>
        <w:drawing>
          <wp:inline distT="0" distB="0" distL="0" distR="0" wp14:anchorId="4772EF9D" wp14:editId="7C818A11">
            <wp:extent cx="5755640" cy="2409825"/>
            <wp:effectExtent l="0" t="0" r="0" b="9525"/>
            <wp:docPr id="106" name="Picture 106" descr="A figure describing the main changes in assessed GST distribution in the 2022 Update for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figure describing the main changes in assessed GST distribution in the 2022 Update for Western Australia.&#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5640" cy="2409825"/>
                    </a:xfrm>
                    <a:prstGeom prst="rect">
                      <a:avLst/>
                    </a:prstGeom>
                    <a:noFill/>
                    <a:ln>
                      <a:noFill/>
                    </a:ln>
                  </pic:spPr>
                </pic:pic>
              </a:graphicData>
            </a:graphic>
          </wp:inline>
        </w:drawing>
      </w:r>
    </w:p>
    <w:p w14:paraId="3F547969" w14:textId="77777777" w:rsidR="005A0452" w:rsidRDefault="005A0452" w:rsidP="00387742">
      <w:pPr>
        <w:pStyle w:val="CGCTablenote"/>
        <w:keepNext/>
        <w:keepLines/>
        <w:widowControl w:val="0"/>
      </w:pPr>
      <w:r w:rsidRPr="00B51941">
        <w:t>Source:</w:t>
      </w:r>
      <w:r w:rsidRPr="00B51941">
        <w:tab/>
        <w:t>Commission calculation</w:t>
      </w:r>
      <w:r w:rsidRPr="00442A3B">
        <w:t>.</w:t>
      </w:r>
    </w:p>
    <w:p w14:paraId="26C28717" w14:textId="77777777" w:rsidR="005A0452" w:rsidRDefault="005A0452" w:rsidP="005A0452">
      <w:pPr>
        <w:tabs>
          <w:tab w:val="clear" w:pos="567"/>
        </w:tabs>
        <w:spacing w:before="0" w:line="240" w:lineRule="auto"/>
        <w:rPr>
          <w:rFonts w:ascii="Work Sans" w:eastAsiaTheme="majorEastAsia" w:hAnsi="Work Sans" w:cs="Open Sans"/>
          <w:b/>
          <w:bCs/>
          <w:color w:val="006991"/>
          <w:sz w:val="36"/>
          <w:szCs w:val="36"/>
        </w:rPr>
      </w:pPr>
      <w:r>
        <w:br w:type="page"/>
      </w:r>
    </w:p>
    <w:p w14:paraId="0FC53DF2" w14:textId="77777777" w:rsidR="005A0452" w:rsidRDefault="005A0452" w:rsidP="000D6032">
      <w:pPr>
        <w:pStyle w:val="Heading2"/>
      </w:pPr>
      <w:r>
        <w:rPr>
          <w:noProof/>
        </w:rPr>
        <w:drawing>
          <wp:anchor distT="0" distB="0" distL="114300" distR="114300" simplePos="0" relativeHeight="251658256" behindDoc="1" locked="1" layoutInCell="1" allowOverlap="1" wp14:anchorId="4BB0D6E1" wp14:editId="5A306130">
            <wp:simplePos x="0" y="0"/>
            <wp:positionH relativeFrom="page">
              <wp:align>left</wp:align>
            </wp:positionH>
            <wp:positionV relativeFrom="page">
              <wp:align>bottom</wp:align>
            </wp:positionV>
            <wp:extent cx="7563485" cy="10691495"/>
            <wp:effectExtent l="0" t="0" r="0" b="0"/>
            <wp:wrapNone/>
            <wp:docPr id="76" name="Picture 7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t>South Australia</w:t>
      </w:r>
    </w:p>
    <w:p w14:paraId="1CE6366C" w14:textId="19F6470D" w:rsidR="005A0452" w:rsidRPr="00A56EE4" w:rsidRDefault="005A0452" w:rsidP="0004064D">
      <w:pPr>
        <w:pStyle w:val="CGCBodyCopy"/>
      </w:pPr>
      <w:r w:rsidRPr="00442A3B">
        <w:t>South Australia’s</w:t>
      </w:r>
      <w:r>
        <w:t xml:space="preserve"> share of the GST pool is estimated to</w:t>
      </w:r>
      <w:r w:rsidRPr="00442A3B">
        <w:t xml:space="preserve"> decrease from </w:t>
      </w:r>
      <w:r w:rsidRPr="008E2FBD">
        <w:t>9.</w:t>
      </w:r>
      <w:r>
        <w:t>3</w:t>
      </w:r>
      <w:r w:rsidRPr="008E2FBD">
        <w:t>% to 8.9%.</w:t>
      </w:r>
      <w:r w:rsidRPr="00442A3B">
        <w:t xml:space="preserve"> </w:t>
      </w:r>
      <w:r>
        <w:t>Combined with</w:t>
      </w:r>
      <w:r w:rsidRPr="00442A3B">
        <w:t xml:space="preserve"> pool growth, </w:t>
      </w:r>
      <w:r>
        <w:t xml:space="preserve">but excluding no worse off payments, </w:t>
      </w:r>
      <w:r w:rsidRPr="00442A3B">
        <w:t xml:space="preserve">its </w:t>
      </w:r>
      <w:r>
        <w:t xml:space="preserve">estimated </w:t>
      </w:r>
      <w:r w:rsidRPr="00442A3B">
        <w:t xml:space="preserve">GST </w:t>
      </w:r>
      <w:r>
        <w:t>distribution</w:t>
      </w:r>
      <w:r w:rsidRPr="00442A3B">
        <w:t xml:space="preserve"> in </w:t>
      </w:r>
      <w:r>
        <w:t>2022</w:t>
      </w:r>
      <w:r w:rsidR="0047404D">
        <w:t>–</w:t>
      </w:r>
      <w:r>
        <w:t>23</w:t>
      </w:r>
      <w:r w:rsidRPr="00442A3B">
        <w:t xml:space="preserve"> </w:t>
      </w:r>
      <w:r w:rsidR="00A57601">
        <w:t>would</w:t>
      </w:r>
      <w:r w:rsidRPr="00442A3B">
        <w:t xml:space="preserve"> </w:t>
      </w:r>
      <w:r>
        <w:t>increase</w:t>
      </w:r>
      <w:r w:rsidRPr="00442A3B">
        <w:t xml:space="preserve"> by </w:t>
      </w:r>
      <w:r w:rsidRPr="00C83C19">
        <w:t>$</w:t>
      </w:r>
      <w:r w:rsidR="003E0612">
        <w:t>80</w:t>
      </w:r>
      <w:r w:rsidRPr="00C83C19">
        <w:t> million</w:t>
      </w:r>
      <w:r w:rsidR="00301E74">
        <w:t>,</w:t>
      </w:r>
      <w:r>
        <w:t xml:space="preserve"> or 1.</w:t>
      </w:r>
      <w:r w:rsidR="00ED00EC">
        <w:t>2</w:t>
      </w:r>
      <w:r w:rsidRPr="00A56EE4">
        <w:t>%.</w:t>
      </w:r>
    </w:p>
    <w:p w14:paraId="46C287FA" w14:textId="37F69BC4" w:rsidR="005A0452" w:rsidRDefault="00953615" w:rsidP="0004064D">
      <w:pPr>
        <w:pStyle w:val="CGCBodyCopy"/>
      </w:pPr>
      <w:r w:rsidRPr="00A56EE4">
        <w:t>South Australia’s estimated GST distribution increased due to growth in the GST pool. Pool growth was sufficient to more than offset a reduction in South Australia’s assessed needs and the combined effect of blended relativities and the GST floor. Population growth, which was above the national average, increased South Australia’s relative need for new infrastructure, and this</w:t>
      </w:r>
      <w:r w:rsidR="00C17EDB">
        <w:t>,</w:t>
      </w:r>
      <w:r w:rsidRPr="00A56EE4">
        <w:t xml:space="preserve"> along with a lower share of Commonwealth Payments, increased its GST share. These increases were partly offset by above</w:t>
      </w:r>
      <w:r w:rsidR="002E7313">
        <w:noBreakHyphen/>
      </w:r>
      <w:r w:rsidRPr="00A56EE4">
        <w:t>average growth in taxable payrolls and property sales.</w:t>
      </w:r>
      <w:r w:rsidRPr="00953615">
        <w:t xml:space="preserve"> </w:t>
      </w:r>
      <w:r w:rsidR="005A0452" w:rsidRPr="00707043">
        <w:t>The combined effect of blended relativities and the GST floor would reduce South Australia’s distribution by $2</w:t>
      </w:r>
      <w:r w:rsidR="00363408">
        <w:t>80</w:t>
      </w:r>
      <w:r w:rsidR="005A0452" w:rsidRPr="00707043">
        <w:t xml:space="preserve"> million. Across the transition period, this impact </w:t>
      </w:r>
      <w:r w:rsidR="00A56EE4" w:rsidRPr="00A56EE4">
        <w:t>would be</w:t>
      </w:r>
      <w:r w:rsidR="001802E6" w:rsidRPr="00A56EE4">
        <w:t xml:space="preserve"> </w:t>
      </w:r>
      <w:r w:rsidR="005A0452" w:rsidRPr="00A56EE4">
        <w:t xml:space="preserve">ameliorated </w:t>
      </w:r>
      <w:r w:rsidR="005A0452" w:rsidRPr="00707043">
        <w:t>by no</w:t>
      </w:r>
      <w:r w:rsidR="005A0452">
        <w:t> </w:t>
      </w:r>
      <w:r w:rsidR="005A0452" w:rsidRPr="00707043">
        <w:t>worse</w:t>
      </w:r>
      <w:r w:rsidR="005A0452">
        <w:t> </w:t>
      </w:r>
      <w:r w:rsidR="005A0452" w:rsidRPr="00707043">
        <w:t>off payments.</w:t>
      </w:r>
    </w:p>
    <w:p w14:paraId="2FE76B3F" w14:textId="2E46C6E3" w:rsidR="005A0452" w:rsidRPr="00556CDE" w:rsidRDefault="005A0452" w:rsidP="002E654A">
      <w:pPr>
        <w:pStyle w:val="Caption"/>
      </w:pPr>
      <w:bookmarkStart w:id="88" w:name="_Toc62487286"/>
      <w:bookmarkStart w:id="89" w:name="_Toc62723816"/>
      <w:r w:rsidRPr="00556CDE">
        <w:t>Table 3</w:t>
      </w:r>
      <w:r w:rsidRPr="00556CDE">
        <w:noBreakHyphen/>
      </w:r>
      <w:r w:rsidRPr="00556CDE">
        <w:fldChar w:fldCharType="begin"/>
      </w:r>
      <w:r w:rsidRPr="00556CDE">
        <w:instrText>SEQ Table \* ARABIC</w:instrText>
      </w:r>
      <w:r w:rsidRPr="00556CDE">
        <w:fldChar w:fldCharType="separate"/>
      </w:r>
      <w:r w:rsidR="00FE4664">
        <w:rPr>
          <w:noProof/>
        </w:rPr>
        <w:t>5</w:t>
      </w:r>
      <w:r w:rsidRPr="00556CDE">
        <w:fldChar w:fldCharType="end"/>
      </w:r>
      <w:r w:rsidRPr="00556CDE">
        <w:tab/>
        <w:t>Change in estimated GST distribution from 2021</w:t>
      </w:r>
      <w:r w:rsidR="0061138D">
        <w:t>–</w:t>
      </w:r>
      <w:r w:rsidRPr="00556CDE">
        <w:t>22 to 2022</w:t>
      </w:r>
      <w:r w:rsidR="0061138D">
        <w:t>–</w:t>
      </w:r>
      <w:r w:rsidRPr="00556CDE">
        <w:t>23, South Australia</w:t>
      </w:r>
      <w:bookmarkEnd w:id="88"/>
      <w:bookmarkEnd w:id="89"/>
      <w:r w:rsidRPr="00556CDE">
        <w:t xml:space="preserve"> (exclud</w:t>
      </w:r>
      <w:r w:rsidR="0011097E">
        <w:t>es</w:t>
      </w:r>
      <w:r w:rsidRPr="00556CDE">
        <w:t xml:space="preserve"> </w:t>
      </w:r>
      <w:r>
        <w:t>no worse off payments</w:t>
      </w:r>
      <w:r w:rsidRPr="00556CDE">
        <w:t>)</w:t>
      </w:r>
    </w:p>
    <w:tbl>
      <w:tblPr>
        <w:tblW w:w="8940" w:type="dxa"/>
        <w:tblLook w:val="04A0" w:firstRow="1" w:lastRow="0" w:firstColumn="1" w:lastColumn="0" w:noHBand="0" w:noVBand="1"/>
      </w:tblPr>
      <w:tblGrid>
        <w:gridCol w:w="4040"/>
        <w:gridCol w:w="2500"/>
        <w:gridCol w:w="2400"/>
      </w:tblGrid>
      <w:tr w:rsidR="00EB1F3B" w:rsidRPr="00EB1F3B" w14:paraId="698585AB" w14:textId="77777777" w:rsidTr="00EB1F3B">
        <w:trPr>
          <w:trHeight w:val="259"/>
        </w:trPr>
        <w:tc>
          <w:tcPr>
            <w:tcW w:w="4040" w:type="dxa"/>
            <w:tcBorders>
              <w:top w:val="nil"/>
              <w:left w:val="nil"/>
              <w:bottom w:val="single" w:sz="4" w:space="0" w:color="ADD6EA"/>
              <w:right w:val="nil"/>
            </w:tcBorders>
            <w:shd w:val="clear" w:color="000000" w:fill="006991"/>
            <w:noWrap/>
            <w:vAlign w:val="center"/>
            <w:hideMark/>
          </w:tcPr>
          <w:p w14:paraId="54B39BF3" w14:textId="77777777" w:rsidR="00EB1F3B" w:rsidRPr="00EB1F3B" w:rsidRDefault="00EB1F3B" w:rsidP="00EB1F3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90" w:name="_Toc62487176"/>
            <w:bookmarkStart w:id="91" w:name="_Toc62487332"/>
            <w:r w:rsidRPr="00EB1F3B">
              <w:rPr>
                <w:rFonts w:ascii="Open Sans Semibold" w:eastAsia="Times New Roman" w:hAnsi="Open Sans Semibold" w:cs="Open Sans Semibold"/>
                <w:color w:val="FFFFFF"/>
                <w:sz w:val="16"/>
                <w:szCs w:val="16"/>
                <w:lang w:eastAsia="en-AU"/>
              </w:rPr>
              <w:t> </w:t>
            </w:r>
          </w:p>
        </w:tc>
        <w:tc>
          <w:tcPr>
            <w:tcW w:w="2500" w:type="dxa"/>
            <w:tcBorders>
              <w:top w:val="nil"/>
              <w:left w:val="nil"/>
              <w:bottom w:val="single" w:sz="4" w:space="0" w:color="ADD6EA"/>
              <w:right w:val="nil"/>
            </w:tcBorders>
            <w:shd w:val="clear" w:color="000000" w:fill="006991"/>
            <w:noWrap/>
            <w:vAlign w:val="center"/>
            <w:hideMark/>
          </w:tcPr>
          <w:p w14:paraId="0972A208" w14:textId="77777777" w:rsidR="00EB1F3B" w:rsidRPr="00EB1F3B" w:rsidRDefault="00EB1F3B" w:rsidP="00EB1F3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B1F3B">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0DBEBDD6" w14:textId="77777777" w:rsidR="00EB1F3B" w:rsidRPr="00EB1F3B" w:rsidRDefault="00EB1F3B" w:rsidP="00EB1F3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B1F3B">
              <w:rPr>
                <w:rFonts w:ascii="Open Sans Semibold" w:eastAsia="Times New Roman" w:hAnsi="Open Sans Semibold" w:cs="Open Sans Semibold"/>
                <w:color w:val="FFFFFF"/>
                <w:sz w:val="16"/>
                <w:szCs w:val="16"/>
                <w:lang w:eastAsia="en-AU"/>
              </w:rPr>
              <w:t>$pc</w:t>
            </w:r>
          </w:p>
        </w:tc>
      </w:tr>
      <w:tr w:rsidR="00EB1F3B" w:rsidRPr="00EB1F3B" w14:paraId="334324EA" w14:textId="77777777" w:rsidTr="00EB1F3B">
        <w:trPr>
          <w:trHeight w:val="259"/>
        </w:trPr>
        <w:tc>
          <w:tcPr>
            <w:tcW w:w="4040" w:type="dxa"/>
            <w:tcBorders>
              <w:top w:val="nil"/>
              <w:left w:val="nil"/>
              <w:bottom w:val="single" w:sz="4" w:space="0" w:color="ADD6EA"/>
              <w:right w:val="nil"/>
            </w:tcBorders>
            <w:shd w:val="clear" w:color="auto" w:fill="auto"/>
            <w:noWrap/>
            <w:vAlign w:val="bottom"/>
            <w:hideMark/>
          </w:tcPr>
          <w:p w14:paraId="4265E389" w14:textId="77777777" w:rsidR="00EB1F3B" w:rsidRPr="00EB1F3B" w:rsidRDefault="00EB1F3B" w:rsidP="00EB1F3B">
            <w:pPr>
              <w:tabs>
                <w:tab w:val="clear" w:pos="567"/>
              </w:tabs>
              <w:spacing w:before="0" w:line="240" w:lineRule="auto"/>
              <w:rPr>
                <w:rFonts w:eastAsia="Times New Roman" w:cs="Open Sans Light"/>
                <w:sz w:val="16"/>
                <w:szCs w:val="16"/>
                <w:lang w:eastAsia="en-AU"/>
              </w:rPr>
            </w:pPr>
            <w:r w:rsidRPr="00EB1F3B">
              <w:rPr>
                <w:rFonts w:eastAsia="Times New Roman" w:cs="Open Sans Light"/>
                <w:sz w:val="16"/>
                <w:szCs w:val="16"/>
                <w:lang w:eastAsia="en-AU"/>
              </w:rPr>
              <w:t>Change in population</w:t>
            </w:r>
          </w:p>
        </w:tc>
        <w:tc>
          <w:tcPr>
            <w:tcW w:w="2500" w:type="dxa"/>
            <w:tcBorders>
              <w:top w:val="nil"/>
              <w:left w:val="nil"/>
              <w:bottom w:val="single" w:sz="4" w:space="0" w:color="ADD6EA"/>
              <w:right w:val="nil"/>
            </w:tcBorders>
            <w:shd w:val="clear" w:color="auto" w:fill="auto"/>
            <w:noWrap/>
            <w:vAlign w:val="bottom"/>
            <w:hideMark/>
          </w:tcPr>
          <w:p w14:paraId="59D6E69E" w14:textId="77777777" w:rsidR="00EB1F3B" w:rsidRPr="00EB1F3B" w:rsidRDefault="00EB1F3B" w:rsidP="00EB1F3B">
            <w:pPr>
              <w:tabs>
                <w:tab w:val="clear" w:pos="567"/>
              </w:tabs>
              <w:spacing w:before="0" w:line="240" w:lineRule="auto"/>
              <w:jc w:val="right"/>
              <w:rPr>
                <w:rFonts w:eastAsia="Times New Roman" w:cs="Open Sans Light"/>
                <w:sz w:val="16"/>
                <w:szCs w:val="16"/>
                <w:lang w:eastAsia="en-AU"/>
              </w:rPr>
            </w:pPr>
            <w:r w:rsidRPr="00EB1F3B">
              <w:rPr>
                <w:rFonts w:eastAsia="Times New Roman" w:cs="Open Sans Light"/>
                <w:sz w:val="16"/>
                <w:szCs w:val="16"/>
                <w:lang w:eastAsia="en-AU"/>
              </w:rPr>
              <w:t>3</w:t>
            </w:r>
          </w:p>
        </w:tc>
        <w:tc>
          <w:tcPr>
            <w:tcW w:w="2400" w:type="dxa"/>
            <w:tcBorders>
              <w:top w:val="nil"/>
              <w:left w:val="nil"/>
              <w:bottom w:val="single" w:sz="4" w:space="0" w:color="ADD6EA"/>
              <w:right w:val="nil"/>
            </w:tcBorders>
            <w:shd w:val="clear" w:color="auto" w:fill="auto"/>
            <w:noWrap/>
            <w:vAlign w:val="bottom"/>
            <w:hideMark/>
          </w:tcPr>
          <w:p w14:paraId="245A3229" w14:textId="77777777" w:rsidR="00EB1F3B" w:rsidRPr="00EB1F3B" w:rsidRDefault="00EB1F3B" w:rsidP="00EB1F3B">
            <w:pPr>
              <w:tabs>
                <w:tab w:val="clear" w:pos="567"/>
              </w:tabs>
              <w:spacing w:before="0" w:line="240" w:lineRule="auto"/>
              <w:jc w:val="right"/>
              <w:rPr>
                <w:rFonts w:eastAsia="Times New Roman" w:cs="Open Sans Light"/>
                <w:sz w:val="16"/>
                <w:szCs w:val="16"/>
                <w:lang w:eastAsia="en-AU"/>
              </w:rPr>
            </w:pPr>
            <w:r w:rsidRPr="00EB1F3B">
              <w:rPr>
                <w:rFonts w:eastAsia="Times New Roman" w:cs="Open Sans Light"/>
                <w:sz w:val="16"/>
                <w:szCs w:val="16"/>
                <w:lang w:eastAsia="en-AU"/>
              </w:rPr>
              <w:t>2</w:t>
            </w:r>
          </w:p>
        </w:tc>
      </w:tr>
      <w:tr w:rsidR="00EB1F3B" w:rsidRPr="00EB1F3B" w14:paraId="43014C5D" w14:textId="77777777" w:rsidTr="00EB1F3B">
        <w:trPr>
          <w:trHeight w:val="259"/>
        </w:trPr>
        <w:tc>
          <w:tcPr>
            <w:tcW w:w="4040" w:type="dxa"/>
            <w:tcBorders>
              <w:top w:val="nil"/>
              <w:left w:val="nil"/>
              <w:bottom w:val="single" w:sz="4" w:space="0" w:color="ADD6EA"/>
              <w:right w:val="nil"/>
            </w:tcBorders>
            <w:shd w:val="clear" w:color="auto" w:fill="auto"/>
            <w:noWrap/>
            <w:vAlign w:val="bottom"/>
            <w:hideMark/>
          </w:tcPr>
          <w:p w14:paraId="31EBEC91" w14:textId="77777777" w:rsidR="00EB1F3B" w:rsidRPr="00EB1F3B" w:rsidRDefault="00EB1F3B" w:rsidP="00EB1F3B">
            <w:pPr>
              <w:tabs>
                <w:tab w:val="clear" w:pos="567"/>
              </w:tabs>
              <w:spacing w:before="0" w:line="240" w:lineRule="auto"/>
              <w:rPr>
                <w:rFonts w:eastAsia="Times New Roman" w:cs="Open Sans Light"/>
                <w:sz w:val="16"/>
                <w:szCs w:val="16"/>
                <w:lang w:eastAsia="en-AU"/>
              </w:rPr>
            </w:pPr>
            <w:r w:rsidRPr="00EB1F3B">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42DF3C0F" w14:textId="77777777" w:rsidR="00EB1F3B" w:rsidRPr="00EB1F3B" w:rsidRDefault="00EB1F3B" w:rsidP="00EB1F3B">
            <w:pPr>
              <w:tabs>
                <w:tab w:val="clear" w:pos="567"/>
              </w:tabs>
              <w:spacing w:before="0" w:line="240" w:lineRule="auto"/>
              <w:jc w:val="right"/>
              <w:rPr>
                <w:rFonts w:eastAsia="Times New Roman" w:cs="Open Sans Light"/>
                <w:sz w:val="16"/>
                <w:szCs w:val="16"/>
                <w:lang w:eastAsia="en-AU"/>
              </w:rPr>
            </w:pPr>
            <w:r w:rsidRPr="00EB1F3B">
              <w:rPr>
                <w:rFonts w:eastAsia="Times New Roman" w:cs="Open Sans Light"/>
                <w:sz w:val="16"/>
                <w:szCs w:val="16"/>
                <w:lang w:eastAsia="en-AU"/>
              </w:rPr>
              <w:t>404</w:t>
            </w:r>
          </w:p>
        </w:tc>
        <w:tc>
          <w:tcPr>
            <w:tcW w:w="2400" w:type="dxa"/>
            <w:tcBorders>
              <w:top w:val="nil"/>
              <w:left w:val="nil"/>
              <w:bottom w:val="single" w:sz="4" w:space="0" w:color="ADD6EA"/>
              <w:right w:val="nil"/>
            </w:tcBorders>
            <w:shd w:val="clear" w:color="auto" w:fill="auto"/>
            <w:noWrap/>
            <w:vAlign w:val="bottom"/>
            <w:hideMark/>
          </w:tcPr>
          <w:p w14:paraId="090FECEF" w14:textId="77777777" w:rsidR="00EB1F3B" w:rsidRPr="00EB1F3B" w:rsidRDefault="00EB1F3B" w:rsidP="00EB1F3B">
            <w:pPr>
              <w:tabs>
                <w:tab w:val="clear" w:pos="567"/>
              </w:tabs>
              <w:spacing w:before="0" w:line="240" w:lineRule="auto"/>
              <w:jc w:val="right"/>
              <w:rPr>
                <w:rFonts w:eastAsia="Times New Roman" w:cs="Open Sans Light"/>
                <w:sz w:val="16"/>
                <w:szCs w:val="16"/>
                <w:lang w:eastAsia="en-AU"/>
              </w:rPr>
            </w:pPr>
            <w:r w:rsidRPr="00EB1F3B">
              <w:rPr>
                <w:rFonts w:eastAsia="Times New Roman" w:cs="Open Sans Light"/>
                <w:sz w:val="16"/>
                <w:szCs w:val="16"/>
                <w:lang w:eastAsia="en-AU"/>
              </w:rPr>
              <w:t>225</w:t>
            </w:r>
          </w:p>
        </w:tc>
      </w:tr>
      <w:tr w:rsidR="00EB1F3B" w:rsidRPr="00EB1F3B" w14:paraId="68803AF8" w14:textId="77777777" w:rsidTr="00EB1F3B">
        <w:trPr>
          <w:trHeight w:val="259"/>
        </w:trPr>
        <w:tc>
          <w:tcPr>
            <w:tcW w:w="4040" w:type="dxa"/>
            <w:tcBorders>
              <w:top w:val="nil"/>
              <w:left w:val="nil"/>
              <w:bottom w:val="single" w:sz="4" w:space="0" w:color="ADD6EA"/>
              <w:right w:val="nil"/>
            </w:tcBorders>
            <w:shd w:val="clear" w:color="auto" w:fill="auto"/>
            <w:noWrap/>
            <w:vAlign w:val="bottom"/>
            <w:hideMark/>
          </w:tcPr>
          <w:p w14:paraId="23DB66D3" w14:textId="77777777" w:rsidR="00EB1F3B" w:rsidRPr="00EB1F3B" w:rsidRDefault="00EB1F3B" w:rsidP="00EB1F3B">
            <w:pPr>
              <w:tabs>
                <w:tab w:val="clear" w:pos="567"/>
              </w:tabs>
              <w:spacing w:before="0" w:line="240" w:lineRule="auto"/>
              <w:rPr>
                <w:rFonts w:eastAsia="Times New Roman" w:cs="Open Sans Light"/>
                <w:sz w:val="16"/>
                <w:szCs w:val="16"/>
                <w:lang w:eastAsia="en-AU"/>
              </w:rPr>
            </w:pPr>
            <w:r w:rsidRPr="00EB1F3B">
              <w:rPr>
                <w:rFonts w:eastAsia="Times New Roman" w:cs="Open Sans Light"/>
                <w:sz w:val="16"/>
                <w:szCs w:val="16"/>
                <w:lang w:eastAsia="en-AU"/>
              </w:rPr>
              <w:t>Changes in assessed needs</w:t>
            </w:r>
          </w:p>
        </w:tc>
        <w:tc>
          <w:tcPr>
            <w:tcW w:w="2500" w:type="dxa"/>
            <w:tcBorders>
              <w:top w:val="nil"/>
              <w:left w:val="nil"/>
              <w:bottom w:val="single" w:sz="4" w:space="0" w:color="ADD6EA"/>
              <w:right w:val="nil"/>
            </w:tcBorders>
            <w:shd w:val="clear" w:color="auto" w:fill="auto"/>
            <w:noWrap/>
            <w:vAlign w:val="bottom"/>
            <w:hideMark/>
          </w:tcPr>
          <w:p w14:paraId="33047ABB" w14:textId="77777777" w:rsidR="00EB1F3B" w:rsidRPr="00EB1F3B" w:rsidRDefault="00EB1F3B" w:rsidP="00EB1F3B">
            <w:pPr>
              <w:tabs>
                <w:tab w:val="clear" w:pos="567"/>
              </w:tabs>
              <w:spacing w:before="0" w:line="240" w:lineRule="auto"/>
              <w:jc w:val="right"/>
              <w:rPr>
                <w:rFonts w:eastAsia="Times New Roman" w:cs="Open Sans Light"/>
                <w:sz w:val="16"/>
                <w:szCs w:val="16"/>
                <w:lang w:eastAsia="en-AU"/>
              </w:rPr>
            </w:pPr>
            <w:r w:rsidRPr="00EB1F3B">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4DE515C0" w14:textId="77777777" w:rsidR="00EB1F3B" w:rsidRPr="00EB1F3B" w:rsidRDefault="00EB1F3B" w:rsidP="00EB1F3B">
            <w:pPr>
              <w:tabs>
                <w:tab w:val="clear" w:pos="567"/>
              </w:tabs>
              <w:spacing w:before="0" w:line="240" w:lineRule="auto"/>
              <w:jc w:val="right"/>
              <w:rPr>
                <w:rFonts w:eastAsia="Times New Roman" w:cs="Open Sans Light"/>
                <w:sz w:val="16"/>
                <w:szCs w:val="16"/>
                <w:lang w:eastAsia="en-AU"/>
              </w:rPr>
            </w:pPr>
            <w:r w:rsidRPr="00EB1F3B">
              <w:rPr>
                <w:rFonts w:eastAsia="Times New Roman" w:cs="Open Sans Light"/>
                <w:sz w:val="16"/>
                <w:szCs w:val="16"/>
                <w:lang w:eastAsia="en-AU"/>
              </w:rPr>
              <w:t> </w:t>
            </w:r>
          </w:p>
        </w:tc>
      </w:tr>
      <w:tr w:rsidR="00EB1F3B" w:rsidRPr="00EB1F3B" w14:paraId="2046B24E" w14:textId="77777777" w:rsidTr="00EB1F3B">
        <w:trPr>
          <w:trHeight w:val="259"/>
        </w:trPr>
        <w:tc>
          <w:tcPr>
            <w:tcW w:w="4040" w:type="dxa"/>
            <w:tcBorders>
              <w:top w:val="nil"/>
              <w:left w:val="nil"/>
              <w:bottom w:val="single" w:sz="4" w:space="0" w:color="ADD6EA"/>
              <w:right w:val="nil"/>
            </w:tcBorders>
            <w:shd w:val="clear" w:color="auto" w:fill="auto"/>
            <w:noWrap/>
            <w:vAlign w:val="bottom"/>
            <w:hideMark/>
          </w:tcPr>
          <w:p w14:paraId="1A631C3B" w14:textId="77777777" w:rsidR="00EB1F3B" w:rsidRPr="00EB1F3B" w:rsidRDefault="00EB1F3B" w:rsidP="00EB1F3B">
            <w:pPr>
              <w:tabs>
                <w:tab w:val="clear" w:pos="567"/>
              </w:tabs>
              <w:spacing w:before="0" w:line="240" w:lineRule="auto"/>
              <w:ind w:firstLineChars="100" w:firstLine="160"/>
              <w:rPr>
                <w:rFonts w:eastAsia="Times New Roman" w:cs="Open Sans Light"/>
                <w:sz w:val="16"/>
                <w:szCs w:val="16"/>
                <w:lang w:eastAsia="en-AU"/>
              </w:rPr>
            </w:pPr>
            <w:r w:rsidRPr="00EB1F3B">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673EB8A1" w14:textId="77777777" w:rsidR="00EB1F3B" w:rsidRPr="00EB1F3B" w:rsidRDefault="00EB1F3B" w:rsidP="00EB1F3B">
            <w:pPr>
              <w:tabs>
                <w:tab w:val="clear" w:pos="567"/>
              </w:tabs>
              <w:spacing w:before="0" w:line="240" w:lineRule="auto"/>
              <w:jc w:val="right"/>
              <w:rPr>
                <w:rFonts w:eastAsia="Times New Roman" w:cs="Open Sans Light"/>
                <w:sz w:val="16"/>
                <w:szCs w:val="16"/>
                <w:lang w:eastAsia="en-AU"/>
              </w:rPr>
            </w:pPr>
            <w:r w:rsidRPr="00EB1F3B">
              <w:rPr>
                <w:rFonts w:eastAsia="Times New Roman" w:cs="Open Sans Light"/>
                <w:sz w:val="16"/>
                <w:szCs w:val="16"/>
                <w:lang w:eastAsia="en-AU"/>
              </w:rPr>
              <w:t>-74</w:t>
            </w:r>
          </w:p>
        </w:tc>
        <w:tc>
          <w:tcPr>
            <w:tcW w:w="2400" w:type="dxa"/>
            <w:tcBorders>
              <w:top w:val="nil"/>
              <w:left w:val="nil"/>
              <w:bottom w:val="single" w:sz="4" w:space="0" w:color="ADD6EA"/>
              <w:right w:val="nil"/>
            </w:tcBorders>
            <w:shd w:val="clear" w:color="auto" w:fill="auto"/>
            <w:noWrap/>
            <w:vAlign w:val="bottom"/>
            <w:hideMark/>
          </w:tcPr>
          <w:p w14:paraId="6C3DF757" w14:textId="77777777" w:rsidR="00EB1F3B" w:rsidRPr="00EB1F3B" w:rsidRDefault="00EB1F3B" w:rsidP="00EB1F3B">
            <w:pPr>
              <w:tabs>
                <w:tab w:val="clear" w:pos="567"/>
              </w:tabs>
              <w:spacing w:before="0" w:line="240" w:lineRule="auto"/>
              <w:jc w:val="right"/>
              <w:rPr>
                <w:rFonts w:eastAsia="Times New Roman" w:cs="Open Sans Light"/>
                <w:sz w:val="16"/>
                <w:szCs w:val="16"/>
                <w:lang w:eastAsia="en-AU"/>
              </w:rPr>
            </w:pPr>
            <w:r w:rsidRPr="00EB1F3B">
              <w:rPr>
                <w:rFonts w:eastAsia="Times New Roman" w:cs="Open Sans Light"/>
                <w:sz w:val="16"/>
                <w:szCs w:val="16"/>
                <w:lang w:eastAsia="en-AU"/>
              </w:rPr>
              <w:t>-41</w:t>
            </w:r>
          </w:p>
        </w:tc>
      </w:tr>
      <w:tr w:rsidR="00EB1F3B" w:rsidRPr="00EB1F3B" w14:paraId="777A788D" w14:textId="77777777" w:rsidTr="00EB1F3B">
        <w:trPr>
          <w:trHeight w:val="259"/>
        </w:trPr>
        <w:tc>
          <w:tcPr>
            <w:tcW w:w="4040" w:type="dxa"/>
            <w:tcBorders>
              <w:top w:val="nil"/>
              <w:left w:val="nil"/>
              <w:bottom w:val="single" w:sz="4" w:space="0" w:color="ADD6EA"/>
              <w:right w:val="nil"/>
            </w:tcBorders>
            <w:shd w:val="clear" w:color="auto" w:fill="auto"/>
            <w:noWrap/>
            <w:vAlign w:val="bottom"/>
            <w:hideMark/>
          </w:tcPr>
          <w:p w14:paraId="53330AD0" w14:textId="77777777" w:rsidR="00EB1F3B" w:rsidRPr="00EB1F3B" w:rsidRDefault="00EB1F3B" w:rsidP="00EB1F3B">
            <w:pPr>
              <w:tabs>
                <w:tab w:val="clear" w:pos="567"/>
              </w:tabs>
              <w:spacing w:before="0" w:line="240" w:lineRule="auto"/>
              <w:ind w:firstLineChars="100" w:firstLine="160"/>
              <w:rPr>
                <w:rFonts w:eastAsia="Times New Roman" w:cs="Open Sans Light"/>
                <w:sz w:val="16"/>
                <w:szCs w:val="16"/>
                <w:lang w:eastAsia="en-AU"/>
              </w:rPr>
            </w:pPr>
            <w:r w:rsidRPr="00EB1F3B">
              <w:rPr>
                <w:rFonts w:eastAsia="Times New Roman" w:cs="Open Sans Light"/>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6832BB68" w14:textId="77777777" w:rsidR="00EB1F3B" w:rsidRPr="00EB1F3B" w:rsidRDefault="00EB1F3B" w:rsidP="00EB1F3B">
            <w:pPr>
              <w:tabs>
                <w:tab w:val="clear" w:pos="567"/>
              </w:tabs>
              <w:spacing w:before="0" w:line="240" w:lineRule="auto"/>
              <w:jc w:val="right"/>
              <w:rPr>
                <w:rFonts w:eastAsia="Times New Roman" w:cs="Open Sans Light"/>
                <w:sz w:val="16"/>
                <w:szCs w:val="16"/>
                <w:lang w:eastAsia="en-AU"/>
              </w:rPr>
            </w:pPr>
            <w:r w:rsidRPr="00EB1F3B">
              <w:rPr>
                <w:rFonts w:eastAsia="Times New Roman" w:cs="Open Sans Light"/>
                <w:sz w:val="16"/>
                <w:szCs w:val="16"/>
                <w:lang w:eastAsia="en-AU"/>
              </w:rPr>
              <w:t>27</w:t>
            </w:r>
          </w:p>
        </w:tc>
        <w:tc>
          <w:tcPr>
            <w:tcW w:w="2400" w:type="dxa"/>
            <w:tcBorders>
              <w:top w:val="nil"/>
              <w:left w:val="nil"/>
              <w:bottom w:val="single" w:sz="4" w:space="0" w:color="ADD6EA"/>
              <w:right w:val="nil"/>
            </w:tcBorders>
            <w:shd w:val="clear" w:color="auto" w:fill="auto"/>
            <w:noWrap/>
            <w:vAlign w:val="bottom"/>
            <w:hideMark/>
          </w:tcPr>
          <w:p w14:paraId="7D4C698E" w14:textId="77777777" w:rsidR="00EB1F3B" w:rsidRPr="00EB1F3B" w:rsidRDefault="00EB1F3B" w:rsidP="00EB1F3B">
            <w:pPr>
              <w:tabs>
                <w:tab w:val="clear" w:pos="567"/>
              </w:tabs>
              <w:spacing w:before="0" w:line="240" w:lineRule="auto"/>
              <w:jc w:val="right"/>
              <w:rPr>
                <w:rFonts w:eastAsia="Times New Roman" w:cs="Open Sans Light"/>
                <w:sz w:val="16"/>
                <w:szCs w:val="16"/>
                <w:lang w:eastAsia="en-AU"/>
              </w:rPr>
            </w:pPr>
            <w:r w:rsidRPr="00EB1F3B">
              <w:rPr>
                <w:rFonts w:eastAsia="Times New Roman" w:cs="Open Sans Light"/>
                <w:sz w:val="16"/>
                <w:szCs w:val="16"/>
                <w:lang w:eastAsia="en-AU"/>
              </w:rPr>
              <w:t>15</w:t>
            </w:r>
          </w:p>
        </w:tc>
      </w:tr>
      <w:tr w:rsidR="00EB1F3B" w:rsidRPr="00EB1F3B" w14:paraId="5A36E46F" w14:textId="77777777" w:rsidTr="00EB1F3B">
        <w:trPr>
          <w:trHeight w:val="259"/>
        </w:trPr>
        <w:tc>
          <w:tcPr>
            <w:tcW w:w="4040" w:type="dxa"/>
            <w:tcBorders>
              <w:top w:val="nil"/>
              <w:left w:val="nil"/>
              <w:bottom w:val="single" w:sz="4" w:space="0" w:color="ADD6EA"/>
              <w:right w:val="nil"/>
            </w:tcBorders>
            <w:shd w:val="clear" w:color="auto" w:fill="auto"/>
            <w:noWrap/>
            <w:vAlign w:val="bottom"/>
            <w:hideMark/>
          </w:tcPr>
          <w:p w14:paraId="306F9EC0" w14:textId="77777777" w:rsidR="00EB1F3B" w:rsidRPr="00EB1F3B" w:rsidRDefault="00EB1F3B" w:rsidP="00EB1F3B">
            <w:pPr>
              <w:tabs>
                <w:tab w:val="clear" w:pos="567"/>
              </w:tabs>
              <w:spacing w:before="0" w:line="240" w:lineRule="auto"/>
              <w:ind w:firstLineChars="100" w:firstLine="160"/>
              <w:rPr>
                <w:rFonts w:eastAsia="Times New Roman" w:cs="Open Sans Light"/>
                <w:sz w:val="16"/>
                <w:szCs w:val="16"/>
                <w:lang w:eastAsia="en-AU"/>
              </w:rPr>
            </w:pPr>
            <w:r w:rsidRPr="00EB1F3B">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452A0A62" w14:textId="77777777" w:rsidR="00EB1F3B" w:rsidRPr="00EB1F3B" w:rsidRDefault="00EB1F3B" w:rsidP="00EB1F3B">
            <w:pPr>
              <w:tabs>
                <w:tab w:val="clear" w:pos="567"/>
              </w:tabs>
              <w:spacing w:before="0" w:line="240" w:lineRule="auto"/>
              <w:jc w:val="right"/>
              <w:rPr>
                <w:rFonts w:eastAsia="Times New Roman" w:cs="Open Sans Light"/>
                <w:sz w:val="16"/>
                <w:szCs w:val="16"/>
                <w:lang w:eastAsia="en-AU"/>
              </w:rPr>
            </w:pPr>
            <w:r w:rsidRPr="00EB1F3B">
              <w:rPr>
                <w:rFonts w:eastAsia="Times New Roman" w:cs="Open Sans Light"/>
                <w:sz w:val="16"/>
                <w:szCs w:val="16"/>
                <w:lang w:eastAsia="en-AU"/>
              </w:rPr>
              <w:t>-47</w:t>
            </w:r>
          </w:p>
        </w:tc>
        <w:tc>
          <w:tcPr>
            <w:tcW w:w="2400" w:type="dxa"/>
            <w:tcBorders>
              <w:top w:val="nil"/>
              <w:left w:val="nil"/>
              <w:bottom w:val="single" w:sz="4" w:space="0" w:color="ADD6EA"/>
              <w:right w:val="nil"/>
            </w:tcBorders>
            <w:shd w:val="clear" w:color="auto" w:fill="auto"/>
            <w:noWrap/>
            <w:vAlign w:val="bottom"/>
            <w:hideMark/>
          </w:tcPr>
          <w:p w14:paraId="78DD3B3F" w14:textId="77777777" w:rsidR="00EB1F3B" w:rsidRPr="00EB1F3B" w:rsidRDefault="00EB1F3B" w:rsidP="00EB1F3B">
            <w:pPr>
              <w:tabs>
                <w:tab w:val="clear" w:pos="567"/>
              </w:tabs>
              <w:spacing w:before="0" w:line="240" w:lineRule="auto"/>
              <w:jc w:val="right"/>
              <w:rPr>
                <w:rFonts w:eastAsia="Times New Roman" w:cs="Open Sans Light"/>
                <w:sz w:val="16"/>
                <w:szCs w:val="16"/>
                <w:lang w:eastAsia="en-AU"/>
              </w:rPr>
            </w:pPr>
            <w:r w:rsidRPr="00EB1F3B">
              <w:rPr>
                <w:rFonts w:eastAsia="Times New Roman" w:cs="Open Sans Light"/>
                <w:sz w:val="16"/>
                <w:szCs w:val="16"/>
                <w:lang w:eastAsia="en-AU"/>
              </w:rPr>
              <w:t>-26</w:t>
            </w:r>
          </w:p>
        </w:tc>
      </w:tr>
      <w:tr w:rsidR="00EB1F3B" w:rsidRPr="00EB1F3B" w14:paraId="15679E15" w14:textId="77777777" w:rsidTr="00EB1F3B">
        <w:trPr>
          <w:trHeight w:val="259"/>
        </w:trPr>
        <w:tc>
          <w:tcPr>
            <w:tcW w:w="4040" w:type="dxa"/>
            <w:tcBorders>
              <w:top w:val="nil"/>
              <w:left w:val="nil"/>
              <w:bottom w:val="single" w:sz="4" w:space="0" w:color="ADD6EA"/>
              <w:right w:val="nil"/>
            </w:tcBorders>
            <w:shd w:val="clear" w:color="auto" w:fill="auto"/>
            <w:noWrap/>
            <w:vAlign w:val="bottom"/>
            <w:hideMark/>
          </w:tcPr>
          <w:p w14:paraId="06E65C9B" w14:textId="77777777" w:rsidR="00EB1F3B" w:rsidRPr="00EB1F3B" w:rsidRDefault="00EB1F3B" w:rsidP="00EB1F3B">
            <w:pPr>
              <w:tabs>
                <w:tab w:val="clear" w:pos="567"/>
              </w:tabs>
              <w:spacing w:before="0" w:line="240" w:lineRule="auto"/>
              <w:rPr>
                <w:rFonts w:eastAsia="Times New Roman" w:cs="Open Sans Light"/>
                <w:sz w:val="16"/>
                <w:szCs w:val="16"/>
                <w:lang w:eastAsia="en-AU"/>
              </w:rPr>
            </w:pPr>
            <w:r w:rsidRPr="00EB1F3B">
              <w:rPr>
                <w:rFonts w:eastAsia="Times New Roman" w:cs="Open Sans Light"/>
                <w:sz w:val="16"/>
                <w:szCs w:val="16"/>
                <w:lang w:eastAsia="en-AU"/>
              </w:rPr>
              <w:t>Blended relativities and GST floor (a)</w:t>
            </w:r>
          </w:p>
        </w:tc>
        <w:tc>
          <w:tcPr>
            <w:tcW w:w="2500" w:type="dxa"/>
            <w:tcBorders>
              <w:top w:val="nil"/>
              <w:left w:val="nil"/>
              <w:bottom w:val="single" w:sz="4" w:space="0" w:color="ADD6EA"/>
              <w:right w:val="nil"/>
            </w:tcBorders>
            <w:shd w:val="clear" w:color="auto" w:fill="auto"/>
            <w:noWrap/>
            <w:vAlign w:val="bottom"/>
            <w:hideMark/>
          </w:tcPr>
          <w:p w14:paraId="4E7B5776" w14:textId="77777777" w:rsidR="00EB1F3B" w:rsidRPr="00EB1F3B" w:rsidRDefault="00EB1F3B" w:rsidP="00EB1F3B">
            <w:pPr>
              <w:tabs>
                <w:tab w:val="clear" w:pos="567"/>
              </w:tabs>
              <w:spacing w:before="0" w:line="240" w:lineRule="auto"/>
              <w:jc w:val="right"/>
              <w:rPr>
                <w:rFonts w:eastAsia="Times New Roman" w:cs="Open Sans Light"/>
                <w:sz w:val="16"/>
                <w:szCs w:val="16"/>
                <w:lang w:eastAsia="en-AU"/>
              </w:rPr>
            </w:pPr>
            <w:r w:rsidRPr="00EB1F3B">
              <w:rPr>
                <w:rFonts w:eastAsia="Times New Roman" w:cs="Open Sans Light"/>
                <w:sz w:val="16"/>
                <w:szCs w:val="16"/>
                <w:lang w:eastAsia="en-AU"/>
              </w:rPr>
              <w:t>-280</w:t>
            </w:r>
          </w:p>
        </w:tc>
        <w:tc>
          <w:tcPr>
            <w:tcW w:w="2400" w:type="dxa"/>
            <w:tcBorders>
              <w:top w:val="nil"/>
              <w:left w:val="nil"/>
              <w:bottom w:val="single" w:sz="4" w:space="0" w:color="ADD6EA"/>
              <w:right w:val="nil"/>
            </w:tcBorders>
            <w:shd w:val="clear" w:color="auto" w:fill="auto"/>
            <w:noWrap/>
            <w:vAlign w:val="bottom"/>
            <w:hideMark/>
          </w:tcPr>
          <w:p w14:paraId="6CD729B3" w14:textId="77777777" w:rsidR="00EB1F3B" w:rsidRPr="00EB1F3B" w:rsidRDefault="00EB1F3B" w:rsidP="00EB1F3B">
            <w:pPr>
              <w:tabs>
                <w:tab w:val="clear" w:pos="567"/>
              </w:tabs>
              <w:spacing w:before="0" w:line="240" w:lineRule="auto"/>
              <w:jc w:val="right"/>
              <w:rPr>
                <w:rFonts w:eastAsia="Times New Roman" w:cs="Open Sans Light"/>
                <w:sz w:val="16"/>
                <w:szCs w:val="16"/>
                <w:lang w:eastAsia="en-AU"/>
              </w:rPr>
            </w:pPr>
            <w:r w:rsidRPr="00EB1F3B">
              <w:rPr>
                <w:rFonts w:eastAsia="Times New Roman" w:cs="Open Sans Light"/>
                <w:sz w:val="16"/>
                <w:szCs w:val="16"/>
                <w:lang w:eastAsia="en-AU"/>
              </w:rPr>
              <w:t>-156</w:t>
            </w:r>
          </w:p>
        </w:tc>
      </w:tr>
      <w:tr w:rsidR="00EB1F3B" w:rsidRPr="00EB1F3B" w14:paraId="7F547890" w14:textId="77777777" w:rsidTr="00EB1F3B">
        <w:trPr>
          <w:trHeight w:val="259"/>
        </w:trPr>
        <w:tc>
          <w:tcPr>
            <w:tcW w:w="4040" w:type="dxa"/>
            <w:tcBorders>
              <w:top w:val="nil"/>
              <w:left w:val="nil"/>
              <w:bottom w:val="single" w:sz="4" w:space="0" w:color="ADD6EA"/>
              <w:right w:val="nil"/>
            </w:tcBorders>
            <w:shd w:val="clear" w:color="000000" w:fill="D6E7F0"/>
            <w:noWrap/>
            <w:vAlign w:val="bottom"/>
            <w:hideMark/>
          </w:tcPr>
          <w:p w14:paraId="43284E64" w14:textId="77777777" w:rsidR="00EB1F3B" w:rsidRPr="00EB1F3B" w:rsidRDefault="00EB1F3B" w:rsidP="00EB1F3B">
            <w:pPr>
              <w:tabs>
                <w:tab w:val="clear" w:pos="567"/>
              </w:tabs>
              <w:spacing w:before="0" w:line="240" w:lineRule="auto"/>
              <w:rPr>
                <w:rFonts w:ascii="Open Sans Semibold" w:eastAsia="Times New Roman" w:hAnsi="Open Sans Semibold" w:cs="Open Sans Semibold"/>
                <w:color w:val="000000"/>
                <w:sz w:val="16"/>
                <w:szCs w:val="16"/>
                <w:lang w:eastAsia="en-AU"/>
              </w:rPr>
            </w:pPr>
            <w:r w:rsidRPr="00EB1F3B">
              <w:rPr>
                <w:rFonts w:ascii="Open Sans Semibold" w:eastAsia="Times New Roman" w:hAnsi="Open Sans Semibold" w:cs="Open Sans Semibold"/>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7C542618" w14:textId="77777777" w:rsidR="00EB1F3B" w:rsidRPr="00EB1F3B" w:rsidRDefault="00EB1F3B" w:rsidP="00EB1F3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B1F3B">
              <w:rPr>
                <w:rFonts w:ascii="Open Sans Semibold" w:eastAsia="Times New Roman" w:hAnsi="Open Sans Semibold" w:cs="Open Sans Semibold"/>
                <w:color w:val="000000"/>
                <w:sz w:val="16"/>
                <w:szCs w:val="16"/>
                <w:lang w:eastAsia="en-AU"/>
              </w:rPr>
              <w:t>80</w:t>
            </w:r>
          </w:p>
        </w:tc>
        <w:tc>
          <w:tcPr>
            <w:tcW w:w="2400" w:type="dxa"/>
            <w:tcBorders>
              <w:top w:val="nil"/>
              <w:left w:val="nil"/>
              <w:bottom w:val="single" w:sz="4" w:space="0" w:color="ADD6EA"/>
              <w:right w:val="nil"/>
            </w:tcBorders>
            <w:shd w:val="clear" w:color="000000" w:fill="D6E7F0"/>
            <w:noWrap/>
            <w:vAlign w:val="bottom"/>
            <w:hideMark/>
          </w:tcPr>
          <w:p w14:paraId="434669C5" w14:textId="77777777" w:rsidR="00EB1F3B" w:rsidRPr="00EB1F3B" w:rsidRDefault="00EB1F3B" w:rsidP="00EB1F3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B1F3B">
              <w:rPr>
                <w:rFonts w:ascii="Open Sans Semibold" w:eastAsia="Times New Roman" w:hAnsi="Open Sans Semibold" w:cs="Open Sans Semibold"/>
                <w:color w:val="000000"/>
                <w:sz w:val="16"/>
                <w:szCs w:val="16"/>
                <w:lang w:eastAsia="en-AU"/>
              </w:rPr>
              <w:t>45</w:t>
            </w:r>
          </w:p>
        </w:tc>
      </w:tr>
    </w:tbl>
    <w:p w14:paraId="0AB292D1" w14:textId="003FF403" w:rsidR="005A0452" w:rsidRPr="005F4EA4" w:rsidRDefault="005A0452" w:rsidP="005F4EA4">
      <w:pPr>
        <w:pStyle w:val="CGCTablenote"/>
      </w:pPr>
      <w:r w:rsidRPr="005F4EA4">
        <w:t>Note:</w:t>
      </w:r>
      <w:r w:rsidRPr="005F4EA4">
        <w:tab/>
        <w:t>Table may not add due to rounding.</w:t>
      </w:r>
    </w:p>
    <w:p w14:paraId="7FB71518" w14:textId="77777777" w:rsidR="005A0452" w:rsidRPr="005F4EA4" w:rsidRDefault="005A0452" w:rsidP="005F4EA4">
      <w:pPr>
        <w:pStyle w:val="CGCTablenote"/>
      </w:pPr>
      <w:r w:rsidRPr="005F4EA4">
        <w:t>(a)</w:t>
      </w:r>
      <w:r w:rsidRPr="005F4EA4">
        <w:tab/>
        <w:t>This represents the difference between applying the GST relativities and assessed relativities to the GST pool. It is not the basis of the no worse off payments calculation, which is explained in Attachment A.</w:t>
      </w:r>
    </w:p>
    <w:p w14:paraId="2DB12A43" w14:textId="2F911C88" w:rsidR="005A0452" w:rsidRPr="005F4EA4" w:rsidRDefault="005A0452" w:rsidP="005F4EA4">
      <w:pPr>
        <w:pStyle w:val="CGCTablenote"/>
      </w:pPr>
      <w:r w:rsidRPr="005F4EA4">
        <w:t>Source:</w:t>
      </w:r>
      <w:r w:rsidRPr="005F4EA4">
        <w:tab/>
        <w:t>Commission calculation</w:t>
      </w:r>
      <w:r w:rsidR="00455E9A">
        <w:t>.</w:t>
      </w:r>
    </w:p>
    <w:p w14:paraId="00AF1F97" w14:textId="558CE768" w:rsidR="005A0452" w:rsidRPr="00442A3B" w:rsidRDefault="005A0452" w:rsidP="001446BD">
      <w:pPr>
        <w:pStyle w:val="Caption"/>
        <w:widowControl w:val="0"/>
        <w:ind w:left="0" w:firstLine="0"/>
      </w:pPr>
      <w:r w:rsidRPr="00442A3B">
        <w:t>Figure 3</w:t>
      </w:r>
      <w:r w:rsidRPr="00442A3B">
        <w:noBreakHyphen/>
      </w:r>
      <w:r w:rsidRPr="00442A3B">
        <w:fldChar w:fldCharType="begin"/>
      </w:r>
      <w:r w:rsidRPr="00442A3B">
        <w:instrText>SEQ Figure \* ARABIC</w:instrText>
      </w:r>
      <w:r w:rsidRPr="00442A3B">
        <w:fldChar w:fldCharType="separate"/>
      </w:r>
      <w:r w:rsidR="00FE4664">
        <w:rPr>
          <w:noProof/>
        </w:rPr>
        <w:t>6</w:t>
      </w:r>
      <w:r w:rsidRPr="00442A3B">
        <w:fldChar w:fldCharType="end"/>
      </w:r>
      <w:r w:rsidRPr="00442A3B">
        <w:tab/>
      </w:r>
      <w:bookmarkEnd w:id="90"/>
      <w:bookmarkEnd w:id="91"/>
      <w:r>
        <w:t>South Australia: Main changes in assessed GST distribution, 2022 Update</w:t>
      </w:r>
    </w:p>
    <w:p w14:paraId="595B8FC3" w14:textId="0A788A52" w:rsidR="005A0452" w:rsidRDefault="00257E2A" w:rsidP="001446BD">
      <w:pPr>
        <w:keepNext/>
        <w:keepLines/>
        <w:widowControl w:val="0"/>
      </w:pPr>
      <w:r w:rsidRPr="00257E2A">
        <w:rPr>
          <w:noProof/>
        </w:rPr>
        <w:drawing>
          <wp:inline distT="0" distB="0" distL="0" distR="0" wp14:anchorId="7946C68C" wp14:editId="38C030FD">
            <wp:extent cx="5755640" cy="2710180"/>
            <wp:effectExtent l="0" t="0" r="0" b="0"/>
            <wp:docPr id="108" name="Picture 108" descr="A figure describing the main changes in assessed GST distribution in the 2022 Update for South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figure describing the main changes in assessed GST distribution in the 2022 Update for South Australia.&#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5640" cy="2710180"/>
                    </a:xfrm>
                    <a:prstGeom prst="rect">
                      <a:avLst/>
                    </a:prstGeom>
                    <a:noFill/>
                    <a:ln>
                      <a:noFill/>
                    </a:ln>
                  </pic:spPr>
                </pic:pic>
              </a:graphicData>
            </a:graphic>
          </wp:inline>
        </w:drawing>
      </w:r>
    </w:p>
    <w:p w14:paraId="28A7169E" w14:textId="76D32191" w:rsidR="005A0452" w:rsidRPr="005F4EA4" w:rsidRDefault="005A0452" w:rsidP="001446BD">
      <w:pPr>
        <w:pStyle w:val="CGCTablenote"/>
        <w:keepNext/>
        <w:keepLines/>
        <w:widowControl w:val="0"/>
      </w:pPr>
      <w:r w:rsidRPr="005F4EA4">
        <w:t>Source:</w:t>
      </w:r>
      <w:r w:rsidRPr="005F4EA4">
        <w:tab/>
        <w:t>Commission calculation.</w:t>
      </w:r>
      <w:r w:rsidR="00F322D9" w:rsidRPr="00F322D9">
        <w:rPr>
          <w:noProof/>
        </w:rPr>
        <w:t xml:space="preserve"> </w:t>
      </w:r>
      <w:r w:rsidRPr="005F4EA4">
        <w:rPr>
          <w:noProof/>
        </w:rPr>
        <w:drawing>
          <wp:anchor distT="0" distB="0" distL="114300" distR="114300" simplePos="0" relativeHeight="251658257" behindDoc="1" locked="1" layoutInCell="1" allowOverlap="1" wp14:anchorId="23C50594" wp14:editId="2E24220D">
            <wp:simplePos x="0" y="0"/>
            <wp:positionH relativeFrom="page">
              <wp:posOffset>-11430</wp:posOffset>
            </wp:positionH>
            <wp:positionV relativeFrom="page">
              <wp:posOffset>9525</wp:posOffset>
            </wp:positionV>
            <wp:extent cx="7563485" cy="10691495"/>
            <wp:effectExtent l="0" t="0" r="0" b="0"/>
            <wp:wrapNone/>
            <wp:docPr id="78" name="Picture 7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5F4EA4">
        <w:br w:type="page"/>
      </w:r>
    </w:p>
    <w:p w14:paraId="2D1B641F" w14:textId="2472AC0F" w:rsidR="005A0452" w:rsidRDefault="005A0452" w:rsidP="000D6032">
      <w:pPr>
        <w:pStyle w:val="Heading2"/>
      </w:pPr>
      <w:r>
        <w:t>Tasmania</w:t>
      </w:r>
    </w:p>
    <w:p w14:paraId="0EDCBFFF" w14:textId="319597C8" w:rsidR="005A0452" w:rsidRPr="00442A3B" w:rsidRDefault="005A0452" w:rsidP="0004064D">
      <w:pPr>
        <w:pStyle w:val="CGCBodyCopy"/>
      </w:pPr>
      <w:r w:rsidRPr="00442A3B">
        <w:t xml:space="preserve">Tasmania’s </w:t>
      </w:r>
      <w:r>
        <w:t xml:space="preserve">share of the </w:t>
      </w:r>
      <w:r w:rsidRPr="00442A3B">
        <w:t xml:space="preserve">GST pool </w:t>
      </w:r>
      <w:r>
        <w:t>is estimated to decrease</w:t>
      </w:r>
      <w:r w:rsidRPr="00442A3B">
        <w:t xml:space="preserve"> from </w:t>
      </w:r>
      <w:r w:rsidRPr="00ED6B37">
        <w:t>4.</w:t>
      </w:r>
      <w:r>
        <w:t>1</w:t>
      </w:r>
      <w:r w:rsidRPr="00ED6B37">
        <w:t xml:space="preserve">% to </w:t>
      </w:r>
      <w:r>
        <w:t>3.9</w:t>
      </w:r>
      <w:r w:rsidRPr="00ED6B37">
        <w:t>%.</w:t>
      </w:r>
      <w:r w:rsidRPr="00442A3B">
        <w:t xml:space="preserve"> </w:t>
      </w:r>
      <w:r>
        <w:t>Combined w</w:t>
      </w:r>
      <w:r w:rsidRPr="00442A3B">
        <w:t xml:space="preserve">ith pool growth, </w:t>
      </w:r>
      <w:r>
        <w:t xml:space="preserve">but excluding no worse off payments, </w:t>
      </w:r>
      <w:r w:rsidRPr="00442A3B">
        <w:t>its</w:t>
      </w:r>
      <w:r>
        <w:t xml:space="preserve"> estimated</w:t>
      </w:r>
      <w:r w:rsidRPr="00442A3B">
        <w:t xml:space="preserve"> GST </w:t>
      </w:r>
      <w:r>
        <w:t>distribution</w:t>
      </w:r>
      <w:r w:rsidRPr="00442A3B">
        <w:t xml:space="preserve"> in </w:t>
      </w:r>
      <w:r>
        <w:t>2022</w:t>
      </w:r>
      <w:r w:rsidR="00D01765">
        <w:t>–</w:t>
      </w:r>
      <w:r>
        <w:t>23</w:t>
      </w:r>
      <w:r w:rsidRPr="00442A3B">
        <w:t xml:space="preserve"> </w:t>
      </w:r>
      <w:r w:rsidR="00097CB1">
        <w:t>w</w:t>
      </w:r>
      <w:r w:rsidR="00FC6C77">
        <w:t>ould</w:t>
      </w:r>
      <w:r w:rsidRPr="00442A3B">
        <w:t xml:space="preserve"> </w:t>
      </w:r>
      <w:r>
        <w:t>increase</w:t>
      </w:r>
      <w:r w:rsidRPr="00442A3B">
        <w:t xml:space="preserve"> by </w:t>
      </w:r>
      <w:r w:rsidRPr="00ED1BC5">
        <w:t>$</w:t>
      </w:r>
      <w:r w:rsidR="0051229C">
        <w:t>11</w:t>
      </w:r>
      <w:r w:rsidRPr="00ED1BC5">
        <w:t> million</w:t>
      </w:r>
      <w:r w:rsidR="00987E3A">
        <w:t>,</w:t>
      </w:r>
      <w:r>
        <w:t xml:space="preserve"> or 0.</w:t>
      </w:r>
      <w:r w:rsidR="00AD75E9">
        <w:t>4</w:t>
      </w:r>
      <w:r>
        <w:t>%.</w:t>
      </w:r>
    </w:p>
    <w:p w14:paraId="45BE5F18" w14:textId="1ED4FC37" w:rsidR="005A0452" w:rsidRPr="00442A3B" w:rsidRDefault="005A0452" w:rsidP="0004064D">
      <w:pPr>
        <w:pStyle w:val="CGCBodyCopy"/>
      </w:pPr>
      <w:r>
        <w:t>Tasmania’s estimated GST distribution increased</w:t>
      </w:r>
      <w:r w:rsidR="00200DC0">
        <w:t>,</w:t>
      </w:r>
      <w:r w:rsidRPr="00442A3B">
        <w:t xml:space="preserve"> </w:t>
      </w:r>
      <w:r w:rsidR="00B67012">
        <w:t xml:space="preserve">largely </w:t>
      </w:r>
      <w:r>
        <w:t xml:space="preserve">due to growth </w:t>
      </w:r>
      <w:r w:rsidR="00C05389">
        <w:t>in</w:t>
      </w:r>
      <w:r>
        <w:t xml:space="preserve"> the GST pool. Its estimated GST distribution also increased</w:t>
      </w:r>
      <w:r w:rsidRPr="00442A3B">
        <w:t xml:space="preserve"> due to </w:t>
      </w:r>
      <w:r>
        <w:t xml:space="preserve">an </w:t>
      </w:r>
      <w:r w:rsidRPr="00442A3B">
        <w:t xml:space="preserve">increase in </w:t>
      </w:r>
      <w:r>
        <w:t>the value of iron ore</w:t>
      </w:r>
      <w:r w:rsidRPr="00442A3B">
        <w:t xml:space="preserve"> </w:t>
      </w:r>
      <w:r>
        <w:t xml:space="preserve">production in Western Australia, which reduced </w:t>
      </w:r>
      <w:r w:rsidRPr="00442A3B">
        <w:t xml:space="preserve">Tasmania’s relative capacity to generate mining revenue. </w:t>
      </w:r>
      <w:r>
        <w:t>This increase was partly offset by decreased relative needs for urban</w:t>
      </w:r>
      <w:r w:rsidRPr="003F2E15">
        <w:t xml:space="preserve"> transport investment</w:t>
      </w:r>
      <w:r>
        <w:t xml:space="preserve"> and above</w:t>
      </w:r>
      <w:r w:rsidR="002E7313">
        <w:noBreakHyphen/>
      </w:r>
      <w:r>
        <w:t xml:space="preserve">average growth in property sales, which reduced Tasmania’s estimated GST distribution. </w:t>
      </w:r>
      <w:r w:rsidRPr="001F36F1">
        <w:t>The</w:t>
      </w:r>
      <w:r>
        <w:t xml:space="preserve"> </w:t>
      </w:r>
      <w:r w:rsidRPr="00025111">
        <w:t>combined effect</w:t>
      </w:r>
      <w:r w:rsidRPr="00C677B4">
        <w:t xml:space="preserve"> of </w:t>
      </w:r>
      <w:r>
        <w:t>blended</w:t>
      </w:r>
      <w:r w:rsidRPr="00C677B4">
        <w:t xml:space="preserve"> relativities</w:t>
      </w:r>
      <w:r w:rsidRPr="00602985">
        <w:t xml:space="preserve"> </w:t>
      </w:r>
      <w:r w:rsidRPr="00025111">
        <w:t xml:space="preserve">and the GST floor </w:t>
      </w:r>
      <w:r>
        <w:t xml:space="preserve">would </w:t>
      </w:r>
      <w:r w:rsidRPr="00C677B4">
        <w:t xml:space="preserve">reduce </w:t>
      </w:r>
      <w:r>
        <w:t>Tasmania’</w:t>
      </w:r>
      <w:r w:rsidRPr="00C677B4">
        <w:t>s distribution</w:t>
      </w:r>
      <w:r w:rsidRPr="00602985">
        <w:t xml:space="preserve"> </w:t>
      </w:r>
      <w:r w:rsidRPr="00C677B4">
        <w:t xml:space="preserve">by </w:t>
      </w:r>
      <w:r w:rsidRPr="00707043">
        <w:t>$</w:t>
      </w:r>
      <w:r w:rsidR="00EE2B52">
        <w:t>84</w:t>
      </w:r>
      <w:r w:rsidRPr="00707043">
        <w:t xml:space="preserve"> million. Across the transition period, this </w:t>
      </w:r>
      <w:r w:rsidRPr="00A56EE4">
        <w:t>impact would be ameliorated</w:t>
      </w:r>
      <w:r w:rsidRPr="00707043">
        <w:t xml:space="preserve"> by no</w:t>
      </w:r>
      <w:r>
        <w:t> </w:t>
      </w:r>
      <w:r w:rsidRPr="00707043">
        <w:t>worse</w:t>
      </w:r>
      <w:r>
        <w:t> </w:t>
      </w:r>
      <w:r w:rsidRPr="00707043">
        <w:t>off payments.</w:t>
      </w:r>
    </w:p>
    <w:p w14:paraId="3353042B" w14:textId="4B91133B" w:rsidR="005A0452" w:rsidRPr="00442A3B" w:rsidRDefault="005A0452" w:rsidP="003D421F">
      <w:pPr>
        <w:pStyle w:val="Caption"/>
      </w:pPr>
      <w:bookmarkStart w:id="92" w:name="_Toc62487287"/>
      <w:bookmarkStart w:id="93" w:name="_Toc62723817"/>
      <w:r w:rsidRPr="00442A3B">
        <w:t>Table 3</w:t>
      </w:r>
      <w:r w:rsidRPr="00442A3B">
        <w:noBreakHyphen/>
      </w:r>
      <w:r w:rsidRPr="00442A3B">
        <w:fldChar w:fldCharType="begin"/>
      </w:r>
      <w:r w:rsidRPr="00442A3B">
        <w:instrText>SEQ Table \* ARABIC</w:instrText>
      </w:r>
      <w:r w:rsidRPr="00442A3B">
        <w:fldChar w:fldCharType="separate"/>
      </w:r>
      <w:r w:rsidR="00FE4664">
        <w:rPr>
          <w:noProof/>
        </w:rPr>
        <w:t>6</w:t>
      </w:r>
      <w:r w:rsidRPr="00442A3B">
        <w:fldChar w:fldCharType="end"/>
      </w:r>
      <w:r w:rsidRPr="00442A3B">
        <w:tab/>
        <w:t>Change in estimated GST distribution from 2021</w:t>
      </w:r>
      <w:r w:rsidR="00D01765">
        <w:t>–</w:t>
      </w:r>
      <w:r>
        <w:t>2022</w:t>
      </w:r>
      <w:r w:rsidRPr="00442A3B">
        <w:t xml:space="preserve"> to 202</w:t>
      </w:r>
      <w:r>
        <w:t>2</w:t>
      </w:r>
      <w:r w:rsidR="00D01765">
        <w:t>–</w:t>
      </w:r>
      <w:r w:rsidRPr="00442A3B">
        <w:t>2</w:t>
      </w:r>
      <w:r>
        <w:t>3</w:t>
      </w:r>
      <w:r w:rsidRPr="00442A3B">
        <w:t>, Tasmania</w:t>
      </w:r>
      <w:bookmarkEnd w:id="92"/>
      <w:bookmarkEnd w:id="93"/>
      <w:r w:rsidRPr="007750AC">
        <w:t xml:space="preserve"> </w:t>
      </w:r>
      <w:r w:rsidRPr="00E50D19">
        <w:t>(exclud</w:t>
      </w:r>
      <w:r w:rsidR="009F3481">
        <w:t>es</w:t>
      </w:r>
      <w:r w:rsidRPr="00E50D19">
        <w:t xml:space="preserve"> no</w:t>
      </w:r>
      <w:r>
        <w:t> </w:t>
      </w:r>
      <w:r w:rsidRPr="00E50D19">
        <w:t>worse</w:t>
      </w:r>
      <w:r>
        <w:t> </w:t>
      </w:r>
      <w:r w:rsidRPr="00E50D19">
        <w:t>off payments)</w:t>
      </w:r>
      <w:r w:rsidDel="007750AC">
        <w:t xml:space="preserve"> </w:t>
      </w:r>
    </w:p>
    <w:tbl>
      <w:tblPr>
        <w:tblW w:w="8940" w:type="dxa"/>
        <w:tblLook w:val="04A0" w:firstRow="1" w:lastRow="0" w:firstColumn="1" w:lastColumn="0" w:noHBand="0" w:noVBand="1"/>
      </w:tblPr>
      <w:tblGrid>
        <w:gridCol w:w="4040"/>
        <w:gridCol w:w="2500"/>
        <w:gridCol w:w="2400"/>
      </w:tblGrid>
      <w:tr w:rsidR="00C84017" w:rsidRPr="00C84017" w14:paraId="1E0DCEDB" w14:textId="77777777" w:rsidTr="00C84017">
        <w:trPr>
          <w:trHeight w:val="259"/>
        </w:trPr>
        <w:tc>
          <w:tcPr>
            <w:tcW w:w="4040" w:type="dxa"/>
            <w:tcBorders>
              <w:top w:val="nil"/>
              <w:left w:val="nil"/>
              <w:bottom w:val="single" w:sz="4" w:space="0" w:color="ADD6EA"/>
              <w:right w:val="nil"/>
            </w:tcBorders>
            <w:shd w:val="clear" w:color="000000" w:fill="006991"/>
            <w:noWrap/>
            <w:vAlign w:val="center"/>
            <w:hideMark/>
          </w:tcPr>
          <w:p w14:paraId="706D90A7" w14:textId="77777777" w:rsidR="00C84017" w:rsidRPr="00C84017" w:rsidRDefault="00C84017" w:rsidP="00C8401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94" w:name="_Toc62487177"/>
            <w:bookmarkStart w:id="95" w:name="_Toc62487333"/>
            <w:r w:rsidRPr="00C84017">
              <w:rPr>
                <w:rFonts w:ascii="Open Sans Semibold" w:eastAsia="Times New Roman" w:hAnsi="Open Sans Semibold" w:cs="Open Sans Semibold"/>
                <w:color w:val="FFFFFF"/>
                <w:sz w:val="16"/>
                <w:szCs w:val="16"/>
                <w:lang w:eastAsia="en-AU"/>
              </w:rPr>
              <w:t> </w:t>
            </w:r>
          </w:p>
        </w:tc>
        <w:tc>
          <w:tcPr>
            <w:tcW w:w="2500" w:type="dxa"/>
            <w:tcBorders>
              <w:top w:val="nil"/>
              <w:left w:val="nil"/>
              <w:bottom w:val="single" w:sz="4" w:space="0" w:color="ADD6EA"/>
              <w:right w:val="nil"/>
            </w:tcBorders>
            <w:shd w:val="clear" w:color="000000" w:fill="006991"/>
            <w:noWrap/>
            <w:vAlign w:val="center"/>
            <w:hideMark/>
          </w:tcPr>
          <w:p w14:paraId="365356F2" w14:textId="77777777" w:rsidR="00C84017" w:rsidRPr="00C84017" w:rsidRDefault="00C84017" w:rsidP="00C8401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84017">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363B5A8E" w14:textId="77777777" w:rsidR="00C84017" w:rsidRPr="00C84017" w:rsidRDefault="00C84017" w:rsidP="00C8401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84017">
              <w:rPr>
                <w:rFonts w:ascii="Open Sans Semibold" w:eastAsia="Times New Roman" w:hAnsi="Open Sans Semibold" w:cs="Open Sans Semibold"/>
                <w:color w:val="FFFFFF"/>
                <w:sz w:val="16"/>
                <w:szCs w:val="16"/>
                <w:lang w:eastAsia="en-AU"/>
              </w:rPr>
              <w:t>$pc</w:t>
            </w:r>
          </w:p>
        </w:tc>
      </w:tr>
      <w:tr w:rsidR="00C84017" w:rsidRPr="00C84017" w14:paraId="017B742E" w14:textId="77777777" w:rsidTr="00C84017">
        <w:trPr>
          <w:trHeight w:val="259"/>
        </w:trPr>
        <w:tc>
          <w:tcPr>
            <w:tcW w:w="4040" w:type="dxa"/>
            <w:tcBorders>
              <w:top w:val="nil"/>
              <w:left w:val="nil"/>
              <w:bottom w:val="single" w:sz="4" w:space="0" w:color="ADD6EA"/>
              <w:right w:val="nil"/>
            </w:tcBorders>
            <w:shd w:val="clear" w:color="auto" w:fill="auto"/>
            <w:noWrap/>
            <w:vAlign w:val="bottom"/>
            <w:hideMark/>
          </w:tcPr>
          <w:p w14:paraId="12C57629" w14:textId="77777777" w:rsidR="00C84017" w:rsidRPr="00C84017" w:rsidRDefault="00C84017" w:rsidP="00C84017">
            <w:pPr>
              <w:tabs>
                <w:tab w:val="clear" w:pos="567"/>
              </w:tabs>
              <w:spacing w:before="0" w:line="240" w:lineRule="auto"/>
              <w:rPr>
                <w:rFonts w:eastAsia="Times New Roman" w:cs="Open Sans Light"/>
                <w:sz w:val="16"/>
                <w:szCs w:val="16"/>
                <w:lang w:eastAsia="en-AU"/>
              </w:rPr>
            </w:pPr>
            <w:r w:rsidRPr="00C84017">
              <w:rPr>
                <w:rFonts w:eastAsia="Times New Roman" w:cs="Open Sans Light"/>
                <w:sz w:val="16"/>
                <w:szCs w:val="16"/>
                <w:lang w:eastAsia="en-AU"/>
              </w:rPr>
              <w:t>Change in population</w:t>
            </w:r>
          </w:p>
        </w:tc>
        <w:tc>
          <w:tcPr>
            <w:tcW w:w="2500" w:type="dxa"/>
            <w:tcBorders>
              <w:top w:val="nil"/>
              <w:left w:val="nil"/>
              <w:bottom w:val="single" w:sz="4" w:space="0" w:color="ADD6EA"/>
              <w:right w:val="nil"/>
            </w:tcBorders>
            <w:shd w:val="clear" w:color="auto" w:fill="auto"/>
            <w:noWrap/>
            <w:vAlign w:val="bottom"/>
            <w:hideMark/>
          </w:tcPr>
          <w:p w14:paraId="3C52CB20" w14:textId="77777777" w:rsidR="00C84017" w:rsidRPr="00C84017" w:rsidRDefault="00C84017" w:rsidP="00C84017">
            <w:pPr>
              <w:tabs>
                <w:tab w:val="clear" w:pos="567"/>
              </w:tabs>
              <w:spacing w:before="0" w:line="240" w:lineRule="auto"/>
              <w:jc w:val="right"/>
              <w:rPr>
                <w:rFonts w:eastAsia="Times New Roman" w:cs="Open Sans Light"/>
                <w:sz w:val="16"/>
                <w:szCs w:val="16"/>
                <w:lang w:eastAsia="en-AU"/>
              </w:rPr>
            </w:pPr>
            <w:r w:rsidRPr="00C84017">
              <w:rPr>
                <w:rFonts w:eastAsia="Times New Roman" w:cs="Open Sans Light"/>
                <w:sz w:val="16"/>
                <w:szCs w:val="16"/>
                <w:lang w:eastAsia="en-AU"/>
              </w:rPr>
              <w:t>2</w:t>
            </w:r>
          </w:p>
        </w:tc>
        <w:tc>
          <w:tcPr>
            <w:tcW w:w="2400" w:type="dxa"/>
            <w:tcBorders>
              <w:top w:val="nil"/>
              <w:left w:val="nil"/>
              <w:bottom w:val="single" w:sz="4" w:space="0" w:color="ADD6EA"/>
              <w:right w:val="nil"/>
            </w:tcBorders>
            <w:shd w:val="clear" w:color="auto" w:fill="auto"/>
            <w:noWrap/>
            <w:vAlign w:val="bottom"/>
            <w:hideMark/>
          </w:tcPr>
          <w:p w14:paraId="4F47685C" w14:textId="77777777" w:rsidR="00C84017" w:rsidRPr="00C84017" w:rsidRDefault="00C84017" w:rsidP="00C84017">
            <w:pPr>
              <w:tabs>
                <w:tab w:val="clear" w:pos="567"/>
              </w:tabs>
              <w:spacing w:before="0" w:line="240" w:lineRule="auto"/>
              <w:jc w:val="right"/>
              <w:rPr>
                <w:rFonts w:eastAsia="Times New Roman" w:cs="Open Sans Light"/>
                <w:sz w:val="16"/>
                <w:szCs w:val="16"/>
                <w:lang w:eastAsia="en-AU"/>
              </w:rPr>
            </w:pPr>
            <w:r w:rsidRPr="00C84017">
              <w:rPr>
                <w:rFonts w:eastAsia="Times New Roman" w:cs="Open Sans Light"/>
                <w:sz w:val="16"/>
                <w:szCs w:val="16"/>
                <w:lang w:eastAsia="en-AU"/>
              </w:rPr>
              <w:t>3</w:t>
            </w:r>
          </w:p>
        </w:tc>
      </w:tr>
      <w:tr w:rsidR="00C84017" w:rsidRPr="00C84017" w14:paraId="669D9E64" w14:textId="77777777" w:rsidTr="00C84017">
        <w:trPr>
          <w:trHeight w:val="259"/>
        </w:trPr>
        <w:tc>
          <w:tcPr>
            <w:tcW w:w="4040" w:type="dxa"/>
            <w:tcBorders>
              <w:top w:val="nil"/>
              <w:left w:val="nil"/>
              <w:bottom w:val="single" w:sz="4" w:space="0" w:color="ADD6EA"/>
              <w:right w:val="nil"/>
            </w:tcBorders>
            <w:shd w:val="clear" w:color="auto" w:fill="auto"/>
            <w:noWrap/>
            <w:vAlign w:val="bottom"/>
            <w:hideMark/>
          </w:tcPr>
          <w:p w14:paraId="7824CB9E" w14:textId="77777777" w:rsidR="00C84017" w:rsidRPr="00C84017" w:rsidRDefault="00C84017" w:rsidP="00C84017">
            <w:pPr>
              <w:tabs>
                <w:tab w:val="clear" w:pos="567"/>
              </w:tabs>
              <w:spacing w:before="0" w:line="240" w:lineRule="auto"/>
              <w:rPr>
                <w:rFonts w:eastAsia="Times New Roman" w:cs="Open Sans Light"/>
                <w:sz w:val="16"/>
                <w:szCs w:val="16"/>
                <w:lang w:eastAsia="en-AU"/>
              </w:rPr>
            </w:pPr>
            <w:r w:rsidRPr="00C84017">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36A47478" w14:textId="77777777" w:rsidR="00C84017" w:rsidRPr="00C84017" w:rsidRDefault="00C84017" w:rsidP="00C84017">
            <w:pPr>
              <w:tabs>
                <w:tab w:val="clear" w:pos="567"/>
              </w:tabs>
              <w:spacing w:before="0" w:line="240" w:lineRule="auto"/>
              <w:jc w:val="right"/>
              <w:rPr>
                <w:rFonts w:eastAsia="Times New Roman" w:cs="Open Sans Light"/>
                <w:sz w:val="16"/>
                <w:szCs w:val="16"/>
                <w:lang w:eastAsia="en-AU"/>
              </w:rPr>
            </w:pPr>
            <w:r w:rsidRPr="00C84017">
              <w:rPr>
                <w:rFonts w:eastAsia="Times New Roman" w:cs="Open Sans Light"/>
                <w:sz w:val="16"/>
                <w:szCs w:val="16"/>
                <w:lang w:eastAsia="en-AU"/>
              </w:rPr>
              <w:t>180</w:t>
            </w:r>
          </w:p>
        </w:tc>
        <w:tc>
          <w:tcPr>
            <w:tcW w:w="2400" w:type="dxa"/>
            <w:tcBorders>
              <w:top w:val="nil"/>
              <w:left w:val="nil"/>
              <w:bottom w:val="single" w:sz="4" w:space="0" w:color="ADD6EA"/>
              <w:right w:val="nil"/>
            </w:tcBorders>
            <w:shd w:val="clear" w:color="auto" w:fill="auto"/>
            <w:noWrap/>
            <w:vAlign w:val="bottom"/>
            <w:hideMark/>
          </w:tcPr>
          <w:p w14:paraId="5E14FF93" w14:textId="77777777" w:rsidR="00C84017" w:rsidRPr="00C84017" w:rsidRDefault="00C84017" w:rsidP="00C84017">
            <w:pPr>
              <w:tabs>
                <w:tab w:val="clear" w:pos="567"/>
              </w:tabs>
              <w:spacing w:before="0" w:line="240" w:lineRule="auto"/>
              <w:jc w:val="right"/>
              <w:rPr>
                <w:rFonts w:eastAsia="Times New Roman" w:cs="Open Sans Light"/>
                <w:sz w:val="16"/>
                <w:szCs w:val="16"/>
                <w:lang w:eastAsia="en-AU"/>
              </w:rPr>
            </w:pPr>
            <w:r w:rsidRPr="00C84017">
              <w:rPr>
                <w:rFonts w:eastAsia="Times New Roman" w:cs="Open Sans Light"/>
                <w:sz w:val="16"/>
                <w:szCs w:val="16"/>
                <w:lang w:eastAsia="en-AU"/>
              </w:rPr>
              <w:t>328</w:t>
            </w:r>
          </w:p>
        </w:tc>
      </w:tr>
      <w:tr w:rsidR="00C84017" w:rsidRPr="00C84017" w14:paraId="4727D318" w14:textId="77777777" w:rsidTr="00C84017">
        <w:trPr>
          <w:trHeight w:val="259"/>
        </w:trPr>
        <w:tc>
          <w:tcPr>
            <w:tcW w:w="4040" w:type="dxa"/>
            <w:tcBorders>
              <w:top w:val="nil"/>
              <w:left w:val="nil"/>
              <w:bottom w:val="single" w:sz="4" w:space="0" w:color="ADD6EA"/>
              <w:right w:val="nil"/>
            </w:tcBorders>
            <w:shd w:val="clear" w:color="auto" w:fill="auto"/>
            <w:noWrap/>
            <w:vAlign w:val="bottom"/>
            <w:hideMark/>
          </w:tcPr>
          <w:p w14:paraId="47D2430F" w14:textId="77777777" w:rsidR="00C84017" w:rsidRPr="00C84017" w:rsidRDefault="00C84017" w:rsidP="00C84017">
            <w:pPr>
              <w:tabs>
                <w:tab w:val="clear" w:pos="567"/>
              </w:tabs>
              <w:spacing w:before="0" w:line="240" w:lineRule="auto"/>
              <w:rPr>
                <w:rFonts w:eastAsia="Times New Roman" w:cs="Open Sans Light"/>
                <w:sz w:val="16"/>
                <w:szCs w:val="16"/>
                <w:lang w:eastAsia="en-AU"/>
              </w:rPr>
            </w:pPr>
            <w:r w:rsidRPr="00C84017">
              <w:rPr>
                <w:rFonts w:eastAsia="Times New Roman" w:cs="Open Sans Light"/>
                <w:sz w:val="16"/>
                <w:szCs w:val="16"/>
                <w:lang w:eastAsia="en-AU"/>
              </w:rPr>
              <w:t>Changes in assessed needs</w:t>
            </w:r>
          </w:p>
        </w:tc>
        <w:tc>
          <w:tcPr>
            <w:tcW w:w="2500" w:type="dxa"/>
            <w:tcBorders>
              <w:top w:val="nil"/>
              <w:left w:val="nil"/>
              <w:bottom w:val="single" w:sz="4" w:space="0" w:color="ADD6EA"/>
              <w:right w:val="nil"/>
            </w:tcBorders>
            <w:shd w:val="clear" w:color="auto" w:fill="auto"/>
            <w:noWrap/>
            <w:vAlign w:val="bottom"/>
            <w:hideMark/>
          </w:tcPr>
          <w:p w14:paraId="68638365" w14:textId="77777777" w:rsidR="00C84017" w:rsidRPr="00C84017" w:rsidRDefault="00C84017" w:rsidP="00C84017">
            <w:pPr>
              <w:tabs>
                <w:tab w:val="clear" w:pos="567"/>
              </w:tabs>
              <w:spacing w:before="0" w:line="240" w:lineRule="auto"/>
              <w:jc w:val="right"/>
              <w:rPr>
                <w:rFonts w:eastAsia="Times New Roman" w:cs="Open Sans Light"/>
                <w:sz w:val="16"/>
                <w:szCs w:val="16"/>
                <w:lang w:eastAsia="en-AU"/>
              </w:rPr>
            </w:pPr>
            <w:r w:rsidRPr="00C84017">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4CB49793" w14:textId="77777777" w:rsidR="00C84017" w:rsidRPr="00C84017" w:rsidRDefault="00C84017" w:rsidP="00C84017">
            <w:pPr>
              <w:tabs>
                <w:tab w:val="clear" w:pos="567"/>
              </w:tabs>
              <w:spacing w:before="0" w:line="240" w:lineRule="auto"/>
              <w:jc w:val="right"/>
              <w:rPr>
                <w:rFonts w:eastAsia="Times New Roman" w:cs="Open Sans Light"/>
                <w:sz w:val="16"/>
                <w:szCs w:val="16"/>
                <w:lang w:eastAsia="en-AU"/>
              </w:rPr>
            </w:pPr>
            <w:r w:rsidRPr="00C84017">
              <w:rPr>
                <w:rFonts w:eastAsia="Times New Roman" w:cs="Open Sans Light"/>
                <w:sz w:val="16"/>
                <w:szCs w:val="16"/>
                <w:lang w:eastAsia="en-AU"/>
              </w:rPr>
              <w:t> </w:t>
            </w:r>
          </w:p>
        </w:tc>
      </w:tr>
      <w:tr w:rsidR="00C84017" w:rsidRPr="00C84017" w14:paraId="10E286DD" w14:textId="77777777" w:rsidTr="00C84017">
        <w:trPr>
          <w:trHeight w:val="259"/>
        </w:trPr>
        <w:tc>
          <w:tcPr>
            <w:tcW w:w="4040" w:type="dxa"/>
            <w:tcBorders>
              <w:top w:val="nil"/>
              <w:left w:val="nil"/>
              <w:bottom w:val="single" w:sz="4" w:space="0" w:color="ADD6EA"/>
              <w:right w:val="nil"/>
            </w:tcBorders>
            <w:shd w:val="clear" w:color="auto" w:fill="auto"/>
            <w:noWrap/>
            <w:vAlign w:val="bottom"/>
            <w:hideMark/>
          </w:tcPr>
          <w:p w14:paraId="5DDA20C0" w14:textId="77777777" w:rsidR="00C84017" w:rsidRPr="00C84017" w:rsidRDefault="00C84017" w:rsidP="00C84017">
            <w:pPr>
              <w:tabs>
                <w:tab w:val="clear" w:pos="567"/>
              </w:tabs>
              <w:spacing w:before="0" w:line="240" w:lineRule="auto"/>
              <w:ind w:firstLineChars="100" w:firstLine="160"/>
              <w:rPr>
                <w:rFonts w:eastAsia="Times New Roman" w:cs="Open Sans Light"/>
                <w:sz w:val="16"/>
                <w:szCs w:val="16"/>
                <w:lang w:eastAsia="en-AU"/>
              </w:rPr>
            </w:pPr>
            <w:r w:rsidRPr="00C84017">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14274835" w14:textId="77777777" w:rsidR="00C84017" w:rsidRPr="00C84017" w:rsidRDefault="00C84017" w:rsidP="00C84017">
            <w:pPr>
              <w:tabs>
                <w:tab w:val="clear" w:pos="567"/>
              </w:tabs>
              <w:spacing w:before="0" w:line="240" w:lineRule="auto"/>
              <w:jc w:val="right"/>
              <w:rPr>
                <w:rFonts w:eastAsia="Times New Roman" w:cs="Open Sans Light"/>
                <w:sz w:val="16"/>
                <w:szCs w:val="16"/>
                <w:lang w:eastAsia="en-AU"/>
              </w:rPr>
            </w:pPr>
            <w:r w:rsidRPr="00C84017">
              <w:rPr>
                <w:rFonts w:eastAsia="Times New Roman" w:cs="Open Sans Light"/>
                <w:sz w:val="16"/>
                <w:szCs w:val="16"/>
                <w:lang w:eastAsia="en-AU"/>
              </w:rPr>
              <w:t>-54</w:t>
            </w:r>
          </w:p>
        </w:tc>
        <w:tc>
          <w:tcPr>
            <w:tcW w:w="2400" w:type="dxa"/>
            <w:tcBorders>
              <w:top w:val="nil"/>
              <w:left w:val="nil"/>
              <w:bottom w:val="single" w:sz="4" w:space="0" w:color="ADD6EA"/>
              <w:right w:val="nil"/>
            </w:tcBorders>
            <w:shd w:val="clear" w:color="auto" w:fill="auto"/>
            <w:noWrap/>
            <w:vAlign w:val="bottom"/>
            <w:hideMark/>
          </w:tcPr>
          <w:p w14:paraId="4209E6A8" w14:textId="77777777" w:rsidR="00C84017" w:rsidRPr="00C84017" w:rsidRDefault="00C84017" w:rsidP="00C84017">
            <w:pPr>
              <w:tabs>
                <w:tab w:val="clear" w:pos="567"/>
              </w:tabs>
              <w:spacing w:before="0" w:line="240" w:lineRule="auto"/>
              <w:jc w:val="right"/>
              <w:rPr>
                <w:rFonts w:eastAsia="Times New Roman" w:cs="Open Sans Light"/>
                <w:sz w:val="16"/>
                <w:szCs w:val="16"/>
                <w:lang w:eastAsia="en-AU"/>
              </w:rPr>
            </w:pPr>
            <w:r w:rsidRPr="00C84017">
              <w:rPr>
                <w:rFonts w:eastAsia="Times New Roman" w:cs="Open Sans Light"/>
                <w:sz w:val="16"/>
                <w:szCs w:val="16"/>
                <w:lang w:eastAsia="en-AU"/>
              </w:rPr>
              <w:t>-98</w:t>
            </w:r>
          </w:p>
        </w:tc>
      </w:tr>
      <w:tr w:rsidR="00C84017" w:rsidRPr="00C84017" w14:paraId="2F183FC1" w14:textId="77777777" w:rsidTr="00C84017">
        <w:trPr>
          <w:trHeight w:val="259"/>
        </w:trPr>
        <w:tc>
          <w:tcPr>
            <w:tcW w:w="4040" w:type="dxa"/>
            <w:tcBorders>
              <w:top w:val="nil"/>
              <w:left w:val="nil"/>
              <w:bottom w:val="single" w:sz="4" w:space="0" w:color="ADD6EA"/>
              <w:right w:val="nil"/>
            </w:tcBorders>
            <w:shd w:val="clear" w:color="auto" w:fill="auto"/>
            <w:noWrap/>
            <w:vAlign w:val="bottom"/>
            <w:hideMark/>
          </w:tcPr>
          <w:p w14:paraId="5D5C78DE" w14:textId="77777777" w:rsidR="00C84017" w:rsidRPr="00C84017" w:rsidRDefault="00C84017" w:rsidP="00C84017">
            <w:pPr>
              <w:tabs>
                <w:tab w:val="clear" w:pos="567"/>
              </w:tabs>
              <w:spacing w:before="0" w:line="240" w:lineRule="auto"/>
              <w:ind w:firstLineChars="100" w:firstLine="160"/>
              <w:rPr>
                <w:rFonts w:eastAsia="Times New Roman" w:cs="Open Sans Light"/>
                <w:sz w:val="16"/>
                <w:szCs w:val="16"/>
                <w:lang w:eastAsia="en-AU"/>
              </w:rPr>
            </w:pPr>
            <w:r w:rsidRPr="00C84017">
              <w:rPr>
                <w:rFonts w:eastAsia="Times New Roman" w:cs="Open Sans Light"/>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3F95B969" w14:textId="77777777" w:rsidR="00C84017" w:rsidRPr="00C84017" w:rsidRDefault="00C84017" w:rsidP="00C84017">
            <w:pPr>
              <w:tabs>
                <w:tab w:val="clear" w:pos="567"/>
              </w:tabs>
              <w:spacing w:before="0" w:line="240" w:lineRule="auto"/>
              <w:jc w:val="right"/>
              <w:rPr>
                <w:rFonts w:eastAsia="Times New Roman" w:cs="Open Sans Light"/>
                <w:sz w:val="16"/>
                <w:szCs w:val="16"/>
                <w:lang w:eastAsia="en-AU"/>
              </w:rPr>
            </w:pPr>
            <w:r w:rsidRPr="00C84017">
              <w:rPr>
                <w:rFonts w:eastAsia="Times New Roman" w:cs="Open Sans Light"/>
                <w:sz w:val="16"/>
                <w:szCs w:val="16"/>
                <w:lang w:eastAsia="en-AU"/>
              </w:rPr>
              <w:t>-33</w:t>
            </w:r>
          </w:p>
        </w:tc>
        <w:tc>
          <w:tcPr>
            <w:tcW w:w="2400" w:type="dxa"/>
            <w:tcBorders>
              <w:top w:val="nil"/>
              <w:left w:val="nil"/>
              <w:bottom w:val="single" w:sz="4" w:space="0" w:color="ADD6EA"/>
              <w:right w:val="nil"/>
            </w:tcBorders>
            <w:shd w:val="clear" w:color="auto" w:fill="auto"/>
            <w:noWrap/>
            <w:vAlign w:val="bottom"/>
            <w:hideMark/>
          </w:tcPr>
          <w:p w14:paraId="6DF6C609" w14:textId="77777777" w:rsidR="00C84017" w:rsidRPr="00C84017" w:rsidRDefault="00C84017" w:rsidP="00C84017">
            <w:pPr>
              <w:tabs>
                <w:tab w:val="clear" w:pos="567"/>
              </w:tabs>
              <w:spacing w:before="0" w:line="240" w:lineRule="auto"/>
              <w:jc w:val="right"/>
              <w:rPr>
                <w:rFonts w:eastAsia="Times New Roman" w:cs="Open Sans Light"/>
                <w:sz w:val="16"/>
                <w:szCs w:val="16"/>
                <w:lang w:eastAsia="en-AU"/>
              </w:rPr>
            </w:pPr>
            <w:r w:rsidRPr="00C84017">
              <w:rPr>
                <w:rFonts w:eastAsia="Times New Roman" w:cs="Open Sans Light"/>
                <w:sz w:val="16"/>
                <w:szCs w:val="16"/>
                <w:lang w:eastAsia="en-AU"/>
              </w:rPr>
              <w:t>-60</w:t>
            </w:r>
          </w:p>
        </w:tc>
      </w:tr>
      <w:tr w:rsidR="00C84017" w:rsidRPr="00C84017" w14:paraId="30D1B07A" w14:textId="77777777" w:rsidTr="00C84017">
        <w:trPr>
          <w:trHeight w:val="259"/>
        </w:trPr>
        <w:tc>
          <w:tcPr>
            <w:tcW w:w="4040" w:type="dxa"/>
            <w:tcBorders>
              <w:top w:val="nil"/>
              <w:left w:val="nil"/>
              <w:bottom w:val="single" w:sz="4" w:space="0" w:color="ADD6EA"/>
              <w:right w:val="nil"/>
            </w:tcBorders>
            <w:shd w:val="clear" w:color="auto" w:fill="auto"/>
            <w:noWrap/>
            <w:vAlign w:val="bottom"/>
            <w:hideMark/>
          </w:tcPr>
          <w:p w14:paraId="5052ABF3" w14:textId="77777777" w:rsidR="00C84017" w:rsidRPr="00C84017" w:rsidRDefault="00C84017" w:rsidP="00C84017">
            <w:pPr>
              <w:tabs>
                <w:tab w:val="clear" w:pos="567"/>
              </w:tabs>
              <w:spacing w:before="0" w:line="240" w:lineRule="auto"/>
              <w:ind w:firstLineChars="100" w:firstLine="160"/>
              <w:rPr>
                <w:rFonts w:eastAsia="Times New Roman" w:cs="Open Sans Light"/>
                <w:sz w:val="16"/>
                <w:szCs w:val="16"/>
                <w:lang w:eastAsia="en-AU"/>
              </w:rPr>
            </w:pPr>
            <w:r w:rsidRPr="00C84017">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0E9B6525" w14:textId="77777777" w:rsidR="00C84017" w:rsidRPr="00C84017" w:rsidRDefault="00C84017" w:rsidP="00C84017">
            <w:pPr>
              <w:tabs>
                <w:tab w:val="clear" w:pos="567"/>
              </w:tabs>
              <w:spacing w:before="0" w:line="240" w:lineRule="auto"/>
              <w:jc w:val="right"/>
              <w:rPr>
                <w:rFonts w:eastAsia="Times New Roman" w:cs="Open Sans Light"/>
                <w:sz w:val="16"/>
                <w:szCs w:val="16"/>
                <w:lang w:eastAsia="en-AU"/>
              </w:rPr>
            </w:pPr>
            <w:r w:rsidRPr="00C84017">
              <w:rPr>
                <w:rFonts w:eastAsia="Times New Roman" w:cs="Open Sans Light"/>
                <w:sz w:val="16"/>
                <w:szCs w:val="16"/>
                <w:lang w:eastAsia="en-AU"/>
              </w:rPr>
              <w:t>-87</w:t>
            </w:r>
          </w:p>
        </w:tc>
        <w:tc>
          <w:tcPr>
            <w:tcW w:w="2400" w:type="dxa"/>
            <w:tcBorders>
              <w:top w:val="nil"/>
              <w:left w:val="nil"/>
              <w:bottom w:val="single" w:sz="4" w:space="0" w:color="ADD6EA"/>
              <w:right w:val="nil"/>
            </w:tcBorders>
            <w:shd w:val="clear" w:color="auto" w:fill="auto"/>
            <w:noWrap/>
            <w:vAlign w:val="bottom"/>
            <w:hideMark/>
          </w:tcPr>
          <w:p w14:paraId="7A83E413" w14:textId="77777777" w:rsidR="00C84017" w:rsidRPr="00C84017" w:rsidRDefault="00C84017" w:rsidP="00C84017">
            <w:pPr>
              <w:tabs>
                <w:tab w:val="clear" w:pos="567"/>
              </w:tabs>
              <w:spacing w:before="0" w:line="240" w:lineRule="auto"/>
              <w:jc w:val="right"/>
              <w:rPr>
                <w:rFonts w:eastAsia="Times New Roman" w:cs="Open Sans Light"/>
                <w:sz w:val="16"/>
                <w:szCs w:val="16"/>
                <w:lang w:eastAsia="en-AU"/>
              </w:rPr>
            </w:pPr>
            <w:r w:rsidRPr="00C84017">
              <w:rPr>
                <w:rFonts w:eastAsia="Times New Roman" w:cs="Open Sans Light"/>
                <w:sz w:val="16"/>
                <w:szCs w:val="16"/>
                <w:lang w:eastAsia="en-AU"/>
              </w:rPr>
              <w:t>-158</w:t>
            </w:r>
          </w:p>
        </w:tc>
      </w:tr>
      <w:tr w:rsidR="00C84017" w:rsidRPr="00C84017" w14:paraId="3B541A16" w14:textId="77777777" w:rsidTr="00C84017">
        <w:trPr>
          <w:trHeight w:val="259"/>
        </w:trPr>
        <w:tc>
          <w:tcPr>
            <w:tcW w:w="4040" w:type="dxa"/>
            <w:tcBorders>
              <w:top w:val="nil"/>
              <w:left w:val="nil"/>
              <w:bottom w:val="single" w:sz="4" w:space="0" w:color="ADD6EA"/>
              <w:right w:val="nil"/>
            </w:tcBorders>
            <w:shd w:val="clear" w:color="auto" w:fill="auto"/>
            <w:noWrap/>
            <w:vAlign w:val="bottom"/>
            <w:hideMark/>
          </w:tcPr>
          <w:p w14:paraId="776C10A8" w14:textId="77777777" w:rsidR="00C84017" w:rsidRPr="00C84017" w:rsidRDefault="00C84017" w:rsidP="00C84017">
            <w:pPr>
              <w:tabs>
                <w:tab w:val="clear" w:pos="567"/>
              </w:tabs>
              <w:spacing w:before="0" w:line="240" w:lineRule="auto"/>
              <w:rPr>
                <w:rFonts w:eastAsia="Times New Roman" w:cs="Open Sans Light"/>
                <w:sz w:val="16"/>
                <w:szCs w:val="16"/>
                <w:lang w:eastAsia="en-AU"/>
              </w:rPr>
            </w:pPr>
            <w:r w:rsidRPr="00C84017">
              <w:rPr>
                <w:rFonts w:eastAsia="Times New Roman" w:cs="Open Sans Light"/>
                <w:sz w:val="16"/>
                <w:szCs w:val="16"/>
                <w:lang w:eastAsia="en-AU"/>
              </w:rPr>
              <w:t>Blended relativities and GST floor (a)</w:t>
            </w:r>
          </w:p>
        </w:tc>
        <w:tc>
          <w:tcPr>
            <w:tcW w:w="2500" w:type="dxa"/>
            <w:tcBorders>
              <w:top w:val="nil"/>
              <w:left w:val="nil"/>
              <w:bottom w:val="single" w:sz="4" w:space="0" w:color="ADD6EA"/>
              <w:right w:val="nil"/>
            </w:tcBorders>
            <w:shd w:val="clear" w:color="auto" w:fill="auto"/>
            <w:noWrap/>
            <w:vAlign w:val="bottom"/>
            <w:hideMark/>
          </w:tcPr>
          <w:p w14:paraId="07C80328" w14:textId="77777777" w:rsidR="00C84017" w:rsidRPr="00C84017" w:rsidRDefault="00C84017" w:rsidP="00C84017">
            <w:pPr>
              <w:tabs>
                <w:tab w:val="clear" w:pos="567"/>
              </w:tabs>
              <w:spacing w:before="0" w:line="240" w:lineRule="auto"/>
              <w:jc w:val="right"/>
              <w:rPr>
                <w:rFonts w:eastAsia="Times New Roman" w:cs="Open Sans Light"/>
                <w:sz w:val="16"/>
                <w:szCs w:val="16"/>
                <w:lang w:eastAsia="en-AU"/>
              </w:rPr>
            </w:pPr>
            <w:r w:rsidRPr="00C84017">
              <w:rPr>
                <w:rFonts w:eastAsia="Times New Roman" w:cs="Open Sans Light"/>
                <w:sz w:val="16"/>
                <w:szCs w:val="16"/>
                <w:lang w:eastAsia="en-AU"/>
              </w:rPr>
              <w:t>-84</w:t>
            </w:r>
          </w:p>
        </w:tc>
        <w:tc>
          <w:tcPr>
            <w:tcW w:w="2400" w:type="dxa"/>
            <w:tcBorders>
              <w:top w:val="nil"/>
              <w:left w:val="nil"/>
              <w:bottom w:val="single" w:sz="4" w:space="0" w:color="ADD6EA"/>
              <w:right w:val="nil"/>
            </w:tcBorders>
            <w:shd w:val="clear" w:color="auto" w:fill="auto"/>
            <w:noWrap/>
            <w:vAlign w:val="bottom"/>
            <w:hideMark/>
          </w:tcPr>
          <w:p w14:paraId="1F2DCE67" w14:textId="77777777" w:rsidR="00C84017" w:rsidRPr="00C84017" w:rsidRDefault="00C84017" w:rsidP="00C84017">
            <w:pPr>
              <w:tabs>
                <w:tab w:val="clear" w:pos="567"/>
              </w:tabs>
              <w:spacing w:before="0" w:line="240" w:lineRule="auto"/>
              <w:jc w:val="right"/>
              <w:rPr>
                <w:rFonts w:eastAsia="Times New Roman" w:cs="Open Sans Light"/>
                <w:sz w:val="16"/>
                <w:szCs w:val="16"/>
                <w:lang w:eastAsia="en-AU"/>
              </w:rPr>
            </w:pPr>
            <w:r w:rsidRPr="00C84017">
              <w:rPr>
                <w:rFonts w:eastAsia="Times New Roman" w:cs="Open Sans Light"/>
                <w:sz w:val="16"/>
                <w:szCs w:val="16"/>
                <w:lang w:eastAsia="en-AU"/>
              </w:rPr>
              <w:t>-153</w:t>
            </w:r>
          </w:p>
        </w:tc>
      </w:tr>
      <w:tr w:rsidR="00C84017" w:rsidRPr="00C84017" w14:paraId="587B551E" w14:textId="77777777" w:rsidTr="00C84017">
        <w:trPr>
          <w:trHeight w:val="259"/>
        </w:trPr>
        <w:tc>
          <w:tcPr>
            <w:tcW w:w="4040" w:type="dxa"/>
            <w:tcBorders>
              <w:top w:val="nil"/>
              <w:left w:val="nil"/>
              <w:bottom w:val="single" w:sz="4" w:space="0" w:color="ADD6EA"/>
              <w:right w:val="nil"/>
            </w:tcBorders>
            <w:shd w:val="clear" w:color="000000" w:fill="D6E7F0"/>
            <w:noWrap/>
            <w:vAlign w:val="bottom"/>
            <w:hideMark/>
          </w:tcPr>
          <w:p w14:paraId="2479A193" w14:textId="77777777" w:rsidR="00C84017" w:rsidRPr="00C84017" w:rsidRDefault="00C84017" w:rsidP="00C84017">
            <w:pPr>
              <w:tabs>
                <w:tab w:val="clear" w:pos="567"/>
              </w:tabs>
              <w:spacing w:before="0" w:line="240" w:lineRule="auto"/>
              <w:rPr>
                <w:rFonts w:ascii="Open Sans Semibold" w:eastAsia="Times New Roman" w:hAnsi="Open Sans Semibold" w:cs="Open Sans Semibold"/>
                <w:color w:val="000000"/>
                <w:sz w:val="16"/>
                <w:szCs w:val="16"/>
                <w:lang w:eastAsia="en-AU"/>
              </w:rPr>
            </w:pPr>
            <w:r w:rsidRPr="00C84017">
              <w:rPr>
                <w:rFonts w:ascii="Open Sans Semibold" w:eastAsia="Times New Roman" w:hAnsi="Open Sans Semibold" w:cs="Open Sans Semibold"/>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6938473C" w14:textId="77777777" w:rsidR="00C84017" w:rsidRPr="00C84017" w:rsidRDefault="00C84017" w:rsidP="00C8401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84017">
              <w:rPr>
                <w:rFonts w:ascii="Open Sans Semibold" w:eastAsia="Times New Roman" w:hAnsi="Open Sans Semibold" w:cs="Open Sans Semibold"/>
                <w:color w:val="000000"/>
                <w:sz w:val="16"/>
                <w:szCs w:val="16"/>
                <w:lang w:eastAsia="en-AU"/>
              </w:rPr>
              <w:t>11</w:t>
            </w:r>
          </w:p>
        </w:tc>
        <w:tc>
          <w:tcPr>
            <w:tcW w:w="2400" w:type="dxa"/>
            <w:tcBorders>
              <w:top w:val="nil"/>
              <w:left w:val="nil"/>
              <w:bottom w:val="single" w:sz="4" w:space="0" w:color="ADD6EA"/>
              <w:right w:val="nil"/>
            </w:tcBorders>
            <w:shd w:val="clear" w:color="000000" w:fill="D6E7F0"/>
            <w:noWrap/>
            <w:vAlign w:val="bottom"/>
            <w:hideMark/>
          </w:tcPr>
          <w:p w14:paraId="2F11C9E6" w14:textId="77777777" w:rsidR="00C84017" w:rsidRPr="00C84017" w:rsidRDefault="00C84017" w:rsidP="00C8401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84017">
              <w:rPr>
                <w:rFonts w:ascii="Open Sans Semibold" w:eastAsia="Times New Roman" w:hAnsi="Open Sans Semibold" w:cs="Open Sans Semibold"/>
                <w:color w:val="000000"/>
                <w:sz w:val="16"/>
                <w:szCs w:val="16"/>
                <w:lang w:eastAsia="en-AU"/>
              </w:rPr>
              <w:t>20</w:t>
            </w:r>
          </w:p>
        </w:tc>
      </w:tr>
    </w:tbl>
    <w:p w14:paraId="6EB2C7DA" w14:textId="3F4B2823" w:rsidR="005A0452" w:rsidRPr="00442A3B" w:rsidRDefault="005A0452" w:rsidP="003D421F">
      <w:pPr>
        <w:pStyle w:val="CGCTablenote"/>
      </w:pPr>
      <w:r w:rsidRPr="00442A3B">
        <w:t>Note:</w:t>
      </w:r>
      <w:r w:rsidRPr="00442A3B">
        <w:tab/>
        <w:t>Table may not add due to rounding.</w:t>
      </w:r>
    </w:p>
    <w:p w14:paraId="5BA9E6D0" w14:textId="77777777" w:rsidR="005A0452" w:rsidRPr="00442A3B" w:rsidRDefault="005A0452" w:rsidP="003D421F">
      <w:pPr>
        <w:pStyle w:val="CGCTablenote"/>
      </w:pPr>
      <w:r w:rsidRPr="00442A3B">
        <w:t>(a)</w:t>
      </w:r>
      <w:r w:rsidRPr="00442A3B">
        <w:tab/>
        <w:t xml:space="preserve">This represents the difference between applying the GST relativities and </w:t>
      </w:r>
      <w:r>
        <w:t>assessed relativities</w:t>
      </w:r>
      <w:r w:rsidRPr="00442A3B">
        <w:t xml:space="preserve"> to the GST pool. It is not the basis of the no</w:t>
      </w:r>
      <w:r>
        <w:t> </w:t>
      </w:r>
      <w:r w:rsidRPr="00442A3B">
        <w:t>worse</w:t>
      </w:r>
      <w:r>
        <w:t> </w:t>
      </w:r>
      <w:r w:rsidRPr="00442A3B">
        <w:t xml:space="preserve">off </w:t>
      </w:r>
      <w:r>
        <w:t xml:space="preserve">payments </w:t>
      </w:r>
      <w:r w:rsidRPr="00442A3B">
        <w:t>calculation</w:t>
      </w:r>
      <w:r>
        <w:t>, which is explained in Attachment A</w:t>
      </w:r>
      <w:r w:rsidRPr="00442A3B">
        <w:t>.</w:t>
      </w:r>
    </w:p>
    <w:p w14:paraId="200893B4" w14:textId="6D004EE4" w:rsidR="005A0452" w:rsidRPr="00556CDE" w:rsidRDefault="005A0452" w:rsidP="003D421F">
      <w:pPr>
        <w:pStyle w:val="CGCTablenote"/>
        <w:rPr>
          <w:szCs w:val="16"/>
        </w:rPr>
      </w:pPr>
      <w:r w:rsidRPr="00556CDE">
        <w:rPr>
          <w:szCs w:val="16"/>
        </w:rPr>
        <w:t>Source:</w:t>
      </w:r>
      <w:r w:rsidRPr="00556CDE">
        <w:rPr>
          <w:szCs w:val="16"/>
        </w:rPr>
        <w:tab/>
        <w:t>Commission calculation</w:t>
      </w:r>
      <w:r w:rsidR="00455E9A">
        <w:rPr>
          <w:szCs w:val="16"/>
        </w:rPr>
        <w:t>.</w:t>
      </w:r>
    </w:p>
    <w:p w14:paraId="04172794" w14:textId="7845C7AD" w:rsidR="005A0452" w:rsidRPr="0014176A" w:rsidRDefault="005A0452" w:rsidP="003D421F">
      <w:pPr>
        <w:pStyle w:val="Caption"/>
        <w:widowControl w:val="0"/>
      </w:pPr>
      <w:r w:rsidRPr="00556CDE">
        <w:t>Figure 3</w:t>
      </w:r>
      <w:r w:rsidRPr="00556CDE">
        <w:noBreakHyphen/>
      </w:r>
      <w:r w:rsidRPr="00556CDE">
        <w:fldChar w:fldCharType="begin"/>
      </w:r>
      <w:r w:rsidRPr="00556CDE">
        <w:instrText>SEQ Figure \* ARABIC</w:instrText>
      </w:r>
      <w:r w:rsidRPr="00556CDE">
        <w:fldChar w:fldCharType="separate"/>
      </w:r>
      <w:r w:rsidR="00FE4664">
        <w:rPr>
          <w:noProof/>
        </w:rPr>
        <w:t>7</w:t>
      </w:r>
      <w:r w:rsidRPr="00556CDE">
        <w:fldChar w:fldCharType="end"/>
      </w:r>
      <w:r w:rsidRPr="00556CDE">
        <w:tab/>
      </w:r>
      <w:bookmarkEnd w:id="94"/>
      <w:bookmarkEnd w:id="95"/>
      <w:r w:rsidRPr="00556CDE">
        <w:t>Tasmania: Main changes in assessed GST distribution, 2022 Update</w:t>
      </w:r>
    </w:p>
    <w:p w14:paraId="3556B297" w14:textId="3598D880" w:rsidR="005A0452" w:rsidRDefault="00547812" w:rsidP="003D421F">
      <w:pPr>
        <w:keepNext/>
        <w:keepLines/>
        <w:widowControl w:val="0"/>
        <w:rPr>
          <w:noProof/>
        </w:rPr>
      </w:pPr>
      <w:r w:rsidRPr="00547812">
        <w:rPr>
          <w:noProof/>
        </w:rPr>
        <w:drawing>
          <wp:inline distT="0" distB="0" distL="0" distR="0" wp14:anchorId="330589B4" wp14:editId="73E2698B">
            <wp:extent cx="5755640" cy="2572385"/>
            <wp:effectExtent l="0" t="0" r="0" b="0"/>
            <wp:docPr id="112" name="Picture 112" descr="A figure describing the main changes in assessed GST distribution in the 2022 Update for Tasman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figure describing the main changes in assessed GST distribution in the 2022 Update for Tasmania.&#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5640" cy="2572385"/>
                    </a:xfrm>
                    <a:prstGeom prst="rect">
                      <a:avLst/>
                    </a:prstGeom>
                    <a:noFill/>
                    <a:ln>
                      <a:noFill/>
                    </a:ln>
                  </pic:spPr>
                </pic:pic>
              </a:graphicData>
            </a:graphic>
          </wp:inline>
        </w:drawing>
      </w:r>
    </w:p>
    <w:p w14:paraId="0896D56D" w14:textId="21E6A25B" w:rsidR="005A0452" w:rsidRDefault="005A0452" w:rsidP="003D421F">
      <w:pPr>
        <w:pStyle w:val="CGCTablenote"/>
        <w:keepNext/>
        <w:keepLines/>
        <w:widowControl w:val="0"/>
        <w:rPr>
          <w:rFonts w:eastAsia="Times New Roman" w:cs="Times New Roman"/>
          <w:sz w:val="24"/>
          <w:szCs w:val="20"/>
          <w:lang w:eastAsia="en-AU"/>
        </w:rPr>
      </w:pPr>
      <w:r w:rsidRPr="00442A3B">
        <w:t>Source:</w:t>
      </w:r>
      <w:r w:rsidRPr="00442A3B">
        <w:tab/>
        <w:t>Commission calculation.</w:t>
      </w:r>
      <w:r w:rsidR="00FA4522" w:rsidRPr="00FA4522">
        <w:rPr>
          <w:noProof/>
        </w:rPr>
        <w:t xml:space="preserve"> </w:t>
      </w:r>
      <w:r>
        <w:rPr>
          <w:noProof/>
        </w:rPr>
        <w:drawing>
          <wp:anchor distT="0" distB="0" distL="114300" distR="114300" simplePos="0" relativeHeight="251658258" behindDoc="1" locked="1" layoutInCell="1" allowOverlap="1" wp14:anchorId="27BB8CE5" wp14:editId="61190262">
            <wp:simplePos x="0" y="0"/>
            <wp:positionH relativeFrom="page">
              <wp:align>right</wp:align>
            </wp:positionH>
            <wp:positionV relativeFrom="page">
              <wp:align>top</wp:align>
            </wp:positionV>
            <wp:extent cx="7563485" cy="10691495"/>
            <wp:effectExtent l="0" t="0" r="0" b="0"/>
            <wp:wrapNone/>
            <wp:docPr id="80" name="Picture 8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D867444" w14:textId="77777777" w:rsidR="005A0452" w:rsidRDefault="005A0452" w:rsidP="000D6032">
      <w:pPr>
        <w:pStyle w:val="Heading2"/>
      </w:pPr>
      <w:r>
        <w:t>Australian Capital Territory</w:t>
      </w:r>
    </w:p>
    <w:p w14:paraId="4A271AFC" w14:textId="29004BEF" w:rsidR="005A0452" w:rsidRPr="00A56EE4" w:rsidRDefault="005A0452" w:rsidP="0004064D">
      <w:pPr>
        <w:pStyle w:val="CGCBodyCopy"/>
      </w:pPr>
      <w:r>
        <w:t>T</w:t>
      </w:r>
      <w:r w:rsidRPr="00442A3B">
        <w:t xml:space="preserve">he ACT’s </w:t>
      </w:r>
      <w:r>
        <w:t xml:space="preserve">share of the </w:t>
      </w:r>
      <w:r w:rsidRPr="00442A3B">
        <w:t xml:space="preserve">GST pool </w:t>
      </w:r>
      <w:r>
        <w:t>is estimated to decrease</w:t>
      </w:r>
      <w:r w:rsidRPr="00442A3B">
        <w:t xml:space="preserve"> from </w:t>
      </w:r>
      <w:r w:rsidRPr="00040D87">
        <w:t>2.0% to 1.8%.</w:t>
      </w:r>
      <w:r w:rsidRPr="00442A3B">
        <w:t xml:space="preserve"> </w:t>
      </w:r>
      <w:r>
        <w:rPr>
          <w:rFonts w:cs="Open Sans Light"/>
        </w:rPr>
        <w:t xml:space="preserve">Even with </w:t>
      </w:r>
      <w:r w:rsidRPr="00E35D81">
        <w:rPr>
          <w:rFonts w:cs="Open Sans Light"/>
        </w:rPr>
        <w:t>pool growth,</w:t>
      </w:r>
      <w:r>
        <w:rPr>
          <w:rFonts w:cs="Open Sans Light"/>
        </w:rPr>
        <w:t xml:space="preserve"> but </w:t>
      </w:r>
      <w:r>
        <w:t xml:space="preserve">excluding no worse off payments, </w:t>
      </w:r>
      <w:r w:rsidRPr="00442A3B">
        <w:t xml:space="preserve">its </w:t>
      </w:r>
      <w:r w:rsidRPr="00A56EE4">
        <w:t>estimated GST distribution in 2022</w:t>
      </w:r>
      <w:r w:rsidR="00D01765" w:rsidRPr="00A56EE4">
        <w:t>–</w:t>
      </w:r>
      <w:r w:rsidRPr="00A56EE4">
        <w:t xml:space="preserve">23 </w:t>
      </w:r>
      <w:r w:rsidR="00CA09B6" w:rsidRPr="00A56EE4">
        <w:t>would</w:t>
      </w:r>
      <w:r w:rsidRPr="00A56EE4">
        <w:t xml:space="preserve"> decrease by $</w:t>
      </w:r>
      <w:r w:rsidR="008F0258">
        <w:t>5</w:t>
      </w:r>
      <w:r w:rsidRPr="00A56EE4">
        <w:t> million</w:t>
      </w:r>
      <w:r w:rsidR="00915686" w:rsidRPr="00A56EE4">
        <w:t>,</w:t>
      </w:r>
      <w:r w:rsidRPr="00A56EE4">
        <w:t xml:space="preserve"> or 0.</w:t>
      </w:r>
      <w:r w:rsidR="00CC1B9C">
        <w:t>4</w:t>
      </w:r>
      <w:r w:rsidRPr="00A56EE4">
        <w:t xml:space="preserve">%. </w:t>
      </w:r>
      <w:r w:rsidRPr="00A56EE4">
        <w:rPr>
          <w:rFonts w:cs="Open Sans Light"/>
        </w:rPr>
        <w:t>It is expected that the no worse off payments would result in the ACT receiving more revenue overall from the GST distribution arrangements in 2022</w:t>
      </w:r>
      <w:r w:rsidR="00D01765" w:rsidRPr="00A56EE4">
        <w:rPr>
          <w:rFonts w:cs="Open Sans Light"/>
        </w:rPr>
        <w:t>–</w:t>
      </w:r>
      <w:r w:rsidRPr="00A56EE4">
        <w:rPr>
          <w:rFonts w:cs="Open Sans Light"/>
        </w:rPr>
        <w:t>23 than it received in 2021</w:t>
      </w:r>
      <w:r w:rsidR="00D01765" w:rsidRPr="00A56EE4">
        <w:rPr>
          <w:rFonts w:cs="Open Sans Light"/>
        </w:rPr>
        <w:t>–</w:t>
      </w:r>
      <w:r w:rsidRPr="00A56EE4">
        <w:rPr>
          <w:rFonts w:cs="Open Sans Light"/>
        </w:rPr>
        <w:t>22.</w:t>
      </w:r>
    </w:p>
    <w:p w14:paraId="59431DEC" w14:textId="61390841" w:rsidR="005A0452" w:rsidRPr="00442A3B" w:rsidRDefault="005A0452" w:rsidP="0004064D">
      <w:pPr>
        <w:pStyle w:val="CGCBodyCopy"/>
      </w:pPr>
      <w:r w:rsidRPr="00A56EE4">
        <w:t>The ACT’s relative wage costs decreased and this</w:t>
      </w:r>
      <w:r w:rsidR="00D60288">
        <w:t>,</w:t>
      </w:r>
      <w:r w:rsidRPr="00A56EE4">
        <w:t xml:space="preserve"> along with above</w:t>
      </w:r>
      <w:r w:rsidR="002E7313">
        <w:noBreakHyphen/>
      </w:r>
      <w:r w:rsidRPr="00A56EE4">
        <w:t>average growth in property sales</w:t>
      </w:r>
      <w:r w:rsidR="00D60288">
        <w:t>,</w:t>
      </w:r>
      <w:r w:rsidRPr="00A56EE4">
        <w:t xml:space="preserve"> reduced its GST share. These changes were partly offset by increased value of mining production</w:t>
      </w:r>
      <w:r w:rsidR="006A54DD" w:rsidRPr="00A56EE4">
        <w:t>, mainly</w:t>
      </w:r>
      <w:r w:rsidRPr="00A56EE4">
        <w:t xml:space="preserve"> in </w:t>
      </w:r>
      <w:r w:rsidR="006A54DD" w:rsidRPr="00A56EE4">
        <w:t>Western Australia</w:t>
      </w:r>
      <w:r w:rsidRPr="00A56EE4">
        <w:t>, along with population growth slowing by less than the national average, increasing its relative need for new infrastructure. The</w:t>
      </w:r>
      <w:r>
        <w:t xml:space="preserve"> combined effect</w:t>
      </w:r>
      <w:r w:rsidRPr="00C677B4">
        <w:t xml:space="preserve"> of </w:t>
      </w:r>
      <w:r>
        <w:t>blended</w:t>
      </w:r>
      <w:r w:rsidRPr="00C677B4">
        <w:t xml:space="preserve"> relativities</w:t>
      </w:r>
      <w:r w:rsidRPr="00602985">
        <w:t xml:space="preserve"> </w:t>
      </w:r>
      <w:r w:rsidRPr="00CD6D34">
        <w:t>and</w:t>
      </w:r>
      <w:r w:rsidRPr="000B025F">
        <w:t xml:space="preserve"> the</w:t>
      </w:r>
      <w:r>
        <w:t xml:space="preserve"> GST floor would </w:t>
      </w:r>
      <w:r w:rsidRPr="00C677B4">
        <w:t xml:space="preserve">reduce </w:t>
      </w:r>
      <w:r>
        <w:t>the ACT’</w:t>
      </w:r>
      <w:r w:rsidRPr="00C677B4">
        <w:t>s distribution</w:t>
      </w:r>
      <w:r w:rsidRPr="00602985">
        <w:t xml:space="preserve"> </w:t>
      </w:r>
      <w:r w:rsidRPr="00C677B4">
        <w:t>by $</w:t>
      </w:r>
      <w:r w:rsidR="00EE2B52">
        <w:t>69</w:t>
      </w:r>
      <w:r>
        <w:t> </w:t>
      </w:r>
      <w:r w:rsidRPr="00C677B4">
        <w:t>million.</w:t>
      </w:r>
      <w:r w:rsidR="00AA49CC">
        <w:t xml:space="preserve"> </w:t>
      </w:r>
      <w:r w:rsidR="00AA49CC" w:rsidRPr="00707043">
        <w:t xml:space="preserve">Across the transition period, this impact </w:t>
      </w:r>
      <w:r w:rsidR="00AA49CC">
        <w:t xml:space="preserve">would be </w:t>
      </w:r>
      <w:r w:rsidR="00AA49CC" w:rsidRPr="00707043">
        <w:t>ameliorated by no</w:t>
      </w:r>
      <w:r w:rsidR="00AA49CC">
        <w:t> </w:t>
      </w:r>
      <w:r w:rsidR="00AA49CC" w:rsidRPr="00707043">
        <w:t>worse</w:t>
      </w:r>
      <w:r w:rsidR="00AA49CC">
        <w:t> </w:t>
      </w:r>
      <w:r w:rsidR="00AA49CC" w:rsidRPr="00707043">
        <w:t>off payments.</w:t>
      </w:r>
    </w:p>
    <w:p w14:paraId="7EDFC18B" w14:textId="7BE98315" w:rsidR="005A0452" w:rsidRPr="00B3026C" w:rsidRDefault="005A0452" w:rsidP="00B3026C">
      <w:pPr>
        <w:pStyle w:val="Caption"/>
      </w:pPr>
      <w:bookmarkStart w:id="96" w:name="_Toc62487288"/>
      <w:bookmarkStart w:id="97" w:name="_Toc62723818"/>
      <w:r w:rsidRPr="00B3026C">
        <w:t>Table 3</w:t>
      </w:r>
      <w:r w:rsidRPr="00B3026C">
        <w:noBreakHyphen/>
      </w:r>
      <w:r w:rsidRPr="00B3026C">
        <w:fldChar w:fldCharType="begin"/>
      </w:r>
      <w:r w:rsidRPr="00B3026C">
        <w:instrText>SEQ Table \* ARABIC</w:instrText>
      </w:r>
      <w:r w:rsidRPr="00B3026C">
        <w:fldChar w:fldCharType="separate"/>
      </w:r>
      <w:r w:rsidR="00FE4664">
        <w:rPr>
          <w:noProof/>
        </w:rPr>
        <w:t>7</w:t>
      </w:r>
      <w:r w:rsidRPr="00B3026C">
        <w:fldChar w:fldCharType="end"/>
      </w:r>
      <w:r w:rsidRPr="00B3026C">
        <w:tab/>
        <w:t>Change in estimated GST distribution from 2021</w:t>
      </w:r>
      <w:r w:rsidR="00D01765">
        <w:t>–</w:t>
      </w:r>
      <w:r w:rsidRPr="00B3026C">
        <w:t>22 to 2022</w:t>
      </w:r>
      <w:r w:rsidR="009E0E62">
        <w:t>–</w:t>
      </w:r>
      <w:r w:rsidRPr="00B3026C">
        <w:t>23, the ACT</w:t>
      </w:r>
      <w:bookmarkEnd w:id="96"/>
      <w:bookmarkEnd w:id="97"/>
      <w:r w:rsidRPr="00B3026C">
        <w:t xml:space="preserve"> (exclud</w:t>
      </w:r>
      <w:r w:rsidR="009F3481">
        <w:t>es</w:t>
      </w:r>
      <w:r w:rsidRPr="00B3026C">
        <w:t xml:space="preserve"> no worse off payments)</w:t>
      </w:r>
    </w:p>
    <w:tbl>
      <w:tblPr>
        <w:tblW w:w="8940" w:type="dxa"/>
        <w:tblLook w:val="04A0" w:firstRow="1" w:lastRow="0" w:firstColumn="1" w:lastColumn="0" w:noHBand="0" w:noVBand="1"/>
      </w:tblPr>
      <w:tblGrid>
        <w:gridCol w:w="4040"/>
        <w:gridCol w:w="2500"/>
        <w:gridCol w:w="2400"/>
      </w:tblGrid>
      <w:tr w:rsidR="00F6329D" w:rsidRPr="00F6329D" w14:paraId="245BE821" w14:textId="77777777" w:rsidTr="00F6329D">
        <w:trPr>
          <w:trHeight w:val="259"/>
        </w:trPr>
        <w:tc>
          <w:tcPr>
            <w:tcW w:w="4040" w:type="dxa"/>
            <w:tcBorders>
              <w:top w:val="nil"/>
              <w:left w:val="nil"/>
              <w:bottom w:val="single" w:sz="4" w:space="0" w:color="ADD6EA"/>
              <w:right w:val="nil"/>
            </w:tcBorders>
            <w:shd w:val="clear" w:color="000000" w:fill="006991"/>
            <w:noWrap/>
            <w:vAlign w:val="center"/>
            <w:hideMark/>
          </w:tcPr>
          <w:p w14:paraId="00767DAE" w14:textId="77777777" w:rsidR="00F6329D" w:rsidRPr="00F6329D" w:rsidRDefault="00F6329D" w:rsidP="00F632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98" w:name="_Ref32852906"/>
            <w:bookmarkStart w:id="99" w:name="_Toc62487178"/>
            <w:bookmarkStart w:id="100" w:name="_Toc62487334"/>
            <w:r w:rsidRPr="00F6329D">
              <w:rPr>
                <w:rFonts w:ascii="Open Sans Semibold" w:eastAsia="Times New Roman" w:hAnsi="Open Sans Semibold" w:cs="Open Sans Semibold"/>
                <w:color w:val="FFFFFF"/>
                <w:sz w:val="16"/>
                <w:szCs w:val="16"/>
                <w:lang w:eastAsia="en-AU"/>
              </w:rPr>
              <w:t> </w:t>
            </w:r>
          </w:p>
        </w:tc>
        <w:tc>
          <w:tcPr>
            <w:tcW w:w="2500" w:type="dxa"/>
            <w:tcBorders>
              <w:top w:val="nil"/>
              <w:left w:val="nil"/>
              <w:bottom w:val="single" w:sz="4" w:space="0" w:color="ADD6EA"/>
              <w:right w:val="nil"/>
            </w:tcBorders>
            <w:shd w:val="clear" w:color="000000" w:fill="006991"/>
            <w:noWrap/>
            <w:vAlign w:val="center"/>
            <w:hideMark/>
          </w:tcPr>
          <w:p w14:paraId="5CC01ED4" w14:textId="77777777" w:rsidR="00F6329D" w:rsidRPr="00F6329D" w:rsidRDefault="00F6329D" w:rsidP="00F632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329D">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516B81B5" w14:textId="77777777" w:rsidR="00F6329D" w:rsidRPr="00F6329D" w:rsidRDefault="00F6329D" w:rsidP="00F632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6329D">
              <w:rPr>
                <w:rFonts w:ascii="Open Sans Semibold" w:eastAsia="Times New Roman" w:hAnsi="Open Sans Semibold" w:cs="Open Sans Semibold"/>
                <w:color w:val="FFFFFF"/>
                <w:sz w:val="16"/>
                <w:szCs w:val="16"/>
                <w:lang w:eastAsia="en-AU"/>
              </w:rPr>
              <w:t>$pc</w:t>
            </w:r>
          </w:p>
        </w:tc>
      </w:tr>
      <w:tr w:rsidR="00F6329D" w:rsidRPr="00F6329D" w14:paraId="30AD6502" w14:textId="77777777" w:rsidTr="00F6329D">
        <w:trPr>
          <w:trHeight w:val="259"/>
        </w:trPr>
        <w:tc>
          <w:tcPr>
            <w:tcW w:w="4040" w:type="dxa"/>
            <w:tcBorders>
              <w:top w:val="nil"/>
              <w:left w:val="nil"/>
              <w:bottom w:val="single" w:sz="4" w:space="0" w:color="ADD6EA"/>
              <w:right w:val="nil"/>
            </w:tcBorders>
            <w:shd w:val="clear" w:color="auto" w:fill="auto"/>
            <w:noWrap/>
            <w:vAlign w:val="bottom"/>
            <w:hideMark/>
          </w:tcPr>
          <w:p w14:paraId="74E4F8A0" w14:textId="77777777" w:rsidR="00F6329D" w:rsidRPr="00F6329D" w:rsidRDefault="00F6329D" w:rsidP="00F6329D">
            <w:pPr>
              <w:tabs>
                <w:tab w:val="clear" w:pos="567"/>
              </w:tabs>
              <w:spacing w:before="0" w:line="240" w:lineRule="auto"/>
              <w:rPr>
                <w:rFonts w:eastAsia="Times New Roman" w:cs="Open Sans Light"/>
                <w:sz w:val="16"/>
                <w:szCs w:val="16"/>
                <w:lang w:eastAsia="en-AU"/>
              </w:rPr>
            </w:pPr>
            <w:r w:rsidRPr="00F6329D">
              <w:rPr>
                <w:rFonts w:eastAsia="Times New Roman" w:cs="Open Sans Light"/>
                <w:sz w:val="16"/>
                <w:szCs w:val="16"/>
                <w:lang w:eastAsia="en-AU"/>
              </w:rPr>
              <w:t>Change in population</w:t>
            </w:r>
          </w:p>
        </w:tc>
        <w:tc>
          <w:tcPr>
            <w:tcW w:w="2500" w:type="dxa"/>
            <w:tcBorders>
              <w:top w:val="nil"/>
              <w:left w:val="nil"/>
              <w:bottom w:val="single" w:sz="4" w:space="0" w:color="ADD6EA"/>
              <w:right w:val="nil"/>
            </w:tcBorders>
            <w:shd w:val="clear" w:color="auto" w:fill="auto"/>
            <w:noWrap/>
            <w:vAlign w:val="bottom"/>
            <w:hideMark/>
          </w:tcPr>
          <w:p w14:paraId="0F230CA3" w14:textId="77777777" w:rsidR="00F6329D" w:rsidRPr="00F6329D" w:rsidRDefault="00F6329D" w:rsidP="00F6329D">
            <w:pPr>
              <w:tabs>
                <w:tab w:val="clear" w:pos="567"/>
              </w:tabs>
              <w:spacing w:before="0" w:line="240" w:lineRule="auto"/>
              <w:jc w:val="right"/>
              <w:rPr>
                <w:rFonts w:eastAsia="Times New Roman" w:cs="Open Sans Light"/>
                <w:sz w:val="16"/>
                <w:szCs w:val="16"/>
                <w:lang w:eastAsia="en-AU"/>
              </w:rPr>
            </w:pPr>
            <w:r w:rsidRPr="00F6329D">
              <w:rPr>
                <w:rFonts w:eastAsia="Times New Roman" w:cs="Open Sans Light"/>
                <w:sz w:val="16"/>
                <w:szCs w:val="16"/>
                <w:lang w:eastAsia="en-AU"/>
              </w:rPr>
              <w:t>-1</w:t>
            </w:r>
          </w:p>
        </w:tc>
        <w:tc>
          <w:tcPr>
            <w:tcW w:w="2400" w:type="dxa"/>
            <w:tcBorders>
              <w:top w:val="nil"/>
              <w:left w:val="nil"/>
              <w:bottom w:val="single" w:sz="4" w:space="0" w:color="ADD6EA"/>
              <w:right w:val="nil"/>
            </w:tcBorders>
            <w:shd w:val="clear" w:color="auto" w:fill="auto"/>
            <w:noWrap/>
            <w:vAlign w:val="bottom"/>
            <w:hideMark/>
          </w:tcPr>
          <w:p w14:paraId="4EA87C17" w14:textId="77777777" w:rsidR="00F6329D" w:rsidRPr="00F6329D" w:rsidRDefault="00F6329D" w:rsidP="00F6329D">
            <w:pPr>
              <w:tabs>
                <w:tab w:val="clear" w:pos="567"/>
              </w:tabs>
              <w:spacing w:before="0" w:line="240" w:lineRule="auto"/>
              <w:jc w:val="right"/>
              <w:rPr>
                <w:rFonts w:eastAsia="Times New Roman" w:cs="Open Sans Light"/>
                <w:sz w:val="16"/>
                <w:szCs w:val="16"/>
                <w:lang w:eastAsia="en-AU"/>
              </w:rPr>
            </w:pPr>
            <w:r w:rsidRPr="00F6329D">
              <w:rPr>
                <w:rFonts w:eastAsia="Times New Roman" w:cs="Open Sans Light"/>
                <w:sz w:val="16"/>
                <w:szCs w:val="16"/>
                <w:lang w:eastAsia="en-AU"/>
              </w:rPr>
              <w:t>-2</w:t>
            </w:r>
          </w:p>
        </w:tc>
      </w:tr>
      <w:tr w:rsidR="00F6329D" w:rsidRPr="00F6329D" w14:paraId="590549B1" w14:textId="77777777" w:rsidTr="00F6329D">
        <w:trPr>
          <w:trHeight w:val="259"/>
        </w:trPr>
        <w:tc>
          <w:tcPr>
            <w:tcW w:w="4040" w:type="dxa"/>
            <w:tcBorders>
              <w:top w:val="nil"/>
              <w:left w:val="nil"/>
              <w:bottom w:val="single" w:sz="4" w:space="0" w:color="ADD6EA"/>
              <w:right w:val="nil"/>
            </w:tcBorders>
            <w:shd w:val="clear" w:color="auto" w:fill="auto"/>
            <w:noWrap/>
            <w:vAlign w:val="bottom"/>
            <w:hideMark/>
          </w:tcPr>
          <w:p w14:paraId="0708D1BA" w14:textId="77777777" w:rsidR="00F6329D" w:rsidRPr="00F6329D" w:rsidRDefault="00F6329D" w:rsidP="00F6329D">
            <w:pPr>
              <w:tabs>
                <w:tab w:val="clear" w:pos="567"/>
              </w:tabs>
              <w:spacing w:before="0" w:line="240" w:lineRule="auto"/>
              <w:rPr>
                <w:rFonts w:eastAsia="Times New Roman" w:cs="Open Sans Light"/>
                <w:sz w:val="16"/>
                <w:szCs w:val="16"/>
                <w:lang w:eastAsia="en-AU"/>
              </w:rPr>
            </w:pPr>
            <w:r w:rsidRPr="00F6329D">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7862716F" w14:textId="77777777" w:rsidR="00F6329D" w:rsidRPr="00F6329D" w:rsidRDefault="00F6329D" w:rsidP="00F6329D">
            <w:pPr>
              <w:tabs>
                <w:tab w:val="clear" w:pos="567"/>
              </w:tabs>
              <w:spacing w:before="0" w:line="240" w:lineRule="auto"/>
              <w:jc w:val="right"/>
              <w:rPr>
                <w:rFonts w:eastAsia="Times New Roman" w:cs="Open Sans Light"/>
                <w:sz w:val="16"/>
                <w:szCs w:val="16"/>
                <w:lang w:eastAsia="en-AU"/>
              </w:rPr>
            </w:pPr>
            <w:r w:rsidRPr="00F6329D">
              <w:rPr>
                <w:rFonts w:eastAsia="Times New Roman" w:cs="Open Sans Light"/>
                <w:sz w:val="16"/>
                <w:szCs w:val="16"/>
                <w:lang w:eastAsia="en-AU"/>
              </w:rPr>
              <w:t>85</w:t>
            </w:r>
          </w:p>
        </w:tc>
        <w:tc>
          <w:tcPr>
            <w:tcW w:w="2400" w:type="dxa"/>
            <w:tcBorders>
              <w:top w:val="nil"/>
              <w:left w:val="nil"/>
              <w:bottom w:val="single" w:sz="4" w:space="0" w:color="ADD6EA"/>
              <w:right w:val="nil"/>
            </w:tcBorders>
            <w:shd w:val="clear" w:color="auto" w:fill="auto"/>
            <w:noWrap/>
            <w:vAlign w:val="bottom"/>
            <w:hideMark/>
          </w:tcPr>
          <w:p w14:paraId="73A6973F" w14:textId="77777777" w:rsidR="00F6329D" w:rsidRPr="00F6329D" w:rsidRDefault="00F6329D" w:rsidP="00F6329D">
            <w:pPr>
              <w:tabs>
                <w:tab w:val="clear" w:pos="567"/>
              </w:tabs>
              <w:spacing w:before="0" w:line="240" w:lineRule="auto"/>
              <w:jc w:val="right"/>
              <w:rPr>
                <w:rFonts w:eastAsia="Times New Roman" w:cs="Open Sans Light"/>
                <w:sz w:val="16"/>
                <w:szCs w:val="16"/>
                <w:lang w:eastAsia="en-AU"/>
              </w:rPr>
            </w:pPr>
            <w:r w:rsidRPr="00F6329D">
              <w:rPr>
                <w:rFonts w:eastAsia="Times New Roman" w:cs="Open Sans Light"/>
                <w:sz w:val="16"/>
                <w:szCs w:val="16"/>
                <w:lang w:eastAsia="en-AU"/>
              </w:rPr>
              <w:t>194</w:t>
            </w:r>
          </w:p>
        </w:tc>
      </w:tr>
      <w:tr w:rsidR="00F6329D" w:rsidRPr="00F6329D" w14:paraId="54D612DE" w14:textId="77777777" w:rsidTr="00F6329D">
        <w:trPr>
          <w:trHeight w:val="259"/>
        </w:trPr>
        <w:tc>
          <w:tcPr>
            <w:tcW w:w="4040" w:type="dxa"/>
            <w:tcBorders>
              <w:top w:val="nil"/>
              <w:left w:val="nil"/>
              <w:bottom w:val="single" w:sz="4" w:space="0" w:color="ADD6EA"/>
              <w:right w:val="nil"/>
            </w:tcBorders>
            <w:shd w:val="clear" w:color="auto" w:fill="auto"/>
            <w:noWrap/>
            <w:vAlign w:val="bottom"/>
            <w:hideMark/>
          </w:tcPr>
          <w:p w14:paraId="3AE8E43E" w14:textId="77777777" w:rsidR="00F6329D" w:rsidRPr="00F6329D" w:rsidRDefault="00F6329D" w:rsidP="00F6329D">
            <w:pPr>
              <w:tabs>
                <w:tab w:val="clear" w:pos="567"/>
              </w:tabs>
              <w:spacing w:before="0" w:line="240" w:lineRule="auto"/>
              <w:rPr>
                <w:rFonts w:eastAsia="Times New Roman" w:cs="Open Sans Light"/>
                <w:sz w:val="16"/>
                <w:szCs w:val="16"/>
                <w:lang w:eastAsia="en-AU"/>
              </w:rPr>
            </w:pPr>
            <w:r w:rsidRPr="00F6329D">
              <w:rPr>
                <w:rFonts w:eastAsia="Times New Roman" w:cs="Open Sans Light"/>
                <w:sz w:val="16"/>
                <w:szCs w:val="16"/>
                <w:lang w:eastAsia="en-AU"/>
              </w:rPr>
              <w:t>Changes in assessed needs</w:t>
            </w:r>
          </w:p>
        </w:tc>
        <w:tc>
          <w:tcPr>
            <w:tcW w:w="2500" w:type="dxa"/>
            <w:tcBorders>
              <w:top w:val="nil"/>
              <w:left w:val="nil"/>
              <w:bottom w:val="single" w:sz="4" w:space="0" w:color="ADD6EA"/>
              <w:right w:val="nil"/>
            </w:tcBorders>
            <w:shd w:val="clear" w:color="auto" w:fill="auto"/>
            <w:noWrap/>
            <w:vAlign w:val="bottom"/>
            <w:hideMark/>
          </w:tcPr>
          <w:p w14:paraId="1388E94E" w14:textId="77777777" w:rsidR="00F6329D" w:rsidRPr="00F6329D" w:rsidRDefault="00F6329D" w:rsidP="00F6329D">
            <w:pPr>
              <w:tabs>
                <w:tab w:val="clear" w:pos="567"/>
              </w:tabs>
              <w:spacing w:before="0" w:line="240" w:lineRule="auto"/>
              <w:jc w:val="right"/>
              <w:rPr>
                <w:rFonts w:eastAsia="Times New Roman" w:cs="Open Sans Light"/>
                <w:sz w:val="16"/>
                <w:szCs w:val="16"/>
                <w:lang w:eastAsia="en-AU"/>
              </w:rPr>
            </w:pPr>
            <w:r w:rsidRPr="00F6329D">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066B1375" w14:textId="77777777" w:rsidR="00F6329D" w:rsidRPr="00F6329D" w:rsidRDefault="00F6329D" w:rsidP="00F6329D">
            <w:pPr>
              <w:tabs>
                <w:tab w:val="clear" w:pos="567"/>
              </w:tabs>
              <w:spacing w:before="0" w:line="240" w:lineRule="auto"/>
              <w:jc w:val="right"/>
              <w:rPr>
                <w:rFonts w:eastAsia="Times New Roman" w:cs="Open Sans Light"/>
                <w:sz w:val="16"/>
                <w:szCs w:val="16"/>
                <w:lang w:eastAsia="en-AU"/>
              </w:rPr>
            </w:pPr>
            <w:r w:rsidRPr="00F6329D">
              <w:rPr>
                <w:rFonts w:eastAsia="Times New Roman" w:cs="Open Sans Light"/>
                <w:sz w:val="16"/>
                <w:szCs w:val="16"/>
                <w:lang w:eastAsia="en-AU"/>
              </w:rPr>
              <w:t> </w:t>
            </w:r>
          </w:p>
        </w:tc>
      </w:tr>
      <w:tr w:rsidR="00F6329D" w:rsidRPr="00F6329D" w14:paraId="5F04FA5B" w14:textId="77777777" w:rsidTr="00F6329D">
        <w:trPr>
          <w:trHeight w:val="259"/>
        </w:trPr>
        <w:tc>
          <w:tcPr>
            <w:tcW w:w="4040" w:type="dxa"/>
            <w:tcBorders>
              <w:top w:val="nil"/>
              <w:left w:val="nil"/>
              <w:bottom w:val="single" w:sz="4" w:space="0" w:color="ADD6EA"/>
              <w:right w:val="nil"/>
            </w:tcBorders>
            <w:shd w:val="clear" w:color="auto" w:fill="auto"/>
            <w:noWrap/>
            <w:vAlign w:val="bottom"/>
            <w:hideMark/>
          </w:tcPr>
          <w:p w14:paraId="339EC4A9" w14:textId="77777777" w:rsidR="00F6329D" w:rsidRPr="00F6329D" w:rsidRDefault="00F6329D" w:rsidP="00F6329D">
            <w:pPr>
              <w:tabs>
                <w:tab w:val="clear" w:pos="567"/>
              </w:tabs>
              <w:spacing w:before="0" w:line="240" w:lineRule="auto"/>
              <w:ind w:firstLineChars="100" w:firstLine="160"/>
              <w:rPr>
                <w:rFonts w:eastAsia="Times New Roman" w:cs="Open Sans Light"/>
                <w:sz w:val="16"/>
                <w:szCs w:val="16"/>
                <w:lang w:eastAsia="en-AU"/>
              </w:rPr>
            </w:pPr>
            <w:r w:rsidRPr="00F6329D">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6CEB6474" w14:textId="77777777" w:rsidR="00F6329D" w:rsidRPr="00F6329D" w:rsidRDefault="00F6329D" w:rsidP="00F6329D">
            <w:pPr>
              <w:tabs>
                <w:tab w:val="clear" w:pos="567"/>
              </w:tabs>
              <w:spacing w:before="0" w:line="240" w:lineRule="auto"/>
              <w:jc w:val="right"/>
              <w:rPr>
                <w:rFonts w:eastAsia="Times New Roman" w:cs="Open Sans Light"/>
                <w:sz w:val="16"/>
                <w:szCs w:val="16"/>
                <w:lang w:eastAsia="en-AU"/>
              </w:rPr>
            </w:pPr>
            <w:r w:rsidRPr="00F6329D">
              <w:rPr>
                <w:rFonts w:eastAsia="Times New Roman" w:cs="Open Sans Light"/>
                <w:sz w:val="16"/>
                <w:szCs w:val="16"/>
                <w:lang w:eastAsia="en-AU"/>
              </w:rPr>
              <w:t>-18</w:t>
            </w:r>
          </w:p>
        </w:tc>
        <w:tc>
          <w:tcPr>
            <w:tcW w:w="2400" w:type="dxa"/>
            <w:tcBorders>
              <w:top w:val="nil"/>
              <w:left w:val="nil"/>
              <w:bottom w:val="single" w:sz="4" w:space="0" w:color="ADD6EA"/>
              <w:right w:val="nil"/>
            </w:tcBorders>
            <w:shd w:val="clear" w:color="auto" w:fill="auto"/>
            <w:noWrap/>
            <w:vAlign w:val="bottom"/>
            <w:hideMark/>
          </w:tcPr>
          <w:p w14:paraId="1D79A6E9" w14:textId="77777777" w:rsidR="00F6329D" w:rsidRPr="00F6329D" w:rsidRDefault="00F6329D" w:rsidP="00F6329D">
            <w:pPr>
              <w:tabs>
                <w:tab w:val="clear" w:pos="567"/>
              </w:tabs>
              <w:spacing w:before="0" w:line="240" w:lineRule="auto"/>
              <w:jc w:val="right"/>
              <w:rPr>
                <w:rFonts w:eastAsia="Times New Roman" w:cs="Open Sans Light"/>
                <w:sz w:val="16"/>
                <w:szCs w:val="16"/>
                <w:lang w:eastAsia="en-AU"/>
              </w:rPr>
            </w:pPr>
            <w:r w:rsidRPr="00F6329D">
              <w:rPr>
                <w:rFonts w:eastAsia="Times New Roman" w:cs="Open Sans Light"/>
                <w:sz w:val="16"/>
                <w:szCs w:val="16"/>
                <w:lang w:eastAsia="en-AU"/>
              </w:rPr>
              <w:t>-41</w:t>
            </w:r>
          </w:p>
        </w:tc>
      </w:tr>
      <w:tr w:rsidR="00F6329D" w:rsidRPr="00F6329D" w14:paraId="1519651E" w14:textId="77777777" w:rsidTr="00F6329D">
        <w:trPr>
          <w:trHeight w:val="259"/>
        </w:trPr>
        <w:tc>
          <w:tcPr>
            <w:tcW w:w="4040" w:type="dxa"/>
            <w:tcBorders>
              <w:top w:val="nil"/>
              <w:left w:val="nil"/>
              <w:bottom w:val="single" w:sz="4" w:space="0" w:color="ADD6EA"/>
              <w:right w:val="nil"/>
            </w:tcBorders>
            <w:shd w:val="clear" w:color="auto" w:fill="auto"/>
            <w:noWrap/>
            <w:vAlign w:val="bottom"/>
            <w:hideMark/>
          </w:tcPr>
          <w:p w14:paraId="5D055A5C" w14:textId="77777777" w:rsidR="00F6329D" w:rsidRPr="00F6329D" w:rsidRDefault="00F6329D" w:rsidP="00F6329D">
            <w:pPr>
              <w:tabs>
                <w:tab w:val="clear" w:pos="567"/>
              </w:tabs>
              <w:spacing w:before="0" w:line="240" w:lineRule="auto"/>
              <w:ind w:firstLineChars="100" w:firstLine="160"/>
              <w:rPr>
                <w:rFonts w:eastAsia="Times New Roman" w:cs="Open Sans Light"/>
                <w:sz w:val="16"/>
                <w:szCs w:val="16"/>
                <w:lang w:eastAsia="en-AU"/>
              </w:rPr>
            </w:pPr>
            <w:r w:rsidRPr="00F6329D">
              <w:rPr>
                <w:rFonts w:eastAsia="Times New Roman" w:cs="Open Sans Light"/>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31686B71" w14:textId="77777777" w:rsidR="00F6329D" w:rsidRPr="00F6329D" w:rsidRDefault="00F6329D" w:rsidP="00F6329D">
            <w:pPr>
              <w:tabs>
                <w:tab w:val="clear" w:pos="567"/>
              </w:tabs>
              <w:spacing w:before="0" w:line="240" w:lineRule="auto"/>
              <w:jc w:val="right"/>
              <w:rPr>
                <w:rFonts w:eastAsia="Times New Roman" w:cs="Open Sans Light"/>
                <w:sz w:val="16"/>
                <w:szCs w:val="16"/>
                <w:lang w:eastAsia="en-AU"/>
              </w:rPr>
            </w:pPr>
            <w:r w:rsidRPr="00F6329D">
              <w:rPr>
                <w:rFonts w:eastAsia="Times New Roman" w:cs="Open Sans Light"/>
                <w:sz w:val="16"/>
                <w:szCs w:val="16"/>
                <w:lang w:eastAsia="en-AU"/>
              </w:rPr>
              <w:t>-3</w:t>
            </w:r>
          </w:p>
        </w:tc>
        <w:tc>
          <w:tcPr>
            <w:tcW w:w="2400" w:type="dxa"/>
            <w:tcBorders>
              <w:top w:val="nil"/>
              <w:left w:val="nil"/>
              <w:bottom w:val="single" w:sz="4" w:space="0" w:color="ADD6EA"/>
              <w:right w:val="nil"/>
            </w:tcBorders>
            <w:shd w:val="clear" w:color="auto" w:fill="auto"/>
            <w:noWrap/>
            <w:vAlign w:val="bottom"/>
            <w:hideMark/>
          </w:tcPr>
          <w:p w14:paraId="0DEE96BC" w14:textId="77777777" w:rsidR="00F6329D" w:rsidRPr="00F6329D" w:rsidRDefault="00F6329D" w:rsidP="00F6329D">
            <w:pPr>
              <w:tabs>
                <w:tab w:val="clear" w:pos="567"/>
              </w:tabs>
              <w:spacing w:before="0" w:line="240" w:lineRule="auto"/>
              <w:jc w:val="right"/>
              <w:rPr>
                <w:rFonts w:eastAsia="Times New Roman" w:cs="Open Sans Light"/>
                <w:sz w:val="16"/>
                <w:szCs w:val="16"/>
                <w:lang w:eastAsia="en-AU"/>
              </w:rPr>
            </w:pPr>
            <w:r w:rsidRPr="00F6329D">
              <w:rPr>
                <w:rFonts w:eastAsia="Times New Roman" w:cs="Open Sans Light"/>
                <w:sz w:val="16"/>
                <w:szCs w:val="16"/>
                <w:lang w:eastAsia="en-AU"/>
              </w:rPr>
              <w:t>-7</w:t>
            </w:r>
          </w:p>
        </w:tc>
      </w:tr>
      <w:tr w:rsidR="00F6329D" w:rsidRPr="00F6329D" w14:paraId="4416F982" w14:textId="77777777" w:rsidTr="00F6329D">
        <w:trPr>
          <w:trHeight w:val="259"/>
        </w:trPr>
        <w:tc>
          <w:tcPr>
            <w:tcW w:w="4040" w:type="dxa"/>
            <w:tcBorders>
              <w:top w:val="nil"/>
              <w:left w:val="nil"/>
              <w:bottom w:val="single" w:sz="4" w:space="0" w:color="ADD6EA"/>
              <w:right w:val="nil"/>
            </w:tcBorders>
            <w:shd w:val="clear" w:color="auto" w:fill="auto"/>
            <w:noWrap/>
            <w:vAlign w:val="bottom"/>
            <w:hideMark/>
          </w:tcPr>
          <w:p w14:paraId="0A48F9EE" w14:textId="77777777" w:rsidR="00F6329D" w:rsidRPr="00F6329D" w:rsidRDefault="00F6329D" w:rsidP="00F6329D">
            <w:pPr>
              <w:tabs>
                <w:tab w:val="clear" w:pos="567"/>
              </w:tabs>
              <w:spacing w:before="0" w:line="240" w:lineRule="auto"/>
              <w:ind w:firstLineChars="100" w:firstLine="160"/>
              <w:rPr>
                <w:rFonts w:eastAsia="Times New Roman" w:cs="Open Sans Light"/>
                <w:sz w:val="16"/>
                <w:szCs w:val="16"/>
                <w:lang w:eastAsia="en-AU"/>
              </w:rPr>
            </w:pPr>
            <w:r w:rsidRPr="00F6329D">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2CA8E49F" w14:textId="77777777" w:rsidR="00F6329D" w:rsidRPr="00F6329D" w:rsidRDefault="00F6329D" w:rsidP="00F6329D">
            <w:pPr>
              <w:tabs>
                <w:tab w:val="clear" w:pos="567"/>
              </w:tabs>
              <w:spacing w:before="0" w:line="240" w:lineRule="auto"/>
              <w:jc w:val="right"/>
              <w:rPr>
                <w:rFonts w:eastAsia="Times New Roman" w:cs="Open Sans Light"/>
                <w:sz w:val="16"/>
                <w:szCs w:val="16"/>
                <w:lang w:eastAsia="en-AU"/>
              </w:rPr>
            </w:pPr>
            <w:r w:rsidRPr="00F6329D">
              <w:rPr>
                <w:rFonts w:eastAsia="Times New Roman" w:cs="Open Sans Light"/>
                <w:sz w:val="16"/>
                <w:szCs w:val="16"/>
                <w:lang w:eastAsia="en-AU"/>
              </w:rPr>
              <w:t>-21</w:t>
            </w:r>
          </w:p>
        </w:tc>
        <w:tc>
          <w:tcPr>
            <w:tcW w:w="2400" w:type="dxa"/>
            <w:tcBorders>
              <w:top w:val="nil"/>
              <w:left w:val="nil"/>
              <w:bottom w:val="single" w:sz="4" w:space="0" w:color="ADD6EA"/>
              <w:right w:val="nil"/>
            </w:tcBorders>
            <w:shd w:val="clear" w:color="auto" w:fill="auto"/>
            <w:noWrap/>
            <w:vAlign w:val="bottom"/>
            <w:hideMark/>
          </w:tcPr>
          <w:p w14:paraId="66577456" w14:textId="77777777" w:rsidR="00F6329D" w:rsidRPr="00F6329D" w:rsidRDefault="00F6329D" w:rsidP="00F6329D">
            <w:pPr>
              <w:tabs>
                <w:tab w:val="clear" w:pos="567"/>
              </w:tabs>
              <w:spacing w:before="0" w:line="240" w:lineRule="auto"/>
              <w:jc w:val="right"/>
              <w:rPr>
                <w:rFonts w:eastAsia="Times New Roman" w:cs="Open Sans Light"/>
                <w:sz w:val="16"/>
                <w:szCs w:val="16"/>
                <w:lang w:eastAsia="en-AU"/>
              </w:rPr>
            </w:pPr>
            <w:r w:rsidRPr="00F6329D">
              <w:rPr>
                <w:rFonts w:eastAsia="Times New Roman" w:cs="Open Sans Light"/>
                <w:sz w:val="16"/>
                <w:szCs w:val="16"/>
                <w:lang w:eastAsia="en-AU"/>
              </w:rPr>
              <w:t>-47</w:t>
            </w:r>
          </w:p>
        </w:tc>
      </w:tr>
      <w:tr w:rsidR="00F6329D" w:rsidRPr="00F6329D" w14:paraId="0183C64A" w14:textId="77777777" w:rsidTr="00F6329D">
        <w:trPr>
          <w:trHeight w:val="259"/>
        </w:trPr>
        <w:tc>
          <w:tcPr>
            <w:tcW w:w="4040" w:type="dxa"/>
            <w:tcBorders>
              <w:top w:val="nil"/>
              <w:left w:val="nil"/>
              <w:bottom w:val="single" w:sz="4" w:space="0" w:color="ADD6EA"/>
              <w:right w:val="nil"/>
            </w:tcBorders>
            <w:shd w:val="clear" w:color="auto" w:fill="auto"/>
            <w:noWrap/>
            <w:vAlign w:val="bottom"/>
            <w:hideMark/>
          </w:tcPr>
          <w:p w14:paraId="406ECA24" w14:textId="77777777" w:rsidR="00F6329D" w:rsidRPr="00F6329D" w:rsidRDefault="00F6329D" w:rsidP="00F6329D">
            <w:pPr>
              <w:tabs>
                <w:tab w:val="clear" w:pos="567"/>
              </w:tabs>
              <w:spacing w:before="0" w:line="240" w:lineRule="auto"/>
              <w:rPr>
                <w:rFonts w:eastAsia="Times New Roman" w:cs="Open Sans Light"/>
                <w:sz w:val="16"/>
                <w:szCs w:val="16"/>
                <w:lang w:eastAsia="en-AU"/>
              </w:rPr>
            </w:pPr>
            <w:r w:rsidRPr="00F6329D">
              <w:rPr>
                <w:rFonts w:eastAsia="Times New Roman" w:cs="Open Sans Light"/>
                <w:sz w:val="16"/>
                <w:szCs w:val="16"/>
                <w:lang w:eastAsia="en-AU"/>
              </w:rPr>
              <w:t>Blended relativities and GST floor (a)</w:t>
            </w:r>
          </w:p>
        </w:tc>
        <w:tc>
          <w:tcPr>
            <w:tcW w:w="2500" w:type="dxa"/>
            <w:tcBorders>
              <w:top w:val="nil"/>
              <w:left w:val="nil"/>
              <w:bottom w:val="single" w:sz="4" w:space="0" w:color="ADD6EA"/>
              <w:right w:val="nil"/>
            </w:tcBorders>
            <w:shd w:val="clear" w:color="auto" w:fill="auto"/>
            <w:noWrap/>
            <w:vAlign w:val="bottom"/>
            <w:hideMark/>
          </w:tcPr>
          <w:p w14:paraId="754D9FB7" w14:textId="77777777" w:rsidR="00F6329D" w:rsidRPr="00F6329D" w:rsidRDefault="00F6329D" w:rsidP="00F6329D">
            <w:pPr>
              <w:tabs>
                <w:tab w:val="clear" w:pos="567"/>
              </w:tabs>
              <w:spacing w:before="0" w:line="240" w:lineRule="auto"/>
              <w:jc w:val="right"/>
              <w:rPr>
                <w:rFonts w:eastAsia="Times New Roman" w:cs="Open Sans Light"/>
                <w:sz w:val="16"/>
                <w:szCs w:val="16"/>
                <w:lang w:eastAsia="en-AU"/>
              </w:rPr>
            </w:pPr>
            <w:r w:rsidRPr="00F6329D">
              <w:rPr>
                <w:rFonts w:eastAsia="Times New Roman" w:cs="Open Sans Light"/>
                <w:sz w:val="16"/>
                <w:szCs w:val="16"/>
                <w:lang w:eastAsia="en-AU"/>
              </w:rPr>
              <w:t>-69</w:t>
            </w:r>
          </w:p>
        </w:tc>
        <w:tc>
          <w:tcPr>
            <w:tcW w:w="2400" w:type="dxa"/>
            <w:tcBorders>
              <w:top w:val="nil"/>
              <w:left w:val="nil"/>
              <w:bottom w:val="single" w:sz="4" w:space="0" w:color="ADD6EA"/>
              <w:right w:val="nil"/>
            </w:tcBorders>
            <w:shd w:val="clear" w:color="auto" w:fill="auto"/>
            <w:noWrap/>
            <w:vAlign w:val="bottom"/>
            <w:hideMark/>
          </w:tcPr>
          <w:p w14:paraId="3DF52B1D" w14:textId="77777777" w:rsidR="00F6329D" w:rsidRPr="00F6329D" w:rsidRDefault="00F6329D" w:rsidP="00F6329D">
            <w:pPr>
              <w:tabs>
                <w:tab w:val="clear" w:pos="567"/>
              </w:tabs>
              <w:spacing w:before="0" w:line="240" w:lineRule="auto"/>
              <w:jc w:val="right"/>
              <w:rPr>
                <w:rFonts w:eastAsia="Times New Roman" w:cs="Open Sans Light"/>
                <w:sz w:val="16"/>
                <w:szCs w:val="16"/>
                <w:lang w:eastAsia="en-AU"/>
              </w:rPr>
            </w:pPr>
            <w:r w:rsidRPr="00F6329D">
              <w:rPr>
                <w:rFonts w:eastAsia="Times New Roman" w:cs="Open Sans Light"/>
                <w:sz w:val="16"/>
                <w:szCs w:val="16"/>
                <w:lang w:eastAsia="en-AU"/>
              </w:rPr>
              <w:t>-157</w:t>
            </w:r>
          </w:p>
        </w:tc>
      </w:tr>
      <w:tr w:rsidR="00F6329D" w:rsidRPr="00F6329D" w14:paraId="6EEB27AC" w14:textId="77777777" w:rsidTr="00F6329D">
        <w:trPr>
          <w:trHeight w:val="259"/>
        </w:trPr>
        <w:tc>
          <w:tcPr>
            <w:tcW w:w="4040" w:type="dxa"/>
            <w:tcBorders>
              <w:top w:val="nil"/>
              <w:left w:val="nil"/>
              <w:bottom w:val="single" w:sz="4" w:space="0" w:color="ADD6EA"/>
              <w:right w:val="nil"/>
            </w:tcBorders>
            <w:shd w:val="clear" w:color="000000" w:fill="D6E7F0"/>
            <w:noWrap/>
            <w:vAlign w:val="bottom"/>
            <w:hideMark/>
          </w:tcPr>
          <w:p w14:paraId="375AB4B0" w14:textId="77777777" w:rsidR="00F6329D" w:rsidRPr="00F6329D" w:rsidRDefault="00F6329D" w:rsidP="00F6329D">
            <w:pPr>
              <w:tabs>
                <w:tab w:val="clear" w:pos="567"/>
              </w:tabs>
              <w:spacing w:before="0" w:line="240" w:lineRule="auto"/>
              <w:rPr>
                <w:rFonts w:ascii="Open Sans Semibold" w:eastAsia="Times New Roman" w:hAnsi="Open Sans Semibold" w:cs="Open Sans Semibold"/>
                <w:color w:val="000000"/>
                <w:sz w:val="16"/>
                <w:szCs w:val="16"/>
                <w:lang w:eastAsia="en-AU"/>
              </w:rPr>
            </w:pPr>
            <w:r w:rsidRPr="00F6329D">
              <w:rPr>
                <w:rFonts w:ascii="Open Sans Semibold" w:eastAsia="Times New Roman" w:hAnsi="Open Sans Semibold" w:cs="Open Sans Semibold"/>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2DD2996F" w14:textId="77777777" w:rsidR="00F6329D" w:rsidRPr="00F6329D" w:rsidRDefault="00F6329D" w:rsidP="00F632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329D">
              <w:rPr>
                <w:rFonts w:ascii="Open Sans Semibold" w:eastAsia="Times New Roman" w:hAnsi="Open Sans Semibold" w:cs="Open Sans Semibold"/>
                <w:color w:val="000000"/>
                <w:sz w:val="16"/>
                <w:szCs w:val="16"/>
                <w:lang w:eastAsia="en-AU"/>
              </w:rPr>
              <w:t>-5</w:t>
            </w:r>
          </w:p>
        </w:tc>
        <w:tc>
          <w:tcPr>
            <w:tcW w:w="2400" w:type="dxa"/>
            <w:tcBorders>
              <w:top w:val="nil"/>
              <w:left w:val="nil"/>
              <w:bottom w:val="single" w:sz="4" w:space="0" w:color="ADD6EA"/>
              <w:right w:val="nil"/>
            </w:tcBorders>
            <w:shd w:val="clear" w:color="000000" w:fill="D6E7F0"/>
            <w:noWrap/>
            <w:vAlign w:val="bottom"/>
            <w:hideMark/>
          </w:tcPr>
          <w:p w14:paraId="0354FFEF" w14:textId="77777777" w:rsidR="00F6329D" w:rsidRPr="00F6329D" w:rsidRDefault="00F6329D" w:rsidP="00F632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6329D">
              <w:rPr>
                <w:rFonts w:ascii="Open Sans Semibold" w:eastAsia="Times New Roman" w:hAnsi="Open Sans Semibold" w:cs="Open Sans Semibold"/>
                <w:color w:val="000000"/>
                <w:sz w:val="16"/>
                <w:szCs w:val="16"/>
                <w:lang w:eastAsia="en-AU"/>
              </w:rPr>
              <w:t>-12</w:t>
            </w:r>
          </w:p>
        </w:tc>
      </w:tr>
    </w:tbl>
    <w:p w14:paraId="6B89345E" w14:textId="3DF2B166" w:rsidR="005A0452" w:rsidRPr="00C9270B" w:rsidRDefault="005A0452" w:rsidP="00C9270B">
      <w:pPr>
        <w:pStyle w:val="CGCTablenote"/>
      </w:pPr>
      <w:r w:rsidRPr="00C9270B">
        <w:t>Note:</w:t>
      </w:r>
      <w:r w:rsidRPr="00C9270B">
        <w:tab/>
        <w:t>Table may not add due to rounding.</w:t>
      </w:r>
    </w:p>
    <w:p w14:paraId="09AAEC1E" w14:textId="77777777" w:rsidR="005A0452" w:rsidRPr="00C9270B" w:rsidRDefault="005A0452" w:rsidP="00C9270B">
      <w:pPr>
        <w:pStyle w:val="CGCTablenote"/>
      </w:pPr>
      <w:r w:rsidRPr="00C9270B">
        <w:t>(a)</w:t>
      </w:r>
      <w:r w:rsidRPr="00C9270B">
        <w:tab/>
        <w:t>This represents the difference between applying the GST relativities and assessed relativities to the GST pool. It is not the basis of the no worse off payments calculation, which is explained in Attachment A.</w:t>
      </w:r>
    </w:p>
    <w:p w14:paraId="7D30F903" w14:textId="3FDF7797" w:rsidR="005A0452" w:rsidRPr="00C9270B" w:rsidRDefault="005A0452" w:rsidP="00C9270B">
      <w:pPr>
        <w:pStyle w:val="CGCTablenote"/>
      </w:pPr>
      <w:r w:rsidRPr="00C9270B">
        <w:t>Source:</w:t>
      </w:r>
      <w:r w:rsidRPr="00C9270B">
        <w:tab/>
        <w:t>Commission calculation</w:t>
      </w:r>
      <w:r w:rsidR="00455E9A">
        <w:t>.</w:t>
      </w:r>
    </w:p>
    <w:p w14:paraId="5ACDD82E" w14:textId="04F9DCFC" w:rsidR="005A0452" w:rsidRPr="00FD2C1C" w:rsidRDefault="005A0452" w:rsidP="00D461BF">
      <w:pPr>
        <w:pStyle w:val="Caption"/>
        <w:widowControl w:val="0"/>
      </w:pPr>
      <w:r w:rsidRPr="00FD2C1C">
        <w:t>Figure 3</w:t>
      </w:r>
      <w:r w:rsidRPr="00FD2C1C">
        <w:noBreakHyphen/>
      </w:r>
      <w:r w:rsidRPr="00FD2C1C">
        <w:fldChar w:fldCharType="begin"/>
      </w:r>
      <w:r w:rsidRPr="00FD2C1C">
        <w:instrText>SEQ Figure \* ARABIC</w:instrText>
      </w:r>
      <w:r w:rsidRPr="00FD2C1C">
        <w:fldChar w:fldCharType="separate"/>
      </w:r>
      <w:r w:rsidR="00FE4664">
        <w:rPr>
          <w:noProof/>
        </w:rPr>
        <w:t>8</w:t>
      </w:r>
      <w:r w:rsidRPr="00FD2C1C">
        <w:fldChar w:fldCharType="end"/>
      </w:r>
      <w:bookmarkEnd w:id="98"/>
      <w:r w:rsidRPr="00FD2C1C">
        <w:t xml:space="preserve"> </w:t>
      </w:r>
      <w:r w:rsidRPr="00FD2C1C">
        <w:tab/>
      </w:r>
      <w:bookmarkEnd w:id="99"/>
      <w:bookmarkEnd w:id="100"/>
      <w:r w:rsidRPr="00FD2C1C">
        <w:t>ACT: Main changes in assessed GST distribution, 2022 Update</w:t>
      </w:r>
    </w:p>
    <w:p w14:paraId="5D7F4BC4" w14:textId="59DE375C" w:rsidR="005A0452" w:rsidRDefault="00DE4AC8" w:rsidP="00D461BF">
      <w:pPr>
        <w:keepNext/>
        <w:keepLines/>
        <w:widowControl w:val="0"/>
        <w:spacing w:before="0"/>
        <w:rPr>
          <w:noProof/>
        </w:rPr>
      </w:pPr>
      <w:r w:rsidRPr="00DE4AC8">
        <w:rPr>
          <w:noProof/>
        </w:rPr>
        <w:drawing>
          <wp:inline distT="0" distB="0" distL="0" distR="0" wp14:anchorId="52D70D33" wp14:editId="1FAC80D4">
            <wp:extent cx="5755640" cy="2409825"/>
            <wp:effectExtent l="0" t="0" r="0" b="9525"/>
            <wp:docPr id="114" name="Picture 114" descr="A figure describing the main changes in assessed GST distribution in the 2022 Update for the 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figure describing the main changes in assessed GST distribution in the 2022 Update for the ACT.&#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5640" cy="2409825"/>
                    </a:xfrm>
                    <a:prstGeom prst="rect">
                      <a:avLst/>
                    </a:prstGeom>
                    <a:noFill/>
                    <a:ln>
                      <a:noFill/>
                    </a:ln>
                  </pic:spPr>
                </pic:pic>
              </a:graphicData>
            </a:graphic>
          </wp:inline>
        </w:drawing>
      </w:r>
    </w:p>
    <w:p w14:paraId="2E670179" w14:textId="5D5D42F0" w:rsidR="005A0452" w:rsidRPr="00E25372" w:rsidRDefault="005A0452" w:rsidP="00E25372">
      <w:pPr>
        <w:pStyle w:val="CGCTablenote"/>
      </w:pPr>
      <w:r w:rsidRPr="00EE2F9D">
        <w:t>Source:</w:t>
      </w:r>
      <w:r w:rsidRPr="00EE2F9D">
        <w:tab/>
        <w:t>Commission calculation.</w:t>
      </w:r>
      <w:r w:rsidRPr="00EE2F9D">
        <w:rPr>
          <w:noProof/>
        </w:rPr>
        <w:drawing>
          <wp:anchor distT="0" distB="0" distL="114300" distR="114300" simplePos="0" relativeHeight="251658259" behindDoc="1" locked="1" layoutInCell="1" allowOverlap="1" wp14:anchorId="28453230" wp14:editId="3E4E8F53">
            <wp:simplePos x="0" y="0"/>
            <wp:positionH relativeFrom="page">
              <wp:posOffset>0</wp:posOffset>
            </wp:positionH>
            <wp:positionV relativeFrom="page">
              <wp:posOffset>-1905</wp:posOffset>
            </wp:positionV>
            <wp:extent cx="7563485" cy="10691495"/>
            <wp:effectExtent l="0" t="0" r="0" b="0"/>
            <wp:wrapNone/>
            <wp:docPr id="82" name="Picture 8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0B04098" w14:textId="6C4B07E6" w:rsidR="005A0452" w:rsidRDefault="005A0452" w:rsidP="000D6032">
      <w:pPr>
        <w:pStyle w:val="Heading2"/>
      </w:pPr>
      <w:r>
        <w:t>Northern Te</w:t>
      </w:r>
      <w:r>
        <w:rPr>
          <w:noProof/>
        </w:rPr>
        <w:drawing>
          <wp:anchor distT="0" distB="0" distL="114300" distR="114300" simplePos="0" relativeHeight="251658307" behindDoc="1" locked="1" layoutInCell="1" allowOverlap="1" wp14:anchorId="695D2336" wp14:editId="78D92EFA">
            <wp:simplePos x="0" y="0"/>
            <wp:positionH relativeFrom="page">
              <wp:posOffset>-2540</wp:posOffset>
            </wp:positionH>
            <wp:positionV relativeFrom="margin">
              <wp:posOffset>-796925</wp:posOffset>
            </wp:positionV>
            <wp:extent cx="7563485" cy="10691495"/>
            <wp:effectExtent l="0" t="0" r="0" b="0"/>
            <wp:wrapNone/>
            <wp:docPr id="83" name="Picture 8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t>rritory</w:t>
      </w:r>
    </w:p>
    <w:p w14:paraId="44AAE58E" w14:textId="0299D66E" w:rsidR="005A0452" w:rsidRPr="00442A3B" w:rsidRDefault="005A0452" w:rsidP="0004064D">
      <w:pPr>
        <w:pStyle w:val="CGCBodyCopy"/>
      </w:pPr>
      <w:r>
        <w:t>T</w:t>
      </w:r>
      <w:r w:rsidRPr="00442A3B">
        <w:t xml:space="preserve">he Northern Territory’s </w:t>
      </w:r>
      <w:r>
        <w:t xml:space="preserve">share of the </w:t>
      </w:r>
      <w:r w:rsidRPr="00442A3B">
        <w:t xml:space="preserve">GST pool </w:t>
      </w:r>
      <w:r>
        <w:t>is estimated to increase</w:t>
      </w:r>
      <w:r w:rsidRPr="00442A3B">
        <w:t xml:space="preserve"> from </w:t>
      </w:r>
      <w:r w:rsidRPr="00700291">
        <w:t>4.6% to 4.7%.</w:t>
      </w:r>
      <w:r w:rsidRPr="00442A3B">
        <w:t xml:space="preserve"> </w:t>
      </w:r>
      <w:r>
        <w:t>Combined w</w:t>
      </w:r>
      <w:r w:rsidRPr="00442A3B">
        <w:t>ith pool growth,</w:t>
      </w:r>
      <w:r>
        <w:t xml:space="preserve"> but excluding no worse off payments,</w:t>
      </w:r>
      <w:r w:rsidRPr="00442A3B">
        <w:t xml:space="preserve"> its </w:t>
      </w:r>
      <w:r>
        <w:t xml:space="preserve">estimated </w:t>
      </w:r>
      <w:r w:rsidRPr="00442A3B">
        <w:t xml:space="preserve">GST </w:t>
      </w:r>
      <w:r>
        <w:t xml:space="preserve">distribution </w:t>
      </w:r>
      <w:r w:rsidR="002D0B4B">
        <w:t>w</w:t>
      </w:r>
      <w:r w:rsidR="004C047A">
        <w:t>ould</w:t>
      </w:r>
      <w:r w:rsidRPr="00442A3B">
        <w:t xml:space="preserve"> </w:t>
      </w:r>
      <w:r>
        <w:t xml:space="preserve">increase </w:t>
      </w:r>
      <w:r w:rsidRPr="00442A3B">
        <w:t xml:space="preserve">by </w:t>
      </w:r>
      <w:r w:rsidRPr="004A283E">
        <w:t>$2</w:t>
      </w:r>
      <w:r w:rsidR="004F13C8">
        <w:t>65</w:t>
      </w:r>
      <w:r>
        <w:t> </w:t>
      </w:r>
      <w:r w:rsidRPr="004A283E">
        <w:t>million</w:t>
      </w:r>
      <w:r w:rsidR="00AD201A">
        <w:t>,</w:t>
      </w:r>
      <w:r w:rsidRPr="004A283E">
        <w:t xml:space="preserve"> </w:t>
      </w:r>
      <w:r>
        <w:t xml:space="preserve">or </w:t>
      </w:r>
      <w:r w:rsidR="00CC1B9C">
        <w:t>7</w:t>
      </w:r>
      <w:r>
        <w:t>.</w:t>
      </w:r>
      <w:r w:rsidR="007F4C6C">
        <w:t>8</w:t>
      </w:r>
      <w:r>
        <w:t>%.</w:t>
      </w:r>
    </w:p>
    <w:p w14:paraId="6B35465C" w14:textId="1CF9FA90" w:rsidR="005A0452" w:rsidRPr="00442A3B" w:rsidRDefault="005A0452" w:rsidP="0004064D">
      <w:pPr>
        <w:pStyle w:val="CGCBodyCopy"/>
      </w:pPr>
      <w:r w:rsidRPr="0049638E">
        <w:t xml:space="preserve">The Northern Territory’s estimated GST distribution increased due to growth in the GST pool, increased national spending on services used by Aboriginal and Torres Strait Islander people, and </w:t>
      </w:r>
      <w:r w:rsidRPr="002D0B4B">
        <w:t>below</w:t>
      </w:r>
      <w:r w:rsidR="002E7313">
        <w:noBreakHyphen/>
      </w:r>
      <w:r w:rsidRPr="002D0B4B">
        <w:t xml:space="preserve">average </w:t>
      </w:r>
      <w:r w:rsidR="00CC039C" w:rsidRPr="002D0B4B">
        <w:t xml:space="preserve">growth in </w:t>
      </w:r>
      <w:r w:rsidRPr="002D0B4B">
        <w:t>taxable payrolls</w:t>
      </w:r>
      <w:r w:rsidRPr="0049638E">
        <w:t xml:space="preserve">. The increase was partly offset by a decrease in relative wage costs and slower growth in national spending </w:t>
      </w:r>
      <w:r w:rsidR="00220E6D">
        <w:t xml:space="preserve">for </w:t>
      </w:r>
      <w:r w:rsidRPr="0049638E">
        <w:t xml:space="preserve">remote areas </w:t>
      </w:r>
      <w:r w:rsidR="0094117C">
        <w:t xml:space="preserve">relative to </w:t>
      </w:r>
      <w:r w:rsidRPr="0049638E">
        <w:t>regional areas or major cities. The combined effect of blended relativities and the GST floor would reduce the Northern Territory’s distribution by $</w:t>
      </w:r>
      <w:r w:rsidR="004F13C8">
        <w:t>35</w:t>
      </w:r>
      <w:r w:rsidRPr="0049638E">
        <w:t xml:space="preserve"> million. Across the transition period, this impact </w:t>
      </w:r>
      <w:r w:rsidR="00AA4394">
        <w:t>would be</w:t>
      </w:r>
      <w:r w:rsidR="00D27DCA">
        <w:t xml:space="preserve"> </w:t>
      </w:r>
      <w:r w:rsidRPr="0049638E">
        <w:t>ameliorated by no</w:t>
      </w:r>
      <w:r>
        <w:t> </w:t>
      </w:r>
      <w:r w:rsidRPr="0049638E">
        <w:t>worse</w:t>
      </w:r>
      <w:r>
        <w:t> </w:t>
      </w:r>
      <w:r w:rsidRPr="0049638E">
        <w:t>off payments.</w:t>
      </w:r>
    </w:p>
    <w:p w14:paraId="75D92617" w14:textId="04DFF7A4" w:rsidR="005A0452" w:rsidRPr="00B4135D" w:rsidRDefault="005A0452" w:rsidP="00B4135D">
      <w:pPr>
        <w:pStyle w:val="Caption"/>
      </w:pPr>
      <w:bookmarkStart w:id="101" w:name="_Toc62487289"/>
      <w:bookmarkStart w:id="102" w:name="_Toc62723819"/>
      <w:r w:rsidRPr="00B4135D">
        <w:t>Table 3</w:t>
      </w:r>
      <w:r w:rsidRPr="00B4135D">
        <w:noBreakHyphen/>
      </w:r>
      <w:r w:rsidRPr="00B4135D">
        <w:fldChar w:fldCharType="begin"/>
      </w:r>
      <w:r w:rsidRPr="00B4135D">
        <w:instrText>SEQ Table \* ARABIC</w:instrText>
      </w:r>
      <w:r w:rsidRPr="00B4135D">
        <w:fldChar w:fldCharType="separate"/>
      </w:r>
      <w:r w:rsidR="00FE4664">
        <w:rPr>
          <w:noProof/>
        </w:rPr>
        <w:t>8</w:t>
      </w:r>
      <w:r w:rsidRPr="00B4135D">
        <w:fldChar w:fldCharType="end"/>
      </w:r>
      <w:r w:rsidRPr="00B4135D">
        <w:tab/>
        <w:t>Change in estimated GST distribution from 2021</w:t>
      </w:r>
      <w:r w:rsidR="00D01765">
        <w:t>–</w:t>
      </w:r>
      <w:r w:rsidRPr="00B4135D">
        <w:t>22 to 2022</w:t>
      </w:r>
      <w:r w:rsidR="00D01765">
        <w:t>–</w:t>
      </w:r>
      <w:r w:rsidRPr="00B4135D">
        <w:t>23, Northern Territory</w:t>
      </w:r>
      <w:bookmarkEnd w:id="101"/>
      <w:bookmarkEnd w:id="102"/>
      <w:r w:rsidRPr="00B4135D">
        <w:t xml:space="preserve"> (exclud</w:t>
      </w:r>
      <w:r w:rsidR="009F3481">
        <w:t>es</w:t>
      </w:r>
      <w:r w:rsidRPr="00B4135D">
        <w:t xml:space="preserve"> no worse off payments)</w:t>
      </w:r>
    </w:p>
    <w:tbl>
      <w:tblPr>
        <w:tblW w:w="8940" w:type="dxa"/>
        <w:tblLook w:val="04A0" w:firstRow="1" w:lastRow="0" w:firstColumn="1" w:lastColumn="0" w:noHBand="0" w:noVBand="1"/>
      </w:tblPr>
      <w:tblGrid>
        <w:gridCol w:w="4040"/>
        <w:gridCol w:w="2500"/>
        <w:gridCol w:w="2400"/>
      </w:tblGrid>
      <w:tr w:rsidR="00AE7EFF" w:rsidRPr="00AE7EFF" w14:paraId="70ECC160" w14:textId="77777777" w:rsidTr="00AE7EFF">
        <w:trPr>
          <w:trHeight w:val="259"/>
        </w:trPr>
        <w:tc>
          <w:tcPr>
            <w:tcW w:w="4040" w:type="dxa"/>
            <w:tcBorders>
              <w:top w:val="nil"/>
              <w:left w:val="nil"/>
              <w:bottom w:val="single" w:sz="4" w:space="0" w:color="ADD6EA"/>
              <w:right w:val="nil"/>
            </w:tcBorders>
            <w:shd w:val="clear" w:color="000000" w:fill="006991"/>
            <w:noWrap/>
            <w:vAlign w:val="center"/>
            <w:hideMark/>
          </w:tcPr>
          <w:p w14:paraId="62FA08A9" w14:textId="77777777" w:rsidR="00AE7EFF" w:rsidRPr="00AE7EFF" w:rsidRDefault="00AE7EFF" w:rsidP="00AE7EF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E7EFF">
              <w:rPr>
                <w:rFonts w:ascii="Open Sans Semibold" w:eastAsia="Times New Roman" w:hAnsi="Open Sans Semibold" w:cs="Open Sans Semibold"/>
                <w:color w:val="FFFFFF"/>
                <w:sz w:val="16"/>
                <w:szCs w:val="16"/>
                <w:lang w:eastAsia="en-AU"/>
              </w:rPr>
              <w:t> </w:t>
            </w:r>
          </w:p>
        </w:tc>
        <w:tc>
          <w:tcPr>
            <w:tcW w:w="2500" w:type="dxa"/>
            <w:tcBorders>
              <w:top w:val="nil"/>
              <w:left w:val="nil"/>
              <w:bottom w:val="single" w:sz="4" w:space="0" w:color="ADD6EA"/>
              <w:right w:val="nil"/>
            </w:tcBorders>
            <w:shd w:val="clear" w:color="000000" w:fill="006991"/>
            <w:noWrap/>
            <w:vAlign w:val="center"/>
            <w:hideMark/>
          </w:tcPr>
          <w:p w14:paraId="2D2B389A" w14:textId="77777777" w:rsidR="00AE7EFF" w:rsidRPr="00AE7EFF" w:rsidRDefault="00AE7EFF" w:rsidP="00AE7EF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E7EFF">
              <w:rPr>
                <w:rFonts w:ascii="Open Sans Semibold" w:eastAsia="Times New Roman" w:hAnsi="Open Sans Semibold" w:cs="Open Sans Semibold"/>
                <w:color w:val="FFFFFF"/>
                <w:sz w:val="16"/>
                <w:szCs w:val="16"/>
                <w:lang w:eastAsia="en-AU"/>
              </w:rPr>
              <w:t>$m</w:t>
            </w:r>
          </w:p>
        </w:tc>
        <w:tc>
          <w:tcPr>
            <w:tcW w:w="2400" w:type="dxa"/>
            <w:tcBorders>
              <w:top w:val="nil"/>
              <w:left w:val="nil"/>
              <w:bottom w:val="single" w:sz="4" w:space="0" w:color="ADD6EA"/>
              <w:right w:val="nil"/>
            </w:tcBorders>
            <w:shd w:val="clear" w:color="000000" w:fill="006991"/>
            <w:noWrap/>
            <w:vAlign w:val="center"/>
            <w:hideMark/>
          </w:tcPr>
          <w:p w14:paraId="6E27336D" w14:textId="77777777" w:rsidR="00AE7EFF" w:rsidRPr="00AE7EFF" w:rsidRDefault="00AE7EFF" w:rsidP="00AE7EF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E7EFF">
              <w:rPr>
                <w:rFonts w:ascii="Open Sans Semibold" w:eastAsia="Times New Roman" w:hAnsi="Open Sans Semibold" w:cs="Open Sans Semibold"/>
                <w:color w:val="FFFFFF"/>
                <w:sz w:val="16"/>
                <w:szCs w:val="16"/>
                <w:lang w:eastAsia="en-AU"/>
              </w:rPr>
              <w:t>$pc</w:t>
            </w:r>
          </w:p>
        </w:tc>
      </w:tr>
      <w:tr w:rsidR="00AE7EFF" w:rsidRPr="00AE7EFF" w14:paraId="4E49DE1A" w14:textId="77777777" w:rsidTr="00AE7EFF">
        <w:trPr>
          <w:trHeight w:val="259"/>
        </w:trPr>
        <w:tc>
          <w:tcPr>
            <w:tcW w:w="4040" w:type="dxa"/>
            <w:tcBorders>
              <w:top w:val="nil"/>
              <w:left w:val="nil"/>
              <w:bottom w:val="single" w:sz="4" w:space="0" w:color="ADD6EA"/>
              <w:right w:val="nil"/>
            </w:tcBorders>
            <w:shd w:val="clear" w:color="auto" w:fill="auto"/>
            <w:noWrap/>
            <w:vAlign w:val="bottom"/>
            <w:hideMark/>
          </w:tcPr>
          <w:p w14:paraId="45C3658D" w14:textId="77777777" w:rsidR="00AE7EFF" w:rsidRPr="00AE7EFF" w:rsidRDefault="00AE7EFF" w:rsidP="00AE7EFF">
            <w:pPr>
              <w:tabs>
                <w:tab w:val="clear" w:pos="567"/>
              </w:tabs>
              <w:spacing w:before="0" w:line="240" w:lineRule="auto"/>
              <w:rPr>
                <w:rFonts w:eastAsia="Times New Roman" w:cs="Open Sans Light"/>
                <w:sz w:val="16"/>
                <w:szCs w:val="16"/>
                <w:lang w:eastAsia="en-AU"/>
              </w:rPr>
            </w:pPr>
            <w:r w:rsidRPr="00AE7EFF">
              <w:rPr>
                <w:rFonts w:eastAsia="Times New Roman" w:cs="Open Sans Light"/>
                <w:sz w:val="16"/>
                <w:szCs w:val="16"/>
                <w:lang w:eastAsia="en-AU"/>
              </w:rPr>
              <w:t>Change in population</w:t>
            </w:r>
          </w:p>
        </w:tc>
        <w:tc>
          <w:tcPr>
            <w:tcW w:w="2500" w:type="dxa"/>
            <w:tcBorders>
              <w:top w:val="nil"/>
              <w:left w:val="nil"/>
              <w:bottom w:val="single" w:sz="4" w:space="0" w:color="ADD6EA"/>
              <w:right w:val="nil"/>
            </w:tcBorders>
            <w:shd w:val="clear" w:color="auto" w:fill="auto"/>
            <w:noWrap/>
            <w:vAlign w:val="bottom"/>
            <w:hideMark/>
          </w:tcPr>
          <w:p w14:paraId="741BBECA" w14:textId="77777777" w:rsidR="00AE7EFF" w:rsidRPr="00AE7EFF" w:rsidRDefault="00AE7EFF" w:rsidP="00AE7EFF">
            <w:pPr>
              <w:tabs>
                <w:tab w:val="clear" w:pos="567"/>
              </w:tabs>
              <w:spacing w:before="0" w:line="240" w:lineRule="auto"/>
              <w:jc w:val="right"/>
              <w:rPr>
                <w:rFonts w:eastAsia="Times New Roman" w:cs="Open Sans Light"/>
                <w:sz w:val="16"/>
                <w:szCs w:val="16"/>
                <w:lang w:eastAsia="en-AU"/>
              </w:rPr>
            </w:pPr>
            <w:r w:rsidRPr="00AE7EFF">
              <w:rPr>
                <w:rFonts w:eastAsia="Times New Roman" w:cs="Open Sans Light"/>
                <w:sz w:val="16"/>
                <w:szCs w:val="16"/>
                <w:lang w:eastAsia="en-AU"/>
              </w:rPr>
              <w:t>6</w:t>
            </w:r>
          </w:p>
        </w:tc>
        <w:tc>
          <w:tcPr>
            <w:tcW w:w="2400" w:type="dxa"/>
            <w:tcBorders>
              <w:top w:val="nil"/>
              <w:left w:val="nil"/>
              <w:bottom w:val="single" w:sz="4" w:space="0" w:color="ADD6EA"/>
              <w:right w:val="nil"/>
            </w:tcBorders>
            <w:shd w:val="clear" w:color="auto" w:fill="auto"/>
            <w:noWrap/>
            <w:vAlign w:val="bottom"/>
            <w:hideMark/>
          </w:tcPr>
          <w:p w14:paraId="67735327" w14:textId="77777777" w:rsidR="00AE7EFF" w:rsidRPr="00AE7EFF" w:rsidRDefault="00AE7EFF" w:rsidP="00AE7EFF">
            <w:pPr>
              <w:tabs>
                <w:tab w:val="clear" w:pos="567"/>
              </w:tabs>
              <w:spacing w:before="0" w:line="240" w:lineRule="auto"/>
              <w:jc w:val="right"/>
              <w:rPr>
                <w:rFonts w:eastAsia="Times New Roman" w:cs="Open Sans Light"/>
                <w:sz w:val="16"/>
                <w:szCs w:val="16"/>
                <w:lang w:eastAsia="en-AU"/>
              </w:rPr>
            </w:pPr>
            <w:r w:rsidRPr="00AE7EFF">
              <w:rPr>
                <w:rFonts w:eastAsia="Times New Roman" w:cs="Open Sans Light"/>
                <w:sz w:val="16"/>
                <w:szCs w:val="16"/>
                <w:lang w:eastAsia="en-AU"/>
              </w:rPr>
              <w:t>24</w:t>
            </w:r>
          </w:p>
        </w:tc>
      </w:tr>
      <w:tr w:rsidR="00AE7EFF" w:rsidRPr="00AE7EFF" w14:paraId="54E7936D" w14:textId="77777777" w:rsidTr="00AE7EFF">
        <w:trPr>
          <w:trHeight w:val="259"/>
        </w:trPr>
        <w:tc>
          <w:tcPr>
            <w:tcW w:w="4040" w:type="dxa"/>
            <w:tcBorders>
              <w:top w:val="nil"/>
              <w:left w:val="nil"/>
              <w:bottom w:val="single" w:sz="4" w:space="0" w:color="ADD6EA"/>
              <w:right w:val="nil"/>
            </w:tcBorders>
            <w:shd w:val="clear" w:color="auto" w:fill="auto"/>
            <w:noWrap/>
            <w:vAlign w:val="bottom"/>
            <w:hideMark/>
          </w:tcPr>
          <w:p w14:paraId="02DA6A9C" w14:textId="77777777" w:rsidR="00AE7EFF" w:rsidRPr="00AE7EFF" w:rsidRDefault="00AE7EFF" w:rsidP="00AE7EFF">
            <w:pPr>
              <w:tabs>
                <w:tab w:val="clear" w:pos="567"/>
              </w:tabs>
              <w:spacing w:before="0" w:line="240" w:lineRule="auto"/>
              <w:rPr>
                <w:rFonts w:eastAsia="Times New Roman" w:cs="Open Sans Light"/>
                <w:sz w:val="16"/>
                <w:szCs w:val="16"/>
                <w:lang w:eastAsia="en-AU"/>
              </w:rPr>
            </w:pPr>
            <w:r w:rsidRPr="00AE7EFF">
              <w:rPr>
                <w:rFonts w:eastAsia="Times New Roman" w:cs="Open Sans Light"/>
                <w:sz w:val="16"/>
                <w:szCs w:val="16"/>
                <w:lang w:eastAsia="en-AU"/>
              </w:rPr>
              <w:t xml:space="preserve">Growth in GST pool </w:t>
            </w:r>
          </w:p>
        </w:tc>
        <w:tc>
          <w:tcPr>
            <w:tcW w:w="2500" w:type="dxa"/>
            <w:tcBorders>
              <w:top w:val="nil"/>
              <w:left w:val="nil"/>
              <w:bottom w:val="single" w:sz="4" w:space="0" w:color="ADD6EA"/>
              <w:right w:val="nil"/>
            </w:tcBorders>
            <w:shd w:val="clear" w:color="auto" w:fill="auto"/>
            <w:noWrap/>
            <w:vAlign w:val="bottom"/>
            <w:hideMark/>
          </w:tcPr>
          <w:p w14:paraId="10388A03" w14:textId="77777777" w:rsidR="00AE7EFF" w:rsidRPr="00AE7EFF" w:rsidRDefault="00AE7EFF" w:rsidP="00AE7EFF">
            <w:pPr>
              <w:tabs>
                <w:tab w:val="clear" w:pos="567"/>
              </w:tabs>
              <w:spacing w:before="0" w:line="240" w:lineRule="auto"/>
              <w:jc w:val="right"/>
              <w:rPr>
                <w:rFonts w:eastAsia="Times New Roman" w:cs="Open Sans Light"/>
                <w:sz w:val="16"/>
                <w:szCs w:val="16"/>
                <w:lang w:eastAsia="en-AU"/>
              </w:rPr>
            </w:pPr>
            <w:r w:rsidRPr="00AE7EFF">
              <w:rPr>
                <w:rFonts w:eastAsia="Times New Roman" w:cs="Open Sans Light"/>
                <w:sz w:val="16"/>
                <w:szCs w:val="16"/>
                <w:lang w:eastAsia="en-AU"/>
              </w:rPr>
              <w:t>201</w:t>
            </w:r>
          </w:p>
        </w:tc>
        <w:tc>
          <w:tcPr>
            <w:tcW w:w="2400" w:type="dxa"/>
            <w:tcBorders>
              <w:top w:val="nil"/>
              <w:left w:val="nil"/>
              <w:bottom w:val="single" w:sz="4" w:space="0" w:color="ADD6EA"/>
              <w:right w:val="nil"/>
            </w:tcBorders>
            <w:shd w:val="clear" w:color="auto" w:fill="auto"/>
            <w:noWrap/>
            <w:vAlign w:val="bottom"/>
            <w:hideMark/>
          </w:tcPr>
          <w:p w14:paraId="6413566E" w14:textId="77777777" w:rsidR="00AE7EFF" w:rsidRPr="00AE7EFF" w:rsidRDefault="00AE7EFF" w:rsidP="00AE7EFF">
            <w:pPr>
              <w:tabs>
                <w:tab w:val="clear" w:pos="567"/>
              </w:tabs>
              <w:spacing w:before="0" w:line="240" w:lineRule="auto"/>
              <w:jc w:val="right"/>
              <w:rPr>
                <w:rFonts w:eastAsia="Times New Roman" w:cs="Open Sans Light"/>
                <w:sz w:val="16"/>
                <w:szCs w:val="16"/>
                <w:lang w:eastAsia="en-AU"/>
              </w:rPr>
            </w:pPr>
            <w:r w:rsidRPr="00AE7EFF">
              <w:rPr>
                <w:rFonts w:eastAsia="Times New Roman" w:cs="Open Sans Light"/>
                <w:sz w:val="16"/>
                <w:szCs w:val="16"/>
                <w:lang w:eastAsia="en-AU"/>
              </w:rPr>
              <w:t>802</w:t>
            </w:r>
          </w:p>
        </w:tc>
      </w:tr>
      <w:tr w:rsidR="00AE7EFF" w:rsidRPr="00AE7EFF" w14:paraId="14D73F38" w14:textId="77777777" w:rsidTr="00AE7EFF">
        <w:trPr>
          <w:trHeight w:val="259"/>
        </w:trPr>
        <w:tc>
          <w:tcPr>
            <w:tcW w:w="4040" w:type="dxa"/>
            <w:tcBorders>
              <w:top w:val="nil"/>
              <w:left w:val="nil"/>
              <w:bottom w:val="single" w:sz="4" w:space="0" w:color="ADD6EA"/>
              <w:right w:val="nil"/>
            </w:tcBorders>
            <w:shd w:val="clear" w:color="auto" w:fill="auto"/>
            <w:noWrap/>
            <w:vAlign w:val="bottom"/>
            <w:hideMark/>
          </w:tcPr>
          <w:p w14:paraId="530F91CA" w14:textId="77777777" w:rsidR="00AE7EFF" w:rsidRPr="00AE7EFF" w:rsidRDefault="00AE7EFF" w:rsidP="00AE7EFF">
            <w:pPr>
              <w:tabs>
                <w:tab w:val="clear" w:pos="567"/>
              </w:tabs>
              <w:spacing w:before="0" w:line="240" w:lineRule="auto"/>
              <w:rPr>
                <w:rFonts w:eastAsia="Times New Roman" w:cs="Open Sans Light"/>
                <w:sz w:val="16"/>
                <w:szCs w:val="16"/>
                <w:lang w:eastAsia="en-AU"/>
              </w:rPr>
            </w:pPr>
            <w:r w:rsidRPr="00AE7EFF">
              <w:rPr>
                <w:rFonts w:eastAsia="Times New Roman" w:cs="Open Sans Light"/>
                <w:sz w:val="16"/>
                <w:szCs w:val="16"/>
                <w:lang w:eastAsia="en-AU"/>
              </w:rPr>
              <w:t>Changes in assessed needs</w:t>
            </w:r>
          </w:p>
        </w:tc>
        <w:tc>
          <w:tcPr>
            <w:tcW w:w="2500" w:type="dxa"/>
            <w:tcBorders>
              <w:top w:val="nil"/>
              <w:left w:val="nil"/>
              <w:bottom w:val="single" w:sz="4" w:space="0" w:color="ADD6EA"/>
              <w:right w:val="nil"/>
            </w:tcBorders>
            <w:shd w:val="clear" w:color="auto" w:fill="auto"/>
            <w:noWrap/>
            <w:vAlign w:val="bottom"/>
            <w:hideMark/>
          </w:tcPr>
          <w:p w14:paraId="1758E061" w14:textId="77777777" w:rsidR="00AE7EFF" w:rsidRPr="00AE7EFF" w:rsidRDefault="00AE7EFF" w:rsidP="00AE7EFF">
            <w:pPr>
              <w:tabs>
                <w:tab w:val="clear" w:pos="567"/>
              </w:tabs>
              <w:spacing w:before="0" w:line="240" w:lineRule="auto"/>
              <w:jc w:val="right"/>
              <w:rPr>
                <w:rFonts w:eastAsia="Times New Roman" w:cs="Open Sans Light"/>
                <w:sz w:val="16"/>
                <w:szCs w:val="16"/>
                <w:lang w:eastAsia="en-AU"/>
              </w:rPr>
            </w:pPr>
            <w:r w:rsidRPr="00AE7EFF">
              <w:rPr>
                <w:rFonts w:eastAsia="Times New Roman" w:cs="Open Sans Light"/>
                <w:sz w:val="16"/>
                <w:szCs w:val="16"/>
                <w:lang w:eastAsia="en-AU"/>
              </w:rPr>
              <w:t> </w:t>
            </w:r>
          </w:p>
        </w:tc>
        <w:tc>
          <w:tcPr>
            <w:tcW w:w="2400" w:type="dxa"/>
            <w:tcBorders>
              <w:top w:val="nil"/>
              <w:left w:val="nil"/>
              <w:bottom w:val="single" w:sz="4" w:space="0" w:color="ADD6EA"/>
              <w:right w:val="nil"/>
            </w:tcBorders>
            <w:shd w:val="clear" w:color="auto" w:fill="auto"/>
            <w:noWrap/>
            <w:vAlign w:val="bottom"/>
            <w:hideMark/>
          </w:tcPr>
          <w:p w14:paraId="47A4B597" w14:textId="77777777" w:rsidR="00AE7EFF" w:rsidRPr="00AE7EFF" w:rsidRDefault="00AE7EFF" w:rsidP="00AE7EFF">
            <w:pPr>
              <w:tabs>
                <w:tab w:val="clear" w:pos="567"/>
              </w:tabs>
              <w:spacing w:before="0" w:line="240" w:lineRule="auto"/>
              <w:jc w:val="right"/>
              <w:rPr>
                <w:rFonts w:eastAsia="Times New Roman" w:cs="Open Sans Light"/>
                <w:sz w:val="16"/>
                <w:szCs w:val="16"/>
                <w:lang w:eastAsia="en-AU"/>
              </w:rPr>
            </w:pPr>
            <w:r w:rsidRPr="00AE7EFF">
              <w:rPr>
                <w:rFonts w:eastAsia="Times New Roman" w:cs="Open Sans Light"/>
                <w:sz w:val="16"/>
                <w:szCs w:val="16"/>
                <w:lang w:eastAsia="en-AU"/>
              </w:rPr>
              <w:t> </w:t>
            </w:r>
          </w:p>
        </w:tc>
      </w:tr>
      <w:tr w:rsidR="00AE7EFF" w:rsidRPr="00AE7EFF" w14:paraId="73D8335C" w14:textId="77777777" w:rsidTr="00AE7EFF">
        <w:trPr>
          <w:trHeight w:val="259"/>
        </w:trPr>
        <w:tc>
          <w:tcPr>
            <w:tcW w:w="4040" w:type="dxa"/>
            <w:tcBorders>
              <w:top w:val="nil"/>
              <w:left w:val="nil"/>
              <w:bottom w:val="single" w:sz="4" w:space="0" w:color="ADD6EA"/>
              <w:right w:val="nil"/>
            </w:tcBorders>
            <w:shd w:val="clear" w:color="auto" w:fill="auto"/>
            <w:noWrap/>
            <w:vAlign w:val="bottom"/>
            <w:hideMark/>
          </w:tcPr>
          <w:p w14:paraId="20A10743" w14:textId="77777777" w:rsidR="00AE7EFF" w:rsidRPr="00AE7EFF" w:rsidRDefault="00AE7EFF" w:rsidP="00AE7EFF">
            <w:pPr>
              <w:tabs>
                <w:tab w:val="clear" w:pos="567"/>
              </w:tabs>
              <w:spacing w:before="0" w:line="240" w:lineRule="auto"/>
              <w:ind w:firstLineChars="100" w:firstLine="160"/>
              <w:rPr>
                <w:rFonts w:eastAsia="Times New Roman" w:cs="Open Sans Light"/>
                <w:sz w:val="16"/>
                <w:szCs w:val="16"/>
                <w:lang w:eastAsia="en-AU"/>
              </w:rPr>
            </w:pPr>
            <w:r w:rsidRPr="00AE7EFF">
              <w:rPr>
                <w:rFonts w:eastAsia="Times New Roman" w:cs="Open Sans Light"/>
                <w:sz w:val="16"/>
                <w:szCs w:val="16"/>
                <w:lang w:eastAsia="en-AU"/>
              </w:rPr>
              <w:t>Data revisions</w:t>
            </w:r>
          </w:p>
        </w:tc>
        <w:tc>
          <w:tcPr>
            <w:tcW w:w="2500" w:type="dxa"/>
            <w:tcBorders>
              <w:top w:val="nil"/>
              <w:left w:val="nil"/>
              <w:bottom w:val="single" w:sz="4" w:space="0" w:color="ADD6EA"/>
              <w:right w:val="nil"/>
            </w:tcBorders>
            <w:shd w:val="clear" w:color="auto" w:fill="auto"/>
            <w:noWrap/>
            <w:vAlign w:val="bottom"/>
            <w:hideMark/>
          </w:tcPr>
          <w:p w14:paraId="5CA0467E" w14:textId="77777777" w:rsidR="00AE7EFF" w:rsidRPr="00AE7EFF" w:rsidRDefault="00AE7EFF" w:rsidP="00AE7EFF">
            <w:pPr>
              <w:tabs>
                <w:tab w:val="clear" w:pos="567"/>
              </w:tabs>
              <w:spacing w:before="0" w:line="240" w:lineRule="auto"/>
              <w:jc w:val="right"/>
              <w:rPr>
                <w:rFonts w:eastAsia="Times New Roman" w:cs="Open Sans Light"/>
                <w:sz w:val="16"/>
                <w:szCs w:val="16"/>
                <w:lang w:eastAsia="en-AU"/>
              </w:rPr>
            </w:pPr>
            <w:r w:rsidRPr="00AE7EFF">
              <w:rPr>
                <w:rFonts w:eastAsia="Times New Roman" w:cs="Open Sans Light"/>
                <w:sz w:val="16"/>
                <w:szCs w:val="16"/>
                <w:lang w:eastAsia="en-AU"/>
              </w:rPr>
              <w:t>50</w:t>
            </w:r>
          </w:p>
        </w:tc>
        <w:tc>
          <w:tcPr>
            <w:tcW w:w="2400" w:type="dxa"/>
            <w:tcBorders>
              <w:top w:val="nil"/>
              <w:left w:val="nil"/>
              <w:bottom w:val="single" w:sz="4" w:space="0" w:color="ADD6EA"/>
              <w:right w:val="nil"/>
            </w:tcBorders>
            <w:shd w:val="clear" w:color="auto" w:fill="auto"/>
            <w:noWrap/>
            <w:vAlign w:val="bottom"/>
            <w:hideMark/>
          </w:tcPr>
          <w:p w14:paraId="0BBD2F9C" w14:textId="77777777" w:rsidR="00AE7EFF" w:rsidRPr="00AE7EFF" w:rsidRDefault="00AE7EFF" w:rsidP="00AE7EFF">
            <w:pPr>
              <w:tabs>
                <w:tab w:val="clear" w:pos="567"/>
              </w:tabs>
              <w:spacing w:before="0" w:line="240" w:lineRule="auto"/>
              <w:jc w:val="right"/>
              <w:rPr>
                <w:rFonts w:eastAsia="Times New Roman" w:cs="Open Sans Light"/>
                <w:sz w:val="16"/>
                <w:szCs w:val="16"/>
                <w:lang w:eastAsia="en-AU"/>
              </w:rPr>
            </w:pPr>
            <w:r w:rsidRPr="00AE7EFF">
              <w:rPr>
                <w:rFonts w:eastAsia="Times New Roman" w:cs="Open Sans Light"/>
                <w:sz w:val="16"/>
                <w:szCs w:val="16"/>
                <w:lang w:eastAsia="en-AU"/>
              </w:rPr>
              <w:t>198</w:t>
            </w:r>
          </w:p>
        </w:tc>
      </w:tr>
      <w:tr w:rsidR="00AE7EFF" w:rsidRPr="00AE7EFF" w14:paraId="59FC19C2" w14:textId="77777777" w:rsidTr="00AE7EFF">
        <w:trPr>
          <w:trHeight w:val="259"/>
        </w:trPr>
        <w:tc>
          <w:tcPr>
            <w:tcW w:w="4040" w:type="dxa"/>
            <w:tcBorders>
              <w:top w:val="nil"/>
              <w:left w:val="nil"/>
              <w:bottom w:val="single" w:sz="4" w:space="0" w:color="ADD6EA"/>
              <w:right w:val="nil"/>
            </w:tcBorders>
            <w:shd w:val="clear" w:color="auto" w:fill="auto"/>
            <w:noWrap/>
            <w:vAlign w:val="bottom"/>
            <w:hideMark/>
          </w:tcPr>
          <w:p w14:paraId="48373965" w14:textId="77777777" w:rsidR="00AE7EFF" w:rsidRPr="00AE7EFF" w:rsidRDefault="00AE7EFF" w:rsidP="00AE7EFF">
            <w:pPr>
              <w:tabs>
                <w:tab w:val="clear" w:pos="567"/>
              </w:tabs>
              <w:spacing w:before="0" w:line="240" w:lineRule="auto"/>
              <w:ind w:firstLineChars="100" w:firstLine="160"/>
              <w:rPr>
                <w:rFonts w:eastAsia="Times New Roman" w:cs="Open Sans Light"/>
                <w:sz w:val="16"/>
                <w:szCs w:val="16"/>
                <w:lang w:eastAsia="en-AU"/>
              </w:rPr>
            </w:pPr>
            <w:r w:rsidRPr="00AE7EFF">
              <w:rPr>
                <w:rFonts w:eastAsia="Times New Roman" w:cs="Open Sans Light"/>
                <w:sz w:val="16"/>
                <w:szCs w:val="16"/>
                <w:lang w:eastAsia="en-AU"/>
              </w:rPr>
              <w:t>State circumstances</w:t>
            </w:r>
          </w:p>
        </w:tc>
        <w:tc>
          <w:tcPr>
            <w:tcW w:w="2500" w:type="dxa"/>
            <w:tcBorders>
              <w:top w:val="nil"/>
              <w:left w:val="nil"/>
              <w:bottom w:val="single" w:sz="4" w:space="0" w:color="ADD6EA"/>
              <w:right w:val="nil"/>
            </w:tcBorders>
            <w:shd w:val="clear" w:color="auto" w:fill="auto"/>
            <w:noWrap/>
            <w:vAlign w:val="bottom"/>
            <w:hideMark/>
          </w:tcPr>
          <w:p w14:paraId="09A1C3F7" w14:textId="77777777" w:rsidR="00AE7EFF" w:rsidRPr="00AE7EFF" w:rsidRDefault="00AE7EFF" w:rsidP="00AE7EFF">
            <w:pPr>
              <w:tabs>
                <w:tab w:val="clear" w:pos="567"/>
              </w:tabs>
              <w:spacing w:before="0" w:line="240" w:lineRule="auto"/>
              <w:jc w:val="right"/>
              <w:rPr>
                <w:rFonts w:eastAsia="Times New Roman" w:cs="Open Sans Light"/>
                <w:sz w:val="16"/>
                <w:szCs w:val="16"/>
                <w:lang w:eastAsia="en-AU"/>
              </w:rPr>
            </w:pPr>
            <w:r w:rsidRPr="00AE7EFF">
              <w:rPr>
                <w:rFonts w:eastAsia="Times New Roman" w:cs="Open Sans Light"/>
                <w:sz w:val="16"/>
                <w:szCs w:val="16"/>
                <w:lang w:eastAsia="en-AU"/>
              </w:rPr>
              <w:t>42</w:t>
            </w:r>
          </w:p>
        </w:tc>
        <w:tc>
          <w:tcPr>
            <w:tcW w:w="2400" w:type="dxa"/>
            <w:tcBorders>
              <w:top w:val="nil"/>
              <w:left w:val="nil"/>
              <w:bottom w:val="single" w:sz="4" w:space="0" w:color="ADD6EA"/>
              <w:right w:val="nil"/>
            </w:tcBorders>
            <w:shd w:val="clear" w:color="auto" w:fill="auto"/>
            <w:noWrap/>
            <w:vAlign w:val="bottom"/>
            <w:hideMark/>
          </w:tcPr>
          <w:p w14:paraId="1DE7A044" w14:textId="77777777" w:rsidR="00AE7EFF" w:rsidRPr="00AE7EFF" w:rsidRDefault="00AE7EFF" w:rsidP="00AE7EFF">
            <w:pPr>
              <w:tabs>
                <w:tab w:val="clear" w:pos="567"/>
              </w:tabs>
              <w:spacing w:before="0" w:line="240" w:lineRule="auto"/>
              <w:jc w:val="right"/>
              <w:rPr>
                <w:rFonts w:eastAsia="Times New Roman" w:cs="Open Sans Light"/>
                <w:sz w:val="16"/>
                <w:szCs w:val="16"/>
                <w:lang w:eastAsia="en-AU"/>
              </w:rPr>
            </w:pPr>
            <w:r w:rsidRPr="00AE7EFF">
              <w:rPr>
                <w:rFonts w:eastAsia="Times New Roman" w:cs="Open Sans Light"/>
                <w:sz w:val="16"/>
                <w:szCs w:val="16"/>
                <w:lang w:eastAsia="en-AU"/>
              </w:rPr>
              <w:t>168</w:t>
            </w:r>
          </w:p>
        </w:tc>
      </w:tr>
      <w:tr w:rsidR="00AE7EFF" w:rsidRPr="00AE7EFF" w14:paraId="5E748486" w14:textId="77777777" w:rsidTr="00AE7EFF">
        <w:trPr>
          <w:trHeight w:val="259"/>
        </w:trPr>
        <w:tc>
          <w:tcPr>
            <w:tcW w:w="4040" w:type="dxa"/>
            <w:tcBorders>
              <w:top w:val="nil"/>
              <w:left w:val="nil"/>
              <w:bottom w:val="single" w:sz="4" w:space="0" w:color="ADD6EA"/>
              <w:right w:val="nil"/>
            </w:tcBorders>
            <w:shd w:val="clear" w:color="auto" w:fill="auto"/>
            <w:noWrap/>
            <w:vAlign w:val="bottom"/>
            <w:hideMark/>
          </w:tcPr>
          <w:p w14:paraId="37750523" w14:textId="77777777" w:rsidR="00AE7EFF" w:rsidRPr="00AE7EFF" w:rsidRDefault="00AE7EFF" w:rsidP="00AE7EFF">
            <w:pPr>
              <w:tabs>
                <w:tab w:val="clear" w:pos="567"/>
              </w:tabs>
              <w:spacing w:before="0" w:line="240" w:lineRule="auto"/>
              <w:ind w:firstLineChars="100" w:firstLine="160"/>
              <w:rPr>
                <w:rFonts w:eastAsia="Times New Roman" w:cs="Open Sans Light"/>
                <w:sz w:val="16"/>
                <w:szCs w:val="16"/>
                <w:lang w:eastAsia="en-AU"/>
              </w:rPr>
            </w:pPr>
            <w:r w:rsidRPr="00AE7EFF">
              <w:rPr>
                <w:rFonts w:eastAsia="Times New Roman" w:cs="Open Sans Light"/>
                <w:sz w:val="16"/>
                <w:szCs w:val="16"/>
                <w:lang w:eastAsia="en-AU"/>
              </w:rPr>
              <w:t>Total</w:t>
            </w:r>
          </w:p>
        </w:tc>
        <w:tc>
          <w:tcPr>
            <w:tcW w:w="2500" w:type="dxa"/>
            <w:tcBorders>
              <w:top w:val="nil"/>
              <w:left w:val="nil"/>
              <w:bottom w:val="single" w:sz="4" w:space="0" w:color="ADD6EA"/>
              <w:right w:val="nil"/>
            </w:tcBorders>
            <w:shd w:val="clear" w:color="auto" w:fill="auto"/>
            <w:noWrap/>
            <w:vAlign w:val="bottom"/>
            <w:hideMark/>
          </w:tcPr>
          <w:p w14:paraId="1F52EB81" w14:textId="77777777" w:rsidR="00AE7EFF" w:rsidRPr="00AE7EFF" w:rsidRDefault="00AE7EFF" w:rsidP="00AE7EFF">
            <w:pPr>
              <w:tabs>
                <w:tab w:val="clear" w:pos="567"/>
              </w:tabs>
              <w:spacing w:before="0" w:line="240" w:lineRule="auto"/>
              <w:jc w:val="right"/>
              <w:rPr>
                <w:rFonts w:eastAsia="Times New Roman" w:cs="Open Sans Light"/>
                <w:sz w:val="16"/>
                <w:szCs w:val="16"/>
                <w:lang w:eastAsia="en-AU"/>
              </w:rPr>
            </w:pPr>
            <w:r w:rsidRPr="00AE7EFF">
              <w:rPr>
                <w:rFonts w:eastAsia="Times New Roman" w:cs="Open Sans Light"/>
                <w:sz w:val="16"/>
                <w:szCs w:val="16"/>
                <w:lang w:eastAsia="en-AU"/>
              </w:rPr>
              <w:t>92</w:t>
            </w:r>
          </w:p>
        </w:tc>
        <w:tc>
          <w:tcPr>
            <w:tcW w:w="2400" w:type="dxa"/>
            <w:tcBorders>
              <w:top w:val="nil"/>
              <w:left w:val="nil"/>
              <w:bottom w:val="single" w:sz="4" w:space="0" w:color="ADD6EA"/>
              <w:right w:val="nil"/>
            </w:tcBorders>
            <w:shd w:val="clear" w:color="auto" w:fill="auto"/>
            <w:noWrap/>
            <w:vAlign w:val="bottom"/>
            <w:hideMark/>
          </w:tcPr>
          <w:p w14:paraId="4B217AE5" w14:textId="77777777" w:rsidR="00AE7EFF" w:rsidRPr="00AE7EFF" w:rsidRDefault="00AE7EFF" w:rsidP="00AE7EFF">
            <w:pPr>
              <w:tabs>
                <w:tab w:val="clear" w:pos="567"/>
              </w:tabs>
              <w:spacing w:before="0" w:line="240" w:lineRule="auto"/>
              <w:jc w:val="right"/>
              <w:rPr>
                <w:rFonts w:eastAsia="Times New Roman" w:cs="Open Sans Light"/>
                <w:sz w:val="16"/>
                <w:szCs w:val="16"/>
                <w:lang w:eastAsia="en-AU"/>
              </w:rPr>
            </w:pPr>
            <w:r w:rsidRPr="00AE7EFF">
              <w:rPr>
                <w:rFonts w:eastAsia="Times New Roman" w:cs="Open Sans Light"/>
                <w:sz w:val="16"/>
                <w:szCs w:val="16"/>
                <w:lang w:eastAsia="en-AU"/>
              </w:rPr>
              <w:t>366</w:t>
            </w:r>
          </w:p>
        </w:tc>
      </w:tr>
      <w:tr w:rsidR="00AE7EFF" w:rsidRPr="00AE7EFF" w14:paraId="1790BB22" w14:textId="77777777" w:rsidTr="00AE7EFF">
        <w:trPr>
          <w:trHeight w:val="259"/>
        </w:trPr>
        <w:tc>
          <w:tcPr>
            <w:tcW w:w="4040" w:type="dxa"/>
            <w:tcBorders>
              <w:top w:val="nil"/>
              <w:left w:val="nil"/>
              <w:bottom w:val="single" w:sz="4" w:space="0" w:color="ADD6EA"/>
              <w:right w:val="nil"/>
            </w:tcBorders>
            <w:shd w:val="clear" w:color="auto" w:fill="auto"/>
            <w:noWrap/>
            <w:vAlign w:val="bottom"/>
            <w:hideMark/>
          </w:tcPr>
          <w:p w14:paraId="370CE0A5" w14:textId="77777777" w:rsidR="00AE7EFF" w:rsidRPr="00AE7EFF" w:rsidRDefault="00AE7EFF" w:rsidP="00AE7EFF">
            <w:pPr>
              <w:tabs>
                <w:tab w:val="clear" w:pos="567"/>
              </w:tabs>
              <w:spacing w:before="0" w:line="240" w:lineRule="auto"/>
              <w:rPr>
                <w:rFonts w:eastAsia="Times New Roman" w:cs="Open Sans Light"/>
                <w:sz w:val="16"/>
                <w:szCs w:val="16"/>
                <w:lang w:eastAsia="en-AU"/>
              </w:rPr>
            </w:pPr>
            <w:r w:rsidRPr="00AE7EFF">
              <w:rPr>
                <w:rFonts w:eastAsia="Times New Roman" w:cs="Open Sans Light"/>
                <w:sz w:val="16"/>
                <w:szCs w:val="16"/>
                <w:lang w:eastAsia="en-AU"/>
              </w:rPr>
              <w:t>Blended relativities and GST floor (a)</w:t>
            </w:r>
          </w:p>
        </w:tc>
        <w:tc>
          <w:tcPr>
            <w:tcW w:w="2500" w:type="dxa"/>
            <w:tcBorders>
              <w:top w:val="nil"/>
              <w:left w:val="nil"/>
              <w:bottom w:val="single" w:sz="4" w:space="0" w:color="ADD6EA"/>
              <w:right w:val="nil"/>
            </w:tcBorders>
            <w:shd w:val="clear" w:color="auto" w:fill="auto"/>
            <w:noWrap/>
            <w:vAlign w:val="bottom"/>
            <w:hideMark/>
          </w:tcPr>
          <w:p w14:paraId="0412FD3A" w14:textId="77777777" w:rsidR="00AE7EFF" w:rsidRPr="00AE7EFF" w:rsidRDefault="00AE7EFF" w:rsidP="00AE7EFF">
            <w:pPr>
              <w:tabs>
                <w:tab w:val="clear" w:pos="567"/>
              </w:tabs>
              <w:spacing w:before="0" w:line="240" w:lineRule="auto"/>
              <w:jc w:val="right"/>
              <w:rPr>
                <w:rFonts w:eastAsia="Times New Roman" w:cs="Open Sans Light"/>
                <w:sz w:val="16"/>
                <w:szCs w:val="16"/>
                <w:lang w:eastAsia="en-AU"/>
              </w:rPr>
            </w:pPr>
            <w:r w:rsidRPr="00AE7EFF">
              <w:rPr>
                <w:rFonts w:eastAsia="Times New Roman" w:cs="Open Sans Light"/>
                <w:sz w:val="16"/>
                <w:szCs w:val="16"/>
                <w:lang w:eastAsia="en-AU"/>
              </w:rPr>
              <w:t>-35</w:t>
            </w:r>
          </w:p>
        </w:tc>
        <w:tc>
          <w:tcPr>
            <w:tcW w:w="2400" w:type="dxa"/>
            <w:tcBorders>
              <w:top w:val="nil"/>
              <w:left w:val="nil"/>
              <w:bottom w:val="single" w:sz="4" w:space="0" w:color="ADD6EA"/>
              <w:right w:val="nil"/>
            </w:tcBorders>
            <w:shd w:val="clear" w:color="auto" w:fill="auto"/>
            <w:noWrap/>
            <w:vAlign w:val="bottom"/>
            <w:hideMark/>
          </w:tcPr>
          <w:p w14:paraId="67894108" w14:textId="77777777" w:rsidR="00AE7EFF" w:rsidRPr="00AE7EFF" w:rsidRDefault="00AE7EFF" w:rsidP="00AE7EFF">
            <w:pPr>
              <w:tabs>
                <w:tab w:val="clear" w:pos="567"/>
              </w:tabs>
              <w:spacing w:before="0" w:line="240" w:lineRule="auto"/>
              <w:jc w:val="right"/>
              <w:rPr>
                <w:rFonts w:eastAsia="Times New Roman" w:cs="Open Sans Light"/>
                <w:sz w:val="16"/>
                <w:szCs w:val="16"/>
                <w:lang w:eastAsia="en-AU"/>
              </w:rPr>
            </w:pPr>
            <w:r w:rsidRPr="00AE7EFF">
              <w:rPr>
                <w:rFonts w:eastAsia="Times New Roman" w:cs="Open Sans Light"/>
                <w:sz w:val="16"/>
                <w:szCs w:val="16"/>
                <w:lang w:eastAsia="en-AU"/>
              </w:rPr>
              <w:t>-138</w:t>
            </w:r>
          </w:p>
        </w:tc>
      </w:tr>
      <w:tr w:rsidR="00AE7EFF" w:rsidRPr="00AE7EFF" w14:paraId="12DDEA3E" w14:textId="77777777" w:rsidTr="00AE7EFF">
        <w:trPr>
          <w:trHeight w:val="259"/>
        </w:trPr>
        <w:tc>
          <w:tcPr>
            <w:tcW w:w="4040" w:type="dxa"/>
            <w:tcBorders>
              <w:top w:val="nil"/>
              <w:left w:val="nil"/>
              <w:bottom w:val="single" w:sz="4" w:space="0" w:color="ADD6EA"/>
              <w:right w:val="nil"/>
            </w:tcBorders>
            <w:shd w:val="clear" w:color="000000" w:fill="D6E7F0"/>
            <w:noWrap/>
            <w:vAlign w:val="bottom"/>
            <w:hideMark/>
          </w:tcPr>
          <w:p w14:paraId="2667B80F" w14:textId="77777777" w:rsidR="00AE7EFF" w:rsidRPr="00AE7EFF" w:rsidRDefault="00AE7EFF" w:rsidP="00AE7EFF">
            <w:pPr>
              <w:tabs>
                <w:tab w:val="clear" w:pos="567"/>
              </w:tabs>
              <w:spacing w:before="0" w:line="240" w:lineRule="auto"/>
              <w:rPr>
                <w:rFonts w:ascii="Open Sans Semibold" w:eastAsia="Times New Roman" w:hAnsi="Open Sans Semibold" w:cs="Open Sans Semibold"/>
                <w:color w:val="000000"/>
                <w:sz w:val="16"/>
                <w:szCs w:val="16"/>
                <w:lang w:eastAsia="en-AU"/>
              </w:rPr>
            </w:pPr>
            <w:r w:rsidRPr="00AE7EFF">
              <w:rPr>
                <w:rFonts w:ascii="Open Sans Semibold" w:eastAsia="Times New Roman" w:hAnsi="Open Sans Semibold" w:cs="Open Sans Semibold"/>
                <w:color w:val="000000"/>
                <w:sz w:val="16"/>
                <w:szCs w:val="16"/>
                <w:lang w:eastAsia="en-AU"/>
              </w:rPr>
              <w:t>Total change</w:t>
            </w:r>
          </w:p>
        </w:tc>
        <w:tc>
          <w:tcPr>
            <w:tcW w:w="2500" w:type="dxa"/>
            <w:tcBorders>
              <w:top w:val="nil"/>
              <w:left w:val="nil"/>
              <w:bottom w:val="single" w:sz="4" w:space="0" w:color="ADD6EA"/>
              <w:right w:val="nil"/>
            </w:tcBorders>
            <w:shd w:val="clear" w:color="000000" w:fill="D6E7F0"/>
            <w:noWrap/>
            <w:vAlign w:val="bottom"/>
            <w:hideMark/>
          </w:tcPr>
          <w:p w14:paraId="740CCD78" w14:textId="77777777" w:rsidR="00AE7EFF" w:rsidRPr="00AE7EFF" w:rsidRDefault="00AE7EFF" w:rsidP="00AE7EF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E7EFF">
              <w:rPr>
                <w:rFonts w:ascii="Open Sans Semibold" w:eastAsia="Times New Roman" w:hAnsi="Open Sans Semibold" w:cs="Open Sans Semibold"/>
                <w:color w:val="000000"/>
                <w:sz w:val="16"/>
                <w:szCs w:val="16"/>
                <w:lang w:eastAsia="en-AU"/>
              </w:rPr>
              <w:t>265</w:t>
            </w:r>
          </w:p>
        </w:tc>
        <w:tc>
          <w:tcPr>
            <w:tcW w:w="2400" w:type="dxa"/>
            <w:tcBorders>
              <w:top w:val="nil"/>
              <w:left w:val="nil"/>
              <w:bottom w:val="single" w:sz="4" w:space="0" w:color="ADD6EA"/>
              <w:right w:val="nil"/>
            </w:tcBorders>
            <w:shd w:val="clear" w:color="000000" w:fill="D6E7F0"/>
            <w:noWrap/>
            <w:vAlign w:val="bottom"/>
            <w:hideMark/>
          </w:tcPr>
          <w:p w14:paraId="2A337360" w14:textId="77777777" w:rsidR="00AE7EFF" w:rsidRPr="00AE7EFF" w:rsidRDefault="00AE7EFF" w:rsidP="00AE7EF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E7EFF">
              <w:rPr>
                <w:rFonts w:ascii="Open Sans Semibold" w:eastAsia="Times New Roman" w:hAnsi="Open Sans Semibold" w:cs="Open Sans Semibold"/>
                <w:color w:val="000000"/>
                <w:sz w:val="16"/>
                <w:szCs w:val="16"/>
                <w:lang w:eastAsia="en-AU"/>
              </w:rPr>
              <w:t>1,055</w:t>
            </w:r>
          </w:p>
        </w:tc>
      </w:tr>
    </w:tbl>
    <w:p w14:paraId="77E17AE2" w14:textId="4C514EFE" w:rsidR="005A0452" w:rsidRPr="00B4135D" w:rsidRDefault="005A0452" w:rsidP="00B4135D">
      <w:pPr>
        <w:pStyle w:val="CGCTablenote"/>
      </w:pPr>
      <w:r w:rsidRPr="00B4135D">
        <w:t>Note:</w:t>
      </w:r>
      <w:r w:rsidRPr="00B4135D">
        <w:tab/>
        <w:t>Table may not add due to rounding.</w:t>
      </w:r>
    </w:p>
    <w:p w14:paraId="20341854" w14:textId="5CE10E7D" w:rsidR="005A0452" w:rsidRPr="00B4135D" w:rsidRDefault="005A0452" w:rsidP="00B4135D">
      <w:pPr>
        <w:pStyle w:val="CGCTablenote"/>
      </w:pPr>
      <w:r w:rsidRPr="00B4135D">
        <w:t>(a)</w:t>
      </w:r>
      <w:r w:rsidRPr="00B4135D">
        <w:tab/>
        <w:t>This represents the difference between applying the GST relativities and assessed relativities to the GST pool. It is not the basis of the no worse</w:t>
      </w:r>
      <w:r w:rsidR="007A0101">
        <w:t> </w:t>
      </w:r>
      <w:r w:rsidRPr="00B4135D">
        <w:t>off payments calculation, which is explained in Attachment A.</w:t>
      </w:r>
    </w:p>
    <w:p w14:paraId="09961B78" w14:textId="7AFBB1F2" w:rsidR="005A0452" w:rsidRPr="00B4135D" w:rsidRDefault="005A0452" w:rsidP="00B4135D">
      <w:pPr>
        <w:pStyle w:val="CGCTablenote"/>
      </w:pPr>
      <w:r w:rsidRPr="00B4135D">
        <w:t>Source:</w:t>
      </w:r>
      <w:r w:rsidRPr="00B4135D">
        <w:tab/>
        <w:t>Commission calculation</w:t>
      </w:r>
      <w:r w:rsidR="00455E9A">
        <w:t>.</w:t>
      </w:r>
    </w:p>
    <w:p w14:paraId="5EA892F9" w14:textId="65B06BFF" w:rsidR="005A0452" w:rsidRPr="00442A3B" w:rsidRDefault="005A0452" w:rsidP="00266CC1">
      <w:pPr>
        <w:pStyle w:val="Caption"/>
        <w:widowControl w:val="0"/>
        <w:ind w:left="0" w:firstLine="0"/>
      </w:pPr>
      <w:bookmarkStart w:id="103" w:name="_Toc62487179"/>
      <w:bookmarkStart w:id="104" w:name="_Toc62487335"/>
      <w:r w:rsidRPr="00442A3B">
        <w:t>Figure 3</w:t>
      </w:r>
      <w:r w:rsidRPr="00442A3B">
        <w:noBreakHyphen/>
      </w:r>
      <w:r w:rsidRPr="00442A3B">
        <w:fldChar w:fldCharType="begin"/>
      </w:r>
      <w:r w:rsidRPr="00442A3B">
        <w:instrText>SEQ Figure \* ARABIC</w:instrText>
      </w:r>
      <w:r w:rsidRPr="00442A3B">
        <w:fldChar w:fldCharType="separate"/>
      </w:r>
      <w:r w:rsidR="00FE4664">
        <w:rPr>
          <w:noProof/>
        </w:rPr>
        <w:t>9</w:t>
      </w:r>
      <w:r w:rsidRPr="00442A3B">
        <w:fldChar w:fldCharType="end"/>
      </w:r>
      <w:r w:rsidRPr="00442A3B">
        <w:tab/>
      </w:r>
      <w:bookmarkEnd w:id="103"/>
      <w:bookmarkEnd w:id="104"/>
      <w:r>
        <w:t>Northern Territory: Main changes in assessed GST distribution, 2022 Update</w:t>
      </w:r>
    </w:p>
    <w:p w14:paraId="041B4622" w14:textId="3D06AACF" w:rsidR="005A0452" w:rsidRPr="00442A3B" w:rsidRDefault="000F2802" w:rsidP="00266CC1">
      <w:pPr>
        <w:keepNext/>
        <w:keepLines/>
        <w:widowControl w:val="0"/>
        <w:spacing w:before="0"/>
      </w:pPr>
      <w:r w:rsidRPr="000F2802">
        <w:rPr>
          <w:noProof/>
        </w:rPr>
        <w:drawing>
          <wp:inline distT="0" distB="0" distL="0" distR="0" wp14:anchorId="264D8BB9" wp14:editId="2A5921F1">
            <wp:extent cx="5755640" cy="2592070"/>
            <wp:effectExtent l="0" t="0" r="0" b="0"/>
            <wp:docPr id="115" name="Picture 115" descr="A figure describing the main changes in assessed GST distribution in the 2022 Update for the Northern Territo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figure describing the main changes in assessed GST distribution in the 2022 Update for the Northern Territory.&#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5640" cy="2592070"/>
                    </a:xfrm>
                    <a:prstGeom prst="rect">
                      <a:avLst/>
                    </a:prstGeom>
                    <a:noFill/>
                    <a:ln>
                      <a:noFill/>
                    </a:ln>
                  </pic:spPr>
                </pic:pic>
              </a:graphicData>
            </a:graphic>
          </wp:inline>
        </w:drawing>
      </w:r>
    </w:p>
    <w:p w14:paraId="36F29166" w14:textId="5114972C" w:rsidR="004B1E83" w:rsidRDefault="005A0452" w:rsidP="00266CC1">
      <w:pPr>
        <w:pStyle w:val="CGCTablenote"/>
      </w:pPr>
      <w:r w:rsidRPr="00266CC1">
        <w:t>Source:</w:t>
      </w:r>
      <w:r w:rsidRPr="00266CC1">
        <w:tab/>
        <w:t>Commission calculation.</w:t>
      </w:r>
    </w:p>
    <w:p w14:paraId="5BC9799E" w14:textId="3DA9D238" w:rsidR="004B1E83" w:rsidRDefault="004B1E83" w:rsidP="0004064D">
      <w:pPr>
        <w:pStyle w:val="CGCBodyCopy"/>
        <w:sectPr w:rsidR="004B1E83" w:rsidSect="002B0EB2">
          <w:pgSz w:w="11900" w:h="16840"/>
          <w:pgMar w:top="1247" w:right="1418" w:bottom="1134" w:left="1418" w:header="851" w:footer="284" w:gutter="0"/>
          <w:cols w:space="708"/>
          <w:docGrid w:linePitch="360"/>
        </w:sectPr>
      </w:pPr>
    </w:p>
    <w:p w14:paraId="72F2F8A1" w14:textId="7478159C" w:rsidR="00EB79EC" w:rsidRPr="00F8305F" w:rsidRDefault="004E6221" w:rsidP="00EB79EC">
      <w:pPr>
        <w:pStyle w:val="Heading1"/>
      </w:pPr>
      <w:bookmarkStart w:id="105" w:name="_Toc96074918"/>
      <w:r>
        <w:rPr>
          <w:noProof/>
        </w:rPr>
        <w:drawing>
          <wp:anchor distT="0" distB="0" distL="114300" distR="114300" simplePos="0" relativeHeight="251658268" behindDoc="1" locked="1" layoutInCell="1" allowOverlap="1" wp14:anchorId="02CCD7C5" wp14:editId="077E52C6">
            <wp:simplePos x="0" y="0"/>
            <wp:positionH relativeFrom="page">
              <wp:align>left</wp:align>
            </wp:positionH>
            <wp:positionV relativeFrom="page">
              <wp:align>bottom</wp:align>
            </wp:positionV>
            <wp:extent cx="7563485" cy="10691495"/>
            <wp:effectExtent l="0" t="0" r="0" b="0"/>
            <wp:wrapNone/>
            <wp:docPr id="63" name="Picture 6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EB79EC">
        <w:t>Attachment A: Relativities to determine no worse off payments</w:t>
      </w:r>
      <w:bookmarkEnd w:id="105"/>
    </w:p>
    <w:p w14:paraId="6E392A9A" w14:textId="3B37B778" w:rsidR="004E6221" w:rsidRDefault="004E6221" w:rsidP="0004064D">
      <w:pPr>
        <w:pStyle w:val="CGCBodyCopy"/>
      </w:pPr>
      <w:r>
        <w:t>T</w:t>
      </w:r>
      <w:r w:rsidRPr="00F062CD">
        <w:t xml:space="preserve">he </w:t>
      </w:r>
      <w:r w:rsidR="00C10B66">
        <w:t>t</w:t>
      </w:r>
      <w:r w:rsidRPr="00F062CD">
        <w:t xml:space="preserve">erms of </w:t>
      </w:r>
      <w:r w:rsidR="00C10B66">
        <w:t>r</w:t>
      </w:r>
      <w:r w:rsidRPr="00F062CD">
        <w:t>eference</w:t>
      </w:r>
      <w:r>
        <w:t xml:space="preserve"> </w:t>
      </w:r>
      <w:r w:rsidR="00C10B66">
        <w:t xml:space="preserve">for the 2022 Update </w:t>
      </w:r>
      <w:r>
        <w:t xml:space="preserve">ask the Commission to provide the </w:t>
      </w:r>
      <w:r w:rsidRPr="00F062CD">
        <w:t xml:space="preserve">relativities that would have applied had the </w:t>
      </w:r>
      <w:r w:rsidRPr="00F062CD">
        <w:rPr>
          <w:i/>
        </w:rPr>
        <w:t>Treasury Laws Amendment (Making Sure Every State and Territory Gets Their Fair Share of GST) Act 2018</w:t>
      </w:r>
      <w:r w:rsidRPr="00F062CD">
        <w:t xml:space="preserve"> not been enacted</w:t>
      </w:r>
      <w:r>
        <w:t>.</w:t>
      </w:r>
      <w:r w:rsidRPr="00F062CD">
        <w:t xml:space="preserve"> These </w:t>
      </w:r>
      <w:r>
        <w:t xml:space="preserve">are the states’ assessed </w:t>
      </w:r>
      <w:r w:rsidRPr="00F062CD">
        <w:t>relativities</w:t>
      </w:r>
      <w:r>
        <w:t xml:space="preserve">, shown in the first column of Table 1-2 in </w:t>
      </w:r>
      <w:r w:rsidR="00616123">
        <w:t>C</w:t>
      </w:r>
      <w:r>
        <w:t xml:space="preserve">hapter 1. </w:t>
      </w:r>
      <w:r w:rsidRPr="00F062CD">
        <w:t xml:space="preserve">These relativities </w:t>
      </w:r>
      <w:r>
        <w:t xml:space="preserve">are used by the Commonwealth to determine </w:t>
      </w:r>
      <w:r w:rsidRPr="00F062CD">
        <w:t xml:space="preserve">whether there is a requirement </w:t>
      </w:r>
      <w:r>
        <w:t>for it to make no worse off payments to the states under the transitional arrangements in the 2018 legislative changes.</w:t>
      </w:r>
    </w:p>
    <w:p w14:paraId="2224485D" w14:textId="77777777" w:rsidR="004E6221" w:rsidRDefault="004E6221" w:rsidP="0004064D">
      <w:pPr>
        <w:pStyle w:val="CGCBodyCopy"/>
      </w:pPr>
      <w:r>
        <w:t>The no worse off relativities are shown in Table A-1.</w:t>
      </w:r>
    </w:p>
    <w:p w14:paraId="64F8D958" w14:textId="194BC5F0" w:rsidR="004E6221" w:rsidRDefault="004E6221" w:rsidP="004E6221">
      <w:pPr>
        <w:pStyle w:val="Caption"/>
      </w:pPr>
      <w:r w:rsidRPr="00F062CD">
        <w:t>Table A-</w:t>
      </w:r>
      <w:r>
        <w:fldChar w:fldCharType="begin"/>
      </w:r>
      <w:r>
        <w:instrText>SEQ Table \* ARABIC \r 1</w:instrText>
      </w:r>
      <w:r>
        <w:fldChar w:fldCharType="separate"/>
      </w:r>
      <w:r w:rsidR="00FE4664">
        <w:rPr>
          <w:noProof/>
        </w:rPr>
        <w:t>1</w:t>
      </w:r>
      <w:r>
        <w:fldChar w:fldCharType="end"/>
      </w:r>
      <w:r w:rsidRPr="00F062CD">
        <w:tab/>
        <w:t>No</w:t>
      </w:r>
      <w:r>
        <w:t> </w:t>
      </w:r>
      <w:r w:rsidRPr="00F062CD">
        <w:t>worse</w:t>
      </w:r>
      <w:r>
        <w:t> </w:t>
      </w:r>
      <w:r w:rsidRPr="00F062CD">
        <w:t>off relativities, 202</w:t>
      </w:r>
      <w:r>
        <w:t>2</w:t>
      </w:r>
      <w:r w:rsidRPr="00F062CD">
        <w:t>-2</w:t>
      </w:r>
      <w:r>
        <w:t>3</w:t>
      </w:r>
    </w:p>
    <w:tbl>
      <w:tblPr>
        <w:tblW w:w="8920" w:type="dxa"/>
        <w:tblLook w:val="04A0" w:firstRow="1" w:lastRow="0" w:firstColumn="1" w:lastColumn="0" w:noHBand="0" w:noVBand="1"/>
      </w:tblPr>
      <w:tblGrid>
        <w:gridCol w:w="1360"/>
        <w:gridCol w:w="840"/>
        <w:gridCol w:w="840"/>
        <w:gridCol w:w="840"/>
        <w:gridCol w:w="840"/>
        <w:gridCol w:w="840"/>
        <w:gridCol w:w="840"/>
        <w:gridCol w:w="840"/>
        <w:gridCol w:w="840"/>
        <w:gridCol w:w="840"/>
      </w:tblGrid>
      <w:tr w:rsidR="005178E4" w:rsidRPr="005178E4" w14:paraId="43B89F3A" w14:textId="77777777" w:rsidTr="005178E4">
        <w:trPr>
          <w:trHeight w:val="379"/>
        </w:trPr>
        <w:tc>
          <w:tcPr>
            <w:tcW w:w="1360" w:type="dxa"/>
            <w:tcBorders>
              <w:top w:val="nil"/>
              <w:left w:val="nil"/>
              <w:bottom w:val="nil"/>
              <w:right w:val="nil"/>
            </w:tcBorders>
            <w:shd w:val="clear" w:color="000000" w:fill="006991"/>
            <w:vAlign w:val="bottom"/>
            <w:hideMark/>
          </w:tcPr>
          <w:p w14:paraId="23B0E294" w14:textId="77777777" w:rsidR="005178E4" w:rsidRPr="005178E4" w:rsidRDefault="005178E4" w:rsidP="005178E4">
            <w:pPr>
              <w:tabs>
                <w:tab w:val="clear" w:pos="567"/>
              </w:tabs>
              <w:spacing w:before="0" w:line="240" w:lineRule="auto"/>
              <w:rPr>
                <w:rFonts w:ascii="Open Sans Semibold" w:eastAsia="Times New Roman" w:hAnsi="Open Sans Semibold" w:cs="Open Sans Semibold"/>
                <w:color w:val="FFFFFF"/>
                <w:sz w:val="16"/>
                <w:szCs w:val="16"/>
                <w:lang w:eastAsia="en-AU"/>
              </w:rPr>
            </w:pPr>
            <w:r w:rsidRPr="005178E4">
              <w:rPr>
                <w:rFonts w:ascii="Open Sans Semibold" w:eastAsia="Times New Roman" w:hAnsi="Open Sans Semibold" w:cs="Open Sans Semibold"/>
                <w:color w:val="FFFFFF"/>
                <w:sz w:val="16"/>
                <w:szCs w:val="16"/>
                <w:lang w:eastAsia="en-AU"/>
              </w:rPr>
              <w:t> </w:t>
            </w:r>
          </w:p>
        </w:tc>
        <w:tc>
          <w:tcPr>
            <w:tcW w:w="840" w:type="dxa"/>
            <w:tcBorders>
              <w:top w:val="nil"/>
              <w:left w:val="nil"/>
              <w:bottom w:val="nil"/>
              <w:right w:val="nil"/>
            </w:tcBorders>
            <w:shd w:val="clear" w:color="000000" w:fill="006991"/>
            <w:vAlign w:val="center"/>
            <w:hideMark/>
          </w:tcPr>
          <w:p w14:paraId="53F112C5" w14:textId="77777777" w:rsidR="005178E4" w:rsidRPr="005178E4" w:rsidRDefault="005178E4" w:rsidP="00517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178E4">
              <w:rPr>
                <w:rFonts w:ascii="Open Sans Semibold" w:eastAsia="Times New Roman" w:hAnsi="Open Sans Semibold" w:cs="Open Sans Semibold"/>
                <w:color w:val="FFFFFF"/>
                <w:sz w:val="16"/>
                <w:szCs w:val="16"/>
                <w:lang w:eastAsia="en-AU"/>
              </w:rPr>
              <w:t>NSW</w:t>
            </w:r>
          </w:p>
        </w:tc>
        <w:tc>
          <w:tcPr>
            <w:tcW w:w="840" w:type="dxa"/>
            <w:tcBorders>
              <w:top w:val="nil"/>
              <w:left w:val="nil"/>
              <w:bottom w:val="nil"/>
              <w:right w:val="nil"/>
            </w:tcBorders>
            <w:shd w:val="clear" w:color="000000" w:fill="006991"/>
            <w:vAlign w:val="center"/>
            <w:hideMark/>
          </w:tcPr>
          <w:p w14:paraId="6269E296" w14:textId="77777777" w:rsidR="005178E4" w:rsidRPr="005178E4" w:rsidRDefault="005178E4" w:rsidP="00517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178E4">
              <w:rPr>
                <w:rFonts w:ascii="Open Sans Semibold" w:eastAsia="Times New Roman" w:hAnsi="Open Sans Semibold" w:cs="Open Sans Semibold"/>
                <w:color w:val="FFFFFF"/>
                <w:sz w:val="16"/>
                <w:szCs w:val="16"/>
                <w:lang w:eastAsia="en-AU"/>
              </w:rPr>
              <w:t>Vic</w:t>
            </w:r>
          </w:p>
        </w:tc>
        <w:tc>
          <w:tcPr>
            <w:tcW w:w="840" w:type="dxa"/>
            <w:tcBorders>
              <w:top w:val="nil"/>
              <w:left w:val="nil"/>
              <w:bottom w:val="nil"/>
              <w:right w:val="nil"/>
            </w:tcBorders>
            <w:shd w:val="clear" w:color="000000" w:fill="006991"/>
            <w:vAlign w:val="center"/>
            <w:hideMark/>
          </w:tcPr>
          <w:p w14:paraId="1326783A" w14:textId="77777777" w:rsidR="005178E4" w:rsidRPr="005178E4" w:rsidRDefault="005178E4" w:rsidP="00517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178E4">
              <w:rPr>
                <w:rFonts w:ascii="Open Sans Semibold" w:eastAsia="Times New Roman" w:hAnsi="Open Sans Semibold" w:cs="Open Sans Semibold"/>
                <w:color w:val="FFFFFF"/>
                <w:sz w:val="16"/>
                <w:szCs w:val="16"/>
                <w:lang w:eastAsia="en-AU"/>
              </w:rPr>
              <w:t>Qld</w:t>
            </w:r>
          </w:p>
        </w:tc>
        <w:tc>
          <w:tcPr>
            <w:tcW w:w="840" w:type="dxa"/>
            <w:tcBorders>
              <w:top w:val="nil"/>
              <w:left w:val="nil"/>
              <w:bottom w:val="nil"/>
              <w:right w:val="nil"/>
            </w:tcBorders>
            <w:shd w:val="clear" w:color="000000" w:fill="006991"/>
            <w:vAlign w:val="center"/>
            <w:hideMark/>
          </w:tcPr>
          <w:p w14:paraId="45DEF37B" w14:textId="77777777" w:rsidR="005178E4" w:rsidRPr="005178E4" w:rsidRDefault="005178E4" w:rsidP="00517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178E4">
              <w:rPr>
                <w:rFonts w:ascii="Open Sans Semibold" w:eastAsia="Times New Roman" w:hAnsi="Open Sans Semibold" w:cs="Open Sans Semibold"/>
                <w:color w:val="FFFFFF"/>
                <w:sz w:val="16"/>
                <w:szCs w:val="16"/>
                <w:lang w:eastAsia="en-AU"/>
              </w:rPr>
              <w:t>WA</w:t>
            </w:r>
          </w:p>
        </w:tc>
        <w:tc>
          <w:tcPr>
            <w:tcW w:w="840" w:type="dxa"/>
            <w:tcBorders>
              <w:top w:val="nil"/>
              <w:left w:val="nil"/>
              <w:bottom w:val="nil"/>
              <w:right w:val="nil"/>
            </w:tcBorders>
            <w:shd w:val="clear" w:color="000000" w:fill="006991"/>
            <w:vAlign w:val="center"/>
            <w:hideMark/>
          </w:tcPr>
          <w:p w14:paraId="152F882F" w14:textId="77777777" w:rsidR="005178E4" w:rsidRPr="005178E4" w:rsidRDefault="005178E4" w:rsidP="00517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178E4">
              <w:rPr>
                <w:rFonts w:ascii="Open Sans Semibold" w:eastAsia="Times New Roman" w:hAnsi="Open Sans Semibold" w:cs="Open Sans Semibold"/>
                <w:color w:val="FFFFFF"/>
                <w:sz w:val="16"/>
                <w:szCs w:val="16"/>
                <w:lang w:eastAsia="en-AU"/>
              </w:rPr>
              <w:t>SA</w:t>
            </w:r>
          </w:p>
        </w:tc>
        <w:tc>
          <w:tcPr>
            <w:tcW w:w="840" w:type="dxa"/>
            <w:tcBorders>
              <w:top w:val="nil"/>
              <w:left w:val="nil"/>
              <w:bottom w:val="nil"/>
              <w:right w:val="nil"/>
            </w:tcBorders>
            <w:shd w:val="clear" w:color="000000" w:fill="006991"/>
            <w:vAlign w:val="center"/>
            <w:hideMark/>
          </w:tcPr>
          <w:p w14:paraId="5B882606" w14:textId="77777777" w:rsidR="005178E4" w:rsidRPr="005178E4" w:rsidRDefault="005178E4" w:rsidP="00517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178E4">
              <w:rPr>
                <w:rFonts w:ascii="Open Sans Semibold" w:eastAsia="Times New Roman" w:hAnsi="Open Sans Semibold" w:cs="Open Sans Semibold"/>
                <w:color w:val="FFFFFF"/>
                <w:sz w:val="16"/>
                <w:szCs w:val="16"/>
                <w:lang w:eastAsia="en-AU"/>
              </w:rPr>
              <w:t>Tas</w:t>
            </w:r>
          </w:p>
        </w:tc>
        <w:tc>
          <w:tcPr>
            <w:tcW w:w="840" w:type="dxa"/>
            <w:tcBorders>
              <w:top w:val="nil"/>
              <w:left w:val="nil"/>
              <w:bottom w:val="nil"/>
              <w:right w:val="nil"/>
            </w:tcBorders>
            <w:shd w:val="clear" w:color="000000" w:fill="006991"/>
            <w:vAlign w:val="center"/>
            <w:hideMark/>
          </w:tcPr>
          <w:p w14:paraId="1127A1CE" w14:textId="77777777" w:rsidR="005178E4" w:rsidRPr="005178E4" w:rsidRDefault="005178E4" w:rsidP="00517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178E4">
              <w:rPr>
                <w:rFonts w:ascii="Open Sans Semibold" w:eastAsia="Times New Roman" w:hAnsi="Open Sans Semibold" w:cs="Open Sans Semibold"/>
                <w:color w:val="FFFFFF"/>
                <w:sz w:val="16"/>
                <w:szCs w:val="16"/>
                <w:lang w:eastAsia="en-AU"/>
              </w:rPr>
              <w:t>ACT</w:t>
            </w:r>
          </w:p>
        </w:tc>
        <w:tc>
          <w:tcPr>
            <w:tcW w:w="840" w:type="dxa"/>
            <w:tcBorders>
              <w:top w:val="nil"/>
              <w:left w:val="nil"/>
              <w:bottom w:val="nil"/>
              <w:right w:val="nil"/>
            </w:tcBorders>
            <w:shd w:val="clear" w:color="000000" w:fill="006991"/>
            <w:vAlign w:val="center"/>
            <w:hideMark/>
          </w:tcPr>
          <w:p w14:paraId="38770559" w14:textId="77777777" w:rsidR="005178E4" w:rsidRPr="005178E4" w:rsidRDefault="005178E4" w:rsidP="00517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178E4">
              <w:rPr>
                <w:rFonts w:ascii="Open Sans Semibold" w:eastAsia="Times New Roman" w:hAnsi="Open Sans Semibold" w:cs="Open Sans Semibold"/>
                <w:color w:val="FFFFFF"/>
                <w:sz w:val="16"/>
                <w:szCs w:val="16"/>
                <w:lang w:eastAsia="en-AU"/>
              </w:rPr>
              <w:t>NT</w:t>
            </w:r>
          </w:p>
        </w:tc>
        <w:tc>
          <w:tcPr>
            <w:tcW w:w="840" w:type="dxa"/>
            <w:tcBorders>
              <w:top w:val="nil"/>
              <w:left w:val="nil"/>
              <w:bottom w:val="nil"/>
              <w:right w:val="nil"/>
            </w:tcBorders>
            <w:shd w:val="clear" w:color="000000" w:fill="006991"/>
            <w:vAlign w:val="center"/>
            <w:hideMark/>
          </w:tcPr>
          <w:p w14:paraId="4914F2EF" w14:textId="77777777" w:rsidR="005178E4" w:rsidRPr="005178E4" w:rsidRDefault="005178E4" w:rsidP="00517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178E4">
              <w:rPr>
                <w:rFonts w:ascii="Open Sans Semibold" w:eastAsia="Times New Roman" w:hAnsi="Open Sans Semibold" w:cs="Open Sans Semibold"/>
                <w:color w:val="FFFFFF"/>
                <w:sz w:val="16"/>
                <w:szCs w:val="16"/>
                <w:lang w:eastAsia="en-AU"/>
              </w:rPr>
              <w:t>Total</w:t>
            </w:r>
          </w:p>
        </w:tc>
      </w:tr>
      <w:tr w:rsidR="005178E4" w:rsidRPr="005178E4" w14:paraId="33263787" w14:textId="77777777" w:rsidTr="005178E4">
        <w:trPr>
          <w:trHeight w:val="315"/>
        </w:trPr>
        <w:tc>
          <w:tcPr>
            <w:tcW w:w="1360" w:type="dxa"/>
            <w:tcBorders>
              <w:top w:val="single" w:sz="4" w:space="0" w:color="ADD6EA"/>
              <w:left w:val="nil"/>
              <w:bottom w:val="single" w:sz="4" w:space="0" w:color="ADD6EA"/>
              <w:right w:val="nil"/>
            </w:tcBorders>
            <w:shd w:val="clear" w:color="auto" w:fill="auto"/>
            <w:vAlign w:val="bottom"/>
            <w:hideMark/>
          </w:tcPr>
          <w:p w14:paraId="1CC15D32" w14:textId="77777777" w:rsidR="005178E4" w:rsidRPr="005178E4" w:rsidRDefault="005178E4" w:rsidP="005178E4">
            <w:pPr>
              <w:tabs>
                <w:tab w:val="clear" w:pos="567"/>
              </w:tabs>
              <w:spacing w:before="0" w:line="240" w:lineRule="auto"/>
              <w:rPr>
                <w:rFonts w:eastAsia="Times New Roman" w:cs="Open Sans Light"/>
                <w:color w:val="000000"/>
                <w:sz w:val="16"/>
                <w:szCs w:val="16"/>
                <w:lang w:eastAsia="en-AU"/>
              </w:rPr>
            </w:pPr>
            <w:bookmarkStart w:id="106" w:name="RANGE!A5"/>
            <w:r w:rsidRPr="005178E4">
              <w:rPr>
                <w:rFonts w:eastAsia="Times New Roman" w:cs="Open Sans Light"/>
                <w:color w:val="000000"/>
                <w:sz w:val="16"/>
                <w:szCs w:val="16"/>
                <w:lang w:eastAsia="en-AU"/>
              </w:rPr>
              <w:t>2022-23</w:t>
            </w:r>
            <w:bookmarkEnd w:id="106"/>
          </w:p>
        </w:tc>
        <w:tc>
          <w:tcPr>
            <w:tcW w:w="840" w:type="dxa"/>
            <w:tcBorders>
              <w:top w:val="single" w:sz="4" w:space="0" w:color="ADD6EA"/>
              <w:left w:val="nil"/>
              <w:bottom w:val="single" w:sz="4" w:space="0" w:color="ADD6EA"/>
              <w:right w:val="nil"/>
            </w:tcBorders>
            <w:shd w:val="clear" w:color="auto" w:fill="auto"/>
            <w:noWrap/>
            <w:vAlign w:val="bottom"/>
            <w:hideMark/>
          </w:tcPr>
          <w:p w14:paraId="41211AEF" w14:textId="77777777" w:rsidR="005178E4" w:rsidRPr="005178E4" w:rsidRDefault="005178E4" w:rsidP="005178E4">
            <w:pPr>
              <w:tabs>
                <w:tab w:val="clear" w:pos="567"/>
              </w:tabs>
              <w:spacing w:before="0" w:line="240" w:lineRule="auto"/>
              <w:jc w:val="right"/>
              <w:rPr>
                <w:rFonts w:eastAsia="Times New Roman" w:cs="Open Sans Light"/>
                <w:color w:val="000000"/>
                <w:sz w:val="16"/>
                <w:szCs w:val="16"/>
                <w:lang w:eastAsia="en-AU"/>
              </w:rPr>
            </w:pPr>
            <w:r w:rsidRPr="005178E4">
              <w:rPr>
                <w:rFonts w:eastAsia="Times New Roman" w:cs="Open Sans Light"/>
                <w:color w:val="000000"/>
                <w:sz w:val="16"/>
                <w:szCs w:val="16"/>
                <w:lang w:eastAsia="en-AU"/>
              </w:rPr>
              <w:t>1.01373</w:t>
            </w:r>
          </w:p>
        </w:tc>
        <w:tc>
          <w:tcPr>
            <w:tcW w:w="840" w:type="dxa"/>
            <w:tcBorders>
              <w:top w:val="single" w:sz="4" w:space="0" w:color="ADD6EA"/>
              <w:left w:val="nil"/>
              <w:bottom w:val="single" w:sz="4" w:space="0" w:color="ADD6EA"/>
              <w:right w:val="nil"/>
            </w:tcBorders>
            <w:shd w:val="clear" w:color="auto" w:fill="auto"/>
            <w:noWrap/>
            <w:vAlign w:val="bottom"/>
            <w:hideMark/>
          </w:tcPr>
          <w:p w14:paraId="2E131F83" w14:textId="77777777" w:rsidR="005178E4" w:rsidRPr="005178E4" w:rsidRDefault="005178E4" w:rsidP="005178E4">
            <w:pPr>
              <w:tabs>
                <w:tab w:val="clear" w:pos="567"/>
              </w:tabs>
              <w:spacing w:before="0" w:line="240" w:lineRule="auto"/>
              <w:jc w:val="right"/>
              <w:rPr>
                <w:rFonts w:eastAsia="Times New Roman" w:cs="Open Sans Light"/>
                <w:color w:val="000000"/>
                <w:sz w:val="16"/>
                <w:szCs w:val="16"/>
                <w:lang w:eastAsia="en-AU"/>
              </w:rPr>
            </w:pPr>
            <w:r w:rsidRPr="005178E4">
              <w:rPr>
                <w:rFonts w:eastAsia="Times New Roman" w:cs="Open Sans Light"/>
                <w:color w:val="000000"/>
                <w:sz w:val="16"/>
                <w:szCs w:val="16"/>
                <w:lang w:eastAsia="en-AU"/>
              </w:rPr>
              <w:t>0.92170</w:t>
            </w:r>
          </w:p>
        </w:tc>
        <w:tc>
          <w:tcPr>
            <w:tcW w:w="840" w:type="dxa"/>
            <w:tcBorders>
              <w:top w:val="single" w:sz="4" w:space="0" w:color="ADD6EA"/>
              <w:left w:val="nil"/>
              <w:bottom w:val="single" w:sz="4" w:space="0" w:color="ADD6EA"/>
              <w:right w:val="nil"/>
            </w:tcBorders>
            <w:shd w:val="clear" w:color="auto" w:fill="auto"/>
            <w:noWrap/>
            <w:vAlign w:val="bottom"/>
            <w:hideMark/>
          </w:tcPr>
          <w:p w14:paraId="2EACB284" w14:textId="77777777" w:rsidR="005178E4" w:rsidRPr="005178E4" w:rsidRDefault="005178E4" w:rsidP="005178E4">
            <w:pPr>
              <w:tabs>
                <w:tab w:val="clear" w:pos="567"/>
              </w:tabs>
              <w:spacing w:before="0" w:line="240" w:lineRule="auto"/>
              <w:jc w:val="right"/>
              <w:rPr>
                <w:rFonts w:eastAsia="Times New Roman" w:cs="Open Sans Light"/>
                <w:color w:val="000000"/>
                <w:sz w:val="16"/>
                <w:szCs w:val="16"/>
                <w:lang w:eastAsia="en-AU"/>
              </w:rPr>
            </w:pPr>
            <w:r w:rsidRPr="005178E4">
              <w:rPr>
                <w:rFonts w:eastAsia="Times New Roman" w:cs="Open Sans Light"/>
                <w:color w:val="000000"/>
                <w:sz w:val="16"/>
                <w:szCs w:val="16"/>
                <w:lang w:eastAsia="en-AU"/>
              </w:rPr>
              <w:t>1.09684</w:t>
            </w:r>
          </w:p>
        </w:tc>
        <w:tc>
          <w:tcPr>
            <w:tcW w:w="840" w:type="dxa"/>
            <w:tcBorders>
              <w:top w:val="single" w:sz="4" w:space="0" w:color="ADD6EA"/>
              <w:left w:val="nil"/>
              <w:bottom w:val="single" w:sz="4" w:space="0" w:color="ADD6EA"/>
              <w:right w:val="nil"/>
            </w:tcBorders>
            <w:shd w:val="clear" w:color="auto" w:fill="auto"/>
            <w:noWrap/>
            <w:vAlign w:val="bottom"/>
            <w:hideMark/>
          </w:tcPr>
          <w:p w14:paraId="32494832" w14:textId="77777777" w:rsidR="005178E4" w:rsidRPr="005178E4" w:rsidRDefault="005178E4" w:rsidP="005178E4">
            <w:pPr>
              <w:tabs>
                <w:tab w:val="clear" w:pos="567"/>
              </w:tabs>
              <w:spacing w:before="0" w:line="240" w:lineRule="auto"/>
              <w:jc w:val="right"/>
              <w:rPr>
                <w:rFonts w:eastAsia="Times New Roman" w:cs="Open Sans Light"/>
                <w:color w:val="000000"/>
                <w:sz w:val="16"/>
                <w:szCs w:val="16"/>
                <w:lang w:eastAsia="en-AU"/>
              </w:rPr>
            </w:pPr>
            <w:r w:rsidRPr="005178E4">
              <w:rPr>
                <w:rFonts w:eastAsia="Times New Roman" w:cs="Open Sans Light"/>
                <w:color w:val="000000"/>
                <w:sz w:val="16"/>
                <w:szCs w:val="16"/>
                <w:lang w:eastAsia="en-AU"/>
              </w:rPr>
              <w:t>0.15784</w:t>
            </w:r>
          </w:p>
        </w:tc>
        <w:tc>
          <w:tcPr>
            <w:tcW w:w="840" w:type="dxa"/>
            <w:tcBorders>
              <w:top w:val="single" w:sz="4" w:space="0" w:color="ADD6EA"/>
              <w:left w:val="nil"/>
              <w:bottom w:val="single" w:sz="4" w:space="0" w:color="ADD6EA"/>
              <w:right w:val="nil"/>
            </w:tcBorders>
            <w:shd w:val="clear" w:color="auto" w:fill="auto"/>
            <w:noWrap/>
            <w:vAlign w:val="bottom"/>
            <w:hideMark/>
          </w:tcPr>
          <w:p w14:paraId="406382A0" w14:textId="77777777" w:rsidR="005178E4" w:rsidRPr="005178E4" w:rsidRDefault="005178E4" w:rsidP="005178E4">
            <w:pPr>
              <w:tabs>
                <w:tab w:val="clear" w:pos="567"/>
              </w:tabs>
              <w:spacing w:before="0" w:line="240" w:lineRule="auto"/>
              <w:jc w:val="right"/>
              <w:rPr>
                <w:rFonts w:eastAsia="Times New Roman" w:cs="Open Sans Light"/>
                <w:color w:val="000000"/>
                <w:sz w:val="16"/>
                <w:szCs w:val="16"/>
                <w:lang w:eastAsia="en-AU"/>
              </w:rPr>
            </w:pPr>
            <w:r w:rsidRPr="005178E4">
              <w:rPr>
                <w:rFonts w:eastAsia="Times New Roman" w:cs="Open Sans Light"/>
                <w:color w:val="000000"/>
                <w:sz w:val="16"/>
                <w:szCs w:val="16"/>
                <w:lang w:eastAsia="en-AU"/>
              </w:rPr>
              <w:t>1.34715</w:t>
            </w:r>
          </w:p>
        </w:tc>
        <w:tc>
          <w:tcPr>
            <w:tcW w:w="840" w:type="dxa"/>
            <w:tcBorders>
              <w:top w:val="single" w:sz="4" w:space="0" w:color="ADD6EA"/>
              <w:left w:val="nil"/>
              <w:bottom w:val="single" w:sz="4" w:space="0" w:color="ADD6EA"/>
              <w:right w:val="nil"/>
            </w:tcBorders>
            <w:shd w:val="clear" w:color="auto" w:fill="auto"/>
            <w:noWrap/>
            <w:vAlign w:val="bottom"/>
            <w:hideMark/>
          </w:tcPr>
          <w:p w14:paraId="44971382" w14:textId="77777777" w:rsidR="005178E4" w:rsidRPr="005178E4" w:rsidRDefault="005178E4" w:rsidP="005178E4">
            <w:pPr>
              <w:tabs>
                <w:tab w:val="clear" w:pos="567"/>
              </w:tabs>
              <w:spacing w:before="0" w:line="240" w:lineRule="auto"/>
              <w:jc w:val="right"/>
              <w:rPr>
                <w:rFonts w:eastAsia="Times New Roman" w:cs="Open Sans Light"/>
                <w:color w:val="000000"/>
                <w:sz w:val="16"/>
                <w:szCs w:val="16"/>
                <w:lang w:eastAsia="en-AU"/>
              </w:rPr>
            </w:pPr>
            <w:r w:rsidRPr="005178E4">
              <w:rPr>
                <w:rFonts w:eastAsia="Times New Roman" w:cs="Open Sans Light"/>
                <w:color w:val="000000"/>
                <w:sz w:val="16"/>
                <w:szCs w:val="16"/>
                <w:lang w:eastAsia="en-AU"/>
              </w:rPr>
              <w:t>1.91658</w:t>
            </w:r>
          </w:p>
        </w:tc>
        <w:tc>
          <w:tcPr>
            <w:tcW w:w="840" w:type="dxa"/>
            <w:tcBorders>
              <w:top w:val="single" w:sz="4" w:space="0" w:color="ADD6EA"/>
              <w:left w:val="nil"/>
              <w:bottom w:val="single" w:sz="4" w:space="0" w:color="ADD6EA"/>
              <w:right w:val="nil"/>
            </w:tcBorders>
            <w:shd w:val="clear" w:color="auto" w:fill="auto"/>
            <w:noWrap/>
            <w:vAlign w:val="bottom"/>
            <w:hideMark/>
          </w:tcPr>
          <w:p w14:paraId="72D444D4" w14:textId="77777777" w:rsidR="005178E4" w:rsidRPr="005178E4" w:rsidRDefault="005178E4" w:rsidP="005178E4">
            <w:pPr>
              <w:tabs>
                <w:tab w:val="clear" w:pos="567"/>
              </w:tabs>
              <w:spacing w:before="0" w:line="240" w:lineRule="auto"/>
              <w:jc w:val="right"/>
              <w:rPr>
                <w:rFonts w:eastAsia="Times New Roman" w:cs="Open Sans Light"/>
                <w:color w:val="000000"/>
                <w:sz w:val="16"/>
                <w:szCs w:val="16"/>
                <w:lang w:eastAsia="en-AU"/>
              </w:rPr>
            </w:pPr>
            <w:r w:rsidRPr="005178E4">
              <w:rPr>
                <w:rFonts w:eastAsia="Times New Roman" w:cs="Open Sans Light"/>
                <w:color w:val="000000"/>
                <w:sz w:val="16"/>
                <w:szCs w:val="16"/>
                <w:lang w:eastAsia="en-AU"/>
              </w:rPr>
              <w:t>1.15556</w:t>
            </w:r>
          </w:p>
        </w:tc>
        <w:tc>
          <w:tcPr>
            <w:tcW w:w="840" w:type="dxa"/>
            <w:tcBorders>
              <w:top w:val="single" w:sz="4" w:space="0" w:color="ADD6EA"/>
              <w:left w:val="nil"/>
              <w:bottom w:val="single" w:sz="4" w:space="0" w:color="ADD6EA"/>
              <w:right w:val="nil"/>
            </w:tcBorders>
            <w:shd w:val="clear" w:color="auto" w:fill="auto"/>
            <w:noWrap/>
            <w:vAlign w:val="bottom"/>
            <w:hideMark/>
          </w:tcPr>
          <w:p w14:paraId="54617AB7" w14:textId="77777777" w:rsidR="005178E4" w:rsidRPr="005178E4" w:rsidRDefault="005178E4" w:rsidP="005178E4">
            <w:pPr>
              <w:tabs>
                <w:tab w:val="clear" w:pos="567"/>
              </w:tabs>
              <w:spacing w:before="0" w:line="240" w:lineRule="auto"/>
              <w:jc w:val="right"/>
              <w:rPr>
                <w:rFonts w:eastAsia="Times New Roman" w:cs="Open Sans Light"/>
                <w:color w:val="000000"/>
                <w:sz w:val="16"/>
                <w:szCs w:val="16"/>
                <w:lang w:eastAsia="en-AU"/>
              </w:rPr>
            </w:pPr>
            <w:r w:rsidRPr="005178E4">
              <w:rPr>
                <w:rFonts w:eastAsia="Times New Roman" w:cs="Open Sans Light"/>
                <w:color w:val="000000"/>
                <w:sz w:val="16"/>
                <w:szCs w:val="16"/>
                <w:lang w:eastAsia="en-AU"/>
              </w:rPr>
              <w:t>4.93255</w:t>
            </w:r>
          </w:p>
        </w:tc>
        <w:tc>
          <w:tcPr>
            <w:tcW w:w="840" w:type="dxa"/>
            <w:tcBorders>
              <w:top w:val="single" w:sz="4" w:space="0" w:color="ADD6EA"/>
              <w:left w:val="nil"/>
              <w:bottom w:val="single" w:sz="4" w:space="0" w:color="ADD6EA"/>
              <w:right w:val="nil"/>
            </w:tcBorders>
            <w:shd w:val="clear" w:color="auto" w:fill="auto"/>
            <w:noWrap/>
            <w:vAlign w:val="bottom"/>
            <w:hideMark/>
          </w:tcPr>
          <w:p w14:paraId="3AADA881" w14:textId="77777777" w:rsidR="005178E4" w:rsidRPr="005178E4" w:rsidRDefault="005178E4" w:rsidP="005178E4">
            <w:pPr>
              <w:tabs>
                <w:tab w:val="clear" w:pos="567"/>
              </w:tabs>
              <w:spacing w:before="0" w:line="240" w:lineRule="auto"/>
              <w:jc w:val="right"/>
              <w:rPr>
                <w:rFonts w:eastAsia="Times New Roman" w:cs="Open Sans Light"/>
                <w:color w:val="000000"/>
                <w:sz w:val="16"/>
                <w:szCs w:val="16"/>
                <w:lang w:eastAsia="en-AU"/>
              </w:rPr>
            </w:pPr>
            <w:r w:rsidRPr="005178E4">
              <w:rPr>
                <w:rFonts w:eastAsia="Times New Roman" w:cs="Open Sans Light"/>
                <w:color w:val="000000"/>
                <w:sz w:val="16"/>
                <w:szCs w:val="16"/>
                <w:lang w:eastAsia="en-AU"/>
              </w:rPr>
              <w:t>1.00000</w:t>
            </w:r>
          </w:p>
        </w:tc>
      </w:tr>
    </w:tbl>
    <w:p w14:paraId="5AFE7239" w14:textId="77777777" w:rsidR="00635777" w:rsidRDefault="00635777" w:rsidP="00635777">
      <w:pPr>
        <w:pStyle w:val="CGCTablenote"/>
        <w:keepNext/>
        <w:keepLines/>
        <w:widowControl w:val="0"/>
        <w:rPr>
          <w:noProof/>
        </w:rPr>
      </w:pPr>
      <w:r>
        <w:t>Source:</w:t>
      </w:r>
      <w:r>
        <w:tab/>
        <w:t>Commission calculation.</w:t>
      </w:r>
    </w:p>
    <w:p w14:paraId="36E36A31" w14:textId="18283FC8" w:rsidR="004E6221" w:rsidRDefault="004E6221" w:rsidP="0004064D">
      <w:pPr>
        <w:pStyle w:val="CGCBodyCopy"/>
      </w:pPr>
      <w:r w:rsidRPr="008F531F">
        <w:t>Each year over the transition period, the total amount of financial assistance a state has received since 2021</w:t>
      </w:r>
      <w:r w:rsidR="009E0E62">
        <w:t>–</w:t>
      </w:r>
      <w:r w:rsidRPr="008F531F">
        <w:t>22 (including GST distributions from the topped-up pool and previous no worse off payments) is compared to the total amount of GST it would have received based on no worse off relativities applied to a GST revenue</w:t>
      </w:r>
      <w:r w:rsidRPr="008F531F">
        <w:noBreakHyphen/>
        <w:t>only pool. The Commonwealth will make a no worse off payment equal to any cumulative shortfall. Where a state is better off in a year, this is taken into account in calculating a no worse off payment in a subsequent year if it is worse off. This arrangement will remain in place until 2026</w:t>
      </w:r>
      <w:r w:rsidR="009E0E62">
        <w:t>–</w:t>
      </w:r>
      <w:r w:rsidRPr="008F531F">
        <w:t>27.</w:t>
      </w:r>
      <w:r>
        <w:t xml:space="preserve"> </w:t>
      </w:r>
    </w:p>
    <w:p w14:paraId="4D6DAF71" w14:textId="5993D3EA" w:rsidR="004E6221" w:rsidRDefault="00793C64" w:rsidP="0004064D">
      <w:pPr>
        <w:pStyle w:val="CGCBodyCopy"/>
      </w:pPr>
      <w:r>
        <w:t>The 2018 legislation provides that b</w:t>
      </w:r>
      <w:r w:rsidR="004E6221">
        <w:t xml:space="preserve">y the end of 2026, </w:t>
      </w:r>
      <w:r>
        <w:t>t</w:t>
      </w:r>
      <w:r w:rsidR="004E6221">
        <w:t xml:space="preserve">he Productivity Commission will </w:t>
      </w:r>
      <w:r>
        <w:t xml:space="preserve">inquire into whether the change </w:t>
      </w:r>
      <w:r w:rsidR="008A5555">
        <w:t>in the GST</w:t>
      </w:r>
      <w:r w:rsidR="004E6221">
        <w:t xml:space="preserve"> arrangements </w:t>
      </w:r>
      <w:r w:rsidR="00F577FA">
        <w:t>is</w:t>
      </w:r>
      <w:r w:rsidR="004E6221">
        <w:t xml:space="preserve"> operating efficiently, effectively and as intended.</w:t>
      </w:r>
      <w:r w:rsidR="00482413">
        <w:t xml:space="preserve"> The inquiry will also examine the fiscal implications </w:t>
      </w:r>
      <w:r w:rsidR="00BC33A5">
        <w:t>of the GST arrangements for the states.</w:t>
      </w:r>
    </w:p>
    <w:p w14:paraId="03F0737F" w14:textId="77777777" w:rsidR="004E6221" w:rsidRDefault="004E6221" w:rsidP="00A55F78">
      <w:pPr>
        <w:rPr>
          <w:rFonts w:ascii="Work Sans" w:eastAsia="Times New Roman" w:hAnsi="Work Sans" w:cs="Open Sans"/>
          <w:noProof/>
          <w:color w:val="006991"/>
          <w:sz w:val="40"/>
          <w:szCs w:val="40"/>
          <w:lang w:eastAsia="en-AU"/>
        </w:rPr>
      </w:pPr>
      <w:r>
        <w:rPr>
          <w:noProof/>
        </w:rPr>
        <w:br w:type="page"/>
      </w:r>
    </w:p>
    <w:p w14:paraId="3A8B82C3" w14:textId="73CCCA23" w:rsidR="00E3139F" w:rsidRDefault="00FE4E7D" w:rsidP="00E3139F">
      <w:pPr>
        <w:pStyle w:val="Heading1"/>
      </w:pPr>
      <w:bookmarkStart w:id="107" w:name="_Toc96074919"/>
      <w:r>
        <w:rPr>
          <w:noProof/>
        </w:rPr>
        <w:drawing>
          <wp:anchor distT="0" distB="0" distL="114300" distR="114300" simplePos="0" relativeHeight="251658308" behindDoc="1" locked="1" layoutInCell="1" allowOverlap="1" wp14:anchorId="127383FF" wp14:editId="13B66EF7">
            <wp:simplePos x="0" y="0"/>
            <wp:positionH relativeFrom="page">
              <wp:posOffset>5080</wp:posOffset>
            </wp:positionH>
            <wp:positionV relativeFrom="margin">
              <wp:posOffset>-800100</wp:posOffset>
            </wp:positionV>
            <wp:extent cx="7563485" cy="10691495"/>
            <wp:effectExtent l="0" t="0" r="0" b="0"/>
            <wp:wrapNone/>
            <wp:docPr id="77" name="Picture 7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E3139F">
        <w:t>Attachment B: Quality assurance</w:t>
      </w:r>
      <w:bookmarkEnd w:id="107"/>
    </w:p>
    <w:p w14:paraId="15245274" w14:textId="77777777" w:rsidR="004E6221" w:rsidRDefault="004E6221" w:rsidP="0004064D">
      <w:pPr>
        <w:pStyle w:val="CGCBodyCopy"/>
      </w:pPr>
      <w:r w:rsidRPr="00A6407F">
        <w:t>This attachment reports on the quality assurance procedures applied in this update. These procedures aim to ensure</w:t>
      </w:r>
      <w:r>
        <w:t>:</w:t>
      </w:r>
    </w:p>
    <w:p w14:paraId="2D7BD6ED" w14:textId="13F3E518" w:rsidR="004E6221" w:rsidRDefault="004E6221" w:rsidP="004E6221">
      <w:pPr>
        <w:pStyle w:val="BodyText"/>
        <w:numPr>
          <w:ilvl w:val="0"/>
          <w:numId w:val="39"/>
        </w:numPr>
        <w:jc w:val="both"/>
      </w:pPr>
      <w:r w:rsidRPr="00A6407F">
        <w:t>data used in the Commission’s assessments are fit for purpose and of the best possible quality</w:t>
      </w:r>
      <w:r>
        <w:t xml:space="preserve"> </w:t>
      </w:r>
    </w:p>
    <w:p w14:paraId="02F11113" w14:textId="0EA880A5" w:rsidR="004E6221" w:rsidRDefault="004E6221" w:rsidP="004E6221">
      <w:pPr>
        <w:pStyle w:val="BodyText"/>
        <w:numPr>
          <w:ilvl w:val="0"/>
          <w:numId w:val="39"/>
        </w:numPr>
        <w:jc w:val="both"/>
      </w:pPr>
      <w:r w:rsidRPr="00A6407F">
        <w:t>analysis is accurate</w:t>
      </w:r>
    </w:p>
    <w:p w14:paraId="7528CA9C" w14:textId="6F81CA19" w:rsidR="004E6221" w:rsidRDefault="004E6221" w:rsidP="004E6221">
      <w:pPr>
        <w:pStyle w:val="BodyText"/>
        <w:numPr>
          <w:ilvl w:val="0"/>
          <w:numId w:val="39"/>
        </w:numPr>
        <w:jc w:val="both"/>
      </w:pPr>
      <w:r w:rsidRPr="00A6407F">
        <w:t xml:space="preserve">reporting of the Commission’s findings and reasons for decisions leading to them </w:t>
      </w:r>
      <w:r>
        <w:t>are</w:t>
      </w:r>
      <w:r w:rsidRPr="00A6407F">
        <w:t xml:space="preserve"> accurate and transparent. </w:t>
      </w:r>
    </w:p>
    <w:p w14:paraId="38F1B22B" w14:textId="4799B053" w:rsidR="004E6221" w:rsidRPr="00A6407F" w:rsidRDefault="004E6221" w:rsidP="0004064D">
      <w:pPr>
        <w:pStyle w:val="CGCBodyCopy"/>
      </w:pPr>
      <w:r w:rsidRPr="00A6407F">
        <w:t xml:space="preserve">The procedures are consistent with the 2020 Review Quality Assurance Strategic Plan, which is available on the </w:t>
      </w:r>
      <w:hyperlink r:id="rId60" w:history="1">
        <w:r w:rsidRPr="00A6407F">
          <w:rPr>
            <w:rStyle w:val="Hyperlink"/>
            <w:rFonts w:eastAsiaTheme="majorEastAsia"/>
            <w:color w:val="auto"/>
            <w:u w:val="none"/>
          </w:rPr>
          <w:t>Commission’s website</w:t>
        </w:r>
      </w:hyperlink>
      <w:r w:rsidRPr="00A6407F">
        <w:t xml:space="preserve"> (https://www.cgc.gov.au).</w:t>
      </w:r>
    </w:p>
    <w:p w14:paraId="2B4CF0F7" w14:textId="222D5E55" w:rsidR="004E6221" w:rsidRPr="00A6407F" w:rsidRDefault="004E6221" w:rsidP="000D6032">
      <w:pPr>
        <w:pStyle w:val="Heading2"/>
      </w:pPr>
      <w:bookmarkStart w:id="108" w:name="_Toc65050573"/>
      <w:r w:rsidRPr="00A6407F">
        <w:t>Checking calculations</w:t>
      </w:r>
      <w:bookmarkEnd w:id="108"/>
    </w:p>
    <w:p w14:paraId="41C5094C" w14:textId="77777777" w:rsidR="004E6221" w:rsidRPr="00A6407F" w:rsidRDefault="004E6221" w:rsidP="0004064D">
      <w:pPr>
        <w:pStyle w:val="CGCBodyCopy"/>
      </w:pPr>
      <w:r w:rsidRPr="00A6407F">
        <w:t>The Commission completed a rigorous internal audit of all calculations. For each assessment, internal checks were performed and formally signed off by the assessment officer, the assessment team leader and another officer not involved in the original calculation.</w:t>
      </w:r>
    </w:p>
    <w:p w14:paraId="3F029315" w14:textId="6A83CCE6" w:rsidR="004E6221" w:rsidRPr="00A6407F" w:rsidRDefault="004E6221" w:rsidP="0004064D">
      <w:pPr>
        <w:pStyle w:val="CGCBodyCopy"/>
      </w:pPr>
      <w:bookmarkStart w:id="109" w:name="_Ref32844110"/>
      <w:r w:rsidRPr="00A6407F">
        <w:t xml:space="preserve">The Commission also engaged officers from the Australian Treasury with relevant technical expertise to check the calculations. These checks were done after internal checks were completed. </w:t>
      </w:r>
      <w:bookmarkEnd w:id="109"/>
    </w:p>
    <w:p w14:paraId="60D16ABD" w14:textId="4A8B8DE9" w:rsidR="004E6221" w:rsidRPr="00A6407F" w:rsidRDefault="004E6221" w:rsidP="000D6032">
      <w:pPr>
        <w:pStyle w:val="Heading2"/>
      </w:pPr>
      <w:bookmarkStart w:id="110" w:name="_Toc65050574"/>
      <w:r w:rsidRPr="00A6407F">
        <w:t>Reporting of methods, decisions and results</w:t>
      </w:r>
      <w:bookmarkEnd w:id="110"/>
    </w:p>
    <w:p w14:paraId="5CF8B3E4" w14:textId="59311234" w:rsidR="004E6221" w:rsidRPr="00A6407F" w:rsidRDefault="004E6221" w:rsidP="0004064D">
      <w:pPr>
        <w:pStyle w:val="CGCBodyCopy"/>
      </w:pPr>
      <w:r w:rsidRPr="00A6407F">
        <w:t>Transparency and accuracy in reporting the assessment methods, decisions and results are important in ensuring high quality outputs.</w:t>
      </w:r>
    </w:p>
    <w:p w14:paraId="4C1A2CDC" w14:textId="4A944967" w:rsidR="004E6221" w:rsidRPr="00A6407F" w:rsidRDefault="004E6221" w:rsidP="0004064D">
      <w:pPr>
        <w:pStyle w:val="CGCBodyCopy"/>
      </w:pPr>
      <w:r w:rsidRPr="00A6407F">
        <w:t>The Commission undertook a comprehensive program of proofreading and checking of tables and results to ensure they aligned with the original calculations.</w:t>
      </w:r>
    </w:p>
    <w:p w14:paraId="2337D781" w14:textId="34660BDD" w:rsidR="004E6221" w:rsidRPr="00A6407F" w:rsidRDefault="004E6221" w:rsidP="0004064D">
      <w:pPr>
        <w:pStyle w:val="CGCBodyCopy"/>
      </w:pPr>
      <w:r w:rsidRPr="00A6407F">
        <w:t xml:space="preserve">The Commission </w:t>
      </w:r>
      <w:r>
        <w:t xml:space="preserve">has </w:t>
      </w:r>
      <w:r w:rsidRPr="00A6407F">
        <w:t xml:space="preserve">posted </w:t>
      </w:r>
      <w:r>
        <w:t xml:space="preserve">this </w:t>
      </w:r>
      <w:r w:rsidR="006D4AF0">
        <w:t>u</w:t>
      </w:r>
      <w:r>
        <w:t xml:space="preserve">pdate and </w:t>
      </w:r>
      <w:r w:rsidRPr="00A6407F">
        <w:t xml:space="preserve">its </w:t>
      </w:r>
      <w:r>
        <w:t xml:space="preserve">consultation paper: </w:t>
      </w:r>
      <w:hyperlink r:id="rId61" w:history="1">
        <w:r w:rsidRPr="00640BCB">
          <w:rPr>
            <w:rStyle w:val="Hyperlink"/>
            <w:i/>
            <w:iCs/>
          </w:rPr>
          <w:t>New issues for the 2022 Update</w:t>
        </w:r>
      </w:hyperlink>
      <w:r>
        <w:t>, s</w:t>
      </w:r>
      <w:r w:rsidRPr="00A6407F">
        <w:t xml:space="preserve">tate submissions on </w:t>
      </w:r>
      <w:r>
        <w:t xml:space="preserve">that </w:t>
      </w:r>
      <w:r w:rsidRPr="00A6407F">
        <w:t xml:space="preserve">paper, </w:t>
      </w:r>
      <w:r>
        <w:t>and a range of supporting documents</w:t>
      </w:r>
      <w:r w:rsidRPr="00A6407F">
        <w:t xml:space="preserve"> on the</w:t>
      </w:r>
      <w:r>
        <w:t xml:space="preserve"> Commission website </w:t>
      </w:r>
      <w:r w:rsidRPr="00A6407F">
        <w:t>(https://www.cgc.gov.au).</w:t>
      </w:r>
    </w:p>
    <w:p w14:paraId="3858D71E" w14:textId="43417E61" w:rsidR="00E3139F" w:rsidRDefault="00E3139F" w:rsidP="0004064D">
      <w:pPr>
        <w:pStyle w:val="CGCBodyCopy"/>
      </w:pPr>
    </w:p>
    <w:p w14:paraId="2C52D1D6" w14:textId="77777777" w:rsidR="003E30D2" w:rsidRDefault="003E30D2" w:rsidP="0004064D">
      <w:pPr>
        <w:pStyle w:val="CGCBodyCopy"/>
        <w:sectPr w:rsidR="003E30D2" w:rsidSect="008E2BFE">
          <w:pgSz w:w="11900" w:h="16840"/>
          <w:pgMar w:top="1247" w:right="1418" w:bottom="1134" w:left="1418" w:header="851" w:footer="284" w:gutter="0"/>
          <w:cols w:space="708"/>
          <w:docGrid w:linePitch="360"/>
        </w:sectPr>
      </w:pPr>
    </w:p>
    <w:p w14:paraId="429A18F8" w14:textId="169ACDE6" w:rsidR="00F83205" w:rsidRPr="00253C51" w:rsidRDefault="00F83205" w:rsidP="00BE344A">
      <w:pPr>
        <w:pStyle w:val="Heading1"/>
        <w:rPr>
          <w:bCs w:val="0"/>
        </w:rPr>
      </w:pPr>
      <w:bookmarkStart w:id="111" w:name="_Toc96074920"/>
      <w:r w:rsidRPr="00253C51">
        <w:rPr>
          <w:bCs w:val="0"/>
          <w:noProof/>
        </w:rPr>
        <w:drawing>
          <wp:anchor distT="0" distB="0" distL="114300" distR="114300" simplePos="0" relativeHeight="251658252" behindDoc="1" locked="1" layoutInCell="1" allowOverlap="1" wp14:anchorId="04C0591A" wp14:editId="6226F410">
            <wp:simplePos x="0" y="0"/>
            <wp:positionH relativeFrom="page">
              <wp:align>right</wp:align>
            </wp:positionH>
            <wp:positionV relativeFrom="page">
              <wp:align>bottom</wp:align>
            </wp:positionV>
            <wp:extent cx="7563485" cy="10691495"/>
            <wp:effectExtent l="0" t="0" r="0" b="0"/>
            <wp:wrapNone/>
            <wp:docPr id="53" name="Picture 5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253C51">
        <w:rPr>
          <w:bCs w:val="0"/>
        </w:rPr>
        <w:t>Glossary</w:t>
      </w:r>
      <w:bookmarkEnd w:id="111"/>
    </w:p>
    <w:p w14:paraId="5C2E5D2D" w14:textId="1F97D11E" w:rsidR="00F83205" w:rsidRPr="00F83205" w:rsidRDefault="00F83205" w:rsidP="0004064D">
      <w:pPr>
        <w:pStyle w:val="CGCBodyCopy"/>
      </w:pPr>
      <w:r w:rsidRPr="00F83205">
        <w:t>This glossary includes terms used in this report that have a meaning specific to the Commission.</w:t>
      </w:r>
    </w:p>
    <w:p w14:paraId="79B96E25" w14:textId="77777777" w:rsidR="00F83205" w:rsidRPr="00F83205" w:rsidRDefault="00F83205" w:rsidP="00F83205">
      <w:pPr>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2018 legislated arrangements</w:t>
      </w:r>
    </w:p>
    <w:p w14:paraId="59C389BC" w14:textId="77777777" w:rsidR="00F83205" w:rsidRPr="00F83205" w:rsidRDefault="00F83205" w:rsidP="0004064D">
      <w:pPr>
        <w:pStyle w:val="CGCBodyCopy"/>
      </w:pPr>
      <w:r w:rsidRPr="002B34F2">
        <w:t>The</w:t>
      </w:r>
      <w:r w:rsidRPr="00F83205">
        <w:t xml:space="preserve"> </w:t>
      </w:r>
      <w:r w:rsidRPr="001B046B">
        <w:rPr>
          <w:i/>
          <w:iCs/>
        </w:rPr>
        <w:t>Treasury Laws Amendment (Making Sure Every State and Territory Gets Their Fair Share of GST) Act 2018</w:t>
      </w:r>
      <w:r w:rsidRPr="00F83205">
        <w:t xml:space="preserve"> includes the following key changes to the GST arrangements:</w:t>
      </w:r>
    </w:p>
    <w:p w14:paraId="3D87DAB9" w14:textId="7F9A5926" w:rsidR="00F83205" w:rsidRPr="00F83205" w:rsidRDefault="00F83205" w:rsidP="002B34F2">
      <w:pPr>
        <w:pStyle w:val="BodyText"/>
      </w:pPr>
      <w:r w:rsidRPr="00F83205">
        <w:t>additional funding in the GST pool through pool top</w:t>
      </w:r>
      <w:r w:rsidR="00F670C3">
        <w:noBreakHyphen/>
      </w:r>
      <w:r w:rsidRPr="00F83205">
        <w:t>ups (see GST pool top</w:t>
      </w:r>
      <w:r w:rsidR="00F670C3">
        <w:noBreakHyphen/>
      </w:r>
      <w:r w:rsidRPr="00F83205">
        <w:t>up</w:t>
      </w:r>
      <w:r w:rsidR="00BB7F16">
        <w:t xml:space="preserve"> payment</w:t>
      </w:r>
      <w:r w:rsidRPr="00F83205">
        <w:t xml:space="preserve">s defined below) </w:t>
      </w:r>
    </w:p>
    <w:p w14:paraId="1FDEB47D" w14:textId="19113E48" w:rsidR="00F83205" w:rsidRPr="00F83205" w:rsidRDefault="00F83205" w:rsidP="002B34F2">
      <w:pPr>
        <w:pStyle w:val="BodyText"/>
      </w:pPr>
      <w:r w:rsidRPr="00F83205">
        <w:t>changes to the distribution system so that no state has a relativity lower than the lower of New South Wales or Victoria (see standard state relativit</w:t>
      </w:r>
      <w:r w:rsidR="00BB7F16">
        <w:t>y</w:t>
      </w:r>
      <w:r w:rsidRPr="00F83205">
        <w:t xml:space="preserve"> defined below)</w:t>
      </w:r>
    </w:p>
    <w:p w14:paraId="3DBEEB9D" w14:textId="598A0248" w:rsidR="00F83205" w:rsidRPr="00F83205" w:rsidRDefault="00F83205" w:rsidP="002B34F2">
      <w:pPr>
        <w:pStyle w:val="BodyText"/>
      </w:pPr>
      <w:r w:rsidRPr="00F83205">
        <w:t xml:space="preserve">changes to the distribution system to introduce a floor below which a state’s </w:t>
      </w:r>
      <w:r w:rsidR="00BB7F16">
        <w:t xml:space="preserve">GST </w:t>
      </w:r>
      <w:r w:rsidRPr="00F83205">
        <w:t>relativity cannot fall (see relativity floor defined below)</w:t>
      </w:r>
    </w:p>
    <w:p w14:paraId="6061B575" w14:textId="77777777" w:rsidR="00F83205" w:rsidRPr="00F83205" w:rsidRDefault="00F83205" w:rsidP="002B34F2">
      <w:pPr>
        <w:pStyle w:val="BodyText"/>
      </w:pPr>
      <w:r w:rsidRPr="00F83205">
        <w:t>transition arrangements over a 6-year period. Transition arrangements include a no worse off guarantee, blending of assessed and standard state relativities to move gradually to standard state relativities, and moving to a GST relativity floor of 0.75.</w:t>
      </w:r>
    </w:p>
    <w:p w14:paraId="1F7B3807" w14:textId="3B6AC0AC" w:rsidR="00F83205" w:rsidRPr="00F83205" w:rsidRDefault="00F83205" w:rsidP="0004064D">
      <w:pPr>
        <w:pStyle w:val="CGCBodyCopy"/>
        <w:rPr>
          <w:b/>
        </w:rPr>
      </w:pPr>
      <w:r w:rsidRPr="00F83205">
        <w:t xml:space="preserve">For a general explanation of how this is being implemented, see </w:t>
      </w:r>
      <w:hyperlink r:id="rId62" w:history="1">
        <w:r w:rsidR="00192BF3">
          <w:rPr>
            <w:rStyle w:val="Hyperlink"/>
          </w:rPr>
          <w:t>New arrangements for distributing GST</w:t>
        </w:r>
      </w:hyperlink>
      <w:r w:rsidRPr="00F83205">
        <w:t>,</w:t>
      </w:r>
      <w:r w:rsidR="00192BF3">
        <w:t xml:space="preserve"> </w:t>
      </w:r>
      <w:r w:rsidR="00192BF3" w:rsidRPr="00192BF3">
        <w:t>Occasional Paper</w:t>
      </w:r>
      <w:r w:rsidR="00192BF3">
        <w:t>,</w:t>
      </w:r>
      <w:r w:rsidRPr="00F83205">
        <w:t xml:space="preserve"> September 2021 and</w:t>
      </w:r>
      <w:hyperlink r:id="rId63" w:history="1">
        <w:r w:rsidR="00393900">
          <w:rPr>
            <w:rStyle w:val="Hyperlink"/>
          </w:rPr>
          <w:t xml:space="preserve"> Report on GST Revenue Sharing Relativities, 2020 Review</w:t>
        </w:r>
      </w:hyperlink>
      <w:r w:rsidRPr="00F83205">
        <w:t>, Volume 2, Chapter 4.</w:t>
      </w:r>
    </w:p>
    <w:p w14:paraId="552114F2" w14:textId="2D62541B" w:rsidR="00F83205" w:rsidRPr="00F83205" w:rsidRDefault="00F83205" w:rsidP="00F83205">
      <w:pPr>
        <w:tabs>
          <w:tab w:val="clear" w:pos="567"/>
        </w:tabs>
        <w:spacing w:before="240" w:line="300" w:lineRule="atLeast"/>
        <w:jc w:val="both"/>
        <w:rPr>
          <w:rFonts w:ascii="Work Sans" w:eastAsia="Times New Roman" w:hAnsi="Work Sans" w:cs="Times New Roman"/>
          <w:b/>
          <w:sz w:val="24"/>
          <w:szCs w:val="20"/>
          <w:lang w:eastAsia="en-AU"/>
        </w:rPr>
      </w:pPr>
      <w:r w:rsidRPr="47D6632C">
        <w:rPr>
          <w:rFonts w:ascii="Work Sans" w:eastAsia="Times New Roman" w:hAnsi="Work Sans" w:cs="Times New Roman"/>
          <w:b/>
          <w:sz w:val="24"/>
          <w:szCs w:val="24"/>
          <w:lang w:eastAsia="en-AU"/>
        </w:rPr>
        <w:t xml:space="preserve">actual per capita </w:t>
      </w:r>
      <w:r w:rsidRPr="00F83205">
        <w:rPr>
          <w:rFonts w:ascii="Work Sans" w:eastAsia="Times New Roman" w:hAnsi="Work Sans" w:cs="Times New Roman"/>
          <w:b/>
          <w:sz w:val="24"/>
          <w:szCs w:val="20"/>
          <w:lang w:eastAsia="en-AU"/>
        </w:rPr>
        <w:t xml:space="preserve">assessment </w:t>
      </w:r>
      <w:r w:rsidR="00BB7F16">
        <w:rPr>
          <w:rFonts w:ascii="Work Sans" w:eastAsia="Times New Roman" w:hAnsi="Work Sans" w:cs="Times New Roman"/>
          <w:b/>
          <w:sz w:val="24"/>
          <w:szCs w:val="20"/>
          <w:lang w:eastAsia="en-AU"/>
        </w:rPr>
        <w:t xml:space="preserve">(APC) </w:t>
      </w:r>
      <w:r w:rsidRPr="00F83205">
        <w:rPr>
          <w:rFonts w:ascii="Work Sans" w:eastAsia="Times New Roman" w:hAnsi="Work Sans" w:cs="Times New Roman"/>
          <w:b/>
          <w:sz w:val="24"/>
          <w:szCs w:val="20"/>
          <w:lang w:eastAsia="en-AU"/>
        </w:rPr>
        <w:t xml:space="preserve">method </w:t>
      </w:r>
    </w:p>
    <w:p w14:paraId="712D6ECA" w14:textId="534490CB" w:rsidR="00F83205" w:rsidRPr="00F83205" w:rsidRDefault="00F83205" w:rsidP="0004064D">
      <w:pPr>
        <w:pStyle w:val="CGCBodyCopy"/>
      </w:pPr>
      <w:r w:rsidRPr="00F83205">
        <w:t xml:space="preserve">A method used by the Commission where the assessed expense or revenue for each state is set equal to its </w:t>
      </w:r>
      <w:r w:rsidRPr="00F83205">
        <w:rPr>
          <w:i/>
        </w:rPr>
        <w:t>actual</w:t>
      </w:r>
      <w:r w:rsidRPr="00F83205">
        <w:t xml:space="preserve"> expense or revenue. It is used when, in the Commission’s judg</w:t>
      </w:r>
      <w:r w:rsidR="00317E12">
        <w:t>e</w:t>
      </w:r>
      <w:r w:rsidRPr="00F83205">
        <w:t>ment, the policies of all states are sufficiently similar</w:t>
      </w:r>
      <w:r w:rsidR="00B62D94">
        <w:t>, meaning</w:t>
      </w:r>
      <w:r w:rsidRPr="00F83205" w:rsidDel="00310176">
        <w:t xml:space="preserve"> </w:t>
      </w:r>
      <w:r w:rsidRPr="00F83205">
        <w:t>differences in expenses or revenue per person are due to differences in state circumstances, rather than policy choices.</w:t>
      </w:r>
    </w:p>
    <w:p w14:paraId="77002448" w14:textId="77777777" w:rsidR="00F83205" w:rsidRPr="00F83205" w:rsidRDefault="00F83205" w:rsidP="00F83205">
      <w:pPr>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 xml:space="preserve">administrative scale </w:t>
      </w:r>
    </w:p>
    <w:p w14:paraId="5B7CC362" w14:textId="170F5596" w:rsidR="00F83205" w:rsidRPr="00F83205" w:rsidRDefault="00F83205" w:rsidP="0004064D">
      <w:pPr>
        <w:pStyle w:val="CGCBodyCopy"/>
        <w:rPr>
          <w:rFonts w:eastAsia="Times New Roman" w:cs="Times New Roman"/>
        </w:rPr>
      </w:pPr>
      <w:r w:rsidRPr="00F83205">
        <w:t>A measure of the differences in costs that states incur in providing the minimum level of administration and policy development required to deliver services. It relates to core head office functions and specialised state</w:t>
      </w:r>
      <w:r w:rsidRPr="00F83205">
        <w:noBreakHyphen/>
        <w:t xml:space="preserve">wide services provided centrally. </w:t>
      </w:r>
      <w:r w:rsidRPr="00F83205">
        <w:rPr>
          <w:rFonts w:eastAsia="Times New Roman" w:cs="Times New Roman"/>
        </w:rPr>
        <w:t>More populous states can spread these costs across a larger service population</w:t>
      </w:r>
      <w:r w:rsidR="00063A58">
        <w:rPr>
          <w:rFonts w:eastAsia="Times New Roman" w:cs="Times New Roman"/>
        </w:rPr>
        <w:t>,</w:t>
      </w:r>
      <w:r w:rsidRPr="00F83205">
        <w:rPr>
          <w:rFonts w:eastAsia="Times New Roman" w:cs="Times New Roman"/>
        </w:rPr>
        <w:t xml:space="preserve"> which reduces the cost per person.</w:t>
      </w:r>
      <w:r w:rsidR="002B34F2">
        <w:rPr>
          <w:rFonts w:eastAsia="Times New Roman" w:cs="Times New Roman"/>
        </w:rPr>
        <w:t xml:space="preserve"> </w:t>
      </w:r>
      <w:r w:rsidRPr="00F83205">
        <w:t>It differs from the concept of economies of scale, which measures cost advantages in unit price due to a larger volume of output.</w:t>
      </w:r>
    </w:p>
    <w:p w14:paraId="5C606FB9" w14:textId="77777777" w:rsidR="00F83205" w:rsidRPr="00F83205" w:rsidRDefault="00F83205" w:rsidP="0018110E">
      <w:pPr>
        <w:keepNext/>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application year</w:t>
      </w:r>
    </w:p>
    <w:p w14:paraId="7AAB0656" w14:textId="4CB38AE0" w:rsidR="00F83205" w:rsidRPr="00F83205" w:rsidRDefault="00F83205" w:rsidP="0004064D">
      <w:pPr>
        <w:pStyle w:val="CGCBodyCopy"/>
      </w:pPr>
      <w:r w:rsidRPr="00F83205">
        <w:t xml:space="preserve">The year in which the recommended relativities are used to distribute the </w:t>
      </w:r>
      <w:bookmarkStart w:id="112" w:name="_Hlk62208058"/>
      <w:r w:rsidRPr="00F83205">
        <w:t>GST pool</w:t>
      </w:r>
      <w:bookmarkEnd w:id="112"/>
      <w:r w:rsidRPr="00F83205">
        <w:t>. For example, for the 2022 Update, the application year is 2022</w:t>
      </w:r>
      <w:r w:rsidR="00106750">
        <w:noBreakHyphen/>
      </w:r>
      <w:r w:rsidRPr="00F83205">
        <w:t>23.</w:t>
      </w:r>
    </w:p>
    <w:p w14:paraId="0E1F144C" w14:textId="77777777"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assessed expenses</w:t>
      </w:r>
    </w:p>
    <w:p w14:paraId="595A4F3F" w14:textId="77777777" w:rsidR="00F83205" w:rsidRPr="00F83205" w:rsidRDefault="00F83205" w:rsidP="0004064D">
      <w:pPr>
        <w:pStyle w:val="CGCBodyCopy"/>
      </w:pPr>
      <w:r w:rsidRPr="00F83205">
        <w:t xml:space="preserve">The expenses a state would incur based on its relative advantages and disadvantages if it were to </w:t>
      </w:r>
      <w:bookmarkStart w:id="113" w:name="_Hlk94023976"/>
      <w:r w:rsidRPr="00F83205">
        <w:t>follow average policies</w:t>
      </w:r>
      <w:bookmarkEnd w:id="113"/>
      <w:r w:rsidRPr="00F83205">
        <w:t xml:space="preserve"> and operate at average efficiency.</w:t>
      </w:r>
    </w:p>
    <w:p w14:paraId="789F0118" w14:textId="77777777"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 xml:space="preserve">assessed investment </w:t>
      </w:r>
    </w:p>
    <w:p w14:paraId="06F9F46D" w14:textId="5E99CBB9" w:rsidR="00F83205" w:rsidRPr="00F83205" w:rsidRDefault="00F83205" w:rsidP="0004064D">
      <w:pPr>
        <w:pStyle w:val="CGCBodyCopy"/>
      </w:pPr>
      <w:r w:rsidRPr="00F83205">
        <w:rPr>
          <w:noProof/>
        </w:rPr>
        <w:drawing>
          <wp:anchor distT="0" distB="0" distL="114300" distR="114300" simplePos="0" relativeHeight="251658309" behindDoc="1" locked="1" layoutInCell="1" allowOverlap="1" wp14:anchorId="62C5F1D6" wp14:editId="7CAA0D8D">
            <wp:simplePos x="0" y="0"/>
            <wp:positionH relativeFrom="page">
              <wp:posOffset>6985</wp:posOffset>
            </wp:positionH>
            <wp:positionV relativeFrom="margin">
              <wp:posOffset>-795655</wp:posOffset>
            </wp:positionV>
            <wp:extent cx="7563485" cy="10691495"/>
            <wp:effectExtent l="0" t="0" r="0" b="0"/>
            <wp:wrapNone/>
            <wp:docPr id="58" name="Picture 5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F83205">
        <w:t>The expenditure on new and replacement infrastructure a state would incur based on its relative advantages and disadvantages if it were to follow average policies and operate at average efficiency.</w:t>
      </w:r>
    </w:p>
    <w:p w14:paraId="3E22B311" w14:textId="77777777" w:rsidR="00F83205" w:rsidRPr="00F83205" w:rsidRDefault="00F83205" w:rsidP="00F83205">
      <w:pPr>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assessed net borrowing</w:t>
      </w:r>
    </w:p>
    <w:p w14:paraId="543C793A" w14:textId="225FAB3F" w:rsidR="00F83205" w:rsidRPr="00F83205" w:rsidRDefault="00F83205" w:rsidP="0004064D">
      <w:pPr>
        <w:pStyle w:val="CGCBodyCopy"/>
      </w:pPr>
      <w:r w:rsidRPr="00F83205">
        <w:t xml:space="preserve">The net borrowing that a state would </w:t>
      </w:r>
      <w:r w:rsidR="00216E0C">
        <w:t>undertake</w:t>
      </w:r>
      <w:r w:rsidRPr="00F83205">
        <w:t xml:space="preserve"> in a year if it followed the average policy of all states and operated at average efficiency. This is assessed to give states the capacity to maintain the national average net financial liabilities per person. States with slower growing populations have greater GST </w:t>
      </w:r>
      <w:r w:rsidR="005458F9">
        <w:t>needs</w:t>
      </w:r>
      <w:r w:rsidRPr="00F83205">
        <w:t xml:space="preserve"> for this assessment. </w:t>
      </w:r>
    </w:p>
    <w:p w14:paraId="2F038F0C" w14:textId="77777777" w:rsidR="00F83205" w:rsidRPr="00F83205" w:rsidRDefault="00F83205" w:rsidP="00F83205">
      <w:pPr>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assessed relativity</w:t>
      </w:r>
    </w:p>
    <w:p w14:paraId="36938532" w14:textId="264ABCF6" w:rsidR="00F83205" w:rsidRPr="00F83205" w:rsidRDefault="00AB1D84" w:rsidP="0004064D">
      <w:pPr>
        <w:pStyle w:val="CGCBodyCopy"/>
      </w:pPr>
      <w:r>
        <w:t>A</w:t>
      </w:r>
      <w:r w:rsidR="00F83205" w:rsidRPr="00F83205">
        <w:t xml:space="preserve"> measure used to inform the distribution of the GST pool. Assessed relativities are determined for each state such that, after allowing for advantages and disadvantages affecting revenues and expenditures, each would have the fiscal capacity to provide services and associated infrastructure at the same standard, if each made the same effort to raise revenue from its own</w:t>
      </w:r>
      <w:r>
        <w:t xml:space="preserve"> </w:t>
      </w:r>
      <w:r w:rsidR="00F83205" w:rsidRPr="00F83205">
        <w:t>sources and operated at the same level of efficiency. In addition to own-source revenue the measure takes account of access to Commonwealth payments treated as impact (defined below). The assessed relativities are blended with the standard state relativities (defined below) to obtain the GST relativities (defined below).</w:t>
      </w:r>
    </w:p>
    <w:p w14:paraId="54698DBA" w14:textId="77777777" w:rsidR="00F83205" w:rsidRPr="00F83205" w:rsidRDefault="00F83205" w:rsidP="00F83205">
      <w:pPr>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assessed revenue</w:t>
      </w:r>
    </w:p>
    <w:p w14:paraId="706F0C1B" w14:textId="592FFE5B" w:rsidR="00F83205" w:rsidRPr="00F83205" w:rsidRDefault="00F83205" w:rsidP="0004064D">
      <w:pPr>
        <w:pStyle w:val="CGCBodyCopy"/>
      </w:pPr>
      <w:r w:rsidRPr="00F83205">
        <w:t>The revenue a state would raise if it were to apply average policies to its revenue base and raise revenue at the average level of efficiency. Assessed revenue excludes differences from the average due to policy choices, for example a higher or lower tax rate compared to the average</w:t>
      </w:r>
      <w:r w:rsidR="00AB1D84">
        <w:t>.</w:t>
      </w:r>
      <w:r w:rsidRPr="00F83205">
        <w:t xml:space="preserve"> </w:t>
      </w:r>
    </w:p>
    <w:p w14:paraId="6F306B74" w14:textId="77777777"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assessment years</w:t>
      </w:r>
    </w:p>
    <w:p w14:paraId="2F9746E4" w14:textId="4DC3F7F1" w:rsidR="00F83205" w:rsidRPr="00F83205" w:rsidRDefault="00F83205" w:rsidP="0004064D">
      <w:pPr>
        <w:pStyle w:val="CGCBodyCopy"/>
      </w:pPr>
      <w:r w:rsidRPr="00F83205">
        <w:t xml:space="preserve">The Commission uses lagged data for </w:t>
      </w:r>
      <w:r w:rsidRPr="00F83205" w:rsidDel="00B431A2">
        <w:t>3</w:t>
      </w:r>
      <w:r w:rsidRPr="00F83205">
        <w:t> assessment years to calculate the recommended GST distribution in a given application year. For the 2022 Update, the assessment years are 2018</w:t>
      </w:r>
      <w:r w:rsidR="00296AFE">
        <w:t>–</w:t>
      </w:r>
      <w:r w:rsidRPr="00F83205">
        <w:t>19, 2019</w:t>
      </w:r>
      <w:r w:rsidR="00296AFE">
        <w:t>–</w:t>
      </w:r>
      <w:r w:rsidRPr="00F83205">
        <w:t>20 and 2020</w:t>
      </w:r>
      <w:r w:rsidR="00296AFE">
        <w:t>–</w:t>
      </w:r>
      <w:r w:rsidRPr="00F83205">
        <w:t>21.</w:t>
      </w:r>
    </w:p>
    <w:p w14:paraId="59875525" w14:textId="77777777"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average expense / revenue</w:t>
      </w:r>
      <w:r w:rsidRPr="00F83205">
        <w:rPr>
          <w:rFonts w:ascii="Work Sans" w:eastAsia="Times New Roman" w:hAnsi="Work Sans" w:cs="Times New Roman"/>
          <w:noProof/>
          <w:sz w:val="24"/>
          <w:szCs w:val="20"/>
          <w:lang w:eastAsia="en-AU"/>
        </w:rPr>
        <w:drawing>
          <wp:anchor distT="0" distB="0" distL="114300" distR="114300" simplePos="0" relativeHeight="251658254" behindDoc="1" locked="1" layoutInCell="1" allowOverlap="1" wp14:anchorId="2548F6D2" wp14:editId="7B3190F4">
            <wp:simplePos x="0" y="0"/>
            <wp:positionH relativeFrom="page">
              <wp:align>left</wp:align>
            </wp:positionH>
            <wp:positionV relativeFrom="page">
              <wp:align>top</wp:align>
            </wp:positionV>
            <wp:extent cx="7563485" cy="10691495"/>
            <wp:effectExtent l="0" t="0" r="0" b="0"/>
            <wp:wrapNone/>
            <wp:docPr id="59" name="Picture 5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37DA4EC0" w14:textId="77777777" w:rsidR="00F83205" w:rsidRPr="00F83205" w:rsidRDefault="00F83205" w:rsidP="0004064D">
      <w:pPr>
        <w:pStyle w:val="CGCBodyCopy"/>
      </w:pPr>
      <w:r w:rsidRPr="00F83205">
        <w:t>A per person measure derived as the total spending, or revenue collected by states, divided by the total population across Australia. It represents the average amount spent by states on each person or the average revenue collected from each person. As a ‘per person’ calculation, the more populous states generally have a greater effect on the average than the less populous states.</w:t>
      </w:r>
    </w:p>
    <w:p w14:paraId="4D0BDB37" w14:textId="77777777"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blended relativities</w:t>
      </w:r>
    </w:p>
    <w:p w14:paraId="5AE5A10C" w14:textId="1D08CE37" w:rsidR="00F83205" w:rsidRPr="00F83205" w:rsidRDefault="00F83205" w:rsidP="0004064D">
      <w:pPr>
        <w:pStyle w:val="CGCBodyCopy"/>
        <w:rPr>
          <w:bCs/>
        </w:rPr>
      </w:pPr>
      <w:r w:rsidRPr="00F83205">
        <w:t xml:space="preserve">The transition to full application of the 2018 legislated arrangements involves the blending of assessed relativities and standard state relativities (defined below). The blending proportions are specified in the </w:t>
      </w:r>
      <w:r w:rsidRPr="00F83205">
        <w:rPr>
          <w:i/>
        </w:rPr>
        <w:t>Treasury Laws Amendment (Making Sure Every State and Territory Gets Their Fair Share of GST) Act 2018</w:t>
      </w:r>
      <w:r w:rsidRPr="00F83205">
        <w:t xml:space="preserve">. For the 2022 Update, the blend is weighted </w:t>
      </w:r>
      <w:r w:rsidR="00720279">
        <w:t>two</w:t>
      </w:r>
      <w:r w:rsidR="00720279">
        <w:noBreakHyphen/>
        <w:t>thirds</w:t>
      </w:r>
      <w:r w:rsidRPr="00F83205">
        <w:t xml:space="preserve"> to assessed relativities and </w:t>
      </w:r>
      <w:r w:rsidR="009A7AEF">
        <w:t>one</w:t>
      </w:r>
      <w:r w:rsidR="009A7AEF">
        <w:noBreakHyphen/>
        <w:t>third</w:t>
      </w:r>
      <w:r w:rsidRPr="00F83205">
        <w:t xml:space="preserve"> to standard state relativities. The weight given to standard state relativities increases each year until the transition is complete in 2026</w:t>
      </w:r>
      <w:r w:rsidR="00FB0560">
        <w:t>–</w:t>
      </w:r>
      <w:r w:rsidRPr="00F83205">
        <w:t xml:space="preserve">27. </w:t>
      </w:r>
      <w:r w:rsidRPr="00F83205">
        <w:rPr>
          <w:iCs/>
        </w:rPr>
        <w:t>It is an input to the calculation of a state’s GST relativity.</w:t>
      </w:r>
    </w:p>
    <w:p w14:paraId="366041EB" w14:textId="77777777" w:rsidR="00F83205" w:rsidRPr="00F83205" w:rsidRDefault="00F83205" w:rsidP="00F83205">
      <w:pPr>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Commonwealth payments</w:t>
      </w:r>
    </w:p>
    <w:p w14:paraId="25CDB82D" w14:textId="0FBAA050" w:rsidR="00F83205" w:rsidRPr="00F83205" w:rsidRDefault="00F83205" w:rsidP="0004064D">
      <w:pPr>
        <w:pStyle w:val="CGCBodyCopy"/>
      </w:pPr>
      <w:r w:rsidRPr="00F83205">
        <w:t xml:space="preserve">Payments to states made by the Commonwealth. These include general revenue grants (other than distribution of the GST pool), payments for specific purposes and some payments for Commonwealth own-purpose expenses. The Commission determines the treatment of each payment as impact or no impact using </w:t>
      </w:r>
      <w:r w:rsidRPr="00F83205" w:rsidDel="00560B35">
        <w:t>established</w:t>
      </w:r>
      <w:r w:rsidRPr="00F83205">
        <w:t xml:space="preserve"> guidelines.</w:t>
      </w:r>
    </w:p>
    <w:p w14:paraId="601F6E16" w14:textId="47409B28" w:rsidR="00F83205" w:rsidRPr="00F83205" w:rsidRDefault="00F83205" w:rsidP="00F83205">
      <w:pPr>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 xml:space="preserve">Commonwealth payment treated as </w:t>
      </w:r>
      <w:r w:rsidR="00A83A3B">
        <w:rPr>
          <w:rFonts w:ascii="Work Sans" w:eastAsia="Times New Roman" w:hAnsi="Work Sans" w:cs="Times New Roman"/>
          <w:b/>
          <w:sz w:val="24"/>
          <w:szCs w:val="20"/>
          <w:lang w:eastAsia="en-AU"/>
        </w:rPr>
        <w:t>‘</w:t>
      </w:r>
      <w:r w:rsidRPr="00F83205">
        <w:rPr>
          <w:rFonts w:ascii="Work Sans" w:eastAsia="Times New Roman" w:hAnsi="Work Sans" w:cs="Times New Roman"/>
          <w:b/>
          <w:sz w:val="24"/>
          <w:szCs w:val="20"/>
          <w:lang w:eastAsia="en-AU"/>
        </w:rPr>
        <w:t>impact</w:t>
      </w:r>
      <w:r w:rsidR="00A83A3B">
        <w:rPr>
          <w:rFonts w:ascii="Work Sans" w:eastAsia="Times New Roman" w:hAnsi="Work Sans" w:cs="Times New Roman"/>
          <w:b/>
          <w:sz w:val="24"/>
          <w:szCs w:val="20"/>
          <w:lang w:eastAsia="en-AU"/>
        </w:rPr>
        <w:t>’</w:t>
      </w:r>
    </w:p>
    <w:p w14:paraId="30CF36BB" w14:textId="77777777" w:rsidR="00F83205" w:rsidRPr="00F83205" w:rsidRDefault="00F83205" w:rsidP="0004064D">
      <w:pPr>
        <w:pStyle w:val="CGCBodyCopy"/>
      </w:pPr>
      <w:r w:rsidRPr="00F83205">
        <w:t xml:space="preserve">In treating a Commonwealth payment as ‘impact’ the Commission considers that it funds state services for which expense needs are assessed. </w:t>
      </w:r>
      <w:bookmarkStart w:id="114" w:name="_Hlk95317831"/>
      <w:r w:rsidRPr="00F83205">
        <w:t xml:space="preserve">These payments reduce the fiscal pressure on the state and therefore should have an impact on relativities. </w:t>
      </w:r>
    </w:p>
    <w:bookmarkEnd w:id="114"/>
    <w:p w14:paraId="18737DA0" w14:textId="46FC1216"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sz w:val="24"/>
          <w:szCs w:val="20"/>
          <w:lang w:eastAsia="en-AU"/>
        </w:rPr>
      </w:pPr>
      <w:r w:rsidRPr="00F83205">
        <w:rPr>
          <w:rFonts w:ascii="Work Sans" w:eastAsia="Times New Roman" w:hAnsi="Work Sans" w:cs="Times New Roman"/>
          <w:b/>
          <w:sz w:val="24"/>
          <w:szCs w:val="20"/>
          <w:lang w:eastAsia="en-AU"/>
        </w:rPr>
        <w:t xml:space="preserve">Commonwealth payment treated as </w:t>
      </w:r>
      <w:r w:rsidR="00A83A3B">
        <w:rPr>
          <w:rFonts w:ascii="Work Sans" w:eastAsia="Times New Roman" w:hAnsi="Work Sans" w:cs="Times New Roman"/>
          <w:b/>
          <w:sz w:val="24"/>
          <w:szCs w:val="20"/>
          <w:lang w:eastAsia="en-AU"/>
        </w:rPr>
        <w:t>‘</w:t>
      </w:r>
      <w:r w:rsidRPr="00F83205">
        <w:rPr>
          <w:rFonts w:ascii="Work Sans" w:eastAsia="Times New Roman" w:hAnsi="Work Sans" w:cs="Times New Roman"/>
          <w:b/>
          <w:sz w:val="24"/>
          <w:szCs w:val="20"/>
          <w:lang w:eastAsia="en-AU"/>
        </w:rPr>
        <w:t>no impact</w:t>
      </w:r>
      <w:r w:rsidR="00A83A3B">
        <w:rPr>
          <w:rFonts w:ascii="Work Sans" w:eastAsia="Times New Roman" w:hAnsi="Work Sans" w:cs="Times New Roman"/>
          <w:b/>
          <w:sz w:val="24"/>
          <w:szCs w:val="20"/>
          <w:lang w:eastAsia="en-AU"/>
        </w:rPr>
        <w:t>’</w:t>
      </w:r>
    </w:p>
    <w:p w14:paraId="21A726DD" w14:textId="6A1BA637" w:rsidR="00F83205" w:rsidRPr="00F83205" w:rsidRDefault="00F83205" w:rsidP="0004064D">
      <w:pPr>
        <w:pStyle w:val="CGCBodyCopy"/>
      </w:pPr>
      <w:r w:rsidRPr="00F83205">
        <w:t>In treating a Commonwealth payment as ‘no impact’ the Commission considers that it does not fund a state service for which needs are assessed. This means, in the Commission’s judgement, these payments do not have a fiscal impact on the state and therefore should have no impact on relativities.</w:t>
      </w:r>
    </w:p>
    <w:p w14:paraId="248AA78E" w14:textId="77777777"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noProof/>
          <w:sz w:val="24"/>
          <w:szCs w:val="20"/>
          <w:lang w:eastAsia="en-AU"/>
        </w:rPr>
        <w:drawing>
          <wp:anchor distT="0" distB="0" distL="114300" distR="114300" simplePos="0" relativeHeight="251658255" behindDoc="1" locked="1" layoutInCell="1" allowOverlap="1" wp14:anchorId="3792E976" wp14:editId="1A13216C">
            <wp:simplePos x="0" y="0"/>
            <wp:positionH relativeFrom="page">
              <wp:align>right</wp:align>
            </wp:positionH>
            <wp:positionV relativeFrom="page">
              <wp:align>top</wp:align>
            </wp:positionV>
            <wp:extent cx="7563485" cy="10691495"/>
            <wp:effectExtent l="0" t="0" r="0" b="0"/>
            <wp:wrapNone/>
            <wp:docPr id="60" name="Picture 6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F83205">
        <w:rPr>
          <w:rFonts w:ascii="Work Sans" w:eastAsia="Times New Roman" w:hAnsi="Work Sans" w:cs="Times New Roman"/>
          <w:b/>
          <w:sz w:val="24"/>
          <w:szCs w:val="20"/>
          <w:lang w:eastAsia="en-AU"/>
        </w:rPr>
        <w:t>discount</w:t>
      </w:r>
    </w:p>
    <w:p w14:paraId="764AC00F" w14:textId="40C8FBE5" w:rsidR="00F83205" w:rsidRPr="00F83205" w:rsidRDefault="00F83205" w:rsidP="0004064D">
      <w:pPr>
        <w:pStyle w:val="CGCBodyCopy"/>
      </w:pPr>
      <w:r w:rsidRPr="00F83205">
        <w:t xml:space="preserve">Where a Commission assessment is affected by uncertainty in data or methods, it may decide to apply a discount. </w:t>
      </w:r>
      <w:r w:rsidR="001350E2">
        <w:t>The</w:t>
      </w:r>
      <w:r w:rsidRPr="00F83205">
        <w:t xml:space="preserve"> discount reflect</w:t>
      </w:r>
      <w:r w:rsidR="001350E2">
        <w:t>s</w:t>
      </w:r>
      <w:r w:rsidRPr="00F83205">
        <w:t xml:space="preserve"> </w:t>
      </w:r>
      <w:r w:rsidR="001350E2">
        <w:t>the Commission’s</w:t>
      </w:r>
      <w:r w:rsidRPr="00F83205">
        <w:t xml:space="preserve"> judgement of the degree of uncertainty; 12.5% for low, 25% for medium and 50% for high levels of uncertainty. </w:t>
      </w:r>
    </w:p>
    <w:p w14:paraId="2CB6F89C" w14:textId="25B01016"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driver</w:t>
      </w:r>
    </w:p>
    <w:p w14:paraId="026C4793" w14:textId="6DCDD9C0" w:rsidR="00F83205" w:rsidRPr="00F83205" w:rsidRDefault="00F83205" w:rsidP="0004064D">
      <w:pPr>
        <w:pStyle w:val="CGCBodyCopy"/>
      </w:pPr>
      <w:r w:rsidRPr="00F83205">
        <w:t>A factor outside a state’s control that mean</w:t>
      </w:r>
      <w:r w:rsidR="008053F7">
        <w:t>s</w:t>
      </w:r>
      <w:r w:rsidRPr="00F83205">
        <w:t>:</w:t>
      </w:r>
    </w:p>
    <w:p w14:paraId="0F029026" w14:textId="65E0A867" w:rsidR="00F83205" w:rsidRPr="00F83205" w:rsidRDefault="00F83205" w:rsidP="003F74AA">
      <w:pPr>
        <w:pStyle w:val="BodyText"/>
        <w:rPr>
          <w:rFonts w:asciiTheme="minorHAnsi" w:eastAsiaTheme="minorEastAsia" w:hAnsiTheme="minorHAnsi"/>
        </w:rPr>
      </w:pPr>
      <w:r w:rsidRPr="00F83205">
        <w:t>with average effort it can raise above (or below) average revenue per capita, or</w:t>
      </w:r>
    </w:p>
    <w:p w14:paraId="7060A8B1" w14:textId="76A967E2" w:rsidR="00F83205" w:rsidRPr="00F83205" w:rsidRDefault="00F83205" w:rsidP="003F74AA">
      <w:pPr>
        <w:pStyle w:val="BodyText"/>
        <w:rPr>
          <w:rFonts w:asciiTheme="minorHAnsi" w:eastAsiaTheme="minorEastAsia" w:hAnsiTheme="minorHAnsi"/>
        </w:rPr>
      </w:pPr>
      <w:r w:rsidRPr="00F83205">
        <w:t>it needs to spend more (or less) per person than the average to provide the average level of service.</w:t>
      </w:r>
    </w:p>
    <w:p w14:paraId="4734898F" w14:textId="6F4BA89F" w:rsidR="00F83205" w:rsidRPr="00F83205" w:rsidRDefault="00F83205" w:rsidP="0004064D">
      <w:pPr>
        <w:pStyle w:val="CGCBodyCopy"/>
        <w:rPr>
          <w:b/>
        </w:rPr>
      </w:pPr>
      <w:r w:rsidRPr="00F83205">
        <w:t xml:space="preserve">Drivers of differences in revenue raising capacity include mining production, land values and property transactions. Drivers of differences in the costs of services include </w:t>
      </w:r>
      <w:r w:rsidRPr="00CD793C">
        <w:t>socio-demographic characteristics</w:t>
      </w:r>
      <w:r w:rsidRPr="00F83205">
        <w:t>, wage pressures, population dispersion or density, and rates of population growth.</w:t>
      </w:r>
    </w:p>
    <w:p w14:paraId="458E0525" w14:textId="77777777" w:rsidR="00F83205" w:rsidRPr="00F83205" w:rsidRDefault="00F83205" w:rsidP="00F83818">
      <w:pPr>
        <w:keepNext/>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equal per capita (EPC) assessment method</w:t>
      </w:r>
    </w:p>
    <w:p w14:paraId="7468403E" w14:textId="45134C73" w:rsidR="00F83205" w:rsidRPr="00F83205" w:rsidRDefault="00805219" w:rsidP="0004064D">
      <w:pPr>
        <w:pStyle w:val="CGCBodyCopy"/>
      </w:pPr>
      <w:r>
        <w:t>Where e</w:t>
      </w:r>
      <w:r w:rsidR="00F83205" w:rsidRPr="00F83205">
        <w:t xml:space="preserve">ach state’s assessed expense or assessed revenue in a category is set equal to the Australian average per capita amount. The Commission typically uses this when it judges that there are no material differences in advantages and disadvantages </w:t>
      </w:r>
      <w:r w:rsidR="00F83205" w:rsidRPr="00F83205">
        <w:rPr>
          <w:rFonts w:eastAsia="Calibri" w:cs="Arial"/>
        </w:rPr>
        <w:t>between the states, or where it cannot develop reliable assessments due to data or other limitations. This type of assessment means that no needs are assessed for any state and that there is no impact on the GST pool distribution.</w:t>
      </w:r>
    </w:p>
    <w:p w14:paraId="5E7588A0" w14:textId="77777777" w:rsidR="00F83205" w:rsidRPr="00073AC2" w:rsidRDefault="00F83205" w:rsidP="00F83205">
      <w:pPr>
        <w:tabs>
          <w:tab w:val="clear" w:pos="567"/>
        </w:tabs>
        <w:spacing w:before="240" w:line="300" w:lineRule="atLeast"/>
        <w:jc w:val="both"/>
        <w:rPr>
          <w:rFonts w:ascii="Work Sans" w:eastAsia="Times New Roman" w:hAnsi="Work Sans" w:cs="Times New Roman"/>
          <w:b/>
          <w:sz w:val="24"/>
          <w:szCs w:val="20"/>
          <w:lang w:eastAsia="en-AU"/>
        </w:rPr>
      </w:pPr>
      <w:r w:rsidRPr="00073AC2">
        <w:rPr>
          <w:rFonts w:ascii="Work Sans" w:eastAsia="Times New Roman" w:hAnsi="Work Sans" w:cs="Times New Roman"/>
          <w:b/>
          <w:sz w:val="24"/>
          <w:szCs w:val="20"/>
          <w:lang w:eastAsia="en-AU"/>
        </w:rPr>
        <w:t>GST needs</w:t>
      </w:r>
    </w:p>
    <w:p w14:paraId="0DC236A0" w14:textId="77777777" w:rsidR="00273415" w:rsidRDefault="007D6551" w:rsidP="0004064D">
      <w:pPr>
        <w:pStyle w:val="CGCBodyCopy"/>
      </w:pPr>
      <w:r w:rsidRPr="00073AC2">
        <w:t xml:space="preserve">The distribution of the GST pool that would reduce disparities in the fiscal capacities of the states. </w:t>
      </w:r>
    </w:p>
    <w:p w14:paraId="5A9F15D8" w14:textId="03C3E8AF" w:rsidR="00F83205" w:rsidRPr="006A1AC0" w:rsidRDefault="00F83205" w:rsidP="006A1AC0">
      <w:pPr>
        <w:tabs>
          <w:tab w:val="clear" w:pos="567"/>
        </w:tabs>
        <w:spacing w:before="240" w:line="300" w:lineRule="atLeast"/>
        <w:jc w:val="both"/>
        <w:rPr>
          <w:rFonts w:ascii="Work Sans" w:eastAsia="Times New Roman" w:hAnsi="Work Sans" w:cs="Times New Roman"/>
          <w:b/>
          <w:sz w:val="24"/>
          <w:szCs w:val="20"/>
          <w:lang w:eastAsia="en-AU"/>
        </w:rPr>
      </w:pPr>
      <w:r w:rsidRPr="006A1AC0">
        <w:rPr>
          <w:rFonts w:ascii="Work Sans" w:eastAsia="Times New Roman" w:hAnsi="Work Sans" w:cs="Times New Roman"/>
          <w:b/>
          <w:sz w:val="24"/>
          <w:szCs w:val="20"/>
          <w:lang w:eastAsia="en-AU"/>
        </w:rPr>
        <w:t>GST pool</w:t>
      </w:r>
    </w:p>
    <w:p w14:paraId="2415E573" w14:textId="2034408C" w:rsidR="00F83205" w:rsidRPr="00F83205" w:rsidRDefault="00F83205" w:rsidP="0004064D">
      <w:pPr>
        <w:pStyle w:val="CGCBodyCopy"/>
      </w:pPr>
      <w:r w:rsidRPr="00F83205">
        <w:t>The funds available for distribution to the states as untied financial assistance. From 2021</w:t>
      </w:r>
      <w:r w:rsidR="00FB0560">
        <w:t>–</w:t>
      </w:r>
      <w:r w:rsidRPr="00F83205">
        <w:t xml:space="preserve">22 the pool comprises GST revenue plus pool top-up payments made by the Commonwealth. </w:t>
      </w:r>
    </w:p>
    <w:p w14:paraId="7710286B" w14:textId="77777777" w:rsidR="00F83205" w:rsidRPr="00073AC2"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073AC2">
        <w:rPr>
          <w:rFonts w:ascii="Work Sans" w:eastAsia="Times New Roman" w:hAnsi="Work Sans" w:cs="Times New Roman"/>
          <w:b/>
          <w:sz w:val="24"/>
          <w:szCs w:val="20"/>
          <w:lang w:eastAsia="en-AU"/>
        </w:rPr>
        <w:t>GST pool top-up payments</w:t>
      </w:r>
    </w:p>
    <w:p w14:paraId="41EB8130" w14:textId="48C61FF6" w:rsidR="00F83205" w:rsidRPr="00F83205" w:rsidRDefault="00F83205" w:rsidP="0004064D">
      <w:pPr>
        <w:pStyle w:val="CGCBodyCopy"/>
      </w:pPr>
      <w:r w:rsidRPr="00073AC2">
        <w:t>Additional funds provided by the Commonwealth to top</w:t>
      </w:r>
      <w:r w:rsidR="00F670C3">
        <w:noBreakHyphen/>
      </w:r>
      <w:r w:rsidRPr="00073AC2">
        <w:t xml:space="preserve">up the GST revenue pool as specified in section 8A(1) of the </w:t>
      </w:r>
      <w:r w:rsidRPr="00073AC2">
        <w:rPr>
          <w:i/>
        </w:rPr>
        <w:t>Treasury Laws Amendment (Making Sure Every State and Territory Gets Their Fair Share of GST) Act 2018.</w:t>
      </w:r>
      <w:r w:rsidR="005B6E81" w:rsidRPr="00073AC2">
        <w:t xml:space="preserve"> Under the 2018 legislated arrangements there is annual </w:t>
      </w:r>
      <w:r w:rsidR="0008045B" w:rsidRPr="00073AC2">
        <w:t xml:space="preserve">indexation </w:t>
      </w:r>
      <w:r w:rsidR="00F9151A">
        <w:t>of the GST pool top</w:t>
      </w:r>
      <w:r w:rsidR="00F9151A">
        <w:noBreakHyphen/>
        <w:t>up amount.</w:t>
      </w:r>
    </w:p>
    <w:p w14:paraId="02C7F312" w14:textId="77777777"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GST relativity</w:t>
      </w:r>
    </w:p>
    <w:p w14:paraId="4BC4AAD7" w14:textId="6D6BBE85" w:rsidR="00F83205" w:rsidRPr="00F83205" w:rsidRDefault="00F83205" w:rsidP="0004064D">
      <w:pPr>
        <w:pStyle w:val="CGCBodyCopy"/>
      </w:pPr>
      <w:r w:rsidRPr="00F83205">
        <w:t>The per person weight</w:t>
      </w:r>
      <w:r w:rsidRPr="00F83205">
        <w:rPr>
          <w:noProof/>
        </w:rPr>
        <w:drawing>
          <wp:anchor distT="0" distB="0" distL="114300" distR="114300" simplePos="0" relativeHeight="251658275" behindDoc="1" locked="1" layoutInCell="1" allowOverlap="1" wp14:anchorId="6AF5DFA2" wp14:editId="1EDD09DC">
            <wp:simplePos x="0" y="0"/>
            <wp:positionH relativeFrom="page">
              <wp:align>right</wp:align>
            </wp:positionH>
            <wp:positionV relativeFrom="page">
              <wp:align>top</wp:align>
            </wp:positionV>
            <wp:extent cx="7563485" cy="10691495"/>
            <wp:effectExtent l="0" t="0" r="0" b="0"/>
            <wp:wrapNone/>
            <wp:docPr id="61" name="Picture 6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F83205">
        <w:t xml:space="preserve"> used to calculate a state’s share of the GST pool. A state with a GST relativity higher than one (the average) will receive an above</w:t>
      </w:r>
      <w:r w:rsidR="002E7313">
        <w:noBreakHyphen/>
      </w:r>
      <w:r w:rsidRPr="00F83205">
        <w:t>average amount of GST per person. Under the 2018 legislated arrangements, a state’s GST relativity is derived by blending its assessed relativity with its standard state relativity (defined below)</w:t>
      </w:r>
      <w:r w:rsidR="00DA6C8A">
        <w:t>,</w:t>
      </w:r>
      <w:r w:rsidRPr="00F83205">
        <w:t xml:space="preserve"> and then ensuring no state receives less than the GST relativity floor (defined below).</w:t>
      </w:r>
    </w:p>
    <w:p w14:paraId="52DAE7E0" w14:textId="6C471E5E" w:rsidR="00F83205" w:rsidRPr="00F83205" w:rsidRDefault="00B976E7"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Pr>
          <w:rFonts w:ascii="Work Sans" w:eastAsia="Times New Roman" w:hAnsi="Work Sans" w:cs="Times New Roman"/>
          <w:b/>
          <w:sz w:val="24"/>
          <w:szCs w:val="20"/>
          <w:lang w:eastAsia="en-AU"/>
        </w:rPr>
        <w:t>h</w:t>
      </w:r>
      <w:r w:rsidR="00F83205" w:rsidRPr="00F83205">
        <w:rPr>
          <w:rFonts w:ascii="Work Sans" w:eastAsia="Times New Roman" w:hAnsi="Work Sans" w:cs="Times New Roman"/>
          <w:b/>
          <w:sz w:val="24"/>
          <w:szCs w:val="20"/>
          <w:lang w:eastAsia="en-AU"/>
        </w:rPr>
        <w:t>orizontal fiscal equalisation (HFE)</w:t>
      </w:r>
    </w:p>
    <w:p w14:paraId="32FE7130" w14:textId="6FC191B8" w:rsidR="00F83205" w:rsidRPr="00F83205" w:rsidRDefault="00F83205" w:rsidP="0004064D">
      <w:pPr>
        <w:pStyle w:val="CGCBodyCopy"/>
      </w:pPr>
      <w:r w:rsidRPr="00F83205">
        <w:t>A central government policy that seeks to reduce fiscal disparities between sub-central governments. Australia gives effect to HFE by distributing the GST pool to states to ensure that each has a similar fiscal capacity, under average policies and efficiency, to provide services and associated infrastructure to its citizens.</w:t>
      </w:r>
    </w:p>
    <w:p w14:paraId="66491F18" w14:textId="77777777"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infrastructure</w:t>
      </w:r>
    </w:p>
    <w:p w14:paraId="1E3AC1B3" w14:textId="5C2554AE" w:rsidR="00F83205" w:rsidRPr="00F83205" w:rsidRDefault="00F83205" w:rsidP="0004064D">
      <w:pPr>
        <w:pStyle w:val="CGCBodyCopy"/>
      </w:pPr>
      <w:r w:rsidRPr="00F83205">
        <w:t>The stock of physical assets belonging to a state’s general government sector and its u</w:t>
      </w:r>
      <w:r w:rsidRPr="00F83205">
        <w:rPr>
          <w:noProof/>
        </w:rPr>
        <w:drawing>
          <wp:anchor distT="0" distB="0" distL="114300" distR="114300" simplePos="0" relativeHeight="251658253" behindDoc="1" locked="1" layoutInCell="1" allowOverlap="1" wp14:anchorId="5F8E26F4" wp14:editId="6B7959E5">
            <wp:simplePos x="0" y="0"/>
            <wp:positionH relativeFrom="page">
              <wp:posOffset>8255</wp:posOffset>
            </wp:positionH>
            <wp:positionV relativeFrom="page">
              <wp:posOffset>3810</wp:posOffset>
            </wp:positionV>
            <wp:extent cx="7563485" cy="10691495"/>
            <wp:effectExtent l="0" t="0" r="0" b="0"/>
            <wp:wrapNone/>
            <wp:docPr id="62" name="Picture 6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F83205">
        <w:t>rban public transport and housing public non-financial corporations.</w:t>
      </w:r>
    </w:p>
    <w:p w14:paraId="4F25ABAB" w14:textId="77777777"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investment</w:t>
      </w:r>
    </w:p>
    <w:p w14:paraId="7337AF70" w14:textId="5AD5C961" w:rsidR="00F83205" w:rsidRPr="00F83205" w:rsidRDefault="00F83205" w:rsidP="0004064D">
      <w:pPr>
        <w:pStyle w:val="CGCBodyCopy"/>
      </w:pPr>
      <w:r w:rsidRPr="00F83205">
        <w:t xml:space="preserve">The acquisition of physical assets for new infrastructure or to replace depreciated infrastructure, less any disposals of assets. This concept differs </w:t>
      </w:r>
      <w:r w:rsidR="00F7292D">
        <w:t>from</w:t>
      </w:r>
      <w:r w:rsidRPr="00F83205">
        <w:t xml:space="preserve"> that used by the </w:t>
      </w:r>
      <w:r w:rsidRPr="00CD793C">
        <w:t>Australian Bureau of Statistics</w:t>
      </w:r>
      <w:r w:rsidRPr="00F83205">
        <w:t xml:space="preserve"> for gross fixed capital formation. Gross fixed capital formation does not include non</w:t>
      </w:r>
      <w:r w:rsidRPr="00F83205">
        <w:noBreakHyphen/>
        <w:t>produced asset transfers, such as land, which is included in the investment assessment.</w:t>
      </w:r>
    </w:p>
    <w:p w14:paraId="3A52403E" w14:textId="77777777"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 xml:space="preserve">materiality </w:t>
      </w:r>
    </w:p>
    <w:p w14:paraId="00775B60" w14:textId="66876596" w:rsidR="00F83205" w:rsidRPr="00F83205" w:rsidRDefault="00F83205" w:rsidP="0004064D">
      <w:pPr>
        <w:pStyle w:val="CGCBodyCopy"/>
      </w:pPr>
      <w:r w:rsidRPr="00F83205">
        <w:t xml:space="preserve">A test the Commission uses in deciding whether to undertake separate assessments of needs, or to make data adjustments. </w:t>
      </w:r>
      <w:r w:rsidR="00890EF4">
        <w:t>A</w:t>
      </w:r>
      <w:r w:rsidRPr="00F83205">
        <w:t>n assessment is material if it changes the GST any state receives by at least $35 per person. A data adjustment is material if it changes the GST any state receives by at least $10 per person.</w:t>
      </w:r>
    </w:p>
    <w:p w14:paraId="7DF924F9" w14:textId="2C231F79" w:rsidR="00F83205" w:rsidRPr="00F83205" w:rsidRDefault="00F83205" w:rsidP="00F83205">
      <w:pPr>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method review</w:t>
      </w:r>
      <w:r w:rsidR="00EE6324">
        <w:rPr>
          <w:rFonts w:ascii="Work Sans" w:eastAsia="Times New Roman" w:hAnsi="Work Sans" w:cs="Times New Roman"/>
          <w:b/>
          <w:sz w:val="24"/>
          <w:szCs w:val="20"/>
          <w:lang w:eastAsia="en-AU"/>
        </w:rPr>
        <w:t>s</w:t>
      </w:r>
      <w:r w:rsidRPr="00F83205">
        <w:rPr>
          <w:rFonts w:ascii="Work Sans" w:eastAsia="Times New Roman" w:hAnsi="Work Sans" w:cs="Times New Roman"/>
          <w:b/>
          <w:sz w:val="24"/>
          <w:szCs w:val="20"/>
          <w:lang w:eastAsia="en-AU"/>
        </w:rPr>
        <w:t xml:space="preserve"> and updates</w:t>
      </w:r>
    </w:p>
    <w:p w14:paraId="5A0C6004" w14:textId="112AAC7B" w:rsidR="00F83205" w:rsidRPr="00F83205" w:rsidRDefault="00F83205" w:rsidP="0004064D">
      <w:pPr>
        <w:pStyle w:val="CGCBodyCopy"/>
      </w:pPr>
      <w:r w:rsidRPr="00F83205">
        <w:t>During a method review the Commission reconsiders the methods it uses to calculate the recommended GST distribution, according to terms of reference given to it. From 1988 onwards, method reviews have usually occurred every five years. In contrast, an update of GST relativities is conducted every year other than a review year. In an update, the Commission applies the methods it determined in the last review to incorporate new budgetary developments and the most recent available data. From the 2021 Update, the recommended relativities also reflect the transition to the 2018 legislated arrangements.</w:t>
      </w:r>
    </w:p>
    <w:p w14:paraId="27CC4CB3" w14:textId="51E3EC9D"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natural disaster relief</w:t>
      </w:r>
    </w:p>
    <w:p w14:paraId="63A7414C" w14:textId="77777777" w:rsidR="00F83205" w:rsidRPr="00F83205" w:rsidRDefault="00F83205" w:rsidP="0004064D">
      <w:pPr>
        <w:pStyle w:val="CGCBodyCopy"/>
      </w:pPr>
      <w:r w:rsidRPr="00F83205">
        <w:t xml:space="preserve">Expenses incurred by states under the Disaster Recovery Funding Arrangements 2018. These </w:t>
      </w:r>
      <w:r w:rsidRPr="0027752B">
        <w:t>are</w:t>
      </w:r>
      <w:r w:rsidRPr="00F83205">
        <w:t xml:space="preserve"> assessed on an </w:t>
      </w:r>
      <w:r w:rsidRPr="00CD793C">
        <w:t>actual per capita basis.</w:t>
      </w:r>
    </w:p>
    <w:p w14:paraId="2280EB62" w14:textId="77777777" w:rsidR="00F83205" w:rsidRPr="00F83205" w:rsidRDefault="00F83205" w:rsidP="00F83205">
      <w:pPr>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net financial worth</w:t>
      </w:r>
    </w:p>
    <w:p w14:paraId="46D2E239" w14:textId="77777777" w:rsidR="00F83205" w:rsidRPr="00F83205" w:rsidRDefault="00F83205" w:rsidP="0004064D">
      <w:pPr>
        <w:pStyle w:val="CGCBodyCopy"/>
      </w:pPr>
      <w:r w:rsidRPr="00F83205">
        <w:t>The sum of financial assets minus the sum of liabilities.</w:t>
      </w:r>
    </w:p>
    <w:p w14:paraId="233D7375" w14:textId="77777777" w:rsidR="00F83205" w:rsidRPr="00073AC2"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073AC2">
        <w:rPr>
          <w:rFonts w:ascii="Work Sans" w:eastAsia="Times New Roman" w:hAnsi="Work Sans" w:cs="Times New Roman"/>
          <w:b/>
          <w:sz w:val="24"/>
          <w:szCs w:val="20"/>
          <w:lang w:eastAsia="en-AU"/>
        </w:rPr>
        <w:t>no worse off payments</w:t>
      </w:r>
    </w:p>
    <w:p w14:paraId="078325AD" w14:textId="6B2EA346" w:rsidR="00F83205" w:rsidRPr="00F83205" w:rsidRDefault="00F83205" w:rsidP="0004064D">
      <w:pPr>
        <w:pStyle w:val="CGCBodyCopy"/>
        <w:rPr>
          <w:b/>
          <w:bCs/>
        </w:rPr>
      </w:pPr>
      <w:r w:rsidRPr="00073AC2">
        <w:t xml:space="preserve">Payments made by the Commonwealth under section 5(3) of the </w:t>
      </w:r>
      <w:r w:rsidRPr="00073AC2">
        <w:rPr>
          <w:i/>
        </w:rPr>
        <w:t>Treasury Laws Amendment (Making Sure Every State and Territory Gets Their Fair Share of GST) Act 2018</w:t>
      </w:r>
      <w:r w:rsidRPr="00073AC2">
        <w:t>. The payments are part of a guarantee that no state will be worse off over the 6-year transition period (2021</w:t>
      </w:r>
      <w:r w:rsidR="007C7868" w:rsidRPr="00073AC2">
        <w:t>–</w:t>
      </w:r>
      <w:r w:rsidRPr="00073AC2">
        <w:t>22 to 2026</w:t>
      </w:r>
      <w:r w:rsidR="007C7868" w:rsidRPr="00073AC2">
        <w:t>–</w:t>
      </w:r>
      <w:r w:rsidRPr="00073AC2">
        <w:t>27). Each year over the transition period the total amount of financial assistance a state has received since 2021</w:t>
      </w:r>
      <w:r w:rsidR="007C7868" w:rsidRPr="00073AC2">
        <w:t>–</w:t>
      </w:r>
      <w:r w:rsidRPr="00073AC2">
        <w:t>22 (including GST distributions from the topped-up pool and previous no worse off payments) is compared to the total amount of GST it would have received based on no worse off relativities applied to a GST revenue</w:t>
      </w:r>
      <w:r w:rsidR="0075767F">
        <w:noBreakHyphen/>
      </w:r>
      <w:r w:rsidRPr="00073AC2">
        <w:t>only pool. The Commonwealth will make a no worse off payment equal to any cumulative shortfall. Where a state is better off in a year, this is taken into account in calculating a no worse off payment in a subsequent year when it is worse off. This additional financial assistance is funded by the Commonwealth outside the GST pool.</w:t>
      </w:r>
    </w:p>
    <w:p w14:paraId="0683B654" w14:textId="77777777" w:rsidR="00F83205" w:rsidRPr="00F83205" w:rsidRDefault="00F83205" w:rsidP="00F83205">
      <w:pPr>
        <w:tabs>
          <w:tab w:val="clear" w:pos="567"/>
        </w:tabs>
        <w:spacing w:before="240" w:line="300" w:lineRule="atLeast"/>
        <w:jc w:val="both"/>
        <w:rPr>
          <w:rFonts w:ascii="Work Sans" w:eastAsia="Times New Roman" w:hAnsi="Work Sans" w:cs="Times New Roman"/>
          <w:b/>
          <w:bCs/>
          <w:sz w:val="24"/>
          <w:szCs w:val="20"/>
          <w:lang w:eastAsia="en-AU"/>
        </w:rPr>
      </w:pPr>
      <w:r w:rsidRPr="00F83205">
        <w:rPr>
          <w:rFonts w:ascii="Work Sans" w:eastAsia="Times New Roman" w:hAnsi="Work Sans" w:cs="Times New Roman"/>
          <w:b/>
          <w:bCs/>
          <w:sz w:val="24"/>
          <w:szCs w:val="20"/>
          <w:lang w:eastAsia="en-AU"/>
        </w:rPr>
        <w:t>relativity floor</w:t>
      </w:r>
    </w:p>
    <w:p w14:paraId="05F67063" w14:textId="46E926EA" w:rsidR="00F83205" w:rsidRPr="00F83205" w:rsidRDefault="00F83205" w:rsidP="0004064D">
      <w:pPr>
        <w:pStyle w:val="CGCBodyCopy"/>
        <w:rPr>
          <w:highlight w:val="yellow"/>
        </w:rPr>
      </w:pPr>
      <w:r w:rsidRPr="00F83205">
        <w:t>A minimum GST pool sharing relativity, with an initial value of 0.7, then 0.75 from 2024</w:t>
      </w:r>
      <w:r w:rsidR="007C7868">
        <w:t>–</w:t>
      </w:r>
      <w:r w:rsidRPr="00F83205">
        <w:t>25.</w:t>
      </w:r>
    </w:p>
    <w:p w14:paraId="5A423E76" w14:textId="77777777"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revenue base</w:t>
      </w:r>
    </w:p>
    <w:p w14:paraId="3A630D0F" w14:textId="6E65DE9A" w:rsidR="00F83205" w:rsidRPr="00F83205" w:rsidRDefault="00F83205" w:rsidP="0004064D">
      <w:pPr>
        <w:pStyle w:val="CGCBodyCopy"/>
      </w:pPr>
      <w:r w:rsidRPr="00F83205">
        <w:t>A measure of transactions, activities, or assets that are taxed by states. Differences between the revenue bases of each state are used by the Commission to determine the relative capacity of each state to raise revenue.</w:t>
      </w:r>
    </w:p>
    <w:p w14:paraId="04F8CA46" w14:textId="77777777" w:rsidR="00F83205" w:rsidRPr="00F83205" w:rsidRDefault="00F83205" w:rsidP="00F83818">
      <w:pPr>
        <w:keepNext/>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revenue effort</w:t>
      </w:r>
    </w:p>
    <w:p w14:paraId="5774A064" w14:textId="425F51E7" w:rsidR="00F83205" w:rsidRPr="00F83205" w:rsidRDefault="00F83205" w:rsidP="0004064D">
      <w:pPr>
        <w:pStyle w:val="CGCBodyCopy"/>
      </w:pPr>
      <w:r w:rsidRPr="00F83205">
        <w:t>The intensity of use of a revenue base (the implied tax rate) measured as actual revenue divided by assessed revenue. Revenue effort is influenced by the rate of tax or charge, exemptions, and concessions provided, actual scope of the revenue base in a state, and the effort it puts into ensuring compliance.</w:t>
      </w:r>
    </w:p>
    <w:p w14:paraId="303A08AD" w14:textId="4BBE457D"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sz w:val="24"/>
          <w:szCs w:val="20"/>
          <w:lang w:eastAsia="en-AU"/>
        </w:rPr>
        <w:t>socio-demographic composition</w:t>
      </w:r>
    </w:p>
    <w:p w14:paraId="3D6BA15A" w14:textId="7D832202" w:rsidR="00F83205" w:rsidRPr="00F83205" w:rsidRDefault="00E5450D" w:rsidP="0004064D">
      <w:pPr>
        <w:pStyle w:val="CGCBodyCopy"/>
        <w:rPr>
          <w:b/>
          <w:bCs/>
        </w:rPr>
      </w:pPr>
      <w:r>
        <w:t>A</w:t>
      </w:r>
      <w:r w:rsidR="00F83205" w:rsidRPr="00F83205">
        <w:rPr>
          <w:b/>
          <w:bCs/>
        </w:rPr>
        <w:t xml:space="preserve"> </w:t>
      </w:r>
      <w:r w:rsidR="00F83205" w:rsidRPr="00F83205">
        <w:t>measure of differences in the average use an</w:t>
      </w:r>
      <w:r w:rsidR="00F83205" w:rsidRPr="00F83205">
        <w:rPr>
          <w:noProof/>
        </w:rPr>
        <w:drawing>
          <wp:anchor distT="0" distB="0" distL="114300" distR="114300" simplePos="0" relativeHeight="251658297" behindDoc="1" locked="1" layoutInCell="1" allowOverlap="1" wp14:anchorId="34002870" wp14:editId="5B57A1A3">
            <wp:simplePos x="0" y="0"/>
            <wp:positionH relativeFrom="page">
              <wp:posOffset>0</wp:posOffset>
            </wp:positionH>
            <wp:positionV relativeFrom="page">
              <wp:posOffset>5715</wp:posOffset>
            </wp:positionV>
            <wp:extent cx="7563485" cy="10691495"/>
            <wp:effectExtent l="0" t="0" r="0" b="0"/>
            <wp:wrapNone/>
            <wp:docPr id="64" name="Picture 6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F83205" w:rsidRPr="00F83205">
        <w:t xml:space="preserve">d cost of providing services for different population groups. This includes age, </w:t>
      </w:r>
      <w:r w:rsidR="00F83205" w:rsidRPr="00CD793C">
        <w:t>socio-economic status</w:t>
      </w:r>
      <w:r w:rsidR="00F83205" w:rsidRPr="00F83205">
        <w:t>, Indigenous status and remoteness.</w:t>
      </w:r>
    </w:p>
    <w:p w14:paraId="6519BEA1" w14:textId="291067FA" w:rsidR="00F83205" w:rsidRPr="00F83205" w:rsidRDefault="00F83205" w:rsidP="00F83205">
      <w:pPr>
        <w:tabs>
          <w:tab w:val="clear" w:pos="567"/>
        </w:tabs>
        <w:spacing w:before="240" w:line="300" w:lineRule="atLeast"/>
        <w:jc w:val="both"/>
        <w:rPr>
          <w:rFonts w:ascii="Work Sans" w:eastAsia="Times New Roman" w:hAnsi="Work Sans" w:cs="Times New Roman"/>
          <w:b/>
          <w:bCs/>
          <w:sz w:val="24"/>
          <w:szCs w:val="20"/>
          <w:lang w:eastAsia="en-AU"/>
        </w:rPr>
      </w:pPr>
      <w:r w:rsidRPr="00F83205">
        <w:rPr>
          <w:rFonts w:ascii="Work Sans" w:eastAsia="Times New Roman" w:hAnsi="Work Sans" w:cs="Times New Roman"/>
          <w:b/>
          <w:bCs/>
          <w:sz w:val="24"/>
          <w:szCs w:val="20"/>
          <w:lang w:eastAsia="en-AU"/>
        </w:rPr>
        <w:t>standard state relativit</w:t>
      </w:r>
      <w:r w:rsidR="00E5450D">
        <w:rPr>
          <w:rFonts w:ascii="Work Sans" w:eastAsia="Times New Roman" w:hAnsi="Work Sans" w:cs="Times New Roman"/>
          <w:b/>
          <w:bCs/>
          <w:sz w:val="24"/>
          <w:szCs w:val="20"/>
          <w:lang w:eastAsia="en-AU"/>
        </w:rPr>
        <w:t>y</w:t>
      </w:r>
    </w:p>
    <w:p w14:paraId="27B30486" w14:textId="5E9C09BB" w:rsidR="00F83205" w:rsidRPr="00F83205" w:rsidRDefault="00E5450D" w:rsidP="0004064D">
      <w:pPr>
        <w:pStyle w:val="CGCBodyCopy"/>
      </w:pPr>
      <w:r>
        <w:t>An</w:t>
      </w:r>
      <w:r w:rsidR="00F83205" w:rsidRPr="00F83205">
        <w:t xml:space="preserve"> </w:t>
      </w:r>
      <w:r w:rsidR="00500E08">
        <w:t>input</w:t>
      </w:r>
      <w:r w:rsidR="00F83205" w:rsidRPr="00F83205">
        <w:t xml:space="preserve"> under the 2018</w:t>
      </w:r>
      <w:r w:rsidR="00116296">
        <w:t> </w:t>
      </w:r>
      <w:r w:rsidR="00F83205" w:rsidRPr="00F83205">
        <w:t xml:space="preserve">legislated arrangements in calculating the GST relativities. </w:t>
      </w:r>
      <w:r>
        <w:t>A</w:t>
      </w:r>
      <w:r w:rsidR="00F83205" w:rsidRPr="00F83205">
        <w:t xml:space="preserve">ssessed relativities </w:t>
      </w:r>
      <w:r>
        <w:t>are</w:t>
      </w:r>
      <w:r w:rsidR="00F83205" w:rsidRPr="00F83205">
        <w:t xml:space="preserve"> adjusted to ensure that no state has a relativity below the standard state. The standard state is the fiscally stronger of New</w:t>
      </w:r>
      <w:r w:rsidR="009A5C7B">
        <w:t> </w:t>
      </w:r>
      <w:r w:rsidR="00F83205" w:rsidRPr="00F83205">
        <w:t>South Wales or Victoria</w:t>
      </w:r>
      <w:r w:rsidR="00453B12">
        <w:t>.</w:t>
      </w:r>
      <w:r w:rsidR="00F83205" w:rsidRPr="00F83205">
        <w:t xml:space="preserve"> </w:t>
      </w:r>
      <w:r w:rsidR="00453B12">
        <w:t>I</w:t>
      </w:r>
      <w:r w:rsidR="00F83205" w:rsidRPr="00F83205">
        <w:t xml:space="preserve">n the 2022 </w:t>
      </w:r>
      <w:r w:rsidR="0002791D">
        <w:t>U</w:t>
      </w:r>
      <w:r w:rsidR="00F83205" w:rsidRPr="00F83205">
        <w:t xml:space="preserve">pdate </w:t>
      </w:r>
      <w:r w:rsidR="00453B12">
        <w:t xml:space="preserve">it </w:t>
      </w:r>
      <w:r w:rsidR="00F83205" w:rsidRPr="00F83205">
        <w:t>is Victoria</w:t>
      </w:r>
      <w:r w:rsidR="005358FA">
        <w:t>.</w:t>
      </w:r>
    </w:p>
    <w:p w14:paraId="19C160F3" w14:textId="77777777" w:rsidR="00F83205" w:rsidRPr="00F83205" w:rsidRDefault="00F83205" w:rsidP="00F83205">
      <w:pPr>
        <w:keepNext/>
        <w:keepLines/>
        <w:tabs>
          <w:tab w:val="clear" w:pos="567"/>
        </w:tabs>
        <w:spacing w:before="240" w:line="300" w:lineRule="atLeast"/>
        <w:jc w:val="both"/>
        <w:rPr>
          <w:rFonts w:ascii="Work Sans" w:eastAsia="Times New Roman" w:hAnsi="Work Sans" w:cs="Times New Roman"/>
          <w:b/>
          <w:sz w:val="24"/>
          <w:szCs w:val="20"/>
          <w:lang w:eastAsia="en-AU"/>
        </w:rPr>
      </w:pPr>
      <w:r w:rsidRPr="00F83205">
        <w:rPr>
          <w:rFonts w:ascii="Work Sans" w:eastAsia="Times New Roman" w:hAnsi="Work Sans" w:cs="Times New Roman"/>
          <w:b/>
          <w:bCs/>
          <w:sz w:val="24"/>
          <w:szCs w:val="20"/>
          <w:lang w:eastAsia="en-AU"/>
        </w:rPr>
        <w:t>state</w:t>
      </w:r>
      <w:r w:rsidRPr="00F83205">
        <w:rPr>
          <w:rFonts w:ascii="Work Sans" w:eastAsia="Times New Roman" w:hAnsi="Work Sans" w:cs="Times New Roman"/>
          <w:b/>
          <w:sz w:val="24"/>
          <w:szCs w:val="20"/>
          <w:lang w:eastAsia="en-AU"/>
        </w:rPr>
        <w:t>(s)</w:t>
      </w:r>
    </w:p>
    <w:p w14:paraId="2AB0FCB5" w14:textId="77777777" w:rsidR="00F83205" w:rsidRPr="00F83205" w:rsidRDefault="00F83205" w:rsidP="0004064D">
      <w:pPr>
        <w:pStyle w:val="CGCBodyCopy"/>
      </w:pPr>
      <w:r w:rsidRPr="00F83205">
        <w:t>Unless the context indicates otherwise, the term ‘state(s)’ includes the Australian Capital Territory and the Northern Territory.</w:t>
      </w:r>
    </w:p>
    <w:p w14:paraId="62DB6898" w14:textId="77777777" w:rsidR="00F83205" w:rsidRPr="00F83205" w:rsidRDefault="00F83205" w:rsidP="00F83205">
      <w:pPr>
        <w:tabs>
          <w:tab w:val="clear" w:pos="567"/>
        </w:tabs>
        <w:spacing w:before="240" w:line="300" w:lineRule="atLeast"/>
        <w:jc w:val="both"/>
        <w:rPr>
          <w:rFonts w:ascii="Work Sans" w:eastAsia="Times New Roman" w:hAnsi="Work Sans" w:cs="Times New Roman"/>
          <w:b/>
          <w:bCs/>
          <w:sz w:val="24"/>
          <w:szCs w:val="20"/>
          <w:lang w:eastAsia="en-AU"/>
        </w:rPr>
      </w:pPr>
      <w:r w:rsidRPr="00F83205">
        <w:rPr>
          <w:rFonts w:ascii="Work Sans" w:eastAsia="Times New Roman" w:hAnsi="Work Sans" w:cs="Times New Roman"/>
          <w:b/>
          <w:bCs/>
          <w:sz w:val="24"/>
          <w:szCs w:val="20"/>
          <w:lang w:eastAsia="en-AU"/>
        </w:rPr>
        <w:t>transition period</w:t>
      </w:r>
    </w:p>
    <w:p w14:paraId="5BF7AE7A" w14:textId="02CA34BF" w:rsidR="003E30D2" w:rsidRDefault="00065AB8" w:rsidP="0004064D">
      <w:pPr>
        <w:pStyle w:val="CGCBodyCopy"/>
      </w:pPr>
      <w:r>
        <w:t>T</w:t>
      </w:r>
      <w:r w:rsidR="00F83205" w:rsidRPr="00F83205">
        <w:t xml:space="preserve">he transition of GST distribution to </w:t>
      </w:r>
      <w:bookmarkStart w:id="115" w:name="_Hlk94884335"/>
      <w:r w:rsidR="00F83205" w:rsidRPr="00F83205">
        <w:t>the 2018 legislated arrangements</w:t>
      </w:r>
      <w:bookmarkEnd w:id="115"/>
      <w:r w:rsidR="00F83205" w:rsidRPr="00F83205">
        <w:t>. It does not include Commonwealth payments to Western Australia and the Northern Territory outside the GST system before 2021</w:t>
      </w:r>
      <w:r w:rsidR="007C7868">
        <w:t>–</w:t>
      </w:r>
      <w:r w:rsidR="00F83205" w:rsidRPr="00F83205">
        <w:t xml:space="preserve">22, </w:t>
      </w:r>
      <w:r>
        <w:t>which</w:t>
      </w:r>
      <w:r w:rsidR="00F83205" w:rsidRPr="00F83205">
        <w:t xml:space="preserve"> foreshadowed some changes under the 2018 legislated arrangements. The transition period is 2021</w:t>
      </w:r>
      <w:r w:rsidR="007C7868">
        <w:t>–</w:t>
      </w:r>
      <w:r w:rsidR="00F83205" w:rsidRPr="00F83205">
        <w:t>22 to 2026</w:t>
      </w:r>
      <w:r w:rsidR="007C7868">
        <w:t>–</w:t>
      </w:r>
      <w:r w:rsidR="00F83205" w:rsidRPr="00F83205">
        <w:t>27. These are the payment (or application) years</w:t>
      </w:r>
      <w:r w:rsidR="00CE5C66">
        <w:t>,</w:t>
      </w:r>
      <w:r w:rsidR="00F83205" w:rsidRPr="00F83205">
        <w:t xml:space="preserve"> not the assessment years.</w:t>
      </w:r>
      <w:r w:rsidR="003E30D2" w:rsidRPr="00E3139F">
        <w:rPr>
          <w:b/>
          <w:bCs/>
          <w:noProof/>
        </w:rPr>
        <w:drawing>
          <wp:anchor distT="0" distB="0" distL="114300" distR="114300" simplePos="0" relativeHeight="251658298" behindDoc="1" locked="1" layoutInCell="1" allowOverlap="1" wp14:anchorId="58FA050A" wp14:editId="47268A8D">
            <wp:simplePos x="0" y="0"/>
            <wp:positionH relativeFrom="page">
              <wp:posOffset>-6985</wp:posOffset>
            </wp:positionH>
            <wp:positionV relativeFrom="page">
              <wp:posOffset>-635</wp:posOffset>
            </wp:positionV>
            <wp:extent cx="7563485" cy="10691495"/>
            <wp:effectExtent l="0" t="0" r="0" b="0"/>
            <wp:wrapNone/>
            <wp:docPr id="48" name="Picture 4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672AD4F5" w14:textId="77777777" w:rsidR="00F773A2" w:rsidRDefault="00F773A2" w:rsidP="0004064D">
      <w:pPr>
        <w:pStyle w:val="CGCBodyCopy"/>
      </w:pPr>
    </w:p>
    <w:p w14:paraId="2858D317" w14:textId="77777777" w:rsidR="00F773A2" w:rsidRDefault="00F773A2" w:rsidP="0004064D">
      <w:pPr>
        <w:pStyle w:val="CGCBodyCopy"/>
      </w:pPr>
    </w:p>
    <w:p w14:paraId="0316271F" w14:textId="77777777" w:rsidR="00F773A2" w:rsidRPr="00663E23" w:rsidRDefault="00F773A2" w:rsidP="0004064D">
      <w:pPr>
        <w:pStyle w:val="CGCBodyCopy"/>
      </w:pPr>
    </w:p>
    <w:sectPr w:rsidR="00F773A2" w:rsidRPr="00663E23" w:rsidSect="008E2BFE">
      <w:pgSz w:w="11900" w:h="16840"/>
      <w:pgMar w:top="1247" w:right="1418" w:bottom="1134" w:left="1418" w:header="85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40A3F" w14:textId="77777777" w:rsidR="00F8763B" w:rsidRDefault="00F8763B" w:rsidP="005C0550">
      <w:pPr>
        <w:spacing w:before="0" w:line="240" w:lineRule="auto"/>
      </w:pPr>
      <w:r>
        <w:separator/>
      </w:r>
    </w:p>
  </w:endnote>
  <w:endnote w:type="continuationSeparator" w:id="0">
    <w:p w14:paraId="00206424" w14:textId="77777777" w:rsidR="00F8763B" w:rsidRDefault="00F8763B" w:rsidP="005C0550">
      <w:pPr>
        <w:spacing w:before="0" w:line="240" w:lineRule="auto"/>
      </w:pPr>
      <w:r>
        <w:continuationSeparator/>
      </w:r>
    </w:p>
  </w:endnote>
  <w:endnote w:type="continuationNotice" w:id="1">
    <w:p w14:paraId="4002EFB3" w14:textId="77777777" w:rsidR="00F8763B" w:rsidRDefault="00F8763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altName w:val="Calibri"/>
    <w:charset w:val="00"/>
    <w:family w:val="auto"/>
    <w:pitch w:val="variable"/>
    <w:sig w:usb0="A00000FF" w:usb1="5000E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Semibold">
    <w:altName w:val="Segoe UI"/>
    <w:charset w:val="00"/>
    <w:family w:val="swiss"/>
    <w:pitch w:val="variable"/>
    <w:sig w:usb0="E00002EF" w:usb1="4000205B" w:usb2="00000028"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5555125"/>
      <w:docPartObj>
        <w:docPartGallery w:val="Page Numbers (Bottom of Page)"/>
        <w:docPartUnique/>
      </w:docPartObj>
    </w:sdtPr>
    <w:sdtContent>
      <w:p w14:paraId="74BA921F" w14:textId="6126DBBB" w:rsidR="008B3F9B" w:rsidRDefault="008B3F9B" w:rsidP="00C95F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03134E" w14:textId="77777777" w:rsidR="008B3F9B" w:rsidRDefault="008B3F9B" w:rsidP="008B3F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873096"/>
      <w:docPartObj>
        <w:docPartGallery w:val="Page Numbers (Bottom of Page)"/>
        <w:docPartUnique/>
      </w:docPartObj>
    </w:sdtPr>
    <w:sdtEndPr>
      <w:rPr>
        <w:noProof/>
      </w:rPr>
    </w:sdtEndPr>
    <w:sdtContent>
      <w:p w14:paraId="1893AD78" w14:textId="6CDD1E0A" w:rsidR="004A420B" w:rsidRDefault="004A42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855381" w14:textId="5E41818D" w:rsidR="008B3F9B" w:rsidRPr="008B3F9B" w:rsidRDefault="008B3F9B" w:rsidP="008B3F9B">
    <w:pPr>
      <w:pStyle w:val="Footer"/>
      <w:ind w:right="360"/>
      <w:rPr>
        <w:rFonts w:ascii="Open Sans" w:hAnsi="Open Sans" w:cs="Open San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3143346"/>
      <w:docPartObj>
        <w:docPartGallery w:val="Page Numbers (Bottom of Page)"/>
        <w:docPartUnique/>
      </w:docPartObj>
    </w:sdtPr>
    <w:sdtContent>
      <w:p w14:paraId="075E699F" w14:textId="77777777" w:rsidR="008B3F9B" w:rsidRDefault="008B3F9B" w:rsidP="00C95F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069AB4" w14:textId="77777777" w:rsidR="008B3F9B" w:rsidRDefault="008B3F9B" w:rsidP="008B3F9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105312"/>
      <w:docPartObj>
        <w:docPartGallery w:val="Page Numbers (Bottom of Page)"/>
        <w:docPartUnique/>
      </w:docPartObj>
    </w:sdtPr>
    <w:sdtContent>
      <w:p w14:paraId="5A61075A" w14:textId="77777777" w:rsidR="008B3F9B" w:rsidRDefault="004F49D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63F158" w14:textId="77777777" w:rsidR="008B3F9B" w:rsidRPr="008B3F9B" w:rsidRDefault="008B3F9B" w:rsidP="008B3F9B">
    <w:pPr>
      <w:pStyle w:val="Footer"/>
      <w:ind w:right="360"/>
      <w:rPr>
        <w:rFonts w:ascii="Open Sans" w:hAnsi="Open Sans" w:cs="Open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3EEF9" w14:textId="77777777" w:rsidR="00F8763B" w:rsidRDefault="00F8763B" w:rsidP="005C0550">
      <w:pPr>
        <w:spacing w:before="0" w:line="240" w:lineRule="auto"/>
      </w:pPr>
      <w:r>
        <w:separator/>
      </w:r>
    </w:p>
  </w:footnote>
  <w:footnote w:type="continuationSeparator" w:id="0">
    <w:p w14:paraId="1F8133F4" w14:textId="77777777" w:rsidR="00F8763B" w:rsidRDefault="00F8763B" w:rsidP="005C0550">
      <w:pPr>
        <w:spacing w:before="0" w:line="240" w:lineRule="auto"/>
      </w:pPr>
      <w:r>
        <w:continuationSeparator/>
      </w:r>
    </w:p>
  </w:footnote>
  <w:footnote w:type="continuationNotice" w:id="1">
    <w:p w14:paraId="796BE0F4" w14:textId="77777777" w:rsidR="00F8763B" w:rsidRDefault="00F8763B">
      <w:pPr>
        <w:spacing w:before="0" w:line="240" w:lineRule="auto"/>
      </w:pPr>
    </w:p>
  </w:footnote>
  <w:footnote w:id="2">
    <w:p w14:paraId="082B12BF" w14:textId="54BF62E3" w:rsidR="00A80FDD" w:rsidRPr="00842B29" w:rsidRDefault="00A80FDD" w:rsidP="00EC13A9">
      <w:pPr>
        <w:pStyle w:val="Footnote"/>
        <w:rPr>
          <w:rStyle w:val="FootnoteReference"/>
        </w:rPr>
      </w:pPr>
      <w:r w:rsidRPr="00842B29">
        <w:rPr>
          <w:rStyle w:val="FootnoteReference"/>
        </w:rPr>
        <w:footnoteRef/>
      </w:r>
      <w:r w:rsidRPr="00842B29">
        <w:rPr>
          <w:rStyle w:val="FootnoteReference"/>
        </w:rPr>
        <w:t xml:space="preserve"> </w:t>
      </w:r>
      <w:r w:rsidRPr="000D5783">
        <w:rPr>
          <w:rStyle w:val="FootnoteReference"/>
        </w:rPr>
        <w:t>The GST pool distribution is only an estimate because the final distribution is dependent on actual state populations and GST revenue. These are not known until the Treasurer makes a final determination. Usually there is not a large difference between estimated and actual GST pool distribution. However, large revisions to the estimate for the amount of GST revenue raised in 2021</w:t>
      </w:r>
      <w:r w:rsidRPr="000D5783">
        <w:rPr>
          <w:rStyle w:val="FootnoteReference"/>
        </w:rPr>
        <w:noBreakHyphen/>
        <w:t>22 mean that the GST pool distribution for 2021</w:t>
      </w:r>
      <w:r w:rsidRPr="000D5783">
        <w:rPr>
          <w:rStyle w:val="FootnoteReference"/>
        </w:rPr>
        <w:noBreakHyphen/>
        <w:t>22 shown in Table 1</w:t>
      </w:r>
      <w:r w:rsidRPr="000D5783">
        <w:rPr>
          <w:rStyle w:val="FootnoteReference"/>
        </w:rPr>
        <w:noBreakHyphen/>
        <w:t xml:space="preserve">1 varies significantly from what was presented in the </w:t>
      </w:r>
      <w:r w:rsidRPr="007A17E2">
        <w:rPr>
          <w:rStyle w:val="FootnoteReference"/>
        </w:rPr>
        <w:t>2021 Report</w:t>
      </w:r>
      <w:r w:rsidRPr="000D5783">
        <w:rPr>
          <w:rStyle w:val="FootnoteReference"/>
        </w:rPr>
        <w:t xml:space="preserve"> on GST Revenue Sharing Relativities.</w:t>
      </w:r>
      <w:r w:rsidRPr="00842B29">
        <w:rPr>
          <w:rStyle w:val="FootnoteReference"/>
        </w:rPr>
        <w:t xml:space="preserve"> </w:t>
      </w:r>
    </w:p>
  </w:footnote>
  <w:footnote w:id="3">
    <w:p w14:paraId="777AE780" w14:textId="334BE894" w:rsidR="00A80FDD" w:rsidRPr="00F23772" w:rsidRDefault="00A80FDD" w:rsidP="00E62309">
      <w:pPr>
        <w:pStyle w:val="Footnote"/>
        <w:rPr>
          <w:rStyle w:val="FootnoteReference"/>
        </w:rPr>
      </w:pPr>
      <w:r w:rsidRPr="00992C0F">
        <w:rPr>
          <w:rStyle w:val="FootnoteReference"/>
        </w:rPr>
        <w:footnoteRef/>
      </w:r>
      <w:r w:rsidRPr="00992C0F">
        <w:rPr>
          <w:rStyle w:val="FootnoteReference"/>
        </w:rPr>
        <w:t xml:space="preserve"> </w:t>
      </w:r>
      <w:r w:rsidRPr="00F23772">
        <w:rPr>
          <w:rStyle w:val="FootnoteReference"/>
        </w:rPr>
        <w:t>The GST pool consists of revenue from the GST plus a top</w:t>
      </w:r>
      <w:r w:rsidRPr="00F23772">
        <w:rPr>
          <w:rStyle w:val="FootnoteReference"/>
        </w:rPr>
        <w:noBreakHyphen/>
        <w:t xml:space="preserve">up payment from the Commonwealth. See </w:t>
      </w:r>
      <w:hyperlink r:id="rId1" w:history="1">
        <w:r w:rsidR="00E96648">
          <w:rPr>
            <w:rStyle w:val="FootnoteReference"/>
            <w:color w:val="0070C0"/>
          </w:rPr>
          <w:t>Mid-Year Economic and Fiscal Outlook (Budget 2021</w:t>
        </w:r>
        <w:r w:rsidR="00CB2F74">
          <w:rPr>
            <w:color w:val="0070C0"/>
          </w:rPr>
          <w:noBreakHyphen/>
        </w:r>
        <w:r w:rsidR="00E96648">
          <w:rPr>
            <w:rStyle w:val="FootnoteReference"/>
            <w:color w:val="0070C0"/>
          </w:rPr>
          <w:t>22)</w:t>
        </w:r>
      </w:hyperlink>
      <w:r w:rsidRPr="00F23772">
        <w:rPr>
          <w:rStyle w:val="FootnoteReference"/>
        </w:rPr>
        <w:t>, Appendix C, Table C.7.</w:t>
      </w:r>
    </w:p>
  </w:footnote>
  <w:footnote w:id="4">
    <w:p w14:paraId="41100998" w14:textId="1120CBD6" w:rsidR="00A80FDD" w:rsidRPr="00992C0F" w:rsidRDefault="00A80FDD" w:rsidP="00E62309">
      <w:pPr>
        <w:pStyle w:val="Footnote"/>
        <w:rPr>
          <w:rStyle w:val="FootnoteReference"/>
        </w:rPr>
      </w:pPr>
      <w:r w:rsidRPr="00992C0F">
        <w:rPr>
          <w:rStyle w:val="FootnoteReference"/>
        </w:rPr>
        <w:footnoteRef/>
      </w:r>
      <w:r w:rsidRPr="00992C0F">
        <w:rPr>
          <w:rStyle w:val="FootnoteReference"/>
        </w:rPr>
        <w:t xml:space="preserve"> In 2019</w:t>
      </w:r>
      <w:r w:rsidR="000D3890">
        <w:noBreakHyphen/>
      </w:r>
      <w:r w:rsidRPr="00992C0F">
        <w:rPr>
          <w:rStyle w:val="FootnoteReference"/>
        </w:rPr>
        <w:t>20 a payment was also made to the Northern Territory to deliver an outcome equivalent to a relativity of 4.66.</w:t>
      </w:r>
    </w:p>
  </w:footnote>
  <w:footnote w:id="5">
    <w:p w14:paraId="1F4CDBDF" w14:textId="77777777" w:rsidR="00A80FDD" w:rsidRPr="00604170" w:rsidRDefault="00A80FDD" w:rsidP="007A64E8">
      <w:pPr>
        <w:pStyle w:val="Footnote"/>
        <w:rPr>
          <w:rStyle w:val="FootnoteReference"/>
        </w:rPr>
      </w:pPr>
      <w:r w:rsidRPr="00992C0F">
        <w:rPr>
          <w:rStyle w:val="FootnoteReference"/>
        </w:rPr>
        <w:footnoteRef/>
      </w:r>
      <w:r w:rsidRPr="00992C0F">
        <w:rPr>
          <w:rStyle w:val="FootnoteReference"/>
        </w:rPr>
        <w:t xml:space="preserve"> </w:t>
      </w:r>
      <w:r w:rsidRPr="00604170">
        <w:rPr>
          <w:rStyle w:val="FootnoteReference"/>
        </w:rPr>
        <w:t>The terms used in the paragraph are defined in the glossary.</w:t>
      </w:r>
    </w:p>
  </w:footnote>
  <w:footnote w:id="6">
    <w:p w14:paraId="629BB0B5" w14:textId="77777777" w:rsidR="00A80FDD" w:rsidRPr="00992C0F" w:rsidRDefault="00A80FDD" w:rsidP="00EC13A9">
      <w:pPr>
        <w:pStyle w:val="Footnote"/>
        <w:rPr>
          <w:rStyle w:val="FootnoteReference"/>
        </w:rPr>
      </w:pPr>
      <w:r w:rsidRPr="00992C0F">
        <w:rPr>
          <w:rStyle w:val="FootnoteReference"/>
        </w:rPr>
        <w:footnoteRef/>
      </w:r>
      <w:r w:rsidRPr="00992C0F">
        <w:rPr>
          <w:rStyle w:val="FootnoteReference"/>
        </w:rPr>
        <w:t xml:space="preserve"> These were referred to as relative fiscal capacities in the 2021 Update.</w:t>
      </w:r>
    </w:p>
  </w:footnote>
  <w:footnote w:id="7">
    <w:p w14:paraId="09D70086" w14:textId="77777777" w:rsidR="00A80FDD" w:rsidRPr="008C6372" w:rsidRDefault="00A80FDD" w:rsidP="00A80FDD">
      <w:pPr>
        <w:pStyle w:val="FootnoteText"/>
        <w:rPr>
          <w:rStyle w:val="FootnoteReference"/>
        </w:rPr>
      </w:pPr>
      <w:r w:rsidRPr="00992C0F">
        <w:rPr>
          <w:rStyle w:val="FootnoteReference"/>
        </w:rPr>
        <w:footnoteRef/>
      </w:r>
      <w:r w:rsidRPr="00992C0F">
        <w:rPr>
          <w:rStyle w:val="FootnoteReference"/>
        </w:rPr>
        <w:t xml:space="preserve"> </w:t>
      </w:r>
      <w:r w:rsidRPr="008C6372">
        <w:rPr>
          <w:rStyle w:val="FootnoteReference"/>
        </w:rPr>
        <w:t xml:space="preserve">The </w:t>
      </w:r>
      <w:r w:rsidRPr="008C6372">
        <w:rPr>
          <w:rStyle w:val="FootnoteReference"/>
          <w:i/>
          <w:iCs/>
        </w:rPr>
        <w:t>Commonwealth Grants Commission Act 1973</w:t>
      </w:r>
      <w:r w:rsidRPr="008C6372">
        <w:rPr>
          <w:rStyle w:val="FootnoteReference"/>
        </w:rPr>
        <w:t xml:space="preserve"> and the </w:t>
      </w:r>
      <w:r w:rsidRPr="008C6372">
        <w:rPr>
          <w:rStyle w:val="FootnoteReference"/>
          <w:i/>
          <w:iCs/>
        </w:rPr>
        <w:t>Federal Financial Relations Act 2009</w:t>
      </w:r>
      <w:r w:rsidRPr="008C6372">
        <w:rPr>
          <w:rStyle w:val="FootnoteReference"/>
        </w:rPr>
        <w:t>.</w:t>
      </w:r>
    </w:p>
  </w:footnote>
  <w:footnote w:id="8">
    <w:p w14:paraId="4E699FFE" w14:textId="47117388" w:rsidR="00CE4066" w:rsidRPr="006C770F" w:rsidRDefault="00CE4066" w:rsidP="00D054B0">
      <w:pPr>
        <w:pStyle w:val="Footnote"/>
        <w:rPr>
          <w:rStyle w:val="FootnoteReference"/>
        </w:rPr>
      </w:pPr>
      <w:r w:rsidRPr="006C770F">
        <w:rPr>
          <w:rStyle w:val="FootnoteReference"/>
        </w:rPr>
        <w:footnoteRef/>
      </w:r>
      <w:r w:rsidRPr="006C770F">
        <w:rPr>
          <w:rStyle w:val="FootnoteReference"/>
        </w:rPr>
        <w:t xml:space="preserve"> Revisions can also occur because data providers identify errors in their data, or because of errors made by the Commission in previous inquiries.</w:t>
      </w:r>
    </w:p>
  </w:footnote>
  <w:footnote w:id="9">
    <w:p w14:paraId="452BB689" w14:textId="1B55BD54" w:rsidR="00CE4066" w:rsidRPr="00BA70BF" w:rsidRDefault="00CE4066" w:rsidP="00D054B0">
      <w:pPr>
        <w:pStyle w:val="Footnote"/>
        <w:rPr>
          <w:rStyle w:val="FootnoteReference"/>
        </w:rPr>
      </w:pPr>
      <w:r w:rsidRPr="006C770F">
        <w:rPr>
          <w:rStyle w:val="FootnoteReference"/>
        </w:rPr>
        <w:footnoteRef/>
      </w:r>
      <w:r w:rsidRPr="006C770F">
        <w:rPr>
          <w:rStyle w:val="FootnoteReference"/>
        </w:rPr>
        <w:t xml:space="preserve"> In 2021</w:t>
      </w:r>
      <w:r w:rsidR="002E1DA1">
        <w:t>–</w:t>
      </w:r>
      <w:r w:rsidRPr="006C770F">
        <w:rPr>
          <w:rStyle w:val="FootnoteReference"/>
        </w:rPr>
        <w:t xml:space="preserve">22, the Commonwealth provided a payment to Western Australia equivalent to a </w:t>
      </w:r>
      <w:r w:rsidR="00AD05E3" w:rsidRPr="006C770F">
        <w:rPr>
          <w:rStyle w:val="FootnoteReference"/>
        </w:rPr>
        <w:t xml:space="preserve">relativity </w:t>
      </w:r>
      <w:r w:rsidRPr="006C770F">
        <w:rPr>
          <w:rStyle w:val="FootnoteReference"/>
        </w:rPr>
        <w:t>floor of 0.7. In this inquiry</w:t>
      </w:r>
      <w:r w:rsidRPr="00D054B0">
        <w:rPr>
          <w:rStyle w:val="FootnoteReference"/>
        </w:rPr>
        <w:t xml:space="preserve">, the floor is calculated within the GST distribution system and drawn from </w:t>
      </w:r>
      <w:r w:rsidR="00367B5D" w:rsidRPr="005F5811">
        <w:rPr>
          <w:rStyle w:val="FootnoteReference"/>
        </w:rPr>
        <w:t xml:space="preserve">the </w:t>
      </w:r>
      <w:r w:rsidRPr="00D054B0">
        <w:rPr>
          <w:rStyle w:val="FootnoteReference"/>
        </w:rPr>
        <w:t xml:space="preserve">GST </w:t>
      </w:r>
      <w:r w:rsidR="005F5811">
        <w:rPr>
          <w:rStyle w:val="FootnoteReference"/>
        </w:rPr>
        <w:t>p</w:t>
      </w:r>
      <w:r w:rsidR="005F5811" w:rsidRPr="005F5811">
        <w:rPr>
          <w:rStyle w:val="FootnoteReference"/>
        </w:rPr>
        <w:t>ool</w:t>
      </w:r>
      <w:r w:rsidRPr="00D054B0">
        <w:rPr>
          <w:rStyle w:val="FootnoteReference"/>
        </w:rPr>
        <w:t>.</w:t>
      </w:r>
    </w:p>
  </w:footnote>
  <w:footnote w:id="10">
    <w:p w14:paraId="190A2AD4" w14:textId="21222E50" w:rsidR="00FA34D8" w:rsidRPr="002E38B7" w:rsidRDefault="00FA34D8" w:rsidP="002E38B7">
      <w:pPr>
        <w:pStyle w:val="Footnote"/>
        <w:rPr>
          <w:rStyle w:val="FootnoteReference"/>
        </w:rPr>
      </w:pPr>
      <w:r>
        <w:rPr>
          <w:rStyle w:val="FootnoteReference"/>
        </w:rPr>
        <w:footnoteRef/>
      </w:r>
      <w:r w:rsidR="0045022C">
        <w:tab/>
      </w:r>
      <w:r w:rsidRPr="002E38B7">
        <w:rPr>
          <w:rStyle w:val="FootnoteReference"/>
        </w:rPr>
        <w:t xml:space="preserve">This refers to </w:t>
      </w:r>
      <w:r w:rsidR="00E32075" w:rsidRPr="002E38B7">
        <w:rPr>
          <w:rStyle w:val="FootnoteReference"/>
        </w:rPr>
        <w:t xml:space="preserve">General Government, public housing and urban transport </w:t>
      </w:r>
      <w:r w:rsidRPr="002E38B7">
        <w:rPr>
          <w:rStyle w:val="FootnoteReference"/>
        </w:rPr>
        <w:t>assets</w:t>
      </w:r>
      <w:r w:rsidR="00E32075" w:rsidRPr="002E38B7">
        <w:rPr>
          <w:rStyle w:val="FootnoteReference"/>
        </w:rPr>
        <w:t>, i.e. those</w:t>
      </w:r>
      <w:r w:rsidRPr="002E38B7">
        <w:rPr>
          <w:rStyle w:val="FootnoteReference"/>
        </w:rPr>
        <w:t xml:space="preserve"> </w:t>
      </w:r>
      <w:r w:rsidR="00C874F6" w:rsidRPr="002E38B7">
        <w:rPr>
          <w:rStyle w:val="FootnoteReference"/>
        </w:rPr>
        <w:t>in</w:t>
      </w:r>
      <w:r w:rsidR="005676B0">
        <w:t xml:space="preserve"> </w:t>
      </w:r>
      <w:r w:rsidR="00C874F6" w:rsidRPr="002E38B7">
        <w:rPr>
          <w:rStyle w:val="FootnoteReference"/>
        </w:rPr>
        <w:t>scope for the Commission’s assessments.</w:t>
      </w:r>
    </w:p>
  </w:footnote>
  <w:footnote w:id="11">
    <w:p w14:paraId="39067AF7" w14:textId="502C2D91" w:rsidR="00CE4066" w:rsidRPr="00217968" w:rsidRDefault="00CE4066" w:rsidP="00217968">
      <w:pPr>
        <w:pStyle w:val="Footnote"/>
        <w:rPr>
          <w:rStyle w:val="FootnoteReference"/>
        </w:rPr>
      </w:pPr>
      <w:r w:rsidRPr="00217968">
        <w:rPr>
          <w:rStyle w:val="FootnoteReference"/>
        </w:rPr>
        <w:footnoteRef/>
      </w:r>
      <w:r w:rsidR="0045022C">
        <w:t xml:space="preserve"> </w:t>
      </w:r>
      <w:r w:rsidRPr="00217968">
        <w:rPr>
          <w:rStyle w:val="FootnoteReference"/>
        </w:rPr>
        <w:t>Net financial assets is the difference between total financial assets and total liabilities</w:t>
      </w:r>
      <w:r w:rsidR="00754410" w:rsidRPr="00FD6BAF">
        <w:rPr>
          <w:rStyle w:val="FootnoteReference"/>
        </w:rPr>
        <w:t xml:space="preserve"> that are in</w:t>
      </w:r>
      <w:r w:rsidR="00E7043D">
        <w:t xml:space="preserve"> </w:t>
      </w:r>
      <w:r w:rsidR="00740A8E" w:rsidRPr="00FD6BAF">
        <w:rPr>
          <w:rStyle w:val="FootnoteReference"/>
        </w:rPr>
        <w:t>scope for the Commission’s assessments</w:t>
      </w:r>
      <w:r w:rsidRPr="00217968">
        <w:rPr>
          <w:rStyle w:val="FootnoteReference"/>
        </w:rPr>
        <w:t>. Net financial liabilities is the reverse of this concept.</w:t>
      </w:r>
      <w:r w:rsidR="00475965" w:rsidRPr="00FD6BAF">
        <w:rPr>
          <w:rStyle w:val="FootnoteReference"/>
        </w:rPr>
        <w:t xml:space="preserve"> </w:t>
      </w:r>
    </w:p>
  </w:footnote>
  <w:footnote w:id="12">
    <w:p w14:paraId="2B83FED2" w14:textId="7D21A43A" w:rsidR="00387570" w:rsidRPr="008E137A" w:rsidRDefault="00387570">
      <w:pPr>
        <w:pStyle w:val="FootnoteText"/>
        <w:rPr>
          <w:rStyle w:val="FootnoteReference"/>
        </w:rPr>
      </w:pPr>
      <w:r>
        <w:rPr>
          <w:rStyle w:val="FootnoteReference"/>
        </w:rPr>
        <w:footnoteRef/>
      </w:r>
      <w:r>
        <w:t xml:space="preserve"> </w:t>
      </w:r>
      <w:r w:rsidR="0040186E" w:rsidRPr="008E137A">
        <w:rPr>
          <w:rStyle w:val="FootnoteReference"/>
        </w:rPr>
        <w:t xml:space="preserve">Relative wage costs </w:t>
      </w:r>
      <w:r w:rsidR="00FA1A88" w:rsidRPr="008E137A">
        <w:rPr>
          <w:rStyle w:val="FootnoteReference"/>
        </w:rPr>
        <w:t>of</w:t>
      </w:r>
      <w:r w:rsidR="0040186E" w:rsidRPr="008E137A">
        <w:rPr>
          <w:rStyle w:val="FootnoteReference"/>
        </w:rPr>
        <w:t xml:space="preserve"> the states are assessed using an econometric model</w:t>
      </w:r>
      <w:r w:rsidR="00A218F1" w:rsidRPr="008E137A">
        <w:rPr>
          <w:rStyle w:val="FootnoteReference"/>
        </w:rPr>
        <w:t xml:space="preserve"> based on the </w:t>
      </w:r>
      <w:r w:rsidR="00A96324" w:rsidRPr="008E137A">
        <w:rPr>
          <w:rStyle w:val="FootnoteReference"/>
        </w:rPr>
        <w:t xml:space="preserve">ABS </w:t>
      </w:r>
      <w:r w:rsidR="00A218F1" w:rsidRPr="008E137A">
        <w:rPr>
          <w:rStyle w:val="FootnoteReference"/>
        </w:rPr>
        <w:t>Characteristics of Emplo</w:t>
      </w:r>
      <w:r w:rsidR="001111F2" w:rsidRPr="008E137A">
        <w:rPr>
          <w:rStyle w:val="FootnoteReference"/>
        </w:rPr>
        <w:t xml:space="preserve">yment </w:t>
      </w:r>
      <w:r w:rsidR="006C5FD4" w:rsidRPr="008E137A">
        <w:rPr>
          <w:rStyle w:val="FootnoteReference"/>
        </w:rPr>
        <w:t>s</w:t>
      </w:r>
      <w:r w:rsidR="001111F2" w:rsidRPr="008E137A">
        <w:rPr>
          <w:rStyle w:val="FootnoteReference"/>
        </w:rPr>
        <w:t>urvey</w:t>
      </w:r>
      <w:r w:rsidR="001A55C8" w:rsidRPr="008E137A">
        <w:rPr>
          <w:rStyle w:val="FootnoteReference"/>
        </w:rPr>
        <w:t>. Data for the 2020</w:t>
      </w:r>
      <w:r w:rsidR="00C862A7" w:rsidRPr="008E137A">
        <w:rPr>
          <w:rStyle w:val="FootnoteReference"/>
        </w:rPr>
        <w:noBreakHyphen/>
        <w:t xml:space="preserve">21 </w:t>
      </w:r>
      <w:r w:rsidR="00D8761F" w:rsidRPr="008E137A">
        <w:rPr>
          <w:rStyle w:val="FootnoteReference"/>
        </w:rPr>
        <w:t>assessment includ</w:t>
      </w:r>
      <w:r w:rsidR="00D226EF" w:rsidRPr="008E137A">
        <w:rPr>
          <w:rStyle w:val="FootnoteReference"/>
        </w:rPr>
        <w:t xml:space="preserve">ed </w:t>
      </w:r>
      <w:r w:rsidR="00D810C4" w:rsidRPr="008E137A">
        <w:rPr>
          <w:rStyle w:val="FootnoteReference"/>
        </w:rPr>
        <w:t xml:space="preserve">some employees on JobKeeper </w:t>
      </w:r>
      <w:r w:rsidR="00973A9E" w:rsidRPr="008E137A">
        <w:rPr>
          <w:rStyle w:val="FootnoteReference"/>
        </w:rPr>
        <w:t>P</w:t>
      </w:r>
      <w:r w:rsidR="00855FA8" w:rsidRPr="008E137A">
        <w:rPr>
          <w:rStyle w:val="FootnoteReference"/>
        </w:rPr>
        <w:t>ayments</w:t>
      </w:r>
      <w:r w:rsidR="00A96324" w:rsidRPr="008E137A">
        <w:rPr>
          <w:rStyle w:val="FootnoteReference"/>
        </w:rPr>
        <w:t xml:space="preserve">. All those </w:t>
      </w:r>
      <w:r w:rsidR="002B655F" w:rsidRPr="008E137A">
        <w:rPr>
          <w:rStyle w:val="FootnoteReference"/>
        </w:rPr>
        <w:t xml:space="preserve">in the survey </w:t>
      </w:r>
      <w:r w:rsidR="00A96324" w:rsidRPr="008E137A">
        <w:rPr>
          <w:rStyle w:val="FootnoteReference"/>
        </w:rPr>
        <w:t>earning exactly $750</w:t>
      </w:r>
      <w:r w:rsidR="00D57128" w:rsidRPr="008E137A">
        <w:rPr>
          <w:rStyle w:val="FootnoteReference"/>
        </w:rPr>
        <w:t> </w:t>
      </w:r>
      <w:r w:rsidR="00972E90" w:rsidRPr="008E137A">
        <w:rPr>
          <w:rStyle w:val="FootnoteReference"/>
        </w:rPr>
        <w:t>per</w:t>
      </w:r>
      <w:r w:rsidR="00D57128" w:rsidRPr="008E137A">
        <w:rPr>
          <w:rStyle w:val="FootnoteReference"/>
        </w:rPr>
        <w:t> </w:t>
      </w:r>
      <w:r w:rsidR="00972E90" w:rsidRPr="008E137A">
        <w:rPr>
          <w:rStyle w:val="FootnoteReference"/>
        </w:rPr>
        <w:t>week</w:t>
      </w:r>
      <w:r w:rsidR="00A96324" w:rsidRPr="008E137A">
        <w:rPr>
          <w:rStyle w:val="FootnoteReference"/>
        </w:rPr>
        <w:t xml:space="preserve"> </w:t>
      </w:r>
      <w:r w:rsidR="001F6395" w:rsidRPr="008E137A">
        <w:rPr>
          <w:rStyle w:val="FootnoteReference"/>
        </w:rPr>
        <w:t xml:space="preserve">(the minimum JobKeeper Payment) </w:t>
      </w:r>
      <w:r w:rsidR="00855FA8" w:rsidRPr="008E137A">
        <w:rPr>
          <w:rStyle w:val="FootnoteReference"/>
        </w:rPr>
        <w:t>were removed from the sample for consistency.</w:t>
      </w:r>
      <w:r w:rsidR="00EC690D" w:rsidRPr="008E137A">
        <w:rPr>
          <w:rStyle w:val="FootnoteReference"/>
        </w:rPr>
        <w:t xml:space="preserve"> </w:t>
      </w:r>
      <w:r w:rsidR="00B07E14" w:rsidRPr="008E137A">
        <w:rPr>
          <w:rStyle w:val="FootnoteReference"/>
        </w:rPr>
        <w:t xml:space="preserve">Further information can be found in </w:t>
      </w:r>
      <w:hyperlink r:id="rId2" w:history="1">
        <w:r w:rsidR="00B07E14" w:rsidRPr="00640BCB">
          <w:rPr>
            <w:rStyle w:val="Hyperlink"/>
            <w:rFonts w:ascii="Work Sans" w:hAnsi="Work Sans"/>
            <w:i/>
            <w:iCs/>
            <w:sz w:val="14"/>
            <w:szCs w:val="14"/>
          </w:rPr>
          <w:t xml:space="preserve">New issues in the 2022 </w:t>
        </w:r>
        <w:r w:rsidR="003910F1" w:rsidRPr="00640BCB">
          <w:rPr>
            <w:rStyle w:val="Hyperlink"/>
            <w:rFonts w:ascii="Work Sans" w:hAnsi="Work Sans"/>
            <w:i/>
            <w:iCs/>
            <w:sz w:val="14"/>
            <w:szCs w:val="14"/>
          </w:rPr>
          <w:t>U</w:t>
        </w:r>
        <w:r w:rsidR="00B07E14" w:rsidRPr="00640BCB">
          <w:rPr>
            <w:rStyle w:val="Hyperlink"/>
            <w:rFonts w:ascii="Work Sans" w:hAnsi="Work Sans"/>
            <w:i/>
            <w:iCs/>
            <w:sz w:val="14"/>
            <w:szCs w:val="14"/>
          </w:rPr>
          <w:t>pdate</w:t>
        </w:r>
      </w:hyperlink>
      <w:r w:rsidR="009C1D2C" w:rsidRPr="006E48ED">
        <w:rPr>
          <w:rStyle w:val="FootnoteReference"/>
          <w:i/>
          <w:iCs/>
          <w:color w:val="006D95" w:themeColor="accent2" w:themeShade="BF"/>
          <w:u w:val="single"/>
        </w:rPr>
        <w:t>.</w:t>
      </w:r>
    </w:p>
  </w:footnote>
  <w:footnote w:id="13">
    <w:p w14:paraId="48A81D5D" w14:textId="51C9EEA3" w:rsidR="00CE4066" w:rsidRPr="00641C06" w:rsidRDefault="00CE4066" w:rsidP="00955A9D">
      <w:pPr>
        <w:pStyle w:val="Footnote"/>
        <w:ind w:left="170" w:hanging="170"/>
        <w:rPr>
          <w:rStyle w:val="FootnoteReference"/>
        </w:rPr>
      </w:pPr>
      <w:r w:rsidRPr="00641C06">
        <w:rPr>
          <w:rStyle w:val="FootnoteReference"/>
        </w:rPr>
        <w:footnoteRef/>
      </w:r>
      <w:r w:rsidRPr="00641C06">
        <w:rPr>
          <w:rStyle w:val="FootnoteReference"/>
        </w:rPr>
        <w:t xml:space="preserve"> </w:t>
      </w:r>
      <w:r w:rsidR="00822B2B" w:rsidRPr="00641C06">
        <w:rPr>
          <w:rStyle w:val="FootnoteReference"/>
        </w:rPr>
        <w:t>It is not possible to directly measure the effects of COVID-19 without knowing how circumstances would have evolved in the absence of a global pandemic. However, comparing circumstances in 2019–20 and 2020–21 can illustrate the types of effects that COVID-19 may have had. Analysis in this box is illustrative only.</w:t>
      </w:r>
    </w:p>
  </w:footnote>
  <w:footnote w:id="14">
    <w:p w14:paraId="4AF82DA6" w14:textId="47631418" w:rsidR="00E25F59" w:rsidRPr="00E25F59" w:rsidRDefault="00E25F59" w:rsidP="00EC13A9">
      <w:pPr>
        <w:pStyle w:val="Footnote"/>
        <w:rPr>
          <w:rStyle w:val="FootnoteReference"/>
        </w:rPr>
      </w:pPr>
      <w:r w:rsidRPr="00E25F59">
        <w:rPr>
          <w:rStyle w:val="FootnoteReference"/>
        </w:rPr>
        <w:footnoteRef/>
      </w:r>
      <w:r w:rsidRPr="00E25F59">
        <w:t xml:space="preserve"> </w:t>
      </w:r>
      <w:r w:rsidRPr="00E25F59">
        <w:rPr>
          <w:rStyle w:val="FootnoteReference"/>
        </w:rPr>
        <w:t>Excludes no worse off payments and other Commonwealth general revenue assistance</w:t>
      </w:r>
      <w:r w:rsidRPr="00821519">
        <w:rPr>
          <w:rStyle w:val="FootnoteReference"/>
        </w:rPr>
        <w:t>.</w:t>
      </w:r>
    </w:p>
  </w:footnote>
  <w:footnote w:id="15">
    <w:p w14:paraId="063E0572" w14:textId="19100B06" w:rsidR="005A0452" w:rsidRDefault="005A0452" w:rsidP="00EC13A9">
      <w:pPr>
        <w:pStyle w:val="Footnote"/>
      </w:pPr>
      <w:r w:rsidRPr="00EC13A9">
        <w:rPr>
          <w:rStyle w:val="FootnoteReference"/>
        </w:rPr>
        <w:footnoteRef/>
      </w:r>
      <w:r w:rsidRPr="00EC13A9">
        <w:rPr>
          <w:rStyle w:val="FootnoteReference"/>
        </w:rPr>
        <w:t xml:space="preserve"> These were referred to as relative fiscal capacities in the 2021 Update.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59C9" w14:textId="5182677D" w:rsidR="00C25219" w:rsidRDefault="003759A1">
    <w:pPr>
      <w:pStyle w:val="Header"/>
    </w:pPr>
    <w:r>
      <w:rPr>
        <w:noProof/>
      </w:rPr>
      <w:drawing>
        <wp:anchor distT="0" distB="0" distL="114300" distR="114300" simplePos="0" relativeHeight="251658242" behindDoc="1" locked="0" layoutInCell="1" allowOverlap="1" wp14:anchorId="5E0448FF" wp14:editId="4D1F338D">
          <wp:simplePos x="0" y="0"/>
          <wp:positionH relativeFrom="column">
            <wp:posOffset>-923290</wp:posOffset>
          </wp:positionH>
          <wp:positionV relativeFrom="paragraph">
            <wp:posOffset>10351135</wp:posOffset>
          </wp:positionV>
          <wp:extent cx="7580630" cy="10691495"/>
          <wp:effectExtent l="0" t="0" r="1270" b="19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A345CD">
      <w:rPr>
        <w:noProof/>
      </w:rPr>
      <w:drawing>
        <wp:anchor distT="0" distB="0" distL="114300" distR="114300" simplePos="0" relativeHeight="251658241" behindDoc="1" locked="0" layoutInCell="1" allowOverlap="1" wp14:anchorId="2CFE1E5C" wp14:editId="795823A5">
          <wp:simplePos x="0" y="0"/>
          <wp:positionH relativeFrom="column">
            <wp:posOffset>-900430</wp:posOffset>
          </wp:positionH>
          <wp:positionV relativeFrom="paragraph">
            <wp:posOffset>10362565</wp:posOffset>
          </wp:positionV>
          <wp:extent cx="7580630" cy="10691495"/>
          <wp:effectExtent l="0" t="0" r="1270" b="190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C25219" w:rsidRPr="00410188">
      <w:rPr>
        <w:rFonts w:ascii="Open Sans Semibold" w:hAnsi="Open Sans Semibold" w:cs="Open Sans Semibold"/>
        <w:bCs/>
        <w:noProof/>
        <w:sz w:val="40"/>
        <w:szCs w:val="40"/>
        <w:lang w:val="en-US"/>
      </w:rPr>
      <w:drawing>
        <wp:anchor distT="0" distB="0" distL="114300" distR="114300" simplePos="0" relativeHeight="251658240" behindDoc="1" locked="0" layoutInCell="1" allowOverlap="1" wp14:anchorId="355101D3" wp14:editId="6682A560">
          <wp:simplePos x="0" y="0"/>
          <wp:positionH relativeFrom="column">
            <wp:posOffset>-1037590</wp:posOffset>
          </wp:positionH>
          <wp:positionV relativeFrom="paragraph">
            <wp:posOffset>10328275</wp:posOffset>
          </wp:positionV>
          <wp:extent cx="7683500" cy="10836275"/>
          <wp:effectExtent l="38100" t="38100" r="63500" b="3492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
                    <a:extLst>
                      <a:ext uri="{28A0092B-C50C-407E-A947-70E740481C1C}">
                        <a14:useLocalDpi xmlns:a14="http://schemas.microsoft.com/office/drawing/2010/main" val="0"/>
                      </a:ext>
                    </a:extLst>
                  </a:blip>
                  <a:stretch>
                    <a:fillRect/>
                  </a:stretch>
                </pic:blipFill>
                <pic:spPr>
                  <a:xfrm>
                    <a:off x="0" y="0"/>
                    <a:ext cx="7683500" cy="10836275"/>
                  </a:xfrm>
                  <a:prstGeom prst="rect">
                    <a:avLst/>
                  </a:prstGeom>
                  <a:noFill/>
                  <a:ln w="88900" cap="sq">
                    <a:noFill/>
                    <a:miter lim="800000"/>
                  </a:ln>
                  <a:effectLst>
                    <a:outerShdw blurRad="55000" dist="18000" dir="5400000" algn="tl" rotWithShape="0">
                      <a:srgbClr val="000000">
                        <a:alpha val="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18D5" w14:textId="2490D048" w:rsidR="00E6658F" w:rsidRDefault="00E665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1F752" w14:textId="62931A11" w:rsidR="00E6658F" w:rsidRDefault="00E665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0D60" w14:textId="358759E7" w:rsidR="00C25219" w:rsidRDefault="00AB73C2">
    <w:pPr>
      <w:pStyle w:val="Header"/>
    </w:pPr>
    <w:r>
      <w:rPr>
        <w:noProof/>
      </w:rPr>
      <w:drawing>
        <wp:anchor distT="0" distB="0" distL="114300" distR="114300" simplePos="0" relativeHeight="251658243" behindDoc="1" locked="0" layoutInCell="1" allowOverlap="1" wp14:anchorId="6CCF1167" wp14:editId="5EDB8218">
          <wp:simplePos x="0" y="0"/>
          <wp:positionH relativeFrom="column">
            <wp:posOffset>-899907</wp:posOffset>
          </wp:positionH>
          <wp:positionV relativeFrom="paragraph">
            <wp:posOffset>-469723</wp:posOffset>
          </wp:positionV>
          <wp:extent cx="7562789" cy="10689589"/>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62789" cy="10689589"/>
                  </a:xfrm>
                  <a:prstGeom prst="rect">
                    <a:avLst/>
                  </a:prstGeom>
                </pic:spPr>
              </pic:pic>
            </a:graphicData>
          </a:graphic>
          <wp14:sizeRelH relativeFrom="margin">
            <wp14:pctWidth>0</wp14:pctWidth>
          </wp14:sizeRelH>
          <wp14:sizeRelV relativeFrom="margin">
            <wp14:pctHeight>0</wp14:pctHeight>
          </wp14:sizeRelV>
        </wp:anchor>
      </w:drawing>
    </w:r>
    <w:r w:rsidR="003759A1">
      <w:rPr>
        <w:noProof/>
      </w:rPr>
      <w:drawing>
        <wp:anchor distT="0" distB="0" distL="114300" distR="114300" simplePos="0" relativeHeight="251658246" behindDoc="1" locked="0" layoutInCell="1" allowOverlap="1" wp14:anchorId="261ABF4B" wp14:editId="6B295B4A">
          <wp:simplePos x="0" y="0"/>
          <wp:positionH relativeFrom="column">
            <wp:posOffset>-923290</wp:posOffset>
          </wp:positionH>
          <wp:positionV relativeFrom="paragraph">
            <wp:posOffset>10351135</wp:posOffset>
          </wp:positionV>
          <wp:extent cx="7580630" cy="10691495"/>
          <wp:effectExtent l="0" t="0" r="127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A345CD">
      <w:rPr>
        <w:noProof/>
      </w:rPr>
      <w:drawing>
        <wp:anchor distT="0" distB="0" distL="114300" distR="114300" simplePos="0" relativeHeight="251658245" behindDoc="1" locked="0" layoutInCell="1" allowOverlap="1" wp14:anchorId="2CA004D2" wp14:editId="11E5A52A">
          <wp:simplePos x="0" y="0"/>
          <wp:positionH relativeFrom="column">
            <wp:posOffset>-900430</wp:posOffset>
          </wp:positionH>
          <wp:positionV relativeFrom="paragraph">
            <wp:posOffset>10362565</wp:posOffset>
          </wp:positionV>
          <wp:extent cx="7580630" cy="10691495"/>
          <wp:effectExtent l="0" t="0" r="127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C25219" w:rsidRPr="00410188">
      <w:rPr>
        <w:rFonts w:ascii="Open Sans Semibold" w:hAnsi="Open Sans Semibold" w:cs="Open Sans Semibold"/>
        <w:bCs/>
        <w:noProof/>
        <w:sz w:val="40"/>
        <w:szCs w:val="40"/>
        <w:lang w:val="en-US"/>
      </w:rPr>
      <w:drawing>
        <wp:anchor distT="0" distB="0" distL="114300" distR="114300" simplePos="0" relativeHeight="251658244" behindDoc="1" locked="0" layoutInCell="1" allowOverlap="1" wp14:anchorId="31FDEA91" wp14:editId="751C79E4">
          <wp:simplePos x="0" y="0"/>
          <wp:positionH relativeFrom="column">
            <wp:posOffset>-1037590</wp:posOffset>
          </wp:positionH>
          <wp:positionV relativeFrom="paragraph">
            <wp:posOffset>10328275</wp:posOffset>
          </wp:positionV>
          <wp:extent cx="7683500" cy="10836275"/>
          <wp:effectExtent l="38100" t="38100" r="63500" b="3492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7683500" cy="10836275"/>
                  </a:xfrm>
                  <a:prstGeom prst="rect">
                    <a:avLst/>
                  </a:prstGeom>
                  <a:noFill/>
                  <a:ln w="88900" cap="sq">
                    <a:noFill/>
                    <a:miter lim="800000"/>
                  </a:ln>
                  <a:effectLst>
                    <a:outerShdw blurRad="55000" dist="18000" dir="5400000" algn="tl" rotWithShape="0">
                      <a:srgbClr val="000000">
                        <a:alpha val="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7353"/>
    <w:multiLevelType w:val="hybridMultilevel"/>
    <w:tmpl w:val="FFFFFFFF"/>
    <w:lvl w:ilvl="0" w:tplc="078249FC">
      <w:start w:val="1"/>
      <w:numFmt w:val="bullet"/>
      <w:lvlText w:val="·"/>
      <w:lvlJc w:val="left"/>
      <w:pPr>
        <w:ind w:left="720" w:hanging="360"/>
      </w:pPr>
      <w:rPr>
        <w:rFonts w:ascii="Symbol" w:hAnsi="Symbol" w:hint="default"/>
      </w:rPr>
    </w:lvl>
    <w:lvl w:ilvl="1" w:tplc="A31852C6">
      <w:start w:val="1"/>
      <w:numFmt w:val="bullet"/>
      <w:lvlText w:val="o"/>
      <w:lvlJc w:val="left"/>
      <w:pPr>
        <w:ind w:left="1440" w:hanging="360"/>
      </w:pPr>
      <w:rPr>
        <w:rFonts w:ascii="Courier New" w:hAnsi="Courier New" w:hint="default"/>
      </w:rPr>
    </w:lvl>
    <w:lvl w:ilvl="2" w:tplc="F7DC7730">
      <w:start w:val="1"/>
      <w:numFmt w:val="bullet"/>
      <w:lvlText w:val=""/>
      <w:lvlJc w:val="left"/>
      <w:pPr>
        <w:ind w:left="2160" w:hanging="360"/>
      </w:pPr>
      <w:rPr>
        <w:rFonts w:ascii="Wingdings" w:hAnsi="Wingdings" w:hint="default"/>
      </w:rPr>
    </w:lvl>
    <w:lvl w:ilvl="3" w:tplc="CB228188">
      <w:start w:val="1"/>
      <w:numFmt w:val="bullet"/>
      <w:lvlText w:val=""/>
      <w:lvlJc w:val="left"/>
      <w:pPr>
        <w:ind w:left="2880" w:hanging="360"/>
      </w:pPr>
      <w:rPr>
        <w:rFonts w:ascii="Symbol" w:hAnsi="Symbol" w:hint="default"/>
      </w:rPr>
    </w:lvl>
    <w:lvl w:ilvl="4" w:tplc="BFAEF5D4">
      <w:start w:val="1"/>
      <w:numFmt w:val="bullet"/>
      <w:lvlText w:val="o"/>
      <w:lvlJc w:val="left"/>
      <w:pPr>
        <w:ind w:left="3600" w:hanging="360"/>
      </w:pPr>
      <w:rPr>
        <w:rFonts w:ascii="Courier New" w:hAnsi="Courier New" w:hint="default"/>
      </w:rPr>
    </w:lvl>
    <w:lvl w:ilvl="5" w:tplc="69FA2A30">
      <w:start w:val="1"/>
      <w:numFmt w:val="bullet"/>
      <w:lvlText w:val=""/>
      <w:lvlJc w:val="left"/>
      <w:pPr>
        <w:ind w:left="4320" w:hanging="360"/>
      </w:pPr>
      <w:rPr>
        <w:rFonts w:ascii="Wingdings" w:hAnsi="Wingdings" w:hint="default"/>
      </w:rPr>
    </w:lvl>
    <w:lvl w:ilvl="6" w:tplc="CAA21E1C">
      <w:start w:val="1"/>
      <w:numFmt w:val="bullet"/>
      <w:lvlText w:val=""/>
      <w:lvlJc w:val="left"/>
      <w:pPr>
        <w:ind w:left="5040" w:hanging="360"/>
      </w:pPr>
      <w:rPr>
        <w:rFonts w:ascii="Symbol" w:hAnsi="Symbol" w:hint="default"/>
      </w:rPr>
    </w:lvl>
    <w:lvl w:ilvl="7" w:tplc="87E03BA4">
      <w:start w:val="1"/>
      <w:numFmt w:val="bullet"/>
      <w:lvlText w:val="o"/>
      <w:lvlJc w:val="left"/>
      <w:pPr>
        <w:ind w:left="5760" w:hanging="360"/>
      </w:pPr>
      <w:rPr>
        <w:rFonts w:ascii="Courier New" w:hAnsi="Courier New" w:hint="default"/>
      </w:rPr>
    </w:lvl>
    <w:lvl w:ilvl="8" w:tplc="8DBA8E16">
      <w:start w:val="1"/>
      <w:numFmt w:val="bullet"/>
      <w:lvlText w:val=""/>
      <w:lvlJc w:val="left"/>
      <w:pPr>
        <w:ind w:left="6480" w:hanging="360"/>
      </w:pPr>
      <w:rPr>
        <w:rFonts w:ascii="Wingdings" w:hAnsi="Wingdings" w:hint="default"/>
      </w:rPr>
    </w:lvl>
  </w:abstractNum>
  <w:abstractNum w:abstractNumId="1" w15:restartNumberingAfterBreak="0">
    <w:nsid w:val="051B1EE9"/>
    <w:multiLevelType w:val="hybridMultilevel"/>
    <w:tmpl w:val="FFFFFFFF"/>
    <w:lvl w:ilvl="0" w:tplc="F454CBA6">
      <w:start w:val="1"/>
      <w:numFmt w:val="bullet"/>
      <w:lvlText w:val="·"/>
      <w:lvlJc w:val="left"/>
      <w:pPr>
        <w:ind w:left="720" w:hanging="360"/>
      </w:pPr>
      <w:rPr>
        <w:rFonts w:ascii="Symbol" w:hAnsi="Symbol" w:hint="default"/>
      </w:rPr>
    </w:lvl>
    <w:lvl w:ilvl="1" w:tplc="2A0C9D92">
      <w:start w:val="1"/>
      <w:numFmt w:val="bullet"/>
      <w:lvlText w:val="o"/>
      <w:lvlJc w:val="left"/>
      <w:pPr>
        <w:ind w:left="1440" w:hanging="360"/>
      </w:pPr>
      <w:rPr>
        <w:rFonts w:ascii="Courier New" w:hAnsi="Courier New" w:hint="default"/>
      </w:rPr>
    </w:lvl>
    <w:lvl w:ilvl="2" w:tplc="8D7436FA">
      <w:start w:val="1"/>
      <w:numFmt w:val="bullet"/>
      <w:lvlText w:val=""/>
      <w:lvlJc w:val="left"/>
      <w:pPr>
        <w:ind w:left="2160" w:hanging="360"/>
      </w:pPr>
      <w:rPr>
        <w:rFonts w:ascii="Wingdings" w:hAnsi="Wingdings" w:hint="default"/>
      </w:rPr>
    </w:lvl>
    <w:lvl w:ilvl="3" w:tplc="A6CEC394">
      <w:start w:val="1"/>
      <w:numFmt w:val="bullet"/>
      <w:lvlText w:val=""/>
      <w:lvlJc w:val="left"/>
      <w:pPr>
        <w:ind w:left="2880" w:hanging="360"/>
      </w:pPr>
      <w:rPr>
        <w:rFonts w:ascii="Symbol" w:hAnsi="Symbol" w:hint="default"/>
      </w:rPr>
    </w:lvl>
    <w:lvl w:ilvl="4" w:tplc="C1B850BE">
      <w:start w:val="1"/>
      <w:numFmt w:val="bullet"/>
      <w:lvlText w:val="o"/>
      <w:lvlJc w:val="left"/>
      <w:pPr>
        <w:ind w:left="3600" w:hanging="360"/>
      </w:pPr>
      <w:rPr>
        <w:rFonts w:ascii="Courier New" w:hAnsi="Courier New" w:hint="default"/>
      </w:rPr>
    </w:lvl>
    <w:lvl w:ilvl="5" w:tplc="2340DAFE">
      <w:start w:val="1"/>
      <w:numFmt w:val="bullet"/>
      <w:lvlText w:val=""/>
      <w:lvlJc w:val="left"/>
      <w:pPr>
        <w:ind w:left="4320" w:hanging="360"/>
      </w:pPr>
      <w:rPr>
        <w:rFonts w:ascii="Wingdings" w:hAnsi="Wingdings" w:hint="default"/>
      </w:rPr>
    </w:lvl>
    <w:lvl w:ilvl="6" w:tplc="EFE00E70">
      <w:start w:val="1"/>
      <w:numFmt w:val="bullet"/>
      <w:lvlText w:val=""/>
      <w:lvlJc w:val="left"/>
      <w:pPr>
        <w:ind w:left="5040" w:hanging="360"/>
      </w:pPr>
      <w:rPr>
        <w:rFonts w:ascii="Symbol" w:hAnsi="Symbol" w:hint="default"/>
      </w:rPr>
    </w:lvl>
    <w:lvl w:ilvl="7" w:tplc="229C3244">
      <w:start w:val="1"/>
      <w:numFmt w:val="bullet"/>
      <w:lvlText w:val="o"/>
      <w:lvlJc w:val="left"/>
      <w:pPr>
        <w:ind w:left="5760" w:hanging="360"/>
      </w:pPr>
      <w:rPr>
        <w:rFonts w:ascii="Courier New" w:hAnsi="Courier New" w:hint="default"/>
      </w:rPr>
    </w:lvl>
    <w:lvl w:ilvl="8" w:tplc="D24C69A2">
      <w:start w:val="1"/>
      <w:numFmt w:val="bullet"/>
      <w:lvlText w:val=""/>
      <w:lvlJc w:val="left"/>
      <w:pPr>
        <w:ind w:left="6480" w:hanging="360"/>
      </w:pPr>
      <w:rPr>
        <w:rFonts w:ascii="Wingdings" w:hAnsi="Wingdings" w:hint="default"/>
      </w:rPr>
    </w:lvl>
  </w:abstractNum>
  <w:abstractNum w:abstractNumId="2" w15:restartNumberingAfterBreak="0">
    <w:nsid w:val="0559523E"/>
    <w:multiLevelType w:val="hybridMultilevel"/>
    <w:tmpl w:val="FFFFFFFF"/>
    <w:lvl w:ilvl="0" w:tplc="CA78D952">
      <w:start w:val="1"/>
      <w:numFmt w:val="bullet"/>
      <w:lvlText w:val="·"/>
      <w:lvlJc w:val="left"/>
      <w:pPr>
        <w:ind w:left="720" w:hanging="360"/>
      </w:pPr>
      <w:rPr>
        <w:rFonts w:ascii="Symbol" w:hAnsi="Symbol" w:hint="default"/>
      </w:rPr>
    </w:lvl>
    <w:lvl w:ilvl="1" w:tplc="9BC42D0C">
      <w:start w:val="1"/>
      <w:numFmt w:val="bullet"/>
      <w:lvlText w:val="o"/>
      <w:lvlJc w:val="left"/>
      <w:pPr>
        <w:ind w:left="1440" w:hanging="360"/>
      </w:pPr>
      <w:rPr>
        <w:rFonts w:ascii="Courier New" w:hAnsi="Courier New" w:hint="default"/>
      </w:rPr>
    </w:lvl>
    <w:lvl w:ilvl="2" w:tplc="780A858C">
      <w:start w:val="1"/>
      <w:numFmt w:val="bullet"/>
      <w:lvlText w:val=""/>
      <w:lvlJc w:val="left"/>
      <w:pPr>
        <w:ind w:left="2160" w:hanging="360"/>
      </w:pPr>
      <w:rPr>
        <w:rFonts w:ascii="Wingdings" w:hAnsi="Wingdings" w:hint="default"/>
      </w:rPr>
    </w:lvl>
    <w:lvl w:ilvl="3" w:tplc="BEAC4E44">
      <w:start w:val="1"/>
      <w:numFmt w:val="bullet"/>
      <w:lvlText w:val=""/>
      <w:lvlJc w:val="left"/>
      <w:pPr>
        <w:ind w:left="2880" w:hanging="360"/>
      </w:pPr>
      <w:rPr>
        <w:rFonts w:ascii="Symbol" w:hAnsi="Symbol" w:hint="default"/>
      </w:rPr>
    </w:lvl>
    <w:lvl w:ilvl="4" w:tplc="0F548F62">
      <w:start w:val="1"/>
      <w:numFmt w:val="bullet"/>
      <w:lvlText w:val="o"/>
      <w:lvlJc w:val="left"/>
      <w:pPr>
        <w:ind w:left="3600" w:hanging="360"/>
      </w:pPr>
      <w:rPr>
        <w:rFonts w:ascii="Courier New" w:hAnsi="Courier New" w:hint="default"/>
      </w:rPr>
    </w:lvl>
    <w:lvl w:ilvl="5" w:tplc="129E9F32">
      <w:start w:val="1"/>
      <w:numFmt w:val="bullet"/>
      <w:lvlText w:val=""/>
      <w:lvlJc w:val="left"/>
      <w:pPr>
        <w:ind w:left="4320" w:hanging="360"/>
      </w:pPr>
      <w:rPr>
        <w:rFonts w:ascii="Wingdings" w:hAnsi="Wingdings" w:hint="default"/>
      </w:rPr>
    </w:lvl>
    <w:lvl w:ilvl="6" w:tplc="C916E460">
      <w:start w:val="1"/>
      <w:numFmt w:val="bullet"/>
      <w:lvlText w:val=""/>
      <w:lvlJc w:val="left"/>
      <w:pPr>
        <w:ind w:left="5040" w:hanging="360"/>
      </w:pPr>
      <w:rPr>
        <w:rFonts w:ascii="Symbol" w:hAnsi="Symbol" w:hint="default"/>
      </w:rPr>
    </w:lvl>
    <w:lvl w:ilvl="7" w:tplc="CFF8F33A">
      <w:start w:val="1"/>
      <w:numFmt w:val="bullet"/>
      <w:lvlText w:val="o"/>
      <w:lvlJc w:val="left"/>
      <w:pPr>
        <w:ind w:left="5760" w:hanging="360"/>
      </w:pPr>
      <w:rPr>
        <w:rFonts w:ascii="Courier New" w:hAnsi="Courier New" w:hint="default"/>
      </w:rPr>
    </w:lvl>
    <w:lvl w:ilvl="8" w:tplc="8D5CAE70">
      <w:start w:val="1"/>
      <w:numFmt w:val="bullet"/>
      <w:lvlText w:val=""/>
      <w:lvlJc w:val="left"/>
      <w:pPr>
        <w:ind w:left="6480" w:hanging="360"/>
      </w:pPr>
      <w:rPr>
        <w:rFonts w:ascii="Wingdings" w:hAnsi="Wingdings" w:hint="default"/>
      </w:rPr>
    </w:lvl>
  </w:abstractNum>
  <w:abstractNum w:abstractNumId="3" w15:restartNumberingAfterBreak="0">
    <w:nsid w:val="108D3474"/>
    <w:multiLevelType w:val="hybridMultilevel"/>
    <w:tmpl w:val="8990D93C"/>
    <w:lvl w:ilvl="0" w:tplc="DAFA2AF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 w15:restartNumberingAfterBreak="0">
    <w:nsid w:val="14814CFA"/>
    <w:multiLevelType w:val="hybridMultilevel"/>
    <w:tmpl w:val="CA549930"/>
    <w:lvl w:ilvl="0" w:tplc="0C09000F">
      <w:start w:val="1"/>
      <w:numFmt w:val="decimal"/>
      <w:lvlText w:val="%1."/>
      <w:lvlJc w:val="left"/>
      <w:pPr>
        <w:ind w:left="2317" w:hanging="360"/>
      </w:pPr>
    </w:lvl>
    <w:lvl w:ilvl="1" w:tplc="0C090019" w:tentative="1">
      <w:start w:val="1"/>
      <w:numFmt w:val="lowerLetter"/>
      <w:lvlText w:val="%2."/>
      <w:lvlJc w:val="left"/>
      <w:pPr>
        <w:ind w:left="3037" w:hanging="360"/>
      </w:pPr>
    </w:lvl>
    <w:lvl w:ilvl="2" w:tplc="0C09001B" w:tentative="1">
      <w:start w:val="1"/>
      <w:numFmt w:val="lowerRoman"/>
      <w:lvlText w:val="%3."/>
      <w:lvlJc w:val="right"/>
      <w:pPr>
        <w:ind w:left="3757" w:hanging="180"/>
      </w:pPr>
    </w:lvl>
    <w:lvl w:ilvl="3" w:tplc="0C09000F" w:tentative="1">
      <w:start w:val="1"/>
      <w:numFmt w:val="decimal"/>
      <w:lvlText w:val="%4."/>
      <w:lvlJc w:val="left"/>
      <w:pPr>
        <w:ind w:left="4477" w:hanging="360"/>
      </w:pPr>
    </w:lvl>
    <w:lvl w:ilvl="4" w:tplc="0C090019" w:tentative="1">
      <w:start w:val="1"/>
      <w:numFmt w:val="lowerLetter"/>
      <w:lvlText w:val="%5."/>
      <w:lvlJc w:val="left"/>
      <w:pPr>
        <w:ind w:left="5197" w:hanging="360"/>
      </w:pPr>
    </w:lvl>
    <w:lvl w:ilvl="5" w:tplc="0C09001B" w:tentative="1">
      <w:start w:val="1"/>
      <w:numFmt w:val="lowerRoman"/>
      <w:lvlText w:val="%6."/>
      <w:lvlJc w:val="right"/>
      <w:pPr>
        <w:ind w:left="5917" w:hanging="180"/>
      </w:pPr>
    </w:lvl>
    <w:lvl w:ilvl="6" w:tplc="0C09000F" w:tentative="1">
      <w:start w:val="1"/>
      <w:numFmt w:val="decimal"/>
      <w:lvlText w:val="%7."/>
      <w:lvlJc w:val="left"/>
      <w:pPr>
        <w:ind w:left="6637" w:hanging="360"/>
      </w:pPr>
    </w:lvl>
    <w:lvl w:ilvl="7" w:tplc="0C090019" w:tentative="1">
      <w:start w:val="1"/>
      <w:numFmt w:val="lowerLetter"/>
      <w:lvlText w:val="%8."/>
      <w:lvlJc w:val="left"/>
      <w:pPr>
        <w:ind w:left="7357" w:hanging="360"/>
      </w:pPr>
    </w:lvl>
    <w:lvl w:ilvl="8" w:tplc="0C09001B" w:tentative="1">
      <w:start w:val="1"/>
      <w:numFmt w:val="lowerRoman"/>
      <w:lvlText w:val="%9."/>
      <w:lvlJc w:val="right"/>
      <w:pPr>
        <w:ind w:left="8077" w:hanging="180"/>
      </w:pPr>
    </w:lvl>
  </w:abstractNum>
  <w:abstractNum w:abstractNumId="5" w15:restartNumberingAfterBreak="0">
    <w:nsid w:val="17E71B9C"/>
    <w:multiLevelType w:val="hybridMultilevel"/>
    <w:tmpl w:val="46B88E1E"/>
    <w:lvl w:ilvl="0" w:tplc="CA885F44">
      <w:start w:val="1"/>
      <w:numFmt w:val="bullet"/>
      <w:pStyle w:val="CGCBullet1"/>
      <w:lvlText w:val=""/>
      <w:lvlJc w:val="left"/>
      <w:pPr>
        <w:ind w:left="720" w:hanging="360"/>
      </w:pPr>
      <w:rPr>
        <w:rFonts w:ascii="Symbol" w:hAnsi="Symbol" w:hint="default"/>
        <w:color w:val="5CA5C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8A30CC"/>
    <w:multiLevelType w:val="hybridMultilevel"/>
    <w:tmpl w:val="0996169E"/>
    <w:lvl w:ilvl="0" w:tplc="21AAE104">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7" w15:restartNumberingAfterBreak="0">
    <w:nsid w:val="1FFA71B1"/>
    <w:multiLevelType w:val="hybridMultilevel"/>
    <w:tmpl w:val="1F08CDC6"/>
    <w:lvl w:ilvl="0" w:tplc="117C2DF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AE18E3"/>
    <w:multiLevelType w:val="hybridMultilevel"/>
    <w:tmpl w:val="C6DA1444"/>
    <w:lvl w:ilvl="0" w:tplc="511069D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9" w15:restartNumberingAfterBreak="0">
    <w:nsid w:val="28CA1198"/>
    <w:multiLevelType w:val="hybridMultilevel"/>
    <w:tmpl w:val="FFFFFFFF"/>
    <w:lvl w:ilvl="0" w:tplc="2E00352A">
      <w:start w:val="1"/>
      <w:numFmt w:val="bullet"/>
      <w:lvlText w:val="·"/>
      <w:lvlJc w:val="left"/>
      <w:pPr>
        <w:ind w:left="720" w:hanging="360"/>
      </w:pPr>
      <w:rPr>
        <w:rFonts w:ascii="Symbol" w:hAnsi="Symbol" w:hint="default"/>
      </w:rPr>
    </w:lvl>
    <w:lvl w:ilvl="1" w:tplc="DD2A50BC">
      <w:start w:val="1"/>
      <w:numFmt w:val="bullet"/>
      <w:lvlText w:val="o"/>
      <w:lvlJc w:val="left"/>
      <w:pPr>
        <w:ind w:left="1440" w:hanging="360"/>
      </w:pPr>
      <w:rPr>
        <w:rFonts w:ascii="Courier New" w:hAnsi="Courier New" w:hint="default"/>
      </w:rPr>
    </w:lvl>
    <w:lvl w:ilvl="2" w:tplc="9E828A82">
      <w:start w:val="1"/>
      <w:numFmt w:val="bullet"/>
      <w:lvlText w:val=""/>
      <w:lvlJc w:val="left"/>
      <w:pPr>
        <w:ind w:left="2160" w:hanging="360"/>
      </w:pPr>
      <w:rPr>
        <w:rFonts w:ascii="Wingdings" w:hAnsi="Wingdings" w:hint="default"/>
      </w:rPr>
    </w:lvl>
    <w:lvl w:ilvl="3" w:tplc="FDB0ED32">
      <w:start w:val="1"/>
      <w:numFmt w:val="bullet"/>
      <w:lvlText w:val=""/>
      <w:lvlJc w:val="left"/>
      <w:pPr>
        <w:ind w:left="2880" w:hanging="360"/>
      </w:pPr>
      <w:rPr>
        <w:rFonts w:ascii="Symbol" w:hAnsi="Symbol" w:hint="default"/>
      </w:rPr>
    </w:lvl>
    <w:lvl w:ilvl="4" w:tplc="1CEA7F8C">
      <w:start w:val="1"/>
      <w:numFmt w:val="bullet"/>
      <w:lvlText w:val="o"/>
      <w:lvlJc w:val="left"/>
      <w:pPr>
        <w:ind w:left="3600" w:hanging="360"/>
      </w:pPr>
      <w:rPr>
        <w:rFonts w:ascii="Courier New" w:hAnsi="Courier New" w:hint="default"/>
      </w:rPr>
    </w:lvl>
    <w:lvl w:ilvl="5" w:tplc="922E6C0C">
      <w:start w:val="1"/>
      <w:numFmt w:val="bullet"/>
      <w:lvlText w:val=""/>
      <w:lvlJc w:val="left"/>
      <w:pPr>
        <w:ind w:left="4320" w:hanging="360"/>
      </w:pPr>
      <w:rPr>
        <w:rFonts w:ascii="Wingdings" w:hAnsi="Wingdings" w:hint="default"/>
      </w:rPr>
    </w:lvl>
    <w:lvl w:ilvl="6" w:tplc="A2DA066A">
      <w:start w:val="1"/>
      <w:numFmt w:val="bullet"/>
      <w:lvlText w:val=""/>
      <w:lvlJc w:val="left"/>
      <w:pPr>
        <w:ind w:left="5040" w:hanging="360"/>
      </w:pPr>
      <w:rPr>
        <w:rFonts w:ascii="Symbol" w:hAnsi="Symbol" w:hint="default"/>
      </w:rPr>
    </w:lvl>
    <w:lvl w:ilvl="7" w:tplc="80C6A3F6">
      <w:start w:val="1"/>
      <w:numFmt w:val="bullet"/>
      <w:lvlText w:val="o"/>
      <w:lvlJc w:val="left"/>
      <w:pPr>
        <w:ind w:left="5760" w:hanging="360"/>
      </w:pPr>
      <w:rPr>
        <w:rFonts w:ascii="Courier New" w:hAnsi="Courier New" w:hint="default"/>
      </w:rPr>
    </w:lvl>
    <w:lvl w:ilvl="8" w:tplc="81AC02BC">
      <w:start w:val="1"/>
      <w:numFmt w:val="bullet"/>
      <w:lvlText w:val=""/>
      <w:lvlJc w:val="left"/>
      <w:pPr>
        <w:ind w:left="6480" w:hanging="360"/>
      </w:pPr>
      <w:rPr>
        <w:rFonts w:ascii="Wingdings" w:hAnsi="Wingdings" w:hint="default"/>
      </w:rPr>
    </w:lvl>
  </w:abstractNum>
  <w:abstractNum w:abstractNumId="10" w15:restartNumberingAfterBreak="0">
    <w:nsid w:val="2B3C58C3"/>
    <w:multiLevelType w:val="hybridMultilevel"/>
    <w:tmpl w:val="C6AA0C1C"/>
    <w:lvl w:ilvl="0" w:tplc="C98EC874">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5F30A0"/>
    <w:multiLevelType w:val="hybridMultilevel"/>
    <w:tmpl w:val="14660172"/>
    <w:lvl w:ilvl="0" w:tplc="ABCAEFAA">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2" w15:restartNumberingAfterBreak="0">
    <w:nsid w:val="305A2F29"/>
    <w:multiLevelType w:val="hybridMultilevel"/>
    <w:tmpl w:val="EC5AD7E4"/>
    <w:lvl w:ilvl="0" w:tplc="DA78C06C">
      <w:start w:val="1"/>
      <w:numFmt w:val="decimal"/>
      <w:pStyle w:val="CGCParaNumber"/>
      <w:lvlText w:val="%1"/>
      <w:lvlJc w:val="left"/>
      <w:pPr>
        <w:ind w:left="720" w:hanging="360"/>
      </w:pPr>
      <w:rPr>
        <w:rFonts w:ascii="Open Sans Light" w:hAnsi="Open Sans Light" w:hint="default"/>
        <w:b w:val="0"/>
        <w:i w:val="0"/>
        <w:caps w:val="0"/>
        <w:strike w:val="0"/>
        <w:dstrike w:val="0"/>
        <w:vanish w:val="0"/>
        <w:color w:val="004562" w:themeColor="text1"/>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DE03D8"/>
    <w:multiLevelType w:val="hybridMultilevel"/>
    <w:tmpl w:val="651C844A"/>
    <w:lvl w:ilvl="0" w:tplc="C98EC874">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89904F8"/>
    <w:multiLevelType w:val="hybridMultilevel"/>
    <w:tmpl w:val="F22642A8"/>
    <w:lvl w:ilvl="0" w:tplc="C46AC7D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5" w15:restartNumberingAfterBreak="0">
    <w:nsid w:val="3C9727B5"/>
    <w:multiLevelType w:val="hybridMultilevel"/>
    <w:tmpl w:val="A16E9B34"/>
    <w:lvl w:ilvl="0" w:tplc="52E695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2056B2F"/>
    <w:multiLevelType w:val="hybridMultilevel"/>
    <w:tmpl w:val="EE06E0DA"/>
    <w:lvl w:ilvl="0" w:tplc="2D16E96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511CFA"/>
    <w:multiLevelType w:val="hybridMultilevel"/>
    <w:tmpl w:val="46CA2B76"/>
    <w:lvl w:ilvl="0" w:tplc="F7C84412">
      <w:start w:val="1"/>
      <w:numFmt w:val="bullet"/>
      <w:pStyle w:val="BodyText"/>
      <w:lvlText w:val=""/>
      <w:lvlJc w:val="left"/>
      <w:pPr>
        <w:ind w:left="720" w:hanging="360"/>
      </w:pPr>
      <w:rPr>
        <w:rFonts w:ascii="Symbol" w:hAnsi="Symbol" w:hint="default"/>
      </w:rPr>
    </w:lvl>
    <w:lvl w:ilvl="1" w:tplc="C2ACF6D6">
      <w:start w:val="1"/>
      <w:numFmt w:val="bullet"/>
      <w:pStyle w:val="Dashpoin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22564F"/>
    <w:multiLevelType w:val="hybridMultilevel"/>
    <w:tmpl w:val="48D0BB2C"/>
    <w:lvl w:ilvl="0" w:tplc="7FD476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09498F"/>
    <w:multiLevelType w:val="hybridMultilevel"/>
    <w:tmpl w:val="7084F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B74EF3"/>
    <w:multiLevelType w:val="hybridMultilevel"/>
    <w:tmpl w:val="442CB28C"/>
    <w:lvl w:ilvl="0" w:tplc="5C9ADA0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458711D"/>
    <w:multiLevelType w:val="hybridMultilevel"/>
    <w:tmpl w:val="4A32B1BA"/>
    <w:lvl w:ilvl="0" w:tplc="C98EC87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63D2DB9"/>
    <w:multiLevelType w:val="hybridMultilevel"/>
    <w:tmpl w:val="76306F9C"/>
    <w:lvl w:ilvl="0" w:tplc="B1D60C2C">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3" w15:restartNumberingAfterBreak="0">
    <w:nsid w:val="5B407669"/>
    <w:multiLevelType w:val="hybridMultilevel"/>
    <w:tmpl w:val="8F32DEF6"/>
    <w:lvl w:ilvl="0" w:tplc="0184957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6830E9"/>
    <w:multiLevelType w:val="hybridMultilevel"/>
    <w:tmpl w:val="AC5AA344"/>
    <w:lvl w:ilvl="0" w:tplc="57D2967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5" w15:restartNumberingAfterBreak="0">
    <w:nsid w:val="5EBC1487"/>
    <w:multiLevelType w:val="hybridMultilevel"/>
    <w:tmpl w:val="7C180BB4"/>
    <w:lvl w:ilvl="0" w:tplc="C98EC87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0D77121"/>
    <w:multiLevelType w:val="hybridMultilevel"/>
    <w:tmpl w:val="A6A6B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280595"/>
    <w:multiLevelType w:val="hybridMultilevel"/>
    <w:tmpl w:val="CB2E56C8"/>
    <w:lvl w:ilvl="0" w:tplc="C98EC874">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B8664B"/>
    <w:multiLevelType w:val="hybridMultilevel"/>
    <w:tmpl w:val="2DE28A10"/>
    <w:lvl w:ilvl="0" w:tplc="9662B46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4D45A9B"/>
    <w:multiLevelType w:val="hybridMultilevel"/>
    <w:tmpl w:val="FFFFFFFF"/>
    <w:lvl w:ilvl="0" w:tplc="726AB854">
      <w:start w:val="1"/>
      <w:numFmt w:val="bullet"/>
      <w:lvlText w:val=""/>
      <w:lvlJc w:val="left"/>
      <w:pPr>
        <w:ind w:left="720" w:hanging="360"/>
      </w:pPr>
      <w:rPr>
        <w:rFonts w:ascii="Symbol" w:hAnsi="Symbol" w:hint="default"/>
      </w:rPr>
    </w:lvl>
    <w:lvl w:ilvl="1" w:tplc="1F9ABF18">
      <w:start w:val="1"/>
      <w:numFmt w:val="bullet"/>
      <w:lvlText w:val="o"/>
      <w:lvlJc w:val="left"/>
      <w:pPr>
        <w:ind w:left="1440" w:hanging="360"/>
      </w:pPr>
      <w:rPr>
        <w:rFonts w:ascii="Courier New" w:hAnsi="Courier New" w:hint="default"/>
      </w:rPr>
    </w:lvl>
    <w:lvl w:ilvl="2" w:tplc="913AF356">
      <w:start w:val="1"/>
      <w:numFmt w:val="bullet"/>
      <w:lvlText w:val=""/>
      <w:lvlJc w:val="left"/>
      <w:pPr>
        <w:ind w:left="2160" w:hanging="360"/>
      </w:pPr>
      <w:rPr>
        <w:rFonts w:ascii="Wingdings" w:hAnsi="Wingdings" w:hint="default"/>
      </w:rPr>
    </w:lvl>
    <w:lvl w:ilvl="3" w:tplc="E5FEEB02">
      <w:start w:val="1"/>
      <w:numFmt w:val="bullet"/>
      <w:lvlText w:val=""/>
      <w:lvlJc w:val="left"/>
      <w:pPr>
        <w:ind w:left="2880" w:hanging="360"/>
      </w:pPr>
      <w:rPr>
        <w:rFonts w:ascii="Symbol" w:hAnsi="Symbol" w:hint="default"/>
      </w:rPr>
    </w:lvl>
    <w:lvl w:ilvl="4" w:tplc="4462E1C4">
      <w:start w:val="1"/>
      <w:numFmt w:val="bullet"/>
      <w:lvlText w:val="o"/>
      <w:lvlJc w:val="left"/>
      <w:pPr>
        <w:ind w:left="3600" w:hanging="360"/>
      </w:pPr>
      <w:rPr>
        <w:rFonts w:ascii="Courier New" w:hAnsi="Courier New" w:hint="default"/>
      </w:rPr>
    </w:lvl>
    <w:lvl w:ilvl="5" w:tplc="A3B4C29E">
      <w:start w:val="1"/>
      <w:numFmt w:val="bullet"/>
      <w:lvlText w:val=""/>
      <w:lvlJc w:val="left"/>
      <w:pPr>
        <w:ind w:left="4320" w:hanging="360"/>
      </w:pPr>
      <w:rPr>
        <w:rFonts w:ascii="Wingdings" w:hAnsi="Wingdings" w:hint="default"/>
      </w:rPr>
    </w:lvl>
    <w:lvl w:ilvl="6" w:tplc="ABCEA074">
      <w:start w:val="1"/>
      <w:numFmt w:val="bullet"/>
      <w:lvlText w:val=""/>
      <w:lvlJc w:val="left"/>
      <w:pPr>
        <w:ind w:left="5040" w:hanging="360"/>
      </w:pPr>
      <w:rPr>
        <w:rFonts w:ascii="Symbol" w:hAnsi="Symbol" w:hint="default"/>
      </w:rPr>
    </w:lvl>
    <w:lvl w:ilvl="7" w:tplc="E9C4BAB4">
      <w:start w:val="1"/>
      <w:numFmt w:val="bullet"/>
      <w:lvlText w:val="o"/>
      <w:lvlJc w:val="left"/>
      <w:pPr>
        <w:ind w:left="5760" w:hanging="360"/>
      </w:pPr>
      <w:rPr>
        <w:rFonts w:ascii="Courier New" w:hAnsi="Courier New" w:hint="default"/>
      </w:rPr>
    </w:lvl>
    <w:lvl w:ilvl="8" w:tplc="35BA6B06">
      <w:start w:val="1"/>
      <w:numFmt w:val="bullet"/>
      <w:lvlText w:val=""/>
      <w:lvlJc w:val="left"/>
      <w:pPr>
        <w:ind w:left="6480" w:hanging="360"/>
      </w:pPr>
      <w:rPr>
        <w:rFonts w:ascii="Wingdings" w:hAnsi="Wingdings" w:hint="default"/>
      </w:rPr>
    </w:lvl>
  </w:abstractNum>
  <w:abstractNum w:abstractNumId="30" w15:restartNumberingAfterBreak="0">
    <w:nsid w:val="64F72D1A"/>
    <w:multiLevelType w:val="hybridMultilevel"/>
    <w:tmpl w:val="0310EB76"/>
    <w:lvl w:ilvl="0" w:tplc="8632B414">
      <w:start w:val="3"/>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993C9E"/>
    <w:multiLevelType w:val="hybridMultilevel"/>
    <w:tmpl w:val="6E6A6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CD2BD0"/>
    <w:multiLevelType w:val="hybridMultilevel"/>
    <w:tmpl w:val="B16C2E6A"/>
    <w:lvl w:ilvl="0" w:tplc="5EE850CA">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3" w15:restartNumberingAfterBreak="0">
    <w:nsid w:val="6A7C66E3"/>
    <w:multiLevelType w:val="hybridMultilevel"/>
    <w:tmpl w:val="584EFD82"/>
    <w:lvl w:ilvl="0" w:tplc="8FF897F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4" w15:restartNumberingAfterBreak="0">
    <w:nsid w:val="6D10453E"/>
    <w:multiLevelType w:val="hybridMultilevel"/>
    <w:tmpl w:val="92B80B96"/>
    <w:lvl w:ilvl="0" w:tplc="0A9C645C">
      <w:start w:val="1"/>
      <w:numFmt w:val="decimal"/>
      <w:lvlText w:val="%1."/>
      <w:lvlJc w:val="left"/>
      <w:pPr>
        <w:ind w:left="1434" w:hanging="72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5" w15:restartNumberingAfterBreak="0">
    <w:nsid w:val="6D4F5116"/>
    <w:multiLevelType w:val="hybridMultilevel"/>
    <w:tmpl w:val="B3BE1388"/>
    <w:lvl w:ilvl="0" w:tplc="D564DBEE">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6" w15:restartNumberingAfterBreak="0">
    <w:nsid w:val="752A1375"/>
    <w:multiLevelType w:val="hybridMultilevel"/>
    <w:tmpl w:val="3B0C9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5C63BC"/>
    <w:multiLevelType w:val="hybridMultilevel"/>
    <w:tmpl w:val="FFFFFFFF"/>
    <w:lvl w:ilvl="0" w:tplc="BEAC7748">
      <w:start w:val="1"/>
      <w:numFmt w:val="bullet"/>
      <w:lvlText w:val="·"/>
      <w:lvlJc w:val="left"/>
      <w:pPr>
        <w:ind w:left="720" w:hanging="360"/>
      </w:pPr>
      <w:rPr>
        <w:rFonts w:ascii="Symbol" w:hAnsi="Symbol" w:hint="default"/>
      </w:rPr>
    </w:lvl>
    <w:lvl w:ilvl="1" w:tplc="84B0F4F8">
      <w:start w:val="1"/>
      <w:numFmt w:val="bullet"/>
      <w:lvlText w:val="o"/>
      <w:lvlJc w:val="left"/>
      <w:pPr>
        <w:ind w:left="1440" w:hanging="360"/>
      </w:pPr>
      <w:rPr>
        <w:rFonts w:ascii="Courier New" w:hAnsi="Courier New" w:hint="default"/>
      </w:rPr>
    </w:lvl>
    <w:lvl w:ilvl="2" w:tplc="6A06EAEE">
      <w:start w:val="1"/>
      <w:numFmt w:val="bullet"/>
      <w:lvlText w:val=""/>
      <w:lvlJc w:val="left"/>
      <w:pPr>
        <w:ind w:left="2160" w:hanging="360"/>
      </w:pPr>
      <w:rPr>
        <w:rFonts w:ascii="Wingdings" w:hAnsi="Wingdings" w:hint="default"/>
      </w:rPr>
    </w:lvl>
    <w:lvl w:ilvl="3" w:tplc="6A082A52">
      <w:start w:val="1"/>
      <w:numFmt w:val="bullet"/>
      <w:lvlText w:val=""/>
      <w:lvlJc w:val="left"/>
      <w:pPr>
        <w:ind w:left="2880" w:hanging="360"/>
      </w:pPr>
      <w:rPr>
        <w:rFonts w:ascii="Symbol" w:hAnsi="Symbol" w:hint="default"/>
      </w:rPr>
    </w:lvl>
    <w:lvl w:ilvl="4" w:tplc="12DAAAA0">
      <w:start w:val="1"/>
      <w:numFmt w:val="bullet"/>
      <w:lvlText w:val="o"/>
      <w:lvlJc w:val="left"/>
      <w:pPr>
        <w:ind w:left="3600" w:hanging="360"/>
      </w:pPr>
      <w:rPr>
        <w:rFonts w:ascii="Courier New" w:hAnsi="Courier New" w:hint="default"/>
      </w:rPr>
    </w:lvl>
    <w:lvl w:ilvl="5" w:tplc="316C5A78">
      <w:start w:val="1"/>
      <w:numFmt w:val="bullet"/>
      <w:lvlText w:val=""/>
      <w:lvlJc w:val="left"/>
      <w:pPr>
        <w:ind w:left="4320" w:hanging="360"/>
      </w:pPr>
      <w:rPr>
        <w:rFonts w:ascii="Wingdings" w:hAnsi="Wingdings" w:hint="default"/>
      </w:rPr>
    </w:lvl>
    <w:lvl w:ilvl="6" w:tplc="3118BD18">
      <w:start w:val="1"/>
      <w:numFmt w:val="bullet"/>
      <w:lvlText w:val=""/>
      <w:lvlJc w:val="left"/>
      <w:pPr>
        <w:ind w:left="5040" w:hanging="360"/>
      </w:pPr>
      <w:rPr>
        <w:rFonts w:ascii="Symbol" w:hAnsi="Symbol" w:hint="default"/>
      </w:rPr>
    </w:lvl>
    <w:lvl w:ilvl="7" w:tplc="C8A633D0">
      <w:start w:val="1"/>
      <w:numFmt w:val="bullet"/>
      <w:lvlText w:val="o"/>
      <w:lvlJc w:val="left"/>
      <w:pPr>
        <w:ind w:left="5760" w:hanging="360"/>
      </w:pPr>
      <w:rPr>
        <w:rFonts w:ascii="Courier New" w:hAnsi="Courier New" w:hint="default"/>
      </w:rPr>
    </w:lvl>
    <w:lvl w:ilvl="8" w:tplc="44A8536A">
      <w:start w:val="1"/>
      <w:numFmt w:val="bullet"/>
      <w:lvlText w:val=""/>
      <w:lvlJc w:val="left"/>
      <w:pPr>
        <w:ind w:left="6480" w:hanging="360"/>
      </w:pPr>
      <w:rPr>
        <w:rFonts w:ascii="Wingdings" w:hAnsi="Wingdings" w:hint="default"/>
      </w:rPr>
    </w:lvl>
  </w:abstractNum>
  <w:abstractNum w:abstractNumId="38" w15:restartNumberingAfterBreak="0">
    <w:nsid w:val="7C7573ED"/>
    <w:multiLevelType w:val="hybridMultilevel"/>
    <w:tmpl w:val="34D8C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473586"/>
    <w:multiLevelType w:val="hybridMultilevel"/>
    <w:tmpl w:val="B3BE1388"/>
    <w:lvl w:ilvl="0" w:tplc="D564DBEE">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num w:numId="1">
    <w:abstractNumId w:val="17"/>
  </w:num>
  <w:num w:numId="2">
    <w:abstractNumId w:val="4"/>
  </w:num>
  <w:num w:numId="3">
    <w:abstractNumId w:val="18"/>
  </w:num>
  <w:num w:numId="4">
    <w:abstractNumId w:val="6"/>
  </w:num>
  <w:num w:numId="5">
    <w:abstractNumId w:val="22"/>
  </w:num>
  <w:num w:numId="6">
    <w:abstractNumId w:val="3"/>
  </w:num>
  <w:num w:numId="7">
    <w:abstractNumId w:val="11"/>
  </w:num>
  <w:num w:numId="8">
    <w:abstractNumId w:val="24"/>
  </w:num>
  <w:num w:numId="9">
    <w:abstractNumId w:val="29"/>
  </w:num>
  <w:num w:numId="10">
    <w:abstractNumId w:val="31"/>
  </w:num>
  <w:num w:numId="11">
    <w:abstractNumId w:val="12"/>
  </w:num>
  <w:num w:numId="12">
    <w:abstractNumId w:val="12"/>
    <w:lvlOverride w:ilvl="0">
      <w:startOverride w:val="1"/>
    </w:lvlOverride>
  </w:num>
  <w:num w:numId="13">
    <w:abstractNumId w:val="39"/>
  </w:num>
  <w:num w:numId="14">
    <w:abstractNumId w:val="35"/>
  </w:num>
  <w:num w:numId="15">
    <w:abstractNumId w:val="0"/>
  </w:num>
  <w:num w:numId="16">
    <w:abstractNumId w:val="37"/>
  </w:num>
  <w:num w:numId="17">
    <w:abstractNumId w:val="1"/>
  </w:num>
  <w:num w:numId="18">
    <w:abstractNumId w:val="2"/>
  </w:num>
  <w:num w:numId="19">
    <w:abstractNumId w:val="9"/>
  </w:num>
  <w:num w:numId="20">
    <w:abstractNumId w:val="36"/>
  </w:num>
  <w:num w:numId="21">
    <w:abstractNumId w:val="23"/>
  </w:num>
  <w:num w:numId="22">
    <w:abstractNumId w:val="10"/>
  </w:num>
  <w:num w:numId="23">
    <w:abstractNumId w:val="34"/>
  </w:num>
  <w:num w:numId="24">
    <w:abstractNumId w:val="7"/>
  </w:num>
  <w:num w:numId="25">
    <w:abstractNumId w:val="16"/>
  </w:num>
  <w:num w:numId="26">
    <w:abstractNumId w:val="30"/>
  </w:num>
  <w:num w:numId="27">
    <w:abstractNumId w:val="33"/>
  </w:num>
  <w:num w:numId="28">
    <w:abstractNumId w:val="20"/>
  </w:num>
  <w:num w:numId="29">
    <w:abstractNumId w:val="32"/>
  </w:num>
  <w:num w:numId="30">
    <w:abstractNumId w:val="26"/>
  </w:num>
  <w:num w:numId="31">
    <w:abstractNumId w:val="21"/>
  </w:num>
  <w:num w:numId="32">
    <w:abstractNumId w:val="25"/>
  </w:num>
  <w:num w:numId="33">
    <w:abstractNumId w:val="14"/>
  </w:num>
  <w:num w:numId="34">
    <w:abstractNumId w:val="15"/>
  </w:num>
  <w:num w:numId="35">
    <w:abstractNumId w:val="27"/>
  </w:num>
  <w:num w:numId="36">
    <w:abstractNumId w:val="19"/>
  </w:num>
  <w:num w:numId="37">
    <w:abstractNumId w:val="13"/>
  </w:num>
  <w:num w:numId="38">
    <w:abstractNumId w:val="8"/>
  </w:num>
  <w:num w:numId="39">
    <w:abstractNumId w:val="38"/>
  </w:num>
  <w:num w:numId="40">
    <w:abstractNumId w:val="28"/>
  </w:num>
  <w:num w:numId="41">
    <w:abstractNumId w:val="5"/>
  </w:num>
  <w:num w:numId="42">
    <w:abstractNumId w:val="17"/>
  </w:num>
  <w:num w:numId="43">
    <w:abstractNumId w:val="17"/>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550"/>
    <w:rsid w:val="000000B2"/>
    <w:rsid w:val="00000B49"/>
    <w:rsid w:val="00000BDE"/>
    <w:rsid w:val="00000D55"/>
    <w:rsid w:val="00001B92"/>
    <w:rsid w:val="00001C39"/>
    <w:rsid w:val="00001F23"/>
    <w:rsid w:val="0000259C"/>
    <w:rsid w:val="000028E7"/>
    <w:rsid w:val="000029A0"/>
    <w:rsid w:val="00002FAC"/>
    <w:rsid w:val="00003FEC"/>
    <w:rsid w:val="00004AD2"/>
    <w:rsid w:val="0000597F"/>
    <w:rsid w:val="00006324"/>
    <w:rsid w:val="00007DA1"/>
    <w:rsid w:val="00007EC8"/>
    <w:rsid w:val="000111D0"/>
    <w:rsid w:val="00011EA1"/>
    <w:rsid w:val="00011FBB"/>
    <w:rsid w:val="000121FE"/>
    <w:rsid w:val="0001223B"/>
    <w:rsid w:val="00012256"/>
    <w:rsid w:val="000139F7"/>
    <w:rsid w:val="00013AFD"/>
    <w:rsid w:val="0001431D"/>
    <w:rsid w:val="0001476D"/>
    <w:rsid w:val="000147CC"/>
    <w:rsid w:val="0001543E"/>
    <w:rsid w:val="000159EE"/>
    <w:rsid w:val="00015BED"/>
    <w:rsid w:val="00016384"/>
    <w:rsid w:val="00016AD0"/>
    <w:rsid w:val="00016B8A"/>
    <w:rsid w:val="00017D69"/>
    <w:rsid w:val="00020516"/>
    <w:rsid w:val="00020F3C"/>
    <w:rsid w:val="00021134"/>
    <w:rsid w:val="00021819"/>
    <w:rsid w:val="00021991"/>
    <w:rsid w:val="00021E4C"/>
    <w:rsid w:val="00022D78"/>
    <w:rsid w:val="00023878"/>
    <w:rsid w:val="00024331"/>
    <w:rsid w:val="00024850"/>
    <w:rsid w:val="00024F60"/>
    <w:rsid w:val="0002560D"/>
    <w:rsid w:val="00025E5A"/>
    <w:rsid w:val="00026188"/>
    <w:rsid w:val="00026251"/>
    <w:rsid w:val="000263FB"/>
    <w:rsid w:val="000272FE"/>
    <w:rsid w:val="00027543"/>
    <w:rsid w:val="0002791D"/>
    <w:rsid w:val="00027DD5"/>
    <w:rsid w:val="00030767"/>
    <w:rsid w:val="00031392"/>
    <w:rsid w:val="000321CF"/>
    <w:rsid w:val="00032DE3"/>
    <w:rsid w:val="00032DEC"/>
    <w:rsid w:val="0003317C"/>
    <w:rsid w:val="00033459"/>
    <w:rsid w:val="00033ECF"/>
    <w:rsid w:val="000342FC"/>
    <w:rsid w:val="00035169"/>
    <w:rsid w:val="00035B99"/>
    <w:rsid w:val="000366F0"/>
    <w:rsid w:val="00036954"/>
    <w:rsid w:val="00036D34"/>
    <w:rsid w:val="00036F96"/>
    <w:rsid w:val="0004064D"/>
    <w:rsid w:val="000416E9"/>
    <w:rsid w:val="00041B8D"/>
    <w:rsid w:val="00042EC6"/>
    <w:rsid w:val="00043042"/>
    <w:rsid w:val="00043699"/>
    <w:rsid w:val="00043858"/>
    <w:rsid w:val="00043B22"/>
    <w:rsid w:val="00044182"/>
    <w:rsid w:val="00044D52"/>
    <w:rsid w:val="00045052"/>
    <w:rsid w:val="00046411"/>
    <w:rsid w:val="00046427"/>
    <w:rsid w:val="00046452"/>
    <w:rsid w:val="00047292"/>
    <w:rsid w:val="00047E52"/>
    <w:rsid w:val="0005051F"/>
    <w:rsid w:val="0005097E"/>
    <w:rsid w:val="00050A96"/>
    <w:rsid w:val="00050CE4"/>
    <w:rsid w:val="00050E8C"/>
    <w:rsid w:val="00051DF4"/>
    <w:rsid w:val="00052D0A"/>
    <w:rsid w:val="00052F60"/>
    <w:rsid w:val="000530DA"/>
    <w:rsid w:val="0005474A"/>
    <w:rsid w:val="000555B9"/>
    <w:rsid w:val="00055914"/>
    <w:rsid w:val="00056518"/>
    <w:rsid w:val="00056D68"/>
    <w:rsid w:val="00056FD6"/>
    <w:rsid w:val="0005754F"/>
    <w:rsid w:val="0006045E"/>
    <w:rsid w:val="00060A3F"/>
    <w:rsid w:val="00060B38"/>
    <w:rsid w:val="00060BAF"/>
    <w:rsid w:val="0006102C"/>
    <w:rsid w:val="00061841"/>
    <w:rsid w:val="00061945"/>
    <w:rsid w:val="00061969"/>
    <w:rsid w:val="0006228C"/>
    <w:rsid w:val="00062664"/>
    <w:rsid w:val="000626D6"/>
    <w:rsid w:val="000628A6"/>
    <w:rsid w:val="00062A3A"/>
    <w:rsid w:val="00063A58"/>
    <w:rsid w:val="000648E9"/>
    <w:rsid w:val="00065043"/>
    <w:rsid w:val="0006547B"/>
    <w:rsid w:val="00065AB8"/>
    <w:rsid w:val="000661E1"/>
    <w:rsid w:val="000661FC"/>
    <w:rsid w:val="000670E8"/>
    <w:rsid w:val="000671C1"/>
    <w:rsid w:val="0007013B"/>
    <w:rsid w:val="0007045A"/>
    <w:rsid w:val="00070816"/>
    <w:rsid w:val="0007186F"/>
    <w:rsid w:val="00071CDA"/>
    <w:rsid w:val="0007215E"/>
    <w:rsid w:val="000723E3"/>
    <w:rsid w:val="0007253F"/>
    <w:rsid w:val="000732FD"/>
    <w:rsid w:val="00073AC2"/>
    <w:rsid w:val="00074AA9"/>
    <w:rsid w:val="00074DE9"/>
    <w:rsid w:val="000751BE"/>
    <w:rsid w:val="000752E9"/>
    <w:rsid w:val="000752F0"/>
    <w:rsid w:val="00075F21"/>
    <w:rsid w:val="000760FD"/>
    <w:rsid w:val="000766A7"/>
    <w:rsid w:val="00076B55"/>
    <w:rsid w:val="00076CED"/>
    <w:rsid w:val="00076EF4"/>
    <w:rsid w:val="00077174"/>
    <w:rsid w:val="00077C72"/>
    <w:rsid w:val="00077C9A"/>
    <w:rsid w:val="0008045B"/>
    <w:rsid w:val="00080872"/>
    <w:rsid w:val="00080DAF"/>
    <w:rsid w:val="00081685"/>
    <w:rsid w:val="000818E2"/>
    <w:rsid w:val="00081A7B"/>
    <w:rsid w:val="00081CCF"/>
    <w:rsid w:val="00082446"/>
    <w:rsid w:val="00082889"/>
    <w:rsid w:val="00082C1A"/>
    <w:rsid w:val="00083059"/>
    <w:rsid w:val="000831BD"/>
    <w:rsid w:val="000835FF"/>
    <w:rsid w:val="00083C63"/>
    <w:rsid w:val="00083E8E"/>
    <w:rsid w:val="00084315"/>
    <w:rsid w:val="00085165"/>
    <w:rsid w:val="0008530D"/>
    <w:rsid w:val="00085983"/>
    <w:rsid w:val="00086238"/>
    <w:rsid w:val="00086663"/>
    <w:rsid w:val="00086ECF"/>
    <w:rsid w:val="00087315"/>
    <w:rsid w:val="0008797D"/>
    <w:rsid w:val="00087D2A"/>
    <w:rsid w:val="0009069E"/>
    <w:rsid w:val="00091751"/>
    <w:rsid w:val="00091952"/>
    <w:rsid w:val="000926B0"/>
    <w:rsid w:val="00092729"/>
    <w:rsid w:val="00092ADE"/>
    <w:rsid w:val="00092C49"/>
    <w:rsid w:val="00092ED9"/>
    <w:rsid w:val="00093271"/>
    <w:rsid w:val="000937FA"/>
    <w:rsid w:val="00094E2C"/>
    <w:rsid w:val="000951B0"/>
    <w:rsid w:val="00095536"/>
    <w:rsid w:val="0009576A"/>
    <w:rsid w:val="00096A1E"/>
    <w:rsid w:val="00096F9B"/>
    <w:rsid w:val="00097034"/>
    <w:rsid w:val="00097214"/>
    <w:rsid w:val="000979AB"/>
    <w:rsid w:val="00097CB1"/>
    <w:rsid w:val="00097E9E"/>
    <w:rsid w:val="000A001C"/>
    <w:rsid w:val="000A1069"/>
    <w:rsid w:val="000A3595"/>
    <w:rsid w:val="000A376B"/>
    <w:rsid w:val="000A37E0"/>
    <w:rsid w:val="000A3EC6"/>
    <w:rsid w:val="000A49C1"/>
    <w:rsid w:val="000A56F6"/>
    <w:rsid w:val="000A59F1"/>
    <w:rsid w:val="000A5B69"/>
    <w:rsid w:val="000A69A3"/>
    <w:rsid w:val="000A79AB"/>
    <w:rsid w:val="000A79FA"/>
    <w:rsid w:val="000B0A89"/>
    <w:rsid w:val="000B100C"/>
    <w:rsid w:val="000B2B5E"/>
    <w:rsid w:val="000B3473"/>
    <w:rsid w:val="000B3873"/>
    <w:rsid w:val="000B4C8B"/>
    <w:rsid w:val="000B5934"/>
    <w:rsid w:val="000B6654"/>
    <w:rsid w:val="000B687B"/>
    <w:rsid w:val="000B7C16"/>
    <w:rsid w:val="000C02CD"/>
    <w:rsid w:val="000C067F"/>
    <w:rsid w:val="000C13FF"/>
    <w:rsid w:val="000C1471"/>
    <w:rsid w:val="000C1B69"/>
    <w:rsid w:val="000C1E92"/>
    <w:rsid w:val="000C3F8E"/>
    <w:rsid w:val="000C45DD"/>
    <w:rsid w:val="000C4D80"/>
    <w:rsid w:val="000C546E"/>
    <w:rsid w:val="000C584C"/>
    <w:rsid w:val="000C5886"/>
    <w:rsid w:val="000C5EC1"/>
    <w:rsid w:val="000C65EF"/>
    <w:rsid w:val="000C76DC"/>
    <w:rsid w:val="000C7E8C"/>
    <w:rsid w:val="000D00EE"/>
    <w:rsid w:val="000D04F3"/>
    <w:rsid w:val="000D12EA"/>
    <w:rsid w:val="000D135F"/>
    <w:rsid w:val="000D13FB"/>
    <w:rsid w:val="000D14B9"/>
    <w:rsid w:val="000D17FE"/>
    <w:rsid w:val="000D2666"/>
    <w:rsid w:val="000D30D3"/>
    <w:rsid w:val="000D3890"/>
    <w:rsid w:val="000D50E4"/>
    <w:rsid w:val="000D5783"/>
    <w:rsid w:val="000D58D9"/>
    <w:rsid w:val="000D5C45"/>
    <w:rsid w:val="000D6032"/>
    <w:rsid w:val="000D63CC"/>
    <w:rsid w:val="000D661D"/>
    <w:rsid w:val="000D6762"/>
    <w:rsid w:val="000D7038"/>
    <w:rsid w:val="000D70F0"/>
    <w:rsid w:val="000E1893"/>
    <w:rsid w:val="000E24C0"/>
    <w:rsid w:val="000E29BA"/>
    <w:rsid w:val="000E3084"/>
    <w:rsid w:val="000E3136"/>
    <w:rsid w:val="000E3CCA"/>
    <w:rsid w:val="000E4261"/>
    <w:rsid w:val="000E4FEB"/>
    <w:rsid w:val="000E501F"/>
    <w:rsid w:val="000E5C31"/>
    <w:rsid w:val="000E5DD3"/>
    <w:rsid w:val="000E5F08"/>
    <w:rsid w:val="000E6DC8"/>
    <w:rsid w:val="000E713D"/>
    <w:rsid w:val="000E7153"/>
    <w:rsid w:val="000E71BF"/>
    <w:rsid w:val="000E7203"/>
    <w:rsid w:val="000E7813"/>
    <w:rsid w:val="000E7859"/>
    <w:rsid w:val="000E78BE"/>
    <w:rsid w:val="000F14A0"/>
    <w:rsid w:val="000F1B94"/>
    <w:rsid w:val="000F1FFB"/>
    <w:rsid w:val="000F244F"/>
    <w:rsid w:val="000F2802"/>
    <w:rsid w:val="000F2981"/>
    <w:rsid w:val="000F3941"/>
    <w:rsid w:val="000F39F1"/>
    <w:rsid w:val="000F4181"/>
    <w:rsid w:val="000F43EF"/>
    <w:rsid w:val="000F4A39"/>
    <w:rsid w:val="000F4BBD"/>
    <w:rsid w:val="000F5577"/>
    <w:rsid w:val="000F61AE"/>
    <w:rsid w:val="000F672F"/>
    <w:rsid w:val="000F68F1"/>
    <w:rsid w:val="000F6C64"/>
    <w:rsid w:val="000F7A87"/>
    <w:rsid w:val="000F7CBE"/>
    <w:rsid w:val="000F7E07"/>
    <w:rsid w:val="000F7F99"/>
    <w:rsid w:val="00100C23"/>
    <w:rsid w:val="00101014"/>
    <w:rsid w:val="00101879"/>
    <w:rsid w:val="001019B5"/>
    <w:rsid w:val="00101CF6"/>
    <w:rsid w:val="00102780"/>
    <w:rsid w:val="001028A4"/>
    <w:rsid w:val="00102D4A"/>
    <w:rsid w:val="0010465D"/>
    <w:rsid w:val="00104EE6"/>
    <w:rsid w:val="00106750"/>
    <w:rsid w:val="00106C58"/>
    <w:rsid w:val="0010700E"/>
    <w:rsid w:val="001070BD"/>
    <w:rsid w:val="00107542"/>
    <w:rsid w:val="00107E03"/>
    <w:rsid w:val="00110179"/>
    <w:rsid w:val="00110319"/>
    <w:rsid w:val="0011097E"/>
    <w:rsid w:val="001111F2"/>
    <w:rsid w:val="00111783"/>
    <w:rsid w:val="00112281"/>
    <w:rsid w:val="001122DA"/>
    <w:rsid w:val="00112302"/>
    <w:rsid w:val="00112769"/>
    <w:rsid w:val="00112783"/>
    <w:rsid w:val="00112A42"/>
    <w:rsid w:val="0011387A"/>
    <w:rsid w:val="00113927"/>
    <w:rsid w:val="00113A19"/>
    <w:rsid w:val="00114228"/>
    <w:rsid w:val="0011487E"/>
    <w:rsid w:val="00114F74"/>
    <w:rsid w:val="0011532A"/>
    <w:rsid w:val="001153C8"/>
    <w:rsid w:val="00115815"/>
    <w:rsid w:val="0011603E"/>
    <w:rsid w:val="00116213"/>
    <w:rsid w:val="00116296"/>
    <w:rsid w:val="00116B88"/>
    <w:rsid w:val="00116F91"/>
    <w:rsid w:val="001179F3"/>
    <w:rsid w:val="00117D40"/>
    <w:rsid w:val="00117F10"/>
    <w:rsid w:val="001200A5"/>
    <w:rsid w:val="00120757"/>
    <w:rsid w:val="00120A42"/>
    <w:rsid w:val="00120B24"/>
    <w:rsid w:val="00121064"/>
    <w:rsid w:val="00122617"/>
    <w:rsid w:val="00123544"/>
    <w:rsid w:val="00124015"/>
    <w:rsid w:val="00124B17"/>
    <w:rsid w:val="00125057"/>
    <w:rsid w:val="001257C5"/>
    <w:rsid w:val="00126165"/>
    <w:rsid w:val="00126307"/>
    <w:rsid w:val="00126850"/>
    <w:rsid w:val="0013098F"/>
    <w:rsid w:val="00130B58"/>
    <w:rsid w:val="00130D2C"/>
    <w:rsid w:val="00131310"/>
    <w:rsid w:val="00131A86"/>
    <w:rsid w:val="00131F54"/>
    <w:rsid w:val="00132378"/>
    <w:rsid w:val="001323F7"/>
    <w:rsid w:val="0013245A"/>
    <w:rsid w:val="0013252E"/>
    <w:rsid w:val="00132A0E"/>
    <w:rsid w:val="00133138"/>
    <w:rsid w:val="00133462"/>
    <w:rsid w:val="001335B5"/>
    <w:rsid w:val="00133A95"/>
    <w:rsid w:val="00133F31"/>
    <w:rsid w:val="00134241"/>
    <w:rsid w:val="001345D2"/>
    <w:rsid w:val="001350E2"/>
    <w:rsid w:val="001364E9"/>
    <w:rsid w:val="00136865"/>
    <w:rsid w:val="00137982"/>
    <w:rsid w:val="001403DC"/>
    <w:rsid w:val="001406F5"/>
    <w:rsid w:val="001409DB"/>
    <w:rsid w:val="00140CFD"/>
    <w:rsid w:val="00140E5A"/>
    <w:rsid w:val="001417B4"/>
    <w:rsid w:val="00141E0D"/>
    <w:rsid w:val="0014215B"/>
    <w:rsid w:val="00142843"/>
    <w:rsid w:val="00142EA8"/>
    <w:rsid w:val="0014351F"/>
    <w:rsid w:val="00143A61"/>
    <w:rsid w:val="00143C86"/>
    <w:rsid w:val="00143E86"/>
    <w:rsid w:val="00144582"/>
    <w:rsid w:val="001446B6"/>
    <w:rsid w:val="001446BD"/>
    <w:rsid w:val="00144CE0"/>
    <w:rsid w:val="0014597F"/>
    <w:rsid w:val="00145F77"/>
    <w:rsid w:val="00147018"/>
    <w:rsid w:val="0014705C"/>
    <w:rsid w:val="001470A5"/>
    <w:rsid w:val="0014730C"/>
    <w:rsid w:val="00147338"/>
    <w:rsid w:val="001478B6"/>
    <w:rsid w:val="00147F5A"/>
    <w:rsid w:val="001503EB"/>
    <w:rsid w:val="00150E5B"/>
    <w:rsid w:val="00151851"/>
    <w:rsid w:val="001519C4"/>
    <w:rsid w:val="00151FBB"/>
    <w:rsid w:val="00153446"/>
    <w:rsid w:val="001537C5"/>
    <w:rsid w:val="00153D1F"/>
    <w:rsid w:val="00153F44"/>
    <w:rsid w:val="001542D4"/>
    <w:rsid w:val="001549DF"/>
    <w:rsid w:val="00154E59"/>
    <w:rsid w:val="00155D3B"/>
    <w:rsid w:val="00155E03"/>
    <w:rsid w:val="0015646D"/>
    <w:rsid w:val="00156906"/>
    <w:rsid w:val="00156A31"/>
    <w:rsid w:val="0015735D"/>
    <w:rsid w:val="0015775F"/>
    <w:rsid w:val="00157B0C"/>
    <w:rsid w:val="00157E9F"/>
    <w:rsid w:val="00160257"/>
    <w:rsid w:val="00160A43"/>
    <w:rsid w:val="00160ED3"/>
    <w:rsid w:val="00161360"/>
    <w:rsid w:val="001620BF"/>
    <w:rsid w:val="00162170"/>
    <w:rsid w:val="00162514"/>
    <w:rsid w:val="0016277B"/>
    <w:rsid w:val="00162C1A"/>
    <w:rsid w:val="00162F8E"/>
    <w:rsid w:val="00163071"/>
    <w:rsid w:val="00163222"/>
    <w:rsid w:val="00163895"/>
    <w:rsid w:val="001639E5"/>
    <w:rsid w:val="00163D28"/>
    <w:rsid w:val="001647DD"/>
    <w:rsid w:val="001648AE"/>
    <w:rsid w:val="00164A63"/>
    <w:rsid w:val="00164EC6"/>
    <w:rsid w:val="001650DD"/>
    <w:rsid w:val="00165A43"/>
    <w:rsid w:val="00165E2F"/>
    <w:rsid w:val="00166F55"/>
    <w:rsid w:val="00167142"/>
    <w:rsid w:val="00167FBD"/>
    <w:rsid w:val="0017004C"/>
    <w:rsid w:val="00170B6D"/>
    <w:rsid w:val="00171498"/>
    <w:rsid w:val="001717FB"/>
    <w:rsid w:val="001720D5"/>
    <w:rsid w:val="0017224F"/>
    <w:rsid w:val="001722FC"/>
    <w:rsid w:val="00172427"/>
    <w:rsid w:val="00174138"/>
    <w:rsid w:val="00174206"/>
    <w:rsid w:val="00174B58"/>
    <w:rsid w:val="00174B7A"/>
    <w:rsid w:val="0017513E"/>
    <w:rsid w:val="0017571E"/>
    <w:rsid w:val="001757AD"/>
    <w:rsid w:val="00175997"/>
    <w:rsid w:val="00175E4C"/>
    <w:rsid w:val="00176075"/>
    <w:rsid w:val="00176B3A"/>
    <w:rsid w:val="00177A71"/>
    <w:rsid w:val="00177BE8"/>
    <w:rsid w:val="00177C0B"/>
    <w:rsid w:val="00177C6F"/>
    <w:rsid w:val="0018018D"/>
    <w:rsid w:val="001802E6"/>
    <w:rsid w:val="001805E0"/>
    <w:rsid w:val="00180702"/>
    <w:rsid w:val="00180DCF"/>
    <w:rsid w:val="0018110E"/>
    <w:rsid w:val="00181155"/>
    <w:rsid w:val="00181508"/>
    <w:rsid w:val="00181B48"/>
    <w:rsid w:val="00182262"/>
    <w:rsid w:val="00182CE9"/>
    <w:rsid w:val="00184BA7"/>
    <w:rsid w:val="00184ED7"/>
    <w:rsid w:val="00185354"/>
    <w:rsid w:val="00185568"/>
    <w:rsid w:val="00185752"/>
    <w:rsid w:val="001857DF"/>
    <w:rsid w:val="00185ADC"/>
    <w:rsid w:val="00185C07"/>
    <w:rsid w:val="00186687"/>
    <w:rsid w:val="00187295"/>
    <w:rsid w:val="00190FE2"/>
    <w:rsid w:val="00191F47"/>
    <w:rsid w:val="00192034"/>
    <w:rsid w:val="00192471"/>
    <w:rsid w:val="001926F2"/>
    <w:rsid w:val="00192BF3"/>
    <w:rsid w:val="001933C7"/>
    <w:rsid w:val="0019365D"/>
    <w:rsid w:val="00193D60"/>
    <w:rsid w:val="001941D5"/>
    <w:rsid w:val="00194D05"/>
    <w:rsid w:val="00195195"/>
    <w:rsid w:val="0019556D"/>
    <w:rsid w:val="001955AA"/>
    <w:rsid w:val="00196173"/>
    <w:rsid w:val="0019650A"/>
    <w:rsid w:val="0019727F"/>
    <w:rsid w:val="001A0B79"/>
    <w:rsid w:val="001A1716"/>
    <w:rsid w:val="001A1A70"/>
    <w:rsid w:val="001A1CB3"/>
    <w:rsid w:val="001A1DCF"/>
    <w:rsid w:val="001A2A06"/>
    <w:rsid w:val="001A3373"/>
    <w:rsid w:val="001A340D"/>
    <w:rsid w:val="001A3508"/>
    <w:rsid w:val="001A367C"/>
    <w:rsid w:val="001A3B40"/>
    <w:rsid w:val="001A4EEE"/>
    <w:rsid w:val="001A55C8"/>
    <w:rsid w:val="001A5692"/>
    <w:rsid w:val="001A5DCA"/>
    <w:rsid w:val="001A6332"/>
    <w:rsid w:val="001A63B8"/>
    <w:rsid w:val="001A6D71"/>
    <w:rsid w:val="001A7862"/>
    <w:rsid w:val="001B00EC"/>
    <w:rsid w:val="001B021D"/>
    <w:rsid w:val="001B046B"/>
    <w:rsid w:val="001B0597"/>
    <w:rsid w:val="001B0A28"/>
    <w:rsid w:val="001B0E04"/>
    <w:rsid w:val="001B185E"/>
    <w:rsid w:val="001B1930"/>
    <w:rsid w:val="001B1CDC"/>
    <w:rsid w:val="001B1E6D"/>
    <w:rsid w:val="001B22B1"/>
    <w:rsid w:val="001B2B67"/>
    <w:rsid w:val="001B36C4"/>
    <w:rsid w:val="001B445A"/>
    <w:rsid w:val="001B461D"/>
    <w:rsid w:val="001B4A44"/>
    <w:rsid w:val="001B4B80"/>
    <w:rsid w:val="001B4E73"/>
    <w:rsid w:val="001B5C67"/>
    <w:rsid w:val="001B5D8E"/>
    <w:rsid w:val="001B5F31"/>
    <w:rsid w:val="001B65D1"/>
    <w:rsid w:val="001B6893"/>
    <w:rsid w:val="001B6A97"/>
    <w:rsid w:val="001B6AB5"/>
    <w:rsid w:val="001B7166"/>
    <w:rsid w:val="001B7B7E"/>
    <w:rsid w:val="001B7E4C"/>
    <w:rsid w:val="001C1DB8"/>
    <w:rsid w:val="001C20CD"/>
    <w:rsid w:val="001C39B1"/>
    <w:rsid w:val="001C4636"/>
    <w:rsid w:val="001C4B70"/>
    <w:rsid w:val="001C543D"/>
    <w:rsid w:val="001C5679"/>
    <w:rsid w:val="001C5F80"/>
    <w:rsid w:val="001C64F5"/>
    <w:rsid w:val="001C6500"/>
    <w:rsid w:val="001C6BE5"/>
    <w:rsid w:val="001C6D7A"/>
    <w:rsid w:val="001C722F"/>
    <w:rsid w:val="001C76C0"/>
    <w:rsid w:val="001C7975"/>
    <w:rsid w:val="001D024C"/>
    <w:rsid w:val="001D168D"/>
    <w:rsid w:val="001D269D"/>
    <w:rsid w:val="001D3784"/>
    <w:rsid w:val="001D3C02"/>
    <w:rsid w:val="001D418B"/>
    <w:rsid w:val="001D4629"/>
    <w:rsid w:val="001D4BD9"/>
    <w:rsid w:val="001D4EC5"/>
    <w:rsid w:val="001D51AE"/>
    <w:rsid w:val="001D592F"/>
    <w:rsid w:val="001D6956"/>
    <w:rsid w:val="001D6C4A"/>
    <w:rsid w:val="001D6CCE"/>
    <w:rsid w:val="001D7237"/>
    <w:rsid w:val="001D769E"/>
    <w:rsid w:val="001E152B"/>
    <w:rsid w:val="001E19C3"/>
    <w:rsid w:val="001E1C33"/>
    <w:rsid w:val="001E2478"/>
    <w:rsid w:val="001E2596"/>
    <w:rsid w:val="001E2A7E"/>
    <w:rsid w:val="001E2EDE"/>
    <w:rsid w:val="001E2FDA"/>
    <w:rsid w:val="001E33C0"/>
    <w:rsid w:val="001E35E2"/>
    <w:rsid w:val="001E4637"/>
    <w:rsid w:val="001E47F8"/>
    <w:rsid w:val="001E4912"/>
    <w:rsid w:val="001E4A77"/>
    <w:rsid w:val="001E5620"/>
    <w:rsid w:val="001E5A06"/>
    <w:rsid w:val="001E5C37"/>
    <w:rsid w:val="001E5C7F"/>
    <w:rsid w:val="001E6B8E"/>
    <w:rsid w:val="001E6BAA"/>
    <w:rsid w:val="001E77AC"/>
    <w:rsid w:val="001E7941"/>
    <w:rsid w:val="001E7F15"/>
    <w:rsid w:val="001F02C3"/>
    <w:rsid w:val="001F0392"/>
    <w:rsid w:val="001F132E"/>
    <w:rsid w:val="001F187C"/>
    <w:rsid w:val="001F1BC4"/>
    <w:rsid w:val="001F1E12"/>
    <w:rsid w:val="001F1FA2"/>
    <w:rsid w:val="001F3163"/>
    <w:rsid w:val="001F33CA"/>
    <w:rsid w:val="001F3AC0"/>
    <w:rsid w:val="001F3C90"/>
    <w:rsid w:val="001F47AE"/>
    <w:rsid w:val="001F4C47"/>
    <w:rsid w:val="001F59E1"/>
    <w:rsid w:val="001F5E32"/>
    <w:rsid w:val="001F6395"/>
    <w:rsid w:val="001F6679"/>
    <w:rsid w:val="001F6BB6"/>
    <w:rsid w:val="001F6ECB"/>
    <w:rsid w:val="001F79A5"/>
    <w:rsid w:val="001F7C0D"/>
    <w:rsid w:val="001F7E08"/>
    <w:rsid w:val="002003F0"/>
    <w:rsid w:val="0020050E"/>
    <w:rsid w:val="00200CB4"/>
    <w:rsid w:val="00200DC0"/>
    <w:rsid w:val="00201169"/>
    <w:rsid w:val="00201BCA"/>
    <w:rsid w:val="00201CBD"/>
    <w:rsid w:val="0020267C"/>
    <w:rsid w:val="00202CB3"/>
    <w:rsid w:val="002030EB"/>
    <w:rsid w:val="00203D9A"/>
    <w:rsid w:val="00203E0E"/>
    <w:rsid w:val="002048F7"/>
    <w:rsid w:val="002051BB"/>
    <w:rsid w:val="00205375"/>
    <w:rsid w:val="0020570C"/>
    <w:rsid w:val="002059F6"/>
    <w:rsid w:val="00206235"/>
    <w:rsid w:val="002063BD"/>
    <w:rsid w:val="002067CB"/>
    <w:rsid w:val="00207B16"/>
    <w:rsid w:val="00207B48"/>
    <w:rsid w:val="00207C53"/>
    <w:rsid w:val="0021036B"/>
    <w:rsid w:val="002105C7"/>
    <w:rsid w:val="00210771"/>
    <w:rsid w:val="00210E2D"/>
    <w:rsid w:val="00211407"/>
    <w:rsid w:val="002125D8"/>
    <w:rsid w:val="00212628"/>
    <w:rsid w:val="002134B3"/>
    <w:rsid w:val="00213F93"/>
    <w:rsid w:val="00214970"/>
    <w:rsid w:val="00214CCF"/>
    <w:rsid w:val="00214D4A"/>
    <w:rsid w:val="00214D86"/>
    <w:rsid w:val="002152D6"/>
    <w:rsid w:val="00215383"/>
    <w:rsid w:val="00215C85"/>
    <w:rsid w:val="00215CB8"/>
    <w:rsid w:val="00215D07"/>
    <w:rsid w:val="00215EC2"/>
    <w:rsid w:val="002168A0"/>
    <w:rsid w:val="00216E0C"/>
    <w:rsid w:val="00216F47"/>
    <w:rsid w:val="0021713E"/>
    <w:rsid w:val="00217643"/>
    <w:rsid w:val="00217968"/>
    <w:rsid w:val="00220751"/>
    <w:rsid w:val="00220E6D"/>
    <w:rsid w:val="00222198"/>
    <w:rsid w:val="00222599"/>
    <w:rsid w:val="00222EE4"/>
    <w:rsid w:val="002246A1"/>
    <w:rsid w:val="0022520A"/>
    <w:rsid w:val="002259AD"/>
    <w:rsid w:val="00225B1A"/>
    <w:rsid w:val="00225BAF"/>
    <w:rsid w:val="002265B3"/>
    <w:rsid w:val="002273EB"/>
    <w:rsid w:val="002277E1"/>
    <w:rsid w:val="00227901"/>
    <w:rsid w:val="00227BB5"/>
    <w:rsid w:val="00230444"/>
    <w:rsid w:val="002308DD"/>
    <w:rsid w:val="00230C89"/>
    <w:rsid w:val="00230F4A"/>
    <w:rsid w:val="002311ED"/>
    <w:rsid w:val="002311F3"/>
    <w:rsid w:val="0023158C"/>
    <w:rsid w:val="00231C29"/>
    <w:rsid w:val="00231EF2"/>
    <w:rsid w:val="002327E2"/>
    <w:rsid w:val="00232CCB"/>
    <w:rsid w:val="0023307D"/>
    <w:rsid w:val="00233144"/>
    <w:rsid w:val="00233646"/>
    <w:rsid w:val="00233DF0"/>
    <w:rsid w:val="00234A22"/>
    <w:rsid w:val="00234FFE"/>
    <w:rsid w:val="00235489"/>
    <w:rsid w:val="00235F6B"/>
    <w:rsid w:val="00236025"/>
    <w:rsid w:val="002361E9"/>
    <w:rsid w:val="0023675A"/>
    <w:rsid w:val="00237B1E"/>
    <w:rsid w:val="00237F2E"/>
    <w:rsid w:val="002401DA"/>
    <w:rsid w:val="00240E43"/>
    <w:rsid w:val="00241333"/>
    <w:rsid w:val="00243125"/>
    <w:rsid w:val="002433EB"/>
    <w:rsid w:val="002445F6"/>
    <w:rsid w:val="002446B0"/>
    <w:rsid w:val="002457F5"/>
    <w:rsid w:val="00245868"/>
    <w:rsid w:val="00245C34"/>
    <w:rsid w:val="00245CD4"/>
    <w:rsid w:val="002461B2"/>
    <w:rsid w:val="002465A0"/>
    <w:rsid w:val="00246FD7"/>
    <w:rsid w:val="0024729F"/>
    <w:rsid w:val="0024752B"/>
    <w:rsid w:val="00250272"/>
    <w:rsid w:val="00250327"/>
    <w:rsid w:val="00250980"/>
    <w:rsid w:val="00252E23"/>
    <w:rsid w:val="00252F9D"/>
    <w:rsid w:val="0025300D"/>
    <w:rsid w:val="002533EA"/>
    <w:rsid w:val="00253C51"/>
    <w:rsid w:val="00253F4A"/>
    <w:rsid w:val="0025409C"/>
    <w:rsid w:val="0025412C"/>
    <w:rsid w:val="00254E10"/>
    <w:rsid w:val="00254EB8"/>
    <w:rsid w:val="00255030"/>
    <w:rsid w:val="00256095"/>
    <w:rsid w:val="0025609B"/>
    <w:rsid w:val="002560F0"/>
    <w:rsid w:val="002563CE"/>
    <w:rsid w:val="002565C8"/>
    <w:rsid w:val="00256AB0"/>
    <w:rsid w:val="00256CE0"/>
    <w:rsid w:val="00257646"/>
    <w:rsid w:val="00257CCE"/>
    <w:rsid w:val="00257E2A"/>
    <w:rsid w:val="00260568"/>
    <w:rsid w:val="00260E05"/>
    <w:rsid w:val="00260FF1"/>
    <w:rsid w:val="00261726"/>
    <w:rsid w:val="002618C2"/>
    <w:rsid w:val="002619AC"/>
    <w:rsid w:val="002619AD"/>
    <w:rsid w:val="00263095"/>
    <w:rsid w:val="00263D40"/>
    <w:rsid w:val="002649A3"/>
    <w:rsid w:val="0026531C"/>
    <w:rsid w:val="00265B66"/>
    <w:rsid w:val="00265E5C"/>
    <w:rsid w:val="002661E3"/>
    <w:rsid w:val="0026625C"/>
    <w:rsid w:val="00266480"/>
    <w:rsid w:val="0026665F"/>
    <w:rsid w:val="00266ADC"/>
    <w:rsid w:val="00266CC1"/>
    <w:rsid w:val="00266FCD"/>
    <w:rsid w:val="00267242"/>
    <w:rsid w:val="00267251"/>
    <w:rsid w:val="0027015C"/>
    <w:rsid w:val="0027134C"/>
    <w:rsid w:val="00271E67"/>
    <w:rsid w:val="00272D51"/>
    <w:rsid w:val="002732F2"/>
    <w:rsid w:val="00273415"/>
    <w:rsid w:val="00273DC0"/>
    <w:rsid w:val="00273EB7"/>
    <w:rsid w:val="00274A33"/>
    <w:rsid w:val="00275019"/>
    <w:rsid w:val="002756A5"/>
    <w:rsid w:val="002761A2"/>
    <w:rsid w:val="002761B9"/>
    <w:rsid w:val="002762E5"/>
    <w:rsid w:val="0027647B"/>
    <w:rsid w:val="00276964"/>
    <w:rsid w:val="00276AEA"/>
    <w:rsid w:val="00276CA0"/>
    <w:rsid w:val="00277406"/>
    <w:rsid w:val="0027752B"/>
    <w:rsid w:val="002778B0"/>
    <w:rsid w:val="00277986"/>
    <w:rsid w:val="00277CD4"/>
    <w:rsid w:val="002806AC"/>
    <w:rsid w:val="0028140D"/>
    <w:rsid w:val="00281704"/>
    <w:rsid w:val="002823B5"/>
    <w:rsid w:val="00282430"/>
    <w:rsid w:val="0028322A"/>
    <w:rsid w:val="002834B4"/>
    <w:rsid w:val="00283D3F"/>
    <w:rsid w:val="002847D4"/>
    <w:rsid w:val="00285362"/>
    <w:rsid w:val="00285556"/>
    <w:rsid w:val="0028556E"/>
    <w:rsid w:val="00285E6D"/>
    <w:rsid w:val="002868B1"/>
    <w:rsid w:val="00286BCD"/>
    <w:rsid w:val="002875F7"/>
    <w:rsid w:val="002876FD"/>
    <w:rsid w:val="002877A6"/>
    <w:rsid w:val="00291DF2"/>
    <w:rsid w:val="00292037"/>
    <w:rsid w:val="0029218A"/>
    <w:rsid w:val="00292338"/>
    <w:rsid w:val="002933E5"/>
    <w:rsid w:val="002948CB"/>
    <w:rsid w:val="00295A66"/>
    <w:rsid w:val="00295AEE"/>
    <w:rsid w:val="00296152"/>
    <w:rsid w:val="0029621A"/>
    <w:rsid w:val="00296570"/>
    <w:rsid w:val="00296621"/>
    <w:rsid w:val="00296AFE"/>
    <w:rsid w:val="0029736A"/>
    <w:rsid w:val="002973F7"/>
    <w:rsid w:val="00297463"/>
    <w:rsid w:val="00297F4C"/>
    <w:rsid w:val="00297F72"/>
    <w:rsid w:val="002A05D4"/>
    <w:rsid w:val="002A0CA4"/>
    <w:rsid w:val="002A12E7"/>
    <w:rsid w:val="002A2331"/>
    <w:rsid w:val="002A27B1"/>
    <w:rsid w:val="002A28F1"/>
    <w:rsid w:val="002A35C3"/>
    <w:rsid w:val="002A3863"/>
    <w:rsid w:val="002A388F"/>
    <w:rsid w:val="002A4AA8"/>
    <w:rsid w:val="002A4CA9"/>
    <w:rsid w:val="002A5B73"/>
    <w:rsid w:val="002A5BEB"/>
    <w:rsid w:val="002A5BF0"/>
    <w:rsid w:val="002A72C7"/>
    <w:rsid w:val="002A7479"/>
    <w:rsid w:val="002B028D"/>
    <w:rsid w:val="002B08A2"/>
    <w:rsid w:val="002B08D1"/>
    <w:rsid w:val="002B0EB2"/>
    <w:rsid w:val="002B1005"/>
    <w:rsid w:val="002B1D62"/>
    <w:rsid w:val="002B1DE7"/>
    <w:rsid w:val="002B1E5F"/>
    <w:rsid w:val="002B21C5"/>
    <w:rsid w:val="002B2201"/>
    <w:rsid w:val="002B26D4"/>
    <w:rsid w:val="002B2FE1"/>
    <w:rsid w:val="002B34F2"/>
    <w:rsid w:val="002B3935"/>
    <w:rsid w:val="002B3A37"/>
    <w:rsid w:val="002B3B06"/>
    <w:rsid w:val="002B3E19"/>
    <w:rsid w:val="002B491E"/>
    <w:rsid w:val="002B4AE6"/>
    <w:rsid w:val="002B51B6"/>
    <w:rsid w:val="002B5609"/>
    <w:rsid w:val="002B56CA"/>
    <w:rsid w:val="002B5AB2"/>
    <w:rsid w:val="002B6443"/>
    <w:rsid w:val="002B655F"/>
    <w:rsid w:val="002B6E33"/>
    <w:rsid w:val="002B6FD7"/>
    <w:rsid w:val="002B72E1"/>
    <w:rsid w:val="002B732A"/>
    <w:rsid w:val="002B7524"/>
    <w:rsid w:val="002B786F"/>
    <w:rsid w:val="002C044D"/>
    <w:rsid w:val="002C11B4"/>
    <w:rsid w:val="002C1AAA"/>
    <w:rsid w:val="002C1E8D"/>
    <w:rsid w:val="002C1F76"/>
    <w:rsid w:val="002C21C9"/>
    <w:rsid w:val="002C2668"/>
    <w:rsid w:val="002C279C"/>
    <w:rsid w:val="002C3619"/>
    <w:rsid w:val="002C3B57"/>
    <w:rsid w:val="002C405E"/>
    <w:rsid w:val="002C56F0"/>
    <w:rsid w:val="002C6155"/>
    <w:rsid w:val="002C6308"/>
    <w:rsid w:val="002C67A0"/>
    <w:rsid w:val="002C6965"/>
    <w:rsid w:val="002C742E"/>
    <w:rsid w:val="002D0B4B"/>
    <w:rsid w:val="002D18C4"/>
    <w:rsid w:val="002D1DBF"/>
    <w:rsid w:val="002D22EA"/>
    <w:rsid w:val="002D23D6"/>
    <w:rsid w:val="002D29FB"/>
    <w:rsid w:val="002D3012"/>
    <w:rsid w:val="002D32C3"/>
    <w:rsid w:val="002D391C"/>
    <w:rsid w:val="002D3C0E"/>
    <w:rsid w:val="002D4585"/>
    <w:rsid w:val="002D491A"/>
    <w:rsid w:val="002D4A2C"/>
    <w:rsid w:val="002D4B54"/>
    <w:rsid w:val="002D4C4F"/>
    <w:rsid w:val="002D5019"/>
    <w:rsid w:val="002D5065"/>
    <w:rsid w:val="002D512A"/>
    <w:rsid w:val="002D5639"/>
    <w:rsid w:val="002D60AB"/>
    <w:rsid w:val="002D6140"/>
    <w:rsid w:val="002D643A"/>
    <w:rsid w:val="002D6644"/>
    <w:rsid w:val="002D68FE"/>
    <w:rsid w:val="002D695F"/>
    <w:rsid w:val="002D70FF"/>
    <w:rsid w:val="002E0452"/>
    <w:rsid w:val="002E0565"/>
    <w:rsid w:val="002E0DDB"/>
    <w:rsid w:val="002E0FF6"/>
    <w:rsid w:val="002E1242"/>
    <w:rsid w:val="002E194D"/>
    <w:rsid w:val="002E1986"/>
    <w:rsid w:val="002E1DA1"/>
    <w:rsid w:val="002E1FE8"/>
    <w:rsid w:val="002E202D"/>
    <w:rsid w:val="002E20F5"/>
    <w:rsid w:val="002E27EB"/>
    <w:rsid w:val="002E2D9E"/>
    <w:rsid w:val="002E38B7"/>
    <w:rsid w:val="002E3D3B"/>
    <w:rsid w:val="002E3F3A"/>
    <w:rsid w:val="002E435C"/>
    <w:rsid w:val="002E44E8"/>
    <w:rsid w:val="002E44E9"/>
    <w:rsid w:val="002E4E1B"/>
    <w:rsid w:val="002E50CA"/>
    <w:rsid w:val="002E53D6"/>
    <w:rsid w:val="002E5482"/>
    <w:rsid w:val="002E54CD"/>
    <w:rsid w:val="002E555C"/>
    <w:rsid w:val="002E557E"/>
    <w:rsid w:val="002E654A"/>
    <w:rsid w:val="002E6726"/>
    <w:rsid w:val="002E6CDE"/>
    <w:rsid w:val="002E709C"/>
    <w:rsid w:val="002E724E"/>
    <w:rsid w:val="002E7313"/>
    <w:rsid w:val="002E79DA"/>
    <w:rsid w:val="002F035F"/>
    <w:rsid w:val="002F0954"/>
    <w:rsid w:val="002F0B43"/>
    <w:rsid w:val="002F0D1C"/>
    <w:rsid w:val="002F166D"/>
    <w:rsid w:val="002F16FC"/>
    <w:rsid w:val="002F23F6"/>
    <w:rsid w:val="002F2D86"/>
    <w:rsid w:val="002F4164"/>
    <w:rsid w:val="002F42D0"/>
    <w:rsid w:val="002F45A5"/>
    <w:rsid w:val="002F50E1"/>
    <w:rsid w:val="002F5461"/>
    <w:rsid w:val="002F5F63"/>
    <w:rsid w:val="002F6955"/>
    <w:rsid w:val="002F74BA"/>
    <w:rsid w:val="002F7775"/>
    <w:rsid w:val="00300452"/>
    <w:rsid w:val="0030071B"/>
    <w:rsid w:val="00300B91"/>
    <w:rsid w:val="00300E28"/>
    <w:rsid w:val="00300EEB"/>
    <w:rsid w:val="00301772"/>
    <w:rsid w:val="003019F2"/>
    <w:rsid w:val="00301E74"/>
    <w:rsid w:val="003027DC"/>
    <w:rsid w:val="003029E9"/>
    <w:rsid w:val="00302F5A"/>
    <w:rsid w:val="0030396C"/>
    <w:rsid w:val="00303B17"/>
    <w:rsid w:val="00305104"/>
    <w:rsid w:val="00305553"/>
    <w:rsid w:val="00305D60"/>
    <w:rsid w:val="00305FBD"/>
    <w:rsid w:val="003060DA"/>
    <w:rsid w:val="003066FD"/>
    <w:rsid w:val="00306804"/>
    <w:rsid w:val="0030686B"/>
    <w:rsid w:val="00306EB8"/>
    <w:rsid w:val="00307C09"/>
    <w:rsid w:val="00307FCD"/>
    <w:rsid w:val="00310353"/>
    <w:rsid w:val="0031036E"/>
    <w:rsid w:val="00310419"/>
    <w:rsid w:val="003116E3"/>
    <w:rsid w:val="00311B2A"/>
    <w:rsid w:val="00312A59"/>
    <w:rsid w:val="003138B5"/>
    <w:rsid w:val="00313AAB"/>
    <w:rsid w:val="00313B80"/>
    <w:rsid w:val="00313FDC"/>
    <w:rsid w:val="00314177"/>
    <w:rsid w:val="00314CC9"/>
    <w:rsid w:val="00315389"/>
    <w:rsid w:val="00315BA1"/>
    <w:rsid w:val="00315D4C"/>
    <w:rsid w:val="003178FD"/>
    <w:rsid w:val="003179B1"/>
    <w:rsid w:val="00317BC3"/>
    <w:rsid w:val="00317E12"/>
    <w:rsid w:val="00320B11"/>
    <w:rsid w:val="0032140C"/>
    <w:rsid w:val="003216D0"/>
    <w:rsid w:val="00321778"/>
    <w:rsid w:val="0032195F"/>
    <w:rsid w:val="00321C27"/>
    <w:rsid w:val="00321F86"/>
    <w:rsid w:val="003232A4"/>
    <w:rsid w:val="00323C09"/>
    <w:rsid w:val="00324717"/>
    <w:rsid w:val="00324765"/>
    <w:rsid w:val="003254DB"/>
    <w:rsid w:val="0032558C"/>
    <w:rsid w:val="00325BEC"/>
    <w:rsid w:val="00325D2A"/>
    <w:rsid w:val="00326243"/>
    <w:rsid w:val="0032653C"/>
    <w:rsid w:val="0032690B"/>
    <w:rsid w:val="00327072"/>
    <w:rsid w:val="00327381"/>
    <w:rsid w:val="003302FB"/>
    <w:rsid w:val="00330A5D"/>
    <w:rsid w:val="00330A67"/>
    <w:rsid w:val="00330BFC"/>
    <w:rsid w:val="00330F9E"/>
    <w:rsid w:val="0033106C"/>
    <w:rsid w:val="003311D6"/>
    <w:rsid w:val="00331390"/>
    <w:rsid w:val="0033179B"/>
    <w:rsid w:val="003328F4"/>
    <w:rsid w:val="00333E29"/>
    <w:rsid w:val="00333FA9"/>
    <w:rsid w:val="00334277"/>
    <w:rsid w:val="00334396"/>
    <w:rsid w:val="00335534"/>
    <w:rsid w:val="00335DE3"/>
    <w:rsid w:val="003367BB"/>
    <w:rsid w:val="00336860"/>
    <w:rsid w:val="00336D31"/>
    <w:rsid w:val="00336D54"/>
    <w:rsid w:val="00337BAC"/>
    <w:rsid w:val="00337C21"/>
    <w:rsid w:val="00340D1F"/>
    <w:rsid w:val="0034144D"/>
    <w:rsid w:val="0034178C"/>
    <w:rsid w:val="00341BB2"/>
    <w:rsid w:val="00341BE1"/>
    <w:rsid w:val="00341E89"/>
    <w:rsid w:val="00341EE0"/>
    <w:rsid w:val="003423C0"/>
    <w:rsid w:val="0034335B"/>
    <w:rsid w:val="003434D1"/>
    <w:rsid w:val="00343F13"/>
    <w:rsid w:val="00343FF7"/>
    <w:rsid w:val="0034440C"/>
    <w:rsid w:val="00344484"/>
    <w:rsid w:val="00344589"/>
    <w:rsid w:val="00344661"/>
    <w:rsid w:val="00344F58"/>
    <w:rsid w:val="003452C3"/>
    <w:rsid w:val="00345BC0"/>
    <w:rsid w:val="00346305"/>
    <w:rsid w:val="00346AFF"/>
    <w:rsid w:val="00346CD1"/>
    <w:rsid w:val="00347478"/>
    <w:rsid w:val="00347BAC"/>
    <w:rsid w:val="0035051F"/>
    <w:rsid w:val="003508E2"/>
    <w:rsid w:val="00350C4B"/>
    <w:rsid w:val="003515A6"/>
    <w:rsid w:val="00351B26"/>
    <w:rsid w:val="003525B5"/>
    <w:rsid w:val="00352AD8"/>
    <w:rsid w:val="00352FED"/>
    <w:rsid w:val="00353192"/>
    <w:rsid w:val="003540D7"/>
    <w:rsid w:val="003541A4"/>
    <w:rsid w:val="00354867"/>
    <w:rsid w:val="00354BA2"/>
    <w:rsid w:val="00354EB2"/>
    <w:rsid w:val="00355BA5"/>
    <w:rsid w:val="00355F48"/>
    <w:rsid w:val="0035649C"/>
    <w:rsid w:val="003565CB"/>
    <w:rsid w:val="00356981"/>
    <w:rsid w:val="0035703A"/>
    <w:rsid w:val="0035786B"/>
    <w:rsid w:val="003579DF"/>
    <w:rsid w:val="00357ACC"/>
    <w:rsid w:val="00357CAA"/>
    <w:rsid w:val="00357DBA"/>
    <w:rsid w:val="003600C5"/>
    <w:rsid w:val="00360D07"/>
    <w:rsid w:val="00361080"/>
    <w:rsid w:val="0036169D"/>
    <w:rsid w:val="0036191D"/>
    <w:rsid w:val="00361AF5"/>
    <w:rsid w:val="00362DC9"/>
    <w:rsid w:val="0036336D"/>
    <w:rsid w:val="00363408"/>
    <w:rsid w:val="00363484"/>
    <w:rsid w:val="00364658"/>
    <w:rsid w:val="003651A5"/>
    <w:rsid w:val="00365215"/>
    <w:rsid w:val="00366233"/>
    <w:rsid w:val="00366C5A"/>
    <w:rsid w:val="00366DCE"/>
    <w:rsid w:val="0036702B"/>
    <w:rsid w:val="00367330"/>
    <w:rsid w:val="00367394"/>
    <w:rsid w:val="0036748D"/>
    <w:rsid w:val="003678A7"/>
    <w:rsid w:val="00367977"/>
    <w:rsid w:val="00367B5D"/>
    <w:rsid w:val="0037185C"/>
    <w:rsid w:val="003719B9"/>
    <w:rsid w:val="00372112"/>
    <w:rsid w:val="003729EF"/>
    <w:rsid w:val="00372C76"/>
    <w:rsid w:val="00372ED1"/>
    <w:rsid w:val="003740A7"/>
    <w:rsid w:val="00374BFF"/>
    <w:rsid w:val="003759A1"/>
    <w:rsid w:val="0037609F"/>
    <w:rsid w:val="0037657B"/>
    <w:rsid w:val="00376F4D"/>
    <w:rsid w:val="00377A47"/>
    <w:rsid w:val="00377EF1"/>
    <w:rsid w:val="00380744"/>
    <w:rsid w:val="003817BF"/>
    <w:rsid w:val="00381E03"/>
    <w:rsid w:val="003824A7"/>
    <w:rsid w:val="003825EB"/>
    <w:rsid w:val="0038262E"/>
    <w:rsid w:val="00382645"/>
    <w:rsid w:val="00382D1B"/>
    <w:rsid w:val="00382DC9"/>
    <w:rsid w:val="00382F17"/>
    <w:rsid w:val="0038313F"/>
    <w:rsid w:val="0038364E"/>
    <w:rsid w:val="003838FA"/>
    <w:rsid w:val="003840C7"/>
    <w:rsid w:val="003840F8"/>
    <w:rsid w:val="00384918"/>
    <w:rsid w:val="00384B2B"/>
    <w:rsid w:val="00384FD1"/>
    <w:rsid w:val="00385B99"/>
    <w:rsid w:val="00385E7E"/>
    <w:rsid w:val="00385F36"/>
    <w:rsid w:val="0038602D"/>
    <w:rsid w:val="00386EE3"/>
    <w:rsid w:val="00387016"/>
    <w:rsid w:val="003871EF"/>
    <w:rsid w:val="00387570"/>
    <w:rsid w:val="00387742"/>
    <w:rsid w:val="00387E8E"/>
    <w:rsid w:val="003909DF"/>
    <w:rsid w:val="00390C86"/>
    <w:rsid w:val="003910F1"/>
    <w:rsid w:val="00391523"/>
    <w:rsid w:val="003918BF"/>
    <w:rsid w:val="00392431"/>
    <w:rsid w:val="00392838"/>
    <w:rsid w:val="00392CB8"/>
    <w:rsid w:val="0039345B"/>
    <w:rsid w:val="00393830"/>
    <w:rsid w:val="00393900"/>
    <w:rsid w:val="00393B86"/>
    <w:rsid w:val="0039430B"/>
    <w:rsid w:val="00394EA5"/>
    <w:rsid w:val="00395A19"/>
    <w:rsid w:val="0039710A"/>
    <w:rsid w:val="00397510"/>
    <w:rsid w:val="00397EAD"/>
    <w:rsid w:val="003A0F99"/>
    <w:rsid w:val="003A15B1"/>
    <w:rsid w:val="003A15BB"/>
    <w:rsid w:val="003A19B7"/>
    <w:rsid w:val="003A2008"/>
    <w:rsid w:val="003A2265"/>
    <w:rsid w:val="003A2290"/>
    <w:rsid w:val="003A241E"/>
    <w:rsid w:val="003A269C"/>
    <w:rsid w:val="003A2CB9"/>
    <w:rsid w:val="003A3073"/>
    <w:rsid w:val="003A3314"/>
    <w:rsid w:val="003A3A55"/>
    <w:rsid w:val="003A3A66"/>
    <w:rsid w:val="003A4321"/>
    <w:rsid w:val="003A46BE"/>
    <w:rsid w:val="003A4CBC"/>
    <w:rsid w:val="003A5DE3"/>
    <w:rsid w:val="003A5F2D"/>
    <w:rsid w:val="003A61A5"/>
    <w:rsid w:val="003A61EB"/>
    <w:rsid w:val="003A7141"/>
    <w:rsid w:val="003A7850"/>
    <w:rsid w:val="003A7B3B"/>
    <w:rsid w:val="003A7FF9"/>
    <w:rsid w:val="003B0C9D"/>
    <w:rsid w:val="003B1CCA"/>
    <w:rsid w:val="003B1FD0"/>
    <w:rsid w:val="003B28C8"/>
    <w:rsid w:val="003B3428"/>
    <w:rsid w:val="003B355E"/>
    <w:rsid w:val="003B3595"/>
    <w:rsid w:val="003B3792"/>
    <w:rsid w:val="003B39A7"/>
    <w:rsid w:val="003B3E0B"/>
    <w:rsid w:val="003B470E"/>
    <w:rsid w:val="003B4FDB"/>
    <w:rsid w:val="003B5079"/>
    <w:rsid w:val="003B567A"/>
    <w:rsid w:val="003B6242"/>
    <w:rsid w:val="003B63DF"/>
    <w:rsid w:val="003B6CD8"/>
    <w:rsid w:val="003B7228"/>
    <w:rsid w:val="003B7713"/>
    <w:rsid w:val="003B7B49"/>
    <w:rsid w:val="003C0620"/>
    <w:rsid w:val="003C1480"/>
    <w:rsid w:val="003C28A7"/>
    <w:rsid w:val="003C2D58"/>
    <w:rsid w:val="003C3218"/>
    <w:rsid w:val="003C42A7"/>
    <w:rsid w:val="003C4541"/>
    <w:rsid w:val="003C492F"/>
    <w:rsid w:val="003C499A"/>
    <w:rsid w:val="003C4AF2"/>
    <w:rsid w:val="003C6BCE"/>
    <w:rsid w:val="003C748D"/>
    <w:rsid w:val="003C79B0"/>
    <w:rsid w:val="003C7A1B"/>
    <w:rsid w:val="003C7F8A"/>
    <w:rsid w:val="003D01C8"/>
    <w:rsid w:val="003D0FC4"/>
    <w:rsid w:val="003D1FB3"/>
    <w:rsid w:val="003D23CD"/>
    <w:rsid w:val="003D2C8A"/>
    <w:rsid w:val="003D3302"/>
    <w:rsid w:val="003D421F"/>
    <w:rsid w:val="003D43B4"/>
    <w:rsid w:val="003D44B2"/>
    <w:rsid w:val="003D466B"/>
    <w:rsid w:val="003D4BEF"/>
    <w:rsid w:val="003D574B"/>
    <w:rsid w:val="003D5761"/>
    <w:rsid w:val="003D5CC0"/>
    <w:rsid w:val="003D6609"/>
    <w:rsid w:val="003D7012"/>
    <w:rsid w:val="003D7A66"/>
    <w:rsid w:val="003D7BF0"/>
    <w:rsid w:val="003D7DC3"/>
    <w:rsid w:val="003D7E80"/>
    <w:rsid w:val="003E0612"/>
    <w:rsid w:val="003E0FD6"/>
    <w:rsid w:val="003E121F"/>
    <w:rsid w:val="003E2B2D"/>
    <w:rsid w:val="003E30D2"/>
    <w:rsid w:val="003E33D3"/>
    <w:rsid w:val="003E36CA"/>
    <w:rsid w:val="003E3943"/>
    <w:rsid w:val="003E3CFA"/>
    <w:rsid w:val="003E3D39"/>
    <w:rsid w:val="003E433B"/>
    <w:rsid w:val="003E4C38"/>
    <w:rsid w:val="003E4EA1"/>
    <w:rsid w:val="003E5390"/>
    <w:rsid w:val="003E53CC"/>
    <w:rsid w:val="003E5C22"/>
    <w:rsid w:val="003E6576"/>
    <w:rsid w:val="003E6B97"/>
    <w:rsid w:val="003E6BDA"/>
    <w:rsid w:val="003E6E7B"/>
    <w:rsid w:val="003E7103"/>
    <w:rsid w:val="003E712E"/>
    <w:rsid w:val="003E7BA7"/>
    <w:rsid w:val="003E7CBE"/>
    <w:rsid w:val="003E7CFF"/>
    <w:rsid w:val="003F096E"/>
    <w:rsid w:val="003F09ED"/>
    <w:rsid w:val="003F0C59"/>
    <w:rsid w:val="003F1241"/>
    <w:rsid w:val="003F14B3"/>
    <w:rsid w:val="003F2180"/>
    <w:rsid w:val="003F2195"/>
    <w:rsid w:val="003F2A16"/>
    <w:rsid w:val="003F2A18"/>
    <w:rsid w:val="003F31A0"/>
    <w:rsid w:val="003F32E1"/>
    <w:rsid w:val="003F5293"/>
    <w:rsid w:val="003F59CF"/>
    <w:rsid w:val="003F5B65"/>
    <w:rsid w:val="003F5CCB"/>
    <w:rsid w:val="003F5CD8"/>
    <w:rsid w:val="003F6C7A"/>
    <w:rsid w:val="003F6E6B"/>
    <w:rsid w:val="003F74AA"/>
    <w:rsid w:val="0040052F"/>
    <w:rsid w:val="00401083"/>
    <w:rsid w:val="004011C0"/>
    <w:rsid w:val="00401442"/>
    <w:rsid w:val="00401535"/>
    <w:rsid w:val="0040184A"/>
    <w:rsid w:val="0040186E"/>
    <w:rsid w:val="00401F2C"/>
    <w:rsid w:val="00402B0A"/>
    <w:rsid w:val="00402FD8"/>
    <w:rsid w:val="0040414E"/>
    <w:rsid w:val="00404213"/>
    <w:rsid w:val="00404258"/>
    <w:rsid w:val="00404648"/>
    <w:rsid w:val="00404C75"/>
    <w:rsid w:val="00404E1D"/>
    <w:rsid w:val="00405211"/>
    <w:rsid w:val="004057DC"/>
    <w:rsid w:val="00406449"/>
    <w:rsid w:val="00406A86"/>
    <w:rsid w:val="00407121"/>
    <w:rsid w:val="004075C6"/>
    <w:rsid w:val="00407D6F"/>
    <w:rsid w:val="00407F08"/>
    <w:rsid w:val="00410C10"/>
    <w:rsid w:val="0041111E"/>
    <w:rsid w:val="00411289"/>
    <w:rsid w:val="00411BCB"/>
    <w:rsid w:val="00412D33"/>
    <w:rsid w:val="004136A1"/>
    <w:rsid w:val="0041479B"/>
    <w:rsid w:val="00414EFC"/>
    <w:rsid w:val="00414F96"/>
    <w:rsid w:val="0041590C"/>
    <w:rsid w:val="00415F07"/>
    <w:rsid w:val="004164C7"/>
    <w:rsid w:val="00416759"/>
    <w:rsid w:val="00417F14"/>
    <w:rsid w:val="00417FDB"/>
    <w:rsid w:val="00420611"/>
    <w:rsid w:val="004207F7"/>
    <w:rsid w:val="004211F6"/>
    <w:rsid w:val="004211FB"/>
    <w:rsid w:val="004216F6"/>
    <w:rsid w:val="00421E1F"/>
    <w:rsid w:val="00421F84"/>
    <w:rsid w:val="004228C4"/>
    <w:rsid w:val="00423B14"/>
    <w:rsid w:val="00424C46"/>
    <w:rsid w:val="00424CC1"/>
    <w:rsid w:val="00424F20"/>
    <w:rsid w:val="00426549"/>
    <w:rsid w:val="00426C02"/>
    <w:rsid w:val="004272C7"/>
    <w:rsid w:val="00427713"/>
    <w:rsid w:val="0042793F"/>
    <w:rsid w:val="004279BE"/>
    <w:rsid w:val="004308B3"/>
    <w:rsid w:val="00430C20"/>
    <w:rsid w:val="00430DE6"/>
    <w:rsid w:val="00431B90"/>
    <w:rsid w:val="00432391"/>
    <w:rsid w:val="00432C70"/>
    <w:rsid w:val="0043302A"/>
    <w:rsid w:val="00434A7F"/>
    <w:rsid w:val="004355AB"/>
    <w:rsid w:val="0043669E"/>
    <w:rsid w:val="00436F72"/>
    <w:rsid w:val="00437688"/>
    <w:rsid w:val="004408F6"/>
    <w:rsid w:val="004409B1"/>
    <w:rsid w:val="00440A17"/>
    <w:rsid w:val="004414A2"/>
    <w:rsid w:val="00441575"/>
    <w:rsid w:val="00441924"/>
    <w:rsid w:val="0044279E"/>
    <w:rsid w:val="00442A60"/>
    <w:rsid w:val="00443214"/>
    <w:rsid w:val="004433C4"/>
    <w:rsid w:val="004436F3"/>
    <w:rsid w:val="00443BA0"/>
    <w:rsid w:val="00444A48"/>
    <w:rsid w:val="00444F6B"/>
    <w:rsid w:val="00445165"/>
    <w:rsid w:val="004452FB"/>
    <w:rsid w:val="004454B2"/>
    <w:rsid w:val="00445A11"/>
    <w:rsid w:val="00446175"/>
    <w:rsid w:val="00446DFC"/>
    <w:rsid w:val="00447982"/>
    <w:rsid w:val="00447D82"/>
    <w:rsid w:val="00447F99"/>
    <w:rsid w:val="004500EF"/>
    <w:rsid w:val="0045022C"/>
    <w:rsid w:val="00450361"/>
    <w:rsid w:val="004506F8"/>
    <w:rsid w:val="004512A0"/>
    <w:rsid w:val="00451764"/>
    <w:rsid w:val="004528CC"/>
    <w:rsid w:val="00452989"/>
    <w:rsid w:val="00453016"/>
    <w:rsid w:val="004535D6"/>
    <w:rsid w:val="00453B12"/>
    <w:rsid w:val="0045486A"/>
    <w:rsid w:val="00454EFC"/>
    <w:rsid w:val="00455728"/>
    <w:rsid w:val="00455A0F"/>
    <w:rsid w:val="00455E9A"/>
    <w:rsid w:val="00456063"/>
    <w:rsid w:val="004564E6"/>
    <w:rsid w:val="0045669B"/>
    <w:rsid w:val="00456DF7"/>
    <w:rsid w:val="00456F3A"/>
    <w:rsid w:val="004579A8"/>
    <w:rsid w:val="00457A67"/>
    <w:rsid w:val="00457F0D"/>
    <w:rsid w:val="0046003C"/>
    <w:rsid w:val="00460DBD"/>
    <w:rsid w:val="00462224"/>
    <w:rsid w:val="00462F64"/>
    <w:rsid w:val="004634B1"/>
    <w:rsid w:val="0046350C"/>
    <w:rsid w:val="00463569"/>
    <w:rsid w:val="00463FBE"/>
    <w:rsid w:val="004643BD"/>
    <w:rsid w:val="004656F3"/>
    <w:rsid w:val="00465BCB"/>
    <w:rsid w:val="0046628E"/>
    <w:rsid w:val="004664C2"/>
    <w:rsid w:val="004664DE"/>
    <w:rsid w:val="0046650C"/>
    <w:rsid w:val="00466A14"/>
    <w:rsid w:val="00466E72"/>
    <w:rsid w:val="004675A7"/>
    <w:rsid w:val="0046764F"/>
    <w:rsid w:val="00467849"/>
    <w:rsid w:val="00467CAE"/>
    <w:rsid w:val="0047037D"/>
    <w:rsid w:val="004708FC"/>
    <w:rsid w:val="00470B16"/>
    <w:rsid w:val="00470DCE"/>
    <w:rsid w:val="00470F13"/>
    <w:rsid w:val="0047158B"/>
    <w:rsid w:val="0047267E"/>
    <w:rsid w:val="00472AED"/>
    <w:rsid w:val="0047404D"/>
    <w:rsid w:val="00474B72"/>
    <w:rsid w:val="004751AD"/>
    <w:rsid w:val="004756CA"/>
    <w:rsid w:val="00475965"/>
    <w:rsid w:val="004759D1"/>
    <w:rsid w:val="00475A5C"/>
    <w:rsid w:val="00477F04"/>
    <w:rsid w:val="00480296"/>
    <w:rsid w:val="00480683"/>
    <w:rsid w:val="00480B85"/>
    <w:rsid w:val="00480FED"/>
    <w:rsid w:val="00481C3E"/>
    <w:rsid w:val="00482413"/>
    <w:rsid w:val="00483521"/>
    <w:rsid w:val="00483DDB"/>
    <w:rsid w:val="00484B42"/>
    <w:rsid w:val="00484D3E"/>
    <w:rsid w:val="00485DDE"/>
    <w:rsid w:val="0048614B"/>
    <w:rsid w:val="004864EC"/>
    <w:rsid w:val="00486E31"/>
    <w:rsid w:val="0048769C"/>
    <w:rsid w:val="004878EE"/>
    <w:rsid w:val="00490037"/>
    <w:rsid w:val="00490647"/>
    <w:rsid w:val="004909E8"/>
    <w:rsid w:val="00490A38"/>
    <w:rsid w:val="004921A2"/>
    <w:rsid w:val="0049254E"/>
    <w:rsid w:val="00492D7F"/>
    <w:rsid w:val="004930FD"/>
    <w:rsid w:val="00493207"/>
    <w:rsid w:val="00493B7F"/>
    <w:rsid w:val="00494155"/>
    <w:rsid w:val="00494450"/>
    <w:rsid w:val="00495421"/>
    <w:rsid w:val="00495B85"/>
    <w:rsid w:val="004968F9"/>
    <w:rsid w:val="0049766D"/>
    <w:rsid w:val="00497739"/>
    <w:rsid w:val="004A0491"/>
    <w:rsid w:val="004A0CC8"/>
    <w:rsid w:val="004A0D99"/>
    <w:rsid w:val="004A0E86"/>
    <w:rsid w:val="004A0F0D"/>
    <w:rsid w:val="004A12CA"/>
    <w:rsid w:val="004A1E6D"/>
    <w:rsid w:val="004A2195"/>
    <w:rsid w:val="004A2F26"/>
    <w:rsid w:val="004A33E4"/>
    <w:rsid w:val="004A3D11"/>
    <w:rsid w:val="004A3E96"/>
    <w:rsid w:val="004A3F5A"/>
    <w:rsid w:val="004A420B"/>
    <w:rsid w:val="004A4406"/>
    <w:rsid w:val="004A4814"/>
    <w:rsid w:val="004A48DB"/>
    <w:rsid w:val="004A5580"/>
    <w:rsid w:val="004A5A34"/>
    <w:rsid w:val="004A60F4"/>
    <w:rsid w:val="004A62E7"/>
    <w:rsid w:val="004A667E"/>
    <w:rsid w:val="004A6C5E"/>
    <w:rsid w:val="004A7C47"/>
    <w:rsid w:val="004B000C"/>
    <w:rsid w:val="004B0153"/>
    <w:rsid w:val="004B017B"/>
    <w:rsid w:val="004B071A"/>
    <w:rsid w:val="004B0A09"/>
    <w:rsid w:val="004B14BB"/>
    <w:rsid w:val="004B1A6B"/>
    <w:rsid w:val="004B1E83"/>
    <w:rsid w:val="004B25B2"/>
    <w:rsid w:val="004B38D2"/>
    <w:rsid w:val="004B4173"/>
    <w:rsid w:val="004B4D24"/>
    <w:rsid w:val="004B6172"/>
    <w:rsid w:val="004B6E80"/>
    <w:rsid w:val="004C0200"/>
    <w:rsid w:val="004C047A"/>
    <w:rsid w:val="004C0AFA"/>
    <w:rsid w:val="004C0D44"/>
    <w:rsid w:val="004C1054"/>
    <w:rsid w:val="004C11BC"/>
    <w:rsid w:val="004C167C"/>
    <w:rsid w:val="004C1AB0"/>
    <w:rsid w:val="004C1AFF"/>
    <w:rsid w:val="004C1B4F"/>
    <w:rsid w:val="004C1C32"/>
    <w:rsid w:val="004C2041"/>
    <w:rsid w:val="004C2293"/>
    <w:rsid w:val="004C24BA"/>
    <w:rsid w:val="004C3376"/>
    <w:rsid w:val="004C3714"/>
    <w:rsid w:val="004C39EC"/>
    <w:rsid w:val="004C39F3"/>
    <w:rsid w:val="004C44B0"/>
    <w:rsid w:val="004C45FD"/>
    <w:rsid w:val="004C48F9"/>
    <w:rsid w:val="004C490C"/>
    <w:rsid w:val="004C4A02"/>
    <w:rsid w:val="004C4D14"/>
    <w:rsid w:val="004C4EB9"/>
    <w:rsid w:val="004C5272"/>
    <w:rsid w:val="004C58F0"/>
    <w:rsid w:val="004C59D0"/>
    <w:rsid w:val="004C5B7A"/>
    <w:rsid w:val="004C617F"/>
    <w:rsid w:val="004C6626"/>
    <w:rsid w:val="004C6D7C"/>
    <w:rsid w:val="004C717E"/>
    <w:rsid w:val="004C78B6"/>
    <w:rsid w:val="004C7912"/>
    <w:rsid w:val="004C791A"/>
    <w:rsid w:val="004C791E"/>
    <w:rsid w:val="004D1300"/>
    <w:rsid w:val="004D17EB"/>
    <w:rsid w:val="004D2212"/>
    <w:rsid w:val="004D42D5"/>
    <w:rsid w:val="004D46A5"/>
    <w:rsid w:val="004D4A52"/>
    <w:rsid w:val="004D50D9"/>
    <w:rsid w:val="004D620C"/>
    <w:rsid w:val="004D6B17"/>
    <w:rsid w:val="004D70CB"/>
    <w:rsid w:val="004D7A73"/>
    <w:rsid w:val="004D7AA8"/>
    <w:rsid w:val="004D7D6D"/>
    <w:rsid w:val="004E021D"/>
    <w:rsid w:val="004E16A1"/>
    <w:rsid w:val="004E18C7"/>
    <w:rsid w:val="004E1D54"/>
    <w:rsid w:val="004E24BC"/>
    <w:rsid w:val="004E26A8"/>
    <w:rsid w:val="004E3355"/>
    <w:rsid w:val="004E3A6D"/>
    <w:rsid w:val="004E437A"/>
    <w:rsid w:val="004E45CA"/>
    <w:rsid w:val="004E4FC5"/>
    <w:rsid w:val="004E545B"/>
    <w:rsid w:val="004E54CD"/>
    <w:rsid w:val="004E613D"/>
    <w:rsid w:val="004E6221"/>
    <w:rsid w:val="004E734F"/>
    <w:rsid w:val="004F106B"/>
    <w:rsid w:val="004F13C8"/>
    <w:rsid w:val="004F1D51"/>
    <w:rsid w:val="004F24E9"/>
    <w:rsid w:val="004F2C3A"/>
    <w:rsid w:val="004F2DED"/>
    <w:rsid w:val="004F3800"/>
    <w:rsid w:val="004F49DB"/>
    <w:rsid w:val="004F4BF8"/>
    <w:rsid w:val="004F5058"/>
    <w:rsid w:val="004F5DA2"/>
    <w:rsid w:val="004F613D"/>
    <w:rsid w:val="004F6733"/>
    <w:rsid w:val="004F6EF0"/>
    <w:rsid w:val="004F7312"/>
    <w:rsid w:val="005001F1"/>
    <w:rsid w:val="0050043E"/>
    <w:rsid w:val="00500E08"/>
    <w:rsid w:val="00500F58"/>
    <w:rsid w:val="0050126E"/>
    <w:rsid w:val="00502642"/>
    <w:rsid w:val="00502A96"/>
    <w:rsid w:val="00502CE7"/>
    <w:rsid w:val="00502EF4"/>
    <w:rsid w:val="00502F69"/>
    <w:rsid w:val="0050359C"/>
    <w:rsid w:val="00503663"/>
    <w:rsid w:val="00503911"/>
    <w:rsid w:val="005039DC"/>
    <w:rsid w:val="0050541F"/>
    <w:rsid w:val="00505D46"/>
    <w:rsid w:val="00505DB6"/>
    <w:rsid w:val="00505F8E"/>
    <w:rsid w:val="0050606F"/>
    <w:rsid w:val="00506E0B"/>
    <w:rsid w:val="0050740D"/>
    <w:rsid w:val="00507501"/>
    <w:rsid w:val="005078FC"/>
    <w:rsid w:val="00510F81"/>
    <w:rsid w:val="00511074"/>
    <w:rsid w:val="00511224"/>
    <w:rsid w:val="00511589"/>
    <w:rsid w:val="00511A61"/>
    <w:rsid w:val="00511BF7"/>
    <w:rsid w:val="0051229C"/>
    <w:rsid w:val="00512E34"/>
    <w:rsid w:val="00513356"/>
    <w:rsid w:val="005157CA"/>
    <w:rsid w:val="005158B5"/>
    <w:rsid w:val="00515A6E"/>
    <w:rsid w:val="00515B00"/>
    <w:rsid w:val="00515CEB"/>
    <w:rsid w:val="00515EE8"/>
    <w:rsid w:val="00516AC3"/>
    <w:rsid w:val="00516CB3"/>
    <w:rsid w:val="005172BA"/>
    <w:rsid w:val="005174D5"/>
    <w:rsid w:val="005176B2"/>
    <w:rsid w:val="005178E4"/>
    <w:rsid w:val="00517AFE"/>
    <w:rsid w:val="00517C38"/>
    <w:rsid w:val="00517FB9"/>
    <w:rsid w:val="00520282"/>
    <w:rsid w:val="0052085D"/>
    <w:rsid w:val="005215E8"/>
    <w:rsid w:val="005216DD"/>
    <w:rsid w:val="0052185A"/>
    <w:rsid w:val="00521FCE"/>
    <w:rsid w:val="0052258F"/>
    <w:rsid w:val="0052266D"/>
    <w:rsid w:val="00522695"/>
    <w:rsid w:val="00522AEB"/>
    <w:rsid w:val="00522CDD"/>
    <w:rsid w:val="00522FE7"/>
    <w:rsid w:val="0052303D"/>
    <w:rsid w:val="005231E7"/>
    <w:rsid w:val="005232A4"/>
    <w:rsid w:val="0052398B"/>
    <w:rsid w:val="005241F6"/>
    <w:rsid w:val="00524CF5"/>
    <w:rsid w:val="00524F39"/>
    <w:rsid w:val="0052526E"/>
    <w:rsid w:val="00525641"/>
    <w:rsid w:val="005271D7"/>
    <w:rsid w:val="00527A68"/>
    <w:rsid w:val="00527CF5"/>
    <w:rsid w:val="00527F60"/>
    <w:rsid w:val="00530D48"/>
    <w:rsid w:val="005311E6"/>
    <w:rsid w:val="0053124B"/>
    <w:rsid w:val="00531A19"/>
    <w:rsid w:val="00531A59"/>
    <w:rsid w:val="00531C51"/>
    <w:rsid w:val="005324DE"/>
    <w:rsid w:val="00532783"/>
    <w:rsid w:val="00532CF7"/>
    <w:rsid w:val="00532E90"/>
    <w:rsid w:val="00533206"/>
    <w:rsid w:val="005337E4"/>
    <w:rsid w:val="00533805"/>
    <w:rsid w:val="005339F3"/>
    <w:rsid w:val="0053450C"/>
    <w:rsid w:val="0053585E"/>
    <w:rsid w:val="005358FA"/>
    <w:rsid w:val="0053591F"/>
    <w:rsid w:val="00535D1B"/>
    <w:rsid w:val="005365EC"/>
    <w:rsid w:val="00536894"/>
    <w:rsid w:val="00536CF9"/>
    <w:rsid w:val="005378F5"/>
    <w:rsid w:val="00537E53"/>
    <w:rsid w:val="00537F94"/>
    <w:rsid w:val="005405A5"/>
    <w:rsid w:val="005406FE"/>
    <w:rsid w:val="00541883"/>
    <w:rsid w:val="00542012"/>
    <w:rsid w:val="00542452"/>
    <w:rsid w:val="00542783"/>
    <w:rsid w:val="00543260"/>
    <w:rsid w:val="005433BE"/>
    <w:rsid w:val="0054422C"/>
    <w:rsid w:val="00544AA2"/>
    <w:rsid w:val="00545861"/>
    <w:rsid w:val="005458F9"/>
    <w:rsid w:val="00545EC5"/>
    <w:rsid w:val="005463B3"/>
    <w:rsid w:val="005467F0"/>
    <w:rsid w:val="005468E6"/>
    <w:rsid w:val="00547012"/>
    <w:rsid w:val="00547088"/>
    <w:rsid w:val="0054766C"/>
    <w:rsid w:val="00547812"/>
    <w:rsid w:val="00547841"/>
    <w:rsid w:val="00547A38"/>
    <w:rsid w:val="00547A48"/>
    <w:rsid w:val="00547C4C"/>
    <w:rsid w:val="00547E95"/>
    <w:rsid w:val="00547F69"/>
    <w:rsid w:val="005517CD"/>
    <w:rsid w:val="00551C9C"/>
    <w:rsid w:val="00551F0C"/>
    <w:rsid w:val="0055203F"/>
    <w:rsid w:val="00552064"/>
    <w:rsid w:val="0055260E"/>
    <w:rsid w:val="005539B0"/>
    <w:rsid w:val="00553DFB"/>
    <w:rsid w:val="00554446"/>
    <w:rsid w:val="005546A3"/>
    <w:rsid w:val="0055472B"/>
    <w:rsid w:val="00554AE0"/>
    <w:rsid w:val="00554E14"/>
    <w:rsid w:val="00555644"/>
    <w:rsid w:val="00555782"/>
    <w:rsid w:val="00555E29"/>
    <w:rsid w:val="005568EB"/>
    <w:rsid w:val="00556D1F"/>
    <w:rsid w:val="00557C5D"/>
    <w:rsid w:val="00560795"/>
    <w:rsid w:val="005607F6"/>
    <w:rsid w:val="00560E37"/>
    <w:rsid w:val="00560EF2"/>
    <w:rsid w:val="00560FB9"/>
    <w:rsid w:val="0056132C"/>
    <w:rsid w:val="0056135D"/>
    <w:rsid w:val="00561C2B"/>
    <w:rsid w:val="005622B5"/>
    <w:rsid w:val="005623B6"/>
    <w:rsid w:val="00563C74"/>
    <w:rsid w:val="005641EA"/>
    <w:rsid w:val="005645E5"/>
    <w:rsid w:val="0056471D"/>
    <w:rsid w:val="00565284"/>
    <w:rsid w:val="005655CB"/>
    <w:rsid w:val="005656F5"/>
    <w:rsid w:val="0056572F"/>
    <w:rsid w:val="00566217"/>
    <w:rsid w:val="00566225"/>
    <w:rsid w:val="00566228"/>
    <w:rsid w:val="00566A4A"/>
    <w:rsid w:val="00566B83"/>
    <w:rsid w:val="005675EF"/>
    <w:rsid w:val="005676B0"/>
    <w:rsid w:val="00570028"/>
    <w:rsid w:val="00570611"/>
    <w:rsid w:val="0057070B"/>
    <w:rsid w:val="005712D7"/>
    <w:rsid w:val="00571FC5"/>
    <w:rsid w:val="005720ED"/>
    <w:rsid w:val="00572C7E"/>
    <w:rsid w:val="0057367F"/>
    <w:rsid w:val="00574A32"/>
    <w:rsid w:val="00574B73"/>
    <w:rsid w:val="00574B90"/>
    <w:rsid w:val="00575249"/>
    <w:rsid w:val="00575EF9"/>
    <w:rsid w:val="0057652B"/>
    <w:rsid w:val="00576C29"/>
    <w:rsid w:val="00576F61"/>
    <w:rsid w:val="00577E2D"/>
    <w:rsid w:val="00577EBF"/>
    <w:rsid w:val="0058052B"/>
    <w:rsid w:val="0058098D"/>
    <w:rsid w:val="00580AB2"/>
    <w:rsid w:val="005815DE"/>
    <w:rsid w:val="005815E0"/>
    <w:rsid w:val="0058168A"/>
    <w:rsid w:val="00581843"/>
    <w:rsid w:val="005820FC"/>
    <w:rsid w:val="00582A69"/>
    <w:rsid w:val="005834C2"/>
    <w:rsid w:val="005837F6"/>
    <w:rsid w:val="00584E0E"/>
    <w:rsid w:val="00585006"/>
    <w:rsid w:val="00585248"/>
    <w:rsid w:val="005857A2"/>
    <w:rsid w:val="005857AE"/>
    <w:rsid w:val="00586BF6"/>
    <w:rsid w:val="00587055"/>
    <w:rsid w:val="00587465"/>
    <w:rsid w:val="005878C8"/>
    <w:rsid w:val="005903F9"/>
    <w:rsid w:val="0059069E"/>
    <w:rsid w:val="00591162"/>
    <w:rsid w:val="005917E3"/>
    <w:rsid w:val="00591880"/>
    <w:rsid w:val="005920AD"/>
    <w:rsid w:val="005922C5"/>
    <w:rsid w:val="00592A6A"/>
    <w:rsid w:val="00592BD3"/>
    <w:rsid w:val="00592EAA"/>
    <w:rsid w:val="005930B1"/>
    <w:rsid w:val="0059414A"/>
    <w:rsid w:val="00594413"/>
    <w:rsid w:val="00594650"/>
    <w:rsid w:val="0059510E"/>
    <w:rsid w:val="00595183"/>
    <w:rsid w:val="0059532F"/>
    <w:rsid w:val="00595BEE"/>
    <w:rsid w:val="00596409"/>
    <w:rsid w:val="005968B0"/>
    <w:rsid w:val="00596EA1"/>
    <w:rsid w:val="0059717E"/>
    <w:rsid w:val="0059796E"/>
    <w:rsid w:val="005A0452"/>
    <w:rsid w:val="005A077B"/>
    <w:rsid w:val="005A0CFE"/>
    <w:rsid w:val="005A1B7B"/>
    <w:rsid w:val="005A1CCB"/>
    <w:rsid w:val="005A1E66"/>
    <w:rsid w:val="005A2243"/>
    <w:rsid w:val="005A2788"/>
    <w:rsid w:val="005A3284"/>
    <w:rsid w:val="005A43C4"/>
    <w:rsid w:val="005A48E2"/>
    <w:rsid w:val="005A4BB6"/>
    <w:rsid w:val="005A649C"/>
    <w:rsid w:val="005A6E45"/>
    <w:rsid w:val="005A713F"/>
    <w:rsid w:val="005A7410"/>
    <w:rsid w:val="005A7667"/>
    <w:rsid w:val="005B0669"/>
    <w:rsid w:val="005B0827"/>
    <w:rsid w:val="005B09AE"/>
    <w:rsid w:val="005B0B1D"/>
    <w:rsid w:val="005B0B86"/>
    <w:rsid w:val="005B0E25"/>
    <w:rsid w:val="005B0F24"/>
    <w:rsid w:val="005B1100"/>
    <w:rsid w:val="005B15E8"/>
    <w:rsid w:val="005B290C"/>
    <w:rsid w:val="005B31A5"/>
    <w:rsid w:val="005B3598"/>
    <w:rsid w:val="005B376B"/>
    <w:rsid w:val="005B3E25"/>
    <w:rsid w:val="005B3FA4"/>
    <w:rsid w:val="005B45A2"/>
    <w:rsid w:val="005B59F2"/>
    <w:rsid w:val="005B6DBA"/>
    <w:rsid w:val="005B6E81"/>
    <w:rsid w:val="005B7241"/>
    <w:rsid w:val="005B74F0"/>
    <w:rsid w:val="005B768C"/>
    <w:rsid w:val="005C0375"/>
    <w:rsid w:val="005C0550"/>
    <w:rsid w:val="005C084F"/>
    <w:rsid w:val="005C0BCD"/>
    <w:rsid w:val="005C198B"/>
    <w:rsid w:val="005C19AF"/>
    <w:rsid w:val="005C1AA0"/>
    <w:rsid w:val="005C2FCB"/>
    <w:rsid w:val="005C33DF"/>
    <w:rsid w:val="005C3D7F"/>
    <w:rsid w:val="005C404D"/>
    <w:rsid w:val="005C425A"/>
    <w:rsid w:val="005C4893"/>
    <w:rsid w:val="005C5140"/>
    <w:rsid w:val="005C5781"/>
    <w:rsid w:val="005C5F1C"/>
    <w:rsid w:val="005C674F"/>
    <w:rsid w:val="005C72CC"/>
    <w:rsid w:val="005C731B"/>
    <w:rsid w:val="005C74A8"/>
    <w:rsid w:val="005C751E"/>
    <w:rsid w:val="005C76A6"/>
    <w:rsid w:val="005C7CC7"/>
    <w:rsid w:val="005C7EC4"/>
    <w:rsid w:val="005D010A"/>
    <w:rsid w:val="005D01F7"/>
    <w:rsid w:val="005D02C9"/>
    <w:rsid w:val="005D099D"/>
    <w:rsid w:val="005D0F3D"/>
    <w:rsid w:val="005D10B4"/>
    <w:rsid w:val="005D1399"/>
    <w:rsid w:val="005D1447"/>
    <w:rsid w:val="005D1B61"/>
    <w:rsid w:val="005D21B2"/>
    <w:rsid w:val="005D2934"/>
    <w:rsid w:val="005D4A5C"/>
    <w:rsid w:val="005D555D"/>
    <w:rsid w:val="005D65CE"/>
    <w:rsid w:val="005D7039"/>
    <w:rsid w:val="005D7252"/>
    <w:rsid w:val="005D7395"/>
    <w:rsid w:val="005D7529"/>
    <w:rsid w:val="005E013B"/>
    <w:rsid w:val="005E04CE"/>
    <w:rsid w:val="005E0BD8"/>
    <w:rsid w:val="005E1849"/>
    <w:rsid w:val="005E2E88"/>
    <w:rsid w:val="005E38C8"/>
    <w:rsid w:val="005E3D17"/>
    <w:rsid w:val="005E4055"/>
    <w:rsid w:val="005E4114"/>
    <w:rsid w:val="005E4B91"/>
    <w:rsid w:val="005E530A"/>
    <w:rsid w:val="005E57F9"/>
    <w:rsid w:val="005E64CC"/>
    <w:rsid w:val="005E6594"/>
    <w:rsid w:val="005E6895"/>
    <w:rsid w:val="005E6D61"/>
    <w:rsid w:val="005E6F55"/>
    <w:rsid w:val="005E70B3"/>
    <w:rsid w:val="005E7AF9"/>
    <w:rsid w:val="005E7B01"/>
    <w:rsid w:val="005F04BC"/>
    <w:rsid w:val="005F050E"/>
    <w:rsid w:val="005F0CCA"/>
    <w:rsid w:val="005F0E2C"/>
    <w:rsid w:val="005F167E"/>
    <w:rsid w:val="005F1A06"/>
    <w:rsid w:val="005F1E01"/>
    <w:rsid w:val="005F20D5"/>
    <w:rsid w:val="005F2457"/>
    <w:rsid w:val="005F265C"/>
    <w:rsid w:val="005F2CBA"/>
    <w:rsid w:val="005F393E"/>
    <w:rsid w:val="005F39C0"/>
    <w:rsid w:val="005F3C6D"/>
    <w:rsid w:val="005F3D21"/>
    <w:rsid w:val="005F45EC"/>
    <w:rsid w:val="005F4EA4"/>
    <w:rsid w:val="005F53A4"/>
    <w:rsid w:val="005F5811"/>
    <w:rsid w:val="005F5FC1"/>
    <w:rsid w:val="005F6651"/>
    <w:rsid w:val="005F6BB6"/>
    <w:rsid w:val="005F6FB3"/>
    <w:rsid w:val="005F726E"/>
    <w:rsid w:val="005F7469"/>
    <w:rsid w:val="005F75C0"/>
    <w:rsid w:val="0060014D"/>
    <w:rsid w:val="0060050F"/>
    <w:rsid w:val="006009D0"/>
    <w:rsid w:val="00600A49"/>
    <w:rsid w:val="00600DFA"/>
    <w:rsid w:val="006010FC"/>
    <w:rsid w:val="0060134F"/>
    <w:rsid w:val="00601929"/>
    <w:rsid w:val="00601983"/>
    <w:rsid w:val="00601D87"/>
    <w:rsid w:val="0060205D"/>
    <w:rsid w:val="00602D49"/>
    <w:rsid w:val="00602DD8"/>
    <w:rsid w:val="006035FD"/>
    <w:rsid w:val="00603705"/>
    <w:rsid w:val="00603CF3"/>
    <w:rsid w:val="0060412D"/>
    <w:rsid w:val="00604170"/>
    <w:rsid w:val="00604CB6"/>
    <w:rsid w:val="006056C0"/>
    <w:rsid w:val="00606612"/>
    <w:rsid w:val="00606A17"/>
    <w:rsid w:val="00606C28"/>
    <w:rsid w:val="0060705D"/>
    <w:rsid w:val="00610467"/>
    <w:rsid w:val="0061076E"/>
    <w:rsid w:val="00610BB9"/>
    <w:rsid w:val="00610C34"/>
    <w:rsid w:val="00611202"/>
    <w:rsid w:val="0061138D"/>
    <w:rsid w:val="006114D1"/>
    <w:rsid w:val="006124B9"/>
    <w:rsid w:val="0061257C"/>
    <w:rsid w:val="00612D79"/>
    <w:rsid w:val="00613920"/>
    <w:rsid w:val="00613B2C"/>
    <w:rsid w:val="00613D5A"/>
    <w:rsid w:val="00614363"/>
    <w:rsid w:val="00614B9C"/>
    <w:rsid w:val="00614E7C"/>
    <w:rsid w:val="006151D9"/>
    <w:rsid w:val="00615588"/>
    <w:rsid w:val="00615818"/>
    <w:rsid w:val="0061596E"/>
    <w:rsid w:val="00615A74"/>
    <w:rsid w:val="00616123"/>
    <w:rsid w:val="00616435"/>
    <w:rsid w:val="00616613"/>
    <w:rsid w:val="0061763F"/>
    <w:rsid w:val="00617B58"/>
    <w:rsid w:val="00620862"/>
    <w:rsid w:val="00621126"/>
    <w:rsid w:val="0062193D"/>
    <w:rsid w:val="00621D97"/>
    <w:rsid w:val="00622CE3"/>
    <w:rsid w:val="00623190"/>
    <w:rsid w:val="006233A1"/>
    <w:rsid w:val="00623706"/>
    <w:rsid w:val="00623E8F"/>
    <w:rsid w:val="00623FFA"/>
    <w:rsid w:val="00624B4C"/>
    <w:rsid w:val="00625190"/>
    <w:rsid w:val="00625A0E"/>
    <w:rsid w:val="00625C46"/>
    <w:rsid w:val="00625F8D"/>
    <w:rsid w:val="00627846"/>
    <w:rsid w:val="00627C7D"/>
    <w:rsid w:val="00627F96"/>
    <w:rsid w:val="00631576"/>
    <w:rsid w:val="006318F6"/>
    <w:rsid w:val="00631991"/>
    <w:rsid w:val="00631ECC"/>
    <w:rsid w:val="006326D8"/>
    <w:rsid w:val="0063312E"/>
    <w:rsid w:val="00633C94"/>
    <w:rsid w:val="00633D9E"/>
    <w:rsid w:val="00633E4C"/>
    <w:rsid w:val="0063443A"/>
    <w:rsid w:val="00634635"/>
    <w:rsid w:val="006350AD"/>
    <w:rsid w:val="0063518E"/>
    <w:rsid w:val="00635777"/>
    <w:rsid w:val="006358AC"/>
    <w:rsid w:val="00635B05"/>
    <w:rsid w:val="00635BA6"/>
    <w:rsid w:val="00637999"/>
    <w:rsid w:val="00637CA5"/>
    <w:rsid w:val="00640BCB"/>
    <w:rsid w:val="00641330"/>
    <w:rsid w:val="006418C2"/>
    <w:rsid w:val="00641C06"/>
    <w:rsid w:val="00642433"/>
    <w:rsid w:val="00642666"/>
    <w:rsid w:val="00642FE2"/>
    <w:rsid w:val="00643BE9"/>
    <w:rsid w:val="00643D10"/>
    <w:rsid w:val="0064440A"/>
    <w:rsid w:val="0064465F"/>
    <w:rsid w:val="006446C0"/>
    <w:rsid w:val="00644C1A"/>
    <w:rsid w:val="00644E0F"/>
    <w:rsid w:val="00645E85"/>
    <w:rsid w:val="006464B2"/>
    <w:rsid w:val="006467F3"/>
    <w:rsid w:val="00646EBC"/>
    <w:rsid w:val="00646FE0"/>
    <w:rsid w:val="00647314"/>
    <w:rsid w:val="006477D8"/>
    <w:rsid w:val="00647F31"/>
    <w:rsid w:val="006502D6"/>
    <w:rsid w:val="006508F3"/>
    <w:rsid w:val="006513F9"/>
    <w:rsid w:val="00651659"/>
    <w:rsid w:val="006519E3"/>
    <w:rsid w:val="00651E4F"/>
    <w:rsid w:val="006528C4"/>
    <w:rsid w:val="0065390B"/>
    <w:rsid w:val="00653DC5"/>
    <w:rsid w:val="00654113"/>
    <w:rsid w:val="006541F5"/>
    <w:rsid w:val="0065469A"/>
    <w:rsid w:val="00655D77"/>
    <w:rsid w:val="00656980"/>
    <w:rsid w:val="0065751C"/>
    <w:rsid w:val="0066028F"/>
    <w:rsid w:val="00660DC1"/>
    <w:rsid w:val="00661543"/>
    <w:rsid w:val="00661699"/>
    <w:rsid w:val="00661780"/>
    <w:rsid w:val="00661DFC"/>
    <w:rsid w:val="00661F1E"/>
    <w:rsid w:val="00661F4D"/>
    <w:rsid w:val="00661F58"/>
    <w:rsid w:val="006636ED"/>
    <w:rsid w:val="00663C98"/>
    <w:rsid w:val="00663CEE"/>
    <w:rsid w:val="00663E23"/>
    <w:rsid w:val="0066517B"/>
    <w:rsid w:val="006652AD"/>
    <w:rsid w:val="0066572C"/>
    <w:rsid w:val="0066579F"/>
    <w:rsid w:val="00665924"/>
    <w:rsid w:val="0066592E"/>
    <w:rsid w:val="006670F4"/>
    <w:rsid w:val="006677AF"/>
    <w:rsid w:val="00667980"/>
    <w:rsid w:val="00667DA7"/>
    <w:rsid w:val="00667FA9"/>
    <w:rsid w:val="006700BC"/>
    <w:rsid w:val="00670147"/>
    <w:rsid w:val="00670411"/>
    <w:rsid w:val="00670580"/>
    <w:rsid w:val="00670E64"/>
    <w:rsid w:val="00671128"/>
    <w:rsid w:val="006738F4"/>
    <w:rsid w:val="00674664"/>
    <w:rsid w:val="0067493C"/>
    <w:rsid w:val="00674C13"/>
    <w:rsid w:val="00675232"/>
    <w:rsid w:val="006754C5"/>
    <w:rsid w:val="00675A85"/>
    <w:rsid w:val="00675C4A"/>
    <w:rsid w:val="00675FED"/>
    <w:rsid w:val="00676BE4"/>
    <w:rsid w:val="006771C4"/>
    <w:rsid w:val="00680C2F"/>
    <w:rsid w:val="00680E22"/>
    <w:rsid w:val="00681340"/>
    <w:rsid w:val="006827FC"/>
    <w:rsid w:val="00682AAD"/>
    <w:rsid w:val="00682D1D"/>
    <w:rsid w:val="00682D42"/>
    <w:rsid w:val="00682EDE"/>
    <w:rsid w:val="006837B8"/>
    <w:rsid w:val="00683B2F"/>
    <w:rsid w:val="00683B75"/>
    <w:rsid w:val="00683F2F"/>
    <w:rsid w:val="006846F1"/>
    <w:rsid w:val="00684A7A"/>
    <w:rsid w:val="00684E34"/>
    <w:rsid w:val="00684FAD"/>
    <w:rsid w:val="0068512B"/>
    <w:rsid w:val="006859E3"/>
    <w:rsid w:val="006872D8"/>
    <w:rsid w:val="00687C28"/>
    <w:rsid w:val="006900E0"/>
    <w:rsid w:val="0069220B"/>
    <w:rsid w:val="00692374"/>
    <w:rsid w:val="00692F81"/>
    <w:rsid w:val="006934EA"/>
    <w:rsid w:val="00694905"/>
    <w:rsid w:val="00694DD6"/>
    <w:rsid w:val="0069560E"/>
    <w:rsid w:val="006958A7"/>
    <w:rsid w:val="00696225"/>
    <w:rsid w:val="0069788A"/>
    <w:rsid w:val="006A0759"/>
    <w:rsid w:val="006A0AB7"/>
    <w:rsid w:val="006A1978"/>
    <w:rsid w:val="006A1AC0"/>
    <w:rsid w:val="006A2CAB"/>
    <w:rsid w:val="006A3A5D"/>
    <w:rsid w:val="006A54DD"/>
    <w:rsid w:val="006A573F"/>
    <w:rsid w:val="006A5B1C"/>
    <w:rsid w:val="006A5CD3"/>
    <w:rsid w:val="006A730E"/>
    <w:rsid w:val="006A7496"/>
    <w:rsid w:val="006A7558"/>
    <w:rsid w:val="006A7633"/>
    <w:rsid w:val="006B0107"/>
    <w:rsid w:val="006B01B3"/>
    <w:rsid w:val="006B199F"/>
    <w:rsid w:val="006B2222"/>
    <w:rsid w:val="006B24ED"/>
    <w:rsid w:val="006B28C2"/>
    <w:rsid w:val="006B2A8F"/>
    <w:rsid w:val="006B2CEE"/>
    <w:rsid w:val="006B2E14"/>
    <w:rsid w:val="006B2E44"/>
    <w:rsid w:val="006B3F0B"/>
    <w:rsid w:val="006B407B"/>
    <w:rsid w:val="006B454C"/>
    <w:rsid w:val="006B49D9"/>
    <w:rsid w:val="006B5B8A"/>
    <w:rsid w:val="006B5DF6"/>
    <w:rsid w:val="006B6081"/>
    <w:rsid w:val="006B60E3"/>
    <w:rsid w:val="006B6548"/>
    <w:rsid w:val="006B7001"/>
    <w:rsid w:val="006B7151"/>
    <w:rsid w:val="006B7F91"/>
    <w:rsid w:val="006B7FDE"/>
    <w:rsid w:val="006C0F5D"/>
    <w:rsid w:val="006C177C"/>
    <w:rsid w:val="006C18DB"/>
    <w:rsid w:val="006C2286"/>
    <w:rsid w:val="006C2F00"/>
    <w:rsid w:val="006C39E0"/>
    <w:rsid w:val="006C49CB"/>
    <w:rsid w:val="006C5FD4"/>
    <w:rsid w:val="006C64CE"/>
    <w:rsid w:val="006C68EB"/>
    <w:rsid w:val="006C6BBF"/>
    <w:rsid w:val="006C6D47"/>
    <w:rsid w:val="006C76EE"/>
    <w:rsid w:val="006C770F"/>
    <w:rsid w:val="006D00C7"/>
    <w:rsid w:val="006D016F"/>
    <w:rsid w:val="006D0299"/>
    <w:rsid w:val="006D04F7"/>
    <w:rsid w:val="006D197D"/>
    <w:rsid w:val="006D1BC2"/>
    <w:rsid w:val="006D2E15"/>
    <w:rsid w:val="006D31B7"/>
    <w:rsid w:val="006D41D2"/>
    <w:rsid w:val="006D474C"/>
    <w:rsid w:val="006D4AF0"/>
    <w:rsid w:val="006D4C62"/>
    <w:rsid w:val="006D4D0A"/>
    <w:rsid w:val="006D529E"/>
    <w:rsid w:val="006D5AFC"/>
    <w:rsid w:val="006D5C22"/>
    <w:rsid w:val="006D5E44"/>
    <w:rsid w:val="006D6675"/>
    <w:rsid w:val="006D69FC"/>
    <w:rsid w:val="006D6F1F"/>
    <w:rsid w:val="006D76DF"/>
    <w:rsid w:val="006D77D1"/>
    <w:rsid w:val="006E0585"/>
    <w:rsid w:val="006E1423"/>
    <w:rsid w:val="006E211D"/>
    <w:rsid w:val="006E27F8"/>
    <w:rsid w:val="006E299F"/>
    <w:rsid w:val="006E36CE"/>
    <w:rsid w:val="006E3710"/>
    <w:rsid w:val="006E44FE"/>
    <w:rsid w:val="006E48ED"/>
    <w:rsid w:val="006E4B18"/>
    <w:rsid w:val="006E4BC5"/>
    <w:rsid w:val="006E4FD3"/>
    <w:rsid w:val="006E5777"/>
    <w:rsid w:val="006E6000"/>
    <w:rsid w:val="006E609B"/>
    <w:rsid w:val="006E6DA6"/>
    <w:rsid w:val="006E6FAA"/>
    <w:rsid w:val="006E701F"/>
    <w:rsid w:val="006E7D75"/>
    <w:rsid w:val="006F1B66"/>
    <w:rsid w:val="006F1C57"/>
    <w:rsid w:val="006F1F2F"/>
    <w:rsid w:val="006F2877"/>
    <w:rsid w:val="006F39DB"/>
    <w:rsid w:val="006F4CF7"/>
    <w:rsid w:val="006F50B0"/>
    <w:rsid w:val="006F53BD"/>
    <w:rsid w:val="006F5F51"/>
    <w:rsid w:val="006F623C"/>
    <w:rsid w:val="006F7279"/>
    <w:rsid w:val="006F7B83"/>
    <w:rsid w:val="00700098"/>
    <w:rsid w:val="00700970"/>
    <w:rsid w:val="00700AEA"/>
    <w:rsid w:val="00700C3F"/>
    <w:rsid w:val="00700EDC"/>
    <w:rsid w:val="0070110A"/>
    <w:rsid w:val="0070111D"/>
    <w:rsid w:val="00701DDE"/>
    <w:rsid w:val="00702AFE"/>
    <w:rsid w:val="00702E66"/>
    <w:rsid w:val="00702FA0"/>
    <w:rsid w:val="007035A4"/>
    <w:rsid w:val="00704511"/>
    <w:rsid w:val="00704CFB"/>
    <w:rsid w:val="00705C43"/>
    <w:rsid w:val="00705FDB"/>
    <w:rsid w:val="007062C0"/>
    <w:rsid w:val="00706EA7"/>
    <w:rsid w:val="00707154"/>
    <w:rsid w:val="007074E1"/>
    <w:rsid w:val="00707977"/>
    <w:rsid w:val="007106C6"/>
    <w:rsid w:val="00711166"/>
    <w:rsid w:val="00711298"/>
    <w:rsid w:val="007116A1"/>
    <w:rsid w:val="0071179F"/>
    <w:rsid w:val="00711CB1"/>
    <w:rsid w:val="00712076"/>
    <w:rsid w:val="007128D0"/>
    <w:rsid w:val="00712CC8"/>
    <w:rsid w:val="00712D13"/>
    <w:rsid w:val="0071351F"/>
    <w:rsid w:val="00714254"/>
    <w:rsid w:val="00714A6B"/>
    <w:rsid w:val="007157ED"/>
    <w:rsid w:val="00716678"/>
    <w:rsid w:val="0071673E"/>
    <w:rsid w:val="00716B3D"/>
    <w:rsid w:val="00716BA0"/>
    <w:rsid w:val="00716E47"/>
    <w:rsid w:val="00716E9D"/>
    <w:rsid w:val="007177E4"/>
    <w:rsid w:val="00717B6F"/>
    <w:rsid w:val="00720279"/>
    <w:rsid w:val="007204D4"/>
    <w:rsid w:val="007207A7"/>
    <w:rsid w:val="0072098B"/>
    <w:rsid w:val="00720C9A"/>
    <w:rsid w:val="00720D89"/>
    <w:rsid w:val="00720FEB"/>
    <w:rsid w:val="007224EB"/>
    <w:rsid w:val="007232C9"/>
    <w:rsid w:val="007242EC"/>
    <w:rsid w:val="0072503C"/>
    <w:rsid w:val="00725043"/>
    <w:rsid w:val="00726109"/>
    <w:rsid w:val="007261A8"/>
    <w:rsid w:val="00727032"/>
    <w:rsid w:val="007278EE"/>
    <w:rsid w:val="00727E47"/>
    <w:rsid w:val="00727FB8"/>
    <w:rsid w:val="0073126C"/>
    <w:rsid w:val="007312ED"/>
    <w:rsid w:val="00731D51"/>
    <w:rsid w:val="00732F95"/>
    <w:rsid w:val="007348B0"/>
    <w:rsid w:val="00734A8A"/>
    <w:rsid w:val="00734BFD"/>
    <w:rsid w:val="007359C9"/>
    <w:rsid w:val="00736D66"/>
    <w:rsid w:val="00736E6E"/>
    <w:rsid w:val="0073768C"/>
    <w:rsid w:val="0073796A"/>
    <w:rsid w:val="00737A51"/>
    <w:rsid w:val="00737BD7"/>
    <w:rsid w:val="00740A8E"/>
    <w:rsid w:val="0074102F"/>
    <w:rsid w:val="0074128C"/>
    <w:rsid w:val="00741A44"/>
    <w:rsid w:val="007425BC"/>
    <w:rsid w:val="007428E5"/>
    <w:rsid w:val="00742EF0"/>
    <w:rsid w:val="00742EF5"/>
    <w:rsid w:val="00743268"/>
    <w:rsid w:val="00743594"/>
    <w:rsid w:val="0074504A"/>
    <w:rsid w:val="007451CE"/>
    <w:rsid w:val="0074603D"/>
    <w:rsid w:val="00746A0A"/>
    <w:rsid w:val="007475F6"/>
    <w:rsid w:val="007477F2"/>
    <w:rsid w:val="00747B0A"/>
    <w:rsid w:val="00750384"/>
    <w:rsid w:val="007504A1"/>
    <w:rsid w:val="00750796"/>
    <w:rsid w:val="00750A5A"/>
    <w:rsid w:val="0075186B"/>
    <w:rsid w:val="00752438"/>
    <w:rsid w:val="007526D1"/>
    <w:rsid w:val="00752704"/>
    <w:rsid w:val="007527A5"/>
    <w:rsid w:val="007527EE"/>
    <w:rsid w:val="00752BDD"/>
    <w:rsid w:val="00752D6F"/>
    <w:rsid w:val="007533C6"/>
    <w:rsid w:val="007534ED"/>
    <w:rsid w:val="0075360C"/>
    <w:rsid w:val="00754274"/>
    <w:rsid w:val="00754410"/>
    <w:rsid w:val="0075495F"/>
    <w:rsid w:val="00754A8A"/>
    <w:rsid w:val="00754E91"/>
    <w:rsid w:val="007561B4"/>
    <w:rsid w:val="007563EC"/>
    <w:rsid w:val="007567DF"/>
    <w:rsid w:val="00757177"/>
    <w:rsid w:val="0075767F"/>
    <w:rsid w:val="00757BEC"/>
    <w:rsid w:val="00757D6E"/>
    <w:rsid w:val="007606D5"/>
    <w:rsid w:val="00760C00"/>
    <w:rsid w:val="007615C7"/>
    <w:rsid w:val="007617A1"/>
    <w:rsid w:val="00761E35"/>
    <w:rsid w:val="007621D7"/>
    <w:rsid w:val="00762268"/>
    <w:rsid w:val="00762DAF"/>
    <w:rsid w:val="00763187"/>
    <w:rsid w:val="00764288"/>
    <w:rsid w:val="00765054"/>
    <w:rsid w:val="007651E4"/>
    <w:rsid w:val="00765798"/>
    <w:rsid w:val="00765898"/>
    <w:rsid w:val="0076673A"/>
    <w:rsid w:val="00766DF1"/>
    <w:rsid w:val="00766ECB"/>
    <w:rsid w:val="00767126"/>
    <w:rsid w:val="007671EA"/>
    <w:rsid w:val="00770872"/>
    <w:rsid w:val="00770C3C"/>
    <w:rsid w:val="00771EC1"/>
    <w:rsid w:val="00772214"/>
    <w:rsid w:val="0077279D"/>
    <w:rsid w:val="0077295E"/>
    <w:rsid w:val="00772CC5"/>
    <w:rsid w:val="0077340D"/>
    <w:rsid w:val="0077374F"/>
    <w:rsid w:val="00773875"/>
    <w:rsid w:val="00773EFF"/>
    <w:rsid w:val="00774053"/>
    <w:rsid w:val="00774105"/>
    <w:rsid w:val="00774D5D"/>
    <w:rsid w:val="00775111"/>
    <w:rsid w:val="0077552C"/>
    <w:rsid w:val="0077571E"/>
    <w:rsid w:val="0077621A"/>
    <w:rsid w:val="007770B7"/>
    <w:rsid w:val="00777AD5"/>
    <w:rsid w:val="0078053E"/>
    <w:rsid w:val="00780B62"/>
    <w:rsid w:val="00782087"/>
    <w:rsid w:val="00782395"/>
    <w:rsid w:val="00782603"/>
    <w:rsid w:val="007829FB"/>
    <w:rsid w:val="007834D3"/>
    <w:rsid w:val="007835C0"/>
    <w:rsid w:val="00783A25"/>
    <w:rsid w:val="00783A86"/>
    <w:rsid w:val="00784899"/>
    <w:rsid w:val="00784955"/>
    <w:rsid w:val="007849D4"/>
    <w:rsid w:val="0078544E"/>
    <w:rsid w:val="00785AF3"/>
    <w:rsid w:val="00785BE0"/>
    <w:rsid w:val="00786BC8"/>
    <w:rsid w:val="00786BE5"/>
    <w:rsid w:val="00786FE1"/>
    <w:rsid w:val="007873B6"/>
    <w:rsid w:val="0078749D"/>
    <w:rsid w:val="007875A4"/>
    <w:rsid w:val="0078779B"/>
    <w:rsid w:val="00787A0A"/>
    <w:rsid w:val="00787A3C"/>
    <w:rsid w:val="00790275"/>
    <w:rsid w:val="00790491"/>
    <w:rsid w:val="007923C4"/>
    <w:rsid w:val="0079243C"/>
    <w:rsid w:val="007926F4"/>
    <w:rsid w:val="0079297D"/>
    <w:rsid w:val="00792E07"/>
    <w:rsid w:val="007931E1"/>
    <w:rsid w:val="00793C60"/>
    <w:rsid w:val="00793C64"/>
    <w:rsid w:val="007940FC"/>
    <w:rsid w:val="00796788"/>
    <w:rsid w:val="00796A34"/>
    <w:rsid w:val="00797621"/>
    <w:rsid w:val="00797FF5"/>
    <w:rsid w:val="007A00E6"/>
    <w:rsid w:val="007A0101"/>
    <w:rsid w:val="007A01C1"/>
    <w:rsid w:val="007A17E2"/>
    <w:rsid w:val="007A18E5"/>
    <w:rsid w:val="007A319F"/>
    <w:rsid w:val="007A4A32"/>
    <w:rsid w:val="007A4CA1"/>
    <w:rsid w:val="007A4EF8"/>
    <w:rsid w:val="007A51EC"/>
    <w:rsid w:val="007A5805"/>
    <w:rsid w:val="007A5FD4"/>
    <w:rsid w:val="007A6063"/>
    <w:rsid w:val="007A64E8"/>
    <w:rsid w:val="007A650D"/>
    <w:rsid w:val="007A65FB"/>
    <w:rsid w:val="007A75B7"/>
    <w:rsid w:val="007A76C4"/>
    <w:rsid w:val="007A7AF3"/>
    <w:rsid w:val="007B05A0"/>
    <w:rsid w:val="007B118F"/>
    <w:rsid w:val="007B1782"/>
    <w:rsid w:val="007B19C4"/>
    <w:rsid w:val="007B24A6"/>
    <w:rsid w:val="007B4049"/>
    <w:rsid w:val="007B4905"/>
    <w:rsid w:val="007B4E04"/>
    <w:rsid w:val="007B5243"/>
    <w:rsid w:val="007B56A0"/>
    <w:rsid w:val="007B60AE"/>
    <w:rsid w:val="007B627F"/>
    <w:rsid w:val="007B693B"/>
    <w:rsid w:val="007B6CAE"/>
    <w:rsid w:val="007B7017"/>
    <w:rsid w:val="007B74D5"/>
    <w:rsid w:val="007B773C"/>
    <w:rsid w:val="007B78D9"/>
    <w:rsid w:val="007C031D"/>
    <w:rsid w:val="007C095D"/>
    <w:rsid w:val="007C0C4C"/>
    <w:rsid w:val="007C0DFD"/>
    <w:rsid w:val="007C0EE1"/>
    <w:rsid w:val="007C1AF5"/>
    <w:rsid w:val="007C1EEE"/>
    <w:rsid w:val="007C22BF"/>
    <w:rsid w:val="007C2411"/>
    <w:rsid w:val="007C2C87"/>
    <w:rsid w:val="007C37E6"/>
    <w:rsid w:val="007C3AF7"/>
    <w:rsid w:val="007C43CF"/>
    <w:rsid w:val="007C45B9"/>
    <w:rsid w:val="007C4CB2"/>
    <w:rsid w:val="007C5164"/>
    <w:rsid w:val="007C5B07"/>
    <w:rsid w:val="007C5C70"/>
    <w:rsid w:val="007C703C"/>
    <w:rsid w:val="007C7868"/>
    <w:rsid w:val="007C7BD6"/>
    <w:rsid w:val="007D029C"/>
    <w:rsid w:val="007D1DDD"/>
    <w:rsid w:val="007D22E8"/>
    <w:rsid w:val="007D2568"/>
    <w:rsid w:val="007D25A6"/>
    <w:rsid w:val="007D2611"/>
    <w:rsid w:val="007D32D8"/>
    <w:rsid w:val="007D3DFA"/>
    <w:rsid w:val="007D413B"/>
    <w:rsid w:val="007D4CC9"/>
    <w:rsid w:val="007D4F3A"/>
    <w:rsid w:val="007D570E"/>
    <w:rsid w:val="007D6551"/>
    <w:rsid w:val="007D7023"/>
    <w:rsid w:val="007D7B43"/>
    <w:rsid w:val="007D7EA0"/>
    <w:rsid w:val="007E00AA"/>
    <w:rsid w:val="007E0372"/>
    <w:rsid w:val="007E1842"/>
    <w:rsid w:val="007E1888"/>
    <w:rsid w:val="007E192F"/>
    <w:rsid w:val="007E2129"/>
    <w:rsid w:val="007E2BB6"/>
    <w:rsid w:val="007E2F6D"/>
    <w:rsid w:val="007E3213"/>
    <w:rsid w:val="007E395A"/>
    <w:rsid w:val="007E4E49"/>
    <w:rsid w:val="007E6CFC"/>
    <w:rsid w:val="007E7723"/>
    <w:rsid w:val="007F1C06"/>
    <w:rsid w:val="007F1D03"/>
    <w:rsid w:val="007F1E66"/>
    <w:rsid w:val="007F24F5"/>
    <w:rsid w:val="007F2A8D"/>
    <w:rsid w:val="007F2C4F"/>
    <w:rsid w:val="007F2E01"/>
    <w:rsid w:val="007F2EBC"/>
    <w:rsid w:val="007F2EEF"/>
    <w:rsid w:val="007F2F49"/>
    <w:rsid w:val="007F3949"/>
    <w:rsid w:val="007F394A"/>
    <w:rsid w:val="007F3AB3"/>
    <w:rsid w:val="007F3ADD"/>
    <w:rsid w:val="007F4498"/>
    <w:rsid w:val="007F4B98"/>
    <w:rsid w:val="007F4C6C"/>
    <w:rsid w:val="007F5073"/>
    <w:rsid w:val="007F552E"/>
    <w:rsid w:val="007F5816"/>
    <w:rsid w:val="007F6A75"/>
    <w:rsid w:val="007F6E50"/>
    <w:rsid w:val="007F7D2F"/>
    <w:rsid w:val="00800D4F"/>
    <w:rsid w:val="0080103D"/>
    <w:rsid w:val="00801A1B"/>
    <w:rsid w:val="00802062"/>
    <w:rsid w:val="008021E4"/>
    <w:rsid w:val="008027D7"/>
    <w:rsid w:val="00802E8B"/>
    <w:rsid w:val="00803141"/>
    <w:rsid w:val="00803422"/>
    <w:rsid w:val="00805219"/>
    <w:rsid w:val="008053F7"/>
    <w:rsid w:val="00805995"/>
    <w:rsid w:val="00805DC9"/>
    <w:rsid w:val="00805DD9"/>
    <w:rsid w:val="00805EF0"/>
    <w:rsid w:val="00806788"/>
    <w:rsid w:val="00806CA7"/>
    <w:rsid w:val="008102FD"/>
    <w:rsid w:val="008105FC"/>
    <w:rsid w:val="00810895"/>
    <w:rsid w:val="0081094D"/>
    <w:rsid w:val="008117AD"/>
    <w:rsid w:val="00811D24"/>
    <w:rsid w:val="0081329A"/>
    <w:rsid w:val="00814210"/>
    <w:rsid w:val="008143AB"/>
    <w:rsid w:val="00814F7C"/>
    <w:rsid w:val="00815160"/>
    <w:rsid w:val="008155CC"/>
    <w:rsid w:val="00815F6D"/>
    <w:rsid w:val="0081681F"/>
    <w:rsid w:val="0081692A"/>
    <w:rsid w:val="008174CA"/>
    <w:rsid w:val="0081766F"/>
    <w:rsid w:val="008178FD"/>
    <w:rsid w:val="0081796D"/>
    <w:rsid w:val="00817ACA"/>
    <w:rsid w:val="008208D7"/>
    <w:rsid w:val="00821519"/>
    <w:rsid w:val="008216D4"/>
    <w:rsid w:val="008216FB"/>
    <w:rsid w:val="00822888"/>
    <w:rsid w:val="00822A71"/>
    <w:rsid w:val="00822B2B"/>
    <w:rsid w:val="00823483"/>
    <w:rsid w:val="008234FF"/>
    <w:rsid w:val="008242BE"/>
    <w:rsid w:val="0082434E"/>
    <w:rsid w:val="00824560"/>
    <w:rsid w:val="00824AC9"/>
    <w:rsid w:val="00824B24"/>
    <w:rsid w:val="008250E5"/>
    <w:rsid w:val="00825D78"/>
    <w:rsid w:val="0082636D"/>
    <w:rsid w:val="00826AA6"/>
    <w:rsid w:val="00827822"/>
    <w:rsid w:val="008310DE"/>
    <w:rsid w:val="00831124"/>
    <w:rsid w:val="0083154C"/>
    <w:rsid w:val="0083161E"/>
    <w:rsid w:val="00832A9B"/>
    <w:rsid w:val="00833070"/>
    <w:rsid w:val="008331B8"/>
    <w:rsid w:val="008331B9"/>
    <w:rsid w:val="0083366F"/>
    <w:rsid w:val="0083370E"/>
    <w:rsid w:val="008342ED"/>
    <w:rsid w:val="008343BA"/>
    <w:rsid w:val="008355C8"/>
    <w:rsid w:val="00835B41"/>
    <w:rsid w:val="00836298"/>
    <w:rsid w:val="008366D0"/>
    <w:rsid w:val="008367FE"/>
    <w:rsid w:val="00836FC8"/>
    <w:rsid w:val="008377EA"/>
    <w:rsid w:val="00840648"/>
    <w:rsid w:val="0084069F"/>
    <w:rsid w:val="008406C1"/>
    <w:rsid w:val="0084082E"/>
    <w:rsid w:val="00841447"/>
    <w:rsid w:val="0084165C"/>
    <w:rsid w:val="008420D4"/>
    <w:rsid w:val="00842306"/>
    <w:rsid w:val="00842B01"/>
    <w:rsid w:val="00842B29"/>
    <w:rsid w:val="008431CE"/>
    <w:rsid w:val="00843251"/>
    <w:rsid w:val="008442A3"/>
    <w:rsid w:val="00844A8A"/>
    <w:rsid w:val="00844DF0"/>
    <w:rsid w:val="0084502E"/>
    <w:rsid w:val="00845899"/>
    <w:rsid w:val="008464A4"/>
    <w:rsid w:val="00846B87"/>
    <w:rsid w:val="00846F77"/>
    <w:rsid w:val="00847220"/>
    <w:rsid w:val="0084758B"/>
    <w:rsid w:val="00847746"/>
    <w:rsid w:val="00847927"/>
    <w:rsid w:val="008504F3"/>
    <w:rsid w:val="008506A2"/>
    <w:rsid w:val="00850832"/>
    <w:rsid w:val="00850C3D"/>
    <w:rsid w:val="0085113C"/>
    <w:rsid w:val="008513F2"/>
    <w:rsid w:val="00851DE2"/>
    <w:rsid w:val="00852485"/>
    <w:rsid w:val="008529E6"/>
    <w:rsid w:val="00852BCA"/>
    <w:rsid w:val="008530A8"/>
    <w:rsid w:val="00853820"/>
    <w:rsid w:val="008539E5"/>
    <w:rsid w:val="00853AFB"/>
    <w:rsid w:val="00853D96"/>
    <w:rsid w:val="00854337"/>
    <w:rsid w:val="0085438C"/>
    <w:rsid w:val="0085470A"/>
    <w:rsid w:val="00854762"/>
    <w:rsid w:val="0085496D"/>
    <w:rsid w:val="00855FA8"/>
    <w:rsid w:val="00856AFB"/>
    <w:rsid w:val="0086004A"/>
    <w:rsid w:val="00860482"/>
    <w:rsid w:val="00860E8E"/>
    <w:rsid w:val="008617CD"/>
    <w:rsid w:val="00862134"/>
    <w:rsid w:val="00862384"/>
    <w:rsid w:val="008626CB"/>
    <w:rsid w:val="0086280B"/>
    <w:rsid w:val="0086283C"/>
    <w:rsid w:val="008628BE"/>
    <w:rsid w:val="00862CFA"/>
    <w:rsid w:val="008633ED"/>
    <w:rsid w:val="008641D7"/>
    <w:rsid w:val="008643F7"/>
    <w:rsid w:val="00865275"/>
    <w:rsid w:val="0086640A"/>
    <w:rsid w:val="0086705F"/>
    <w:rsid w:val="00867717"/>
    <w:rsid w:val="0086772E"/>
    <w:rsid w:val="00867F41"/>
    <w:rsid w:val="00870482"/>
    <w:rsid w:val="00870660"/>
    <w:rsid w:val="00870F34"/>
    <w:rsid w:val="0087157C"/>
    <w:rsid w:val="00872120"/>
    <w:rsid w:val="00872187"/>
    <w:rsid w:val="008722DA"/>
    <w:rsid w:val="008746F0"/>
    <w:rsid w:val="0087576B"/>
    <w:rsid w:val="00875B27"/>
    <w:rsid w:val="00876C60"/>
    <w:rsid w:val="00877315"/>
    <w:rsid w:val="00877632"/>
    <w:rsid w:val="00880661"/>
    <w:rsid w:val="00880678"/>
    <w:rsid w:val="00881601"/>
    <w:rsid w:val="0088198D"/>
    <w:rsid w:val="00882145"/>
    <w:rsid w:val="00883591"/>
    <w:rsid w:val="008835FA"/>
    <w:rsid w:val="00883BDA"/>
    <w:rsid w:val="008843E2"/>
    <w:rsid w:val="008843F0"/>
    <w:rsid w:val="00884F5B"/>
    <w:rsid w:val="008850E3"/>
    <w:rsid w:val="008852F5"/>
    <w:rsid w:val="008857B2"/>
    <w:rsid w:val="008864B1"/>
    <w:rsid w:val="00886E94"/>
    <w:rsid w:val="00886FA7"/>
    <w:rsid w:val="00887248"/>
    <w:rsid w:val="00887FB4"/>
    <w:rsid w:val="00890EF4"/>
    <w:rsid w:val="008919D9"/>
    <w:rsid w:val="00891B5D"/>
    <w:rsid w:val="00892088"/>
    <w:rsid w:val="008921A0"/>
    <w:rsid w:val="008923E7"/>
    <w:rsid w:val="00892A4E"/>
    <w:rsid w:val="008937F9"/>
    <w:rsid w:val="00893D62"/>
    <w:rsid w:val="00894FAF"/>
    <w:rsid w:val="00895FCF"/>
    <w:rsid w:val="0089693E"/>
    <w:rsid w:val="00896C6F"/>
    <w:rsid w:val="00896EB5"/>
    <w:rsid w:val="0089790E"/>
    <w:rsid w:val="00897DF7"/>
    <w:rsid w:val="008A0F2B"/>
    <w:rsid w:val="008A1EAB"/>
    <w:rsid w:val="008A23C1"/>
    <w:rsid w:val="008A330B"/>
    <w:rsid w:val="008A42AC"/>
    <w:rsid w:val="008A4522"/>
    <w:rsid w:val="008A497C"/>
    <w:rsid w:val="008A4FEC"/>
    <w:rsid w:val="008A5555"/>
    <w:rsid w:val="008A5B92"/>
    <w:rsid w:val="008A6D92"/>
    <w:rsid w:val="008A6DFD"/>
    <w:rsid w:val="008A70F2"/>
    <w:rsid w:val="008A7299"/>
    <w:rsid w:val="008A72F6"/>
    <w:rsid w:val="008A7580"/>
    <w:rsid w:val="008A7754"/>
    <w:rsid w:val="008A7A27"/>
    <w:rsid w:val="008A7E83"/>
    <w:rsid w:val="008A7FD2"/>
    <w:rsid w:val="008B08A7"/>
    <w:rsid w:val="008B3AE8"/>
    <w:rsid w:val="008B3B2F"/>
    <w:rsid w:val="008B3CA3"/>
    <w:rsid w:val="008B3F9B"/>
    <w:rsid w:val="008B42CC"/>
    <w:rsid w:val="008B44F0"/>
    <w:rsid w:val="008B4825"/>
    <w:rsid w:val="008B486D"/>
    <w:rsid w:val="008B5696"/>
    <w:rsid w:val="008B56A8"/>
    <w:rsid w:val="008B62B7"/>
    <w:rsid w:val="008B72BC"/>
    <w:rsid w:val="008B7965"/>
    <w:rsid w:val="008B7D48"/>
    <w:rsid w:val="008C009C"/>
    <w:rsid w:val="008C01A3"/>
    <w:rsid w:val="008C046B"/>
    <w:rsid w:val="008C07DC"/>
    <w:rsid w:val="008C0A5A"/>
    <w:rsid w:val="008C110F"/>
    <w:rsid w:val="008C16DA"/>
    <w:rsid w:val="008C177E"/>
    <w:rsid w:val="008C235E"/>
    <w:rsid w:val="008C2402"/>
    <w:rsid w:val="008C28A3"/>
    <w:rsid w:val="008C2C9D"/>
    <w:rsid w:val="008C2D33"/>
    <w:rsid w:val="008C325C"/>
    <w:rsid w:val="008C3403"/>
    <w:rsid w:val="008C3CC4"/>
    <w:rsid w:val="008C4094"/>
    <w:rsid w:val="008C41A9"/>
    <w:rsid w:val="008C4CD4"/>
    <w:rsid w:val="008C4F85"/>
    <w:rsid w:val="008C56CF"/>
    <w:rsid w:val="008C5B8B"/>
    <w:rsid w:val="008C5BDD"/>
    <w:rsid w:val="008C5C07"/>
    <w:rsid w:val="008C5CF8"/>
    <w:rsid w:val="008C615E"/>
    <w:rsid w:val="008C62CE"/>
    <w:rsid w:val="008C6372"/>
    <w:rsid w:val="008C6551"/>
    <w:rsid w:val="008C67F3"/>
    <w:rsid w:val="008C6E18"/>
    <w:rsid w:val="008C7207"/>
    <w:rsid w:val="008D01CF"/>
    <w:rsid w:val="008D13C9"/>
    <w:rsid w:val="008D1597"/>
    <w:rsid w:val="008D2064"/>
    <w:rsid w:val="008D20A8"/>
    <w:rsid w:val="008D226E"/>
    <w:rsid w:val="008D2431"/>
    <w:rsid w:val="008D26C0"/>
    <w:rsid w:val="008D298B"/>
    <w:rsid w:val="008D2B2C"/>
    <w:rsid w:val="008D2FF7"/>
    <w:rsid w:val="008D36D1"/>
    <w:rsid w:val="008D3A76"/>
    <w:rsid w:val="008D4032"/>
    <w:rsid w:val="008D4A39"/>
    <w:rsid w:val="008D5008"/>
    <w:rsid w:val="008D53AC"/>
    <w:rsid w:val="008D5D4B"/>
    <w:rsid w:val="008D692F"/>
    <w:rsid w:val="008D6C7B"/>
    <w:rsid w:val="008D7C49"/>
    <w:rsid w:val="008E09BF"/>
    <w:rsid w:val="008E0A2C"/>
    <w:rsid w:val="008E0A7F"/>
    <w:rsid w:val="008E0CBA"/>
    <w:rsid w:val="008E0EDF"/>
    <w:rsid w:val="008E137A"/>
    <w:rsid w:val="008E1A37"/>
    <w:rsid w:val="008E1D28"/>
    <w:rsid w:val="008E1D57"/>
    <w:rsid w:val="008E1D97"/>
    <w:rsid w:val="008E2513"/>
    <w:rsid w:val="008E252B"/>
    <w:rsid w:val="008E2AC1"/>
    <w:rsid w:val="008E2BFE"/>
    <w:rsid w:val="008E339E"/>
    <w:rsid w:val="008E3E5E"/>
    <w:rsid w:val="008E4365"/>
    <w:rsid w:val="008E5646"/>
    <w:rsid w:val="008E62BB"/>
    <w:rsid w:val="008E6466"/>
    <w:rsid w:val="008F0258"/>
    <w:rsid w:val="008F027A"/>
    <w:rsid w:val="008F076E"/>
    <w:rsid w:val="008F09D7"/>
    <w:rsid w:val="008F0A9E"/>
    <w:rsid w:val="008F1254"/>
    <w:rsid w:val="008F1C2F"/>
    <w:rsid w:val="008F1CC6"/>
    <w:rsid w:val="008F1ED2"/>
    <w:rsid w:val="008F2197"/>
    <w:rsid w:val="008F2384"/>
    <w:rsid w:val="008F28EE"/>
    <w:rsid w:val="008F293B"/>
    <w:rsid w:val="008F3EAA"/>
    <w:rsid w:val="008F4004"/>
    <w:rsid w:val="008F4346"/>
    <w:rsid w:val="008F4790"/>
    <w:rsid w:val="008F4EE3"/>
    <w:rsid w:val="008F5087"/>
    <w:rsid w:val="008F5826"/>
    <w:rsid w:val="008F5F15"/>
    <w:rsid w:val="008F6244"/>
    <w:rsid w:val="008F62BB"/>
    <w:rsid w:val="008F64FB"/>
    <w:rsid w:val="008F66B1"/>
    <w:rsid w:val="008F7F76"/>
    <w:rsid w:val="00900366"/>
    <w:rsid w:val="009003F5"/>
    <w:rsid w:val="00900D2A"/>
    <w:rsid w:val="00901685"/>
    <w:rsid w:val="00902547"/>
    <w:rsid w:val="00902B5E"/>
    <w:rsid w:val="00903152"/>
    <w:rsid w:val="009034E2"/>
    <w:rsid w:val="009039D9"/>
    <w:rsid w:val="00903E45"/>
    <w:rsid w:val="009051D9"/>
    <w:rsid w:val="00905B93"/>
    <w:rsid w:val="00905E3A"/>
    <w:rsid w:val="009062C4"/>
    <w:rsid w:val="0090678E"/>
    <w:rsid w:val="00907B66"/>
    <w:rsid w:val="00907FF0"/>
    <w:rsid w:val="00910242"/>
    <w:rsid w:val="009106C6"/>
    <w:rsid w:val="0091075E"/>
    <w:rsid w:val="009111F6"/>
    <w:rsid w:val="00911B0F"/>
    <w:rsid w:val="00912266"/>
    <w:rsid w:val="00912D8C"/>
    <w:rsid w:val="00913495"/>
    <w:rsid w:val="009138B5"/>
    <w:rsid w:val="00913F2C"/>
    <w:rsid w:val="00914057"/>
    <w:rsid w:val="00914C3E"/>
    <w:rsid w:val="009152B2"/>
    <w:rsid w:val="00915686"/>
    <w:rsid w:val="009168BB"/>
    <w:rsid w:val="00916B4B"/>
    <w:rsid w:val="0091725F"/>
    <w:rsid w:val="00920DF0"/>
    <w:rsid w:val="00921168"/>
    <w:rsid w:val="00921FC9"/>
    <w:rsid w:val="009221C6"/>
    <w:rsid w:val="009224B0"/>
    <w:rsid w:val="0092252E"/>
    <w:rsid w:val="00922679"/>
    <w:rsid w:val="0092295C"/>
    <w:rsid w:val="00923947"/>
    <w:rsid w:val="00923B2A"/>
    <w:rsid w:val="00924C26"/>
    <w:rsid w:val="00924C93"/>
    <w:rsid w:val="009256BE"/>
    <w:rsid w:val="009257AC"/>
    <w:rsid w:val="00925B2B"/>
    <w:rsid w:val="00925E90"/>
    <w:rsid w:val="00926039"/>
    <w:rsid w:val="00927614"/>
    <w:rsid w:val="00927693"/>
    <w:rsid w:val="0093032F"/>
    <w:rsid w:val="0093059E"/>
    <w:rsid w:val="00930714"/>
    <w:rsid w:val="0093076C"/>
    <w:rsid w:val="00930D25"/>
    <w:rsid w:val="00930EC1"/>
    <w:rsid w:val="00931B3F"/>
    <w:rsid w:val="00932201"/>
    <w:rsid w:val="0093223F"/>
    <w:rsid w:val="00932AC2"/>
    <w:rsid w:val="0093309A"/>
    <w:rsid w:val="009342C5"/>
    <w:rsid w:val="0093434D"/>
    <w:rsid w:val="0093510B"/>
    <w:rsid w:val="009353A1"/>
    <w:rsid w:val="00935F80"/>
    <w:rsid w:val="00935FD2"/>
    <w:rsid w:val="009366A4"/>
    <w:rsid w:val="00936E30"/>
    <w:rsid w:val="009379E0"/>
    <w:rsid w:val="00937F42"/>
    <w:rsid w:val="00940466"/>
    <w:rsid w:val="00941162"/>
    <w:rsid w:val="0094117C"/>
    <w:rsid w:val="009412F3"/>
    <w:rsid w:val="00941DAF"/>
    <w:rsid w:val="009420AF"/>
    <w:rsid w:val="0094293C"/>
    <w:rsid w:val="00942C77"/>
    <w:rsid w:val="00942F57"/>
    <w:rsid w:val="00943074"/>
    <w:rsid w:val="00944153"/>
    <w:rsid w:val="00944E75"/>
    <w:rsid w:val="00945B25"/>
    <w:rsid w:val="00945B40"/>
    <w:rsid w:val="0094629F"/>
    <w:rsid w:val="00946411"/>
    <w:rsid w:val="0094723D"/>
    <w:rsid w:val="009474D4"/>
    <w:rsid w:val="00947555"/>
    <w:rsid w:val="00947BF2"/>
    <w:rsid w:val="00947DB9"/>
    <w:rsid w:val="00947DFD"/>
    <w:rsid w:val="00950141"/>
    <w:rsid w:val="00950436"/>
    <w:rsid w:val="00950560"/>
    <w:rsid w:val="0095077A"/>
    <w:rsid w:val="00950F36"/>
    <w:rsid w:val="0095142D"/>
    <w:rsid w:val="00951439"/>
    <w:rsid w:val="009519CC"/>
    <w:rsid w:val="00951EBC"/>
    <w:rsid w:val="00952A0B"/>
    <w:rsid w:val="009530DE"/>
    <w:rsid w:val="009532BF"/>
    <w:rsid w:val="00953615"/>
    <w:rsid w:val="00953C95"/>
    <w:rsid w:val="009543DA"/>
    <w:rsid w:val="00955325"/>
    <w:rsid w:val="00955801"/>
    <w:rsid w:val="00955A9D"/>
    <w:rsid w:val="00956B75"/>
    <w:rsid w:val="009570DA"/>
    <w:rsid w:val="0095747E"/>
    <w:rsid w:val="00957D08"/>
    <w:rsid w:val="0096036A"/>
    <w:rsid w:val="00960395"/>
    <w:rsid w:val="009603D0"/>
    <w:rsid w:val="0096062F"/>
    <w:rsid w:val="00960CA0"/>
    <w:rsid w:val="00961B1B"/>
    <w:rsid w:val="00961C54"/>
    <w:rsid w:val="009628B7"/>
    <w:rsid w:val="00962BB7"/>
    <w:rsid w:val="00962CCC"/>
    <w:rsid w:val="0096302F"/>
    <w:rsid w:val="0096421D"/>
    <w:rsid w:val="00964B44"/>
    <w:rsid w:val="00964D02"/>
    <w:rsid w:val="00965261"/>
    <w:rsid w:val="009659A9"/>
    <w:rsid w:val="00965B27"/>
    <w:rsid w:val="00965ED1"/>
    <w:rsid w:val="009664FE"/>
    <w:rsid w:val="0096693C"/>
    <w:rsid w:val="00966B2F"/>
    <w:rsid w:val="00967382"/>
    <w:rsid w:val="0096745D"/>
    <w:rsid w:val="00967477"/>
    <w:rsid w:val="009675B8"/>
    <w:rsid w:val="009676D3"/>
    <w:rsid w:val="00967F45"/>
    <w:rsid w:val="00967F70"/>
    <w:rsid w:val="00971781"/>
    <w:rsid w:val="009721CC"/>
    <w:rsid w:val="00972866"/>
    <w:rsid w:val="00972E90"/>
    <w:rsid w:val="009733A8"/>
    <w:rsid w:val="00973848"/>
    <w:rsid w:val="00973A50"/>
    <w:rsid w:val="00973A9E"/>
    <w:rsid w:val="00973ED9"/>
    <w:rsid w:val="00974496"/>
    <w:rsid w:val="00974FD1"/>
    <w:rsid w:val="00975268"/>
    <w:rsid w:val="009756B3"/>
    <w:rsid w:val="00975F69"/>
    <w:rsid w:val="009763D8"/>
    <w:rsid w:val="00976975"/>
    <w:rsid w:val="00977CCF"/>
    <w:rsid w:val="00981CD3"/>
    <w:rsid w:val="00982E0D"/>
    <w:rsid w:val="00983015"/>
    <w:rsid w:val="00983ADD"/>
    <w:rsid w:val="0098413D"/>
    <w:rsid w:val="00984E0D"/>
    <w:rsid w:val="0098514B"/>
    <w:rsid w:val="00985B6F"/>
    <w:rsid w:val="00985C45"/>
    <w:rsid w:val="00985FB2"/>
    <w:rsid w:val="0098600E"/>
    <w:rsid w:val="00986A42"/>
    <w:rsid w:val="0098712D"/>
    <w:rsid w:val="00987E3A"/>
    <w:rsid w:val="00987F6F"/>
    <w:rsid w:val="0099047D"/>
    <w:rsid w:val="00990926"/>
    <w:rsid w:val="00990B69"/>
    <w:rsid w:val="0099154D"/>
    <w:rsid w:val="0099174F"/>
    <w:rsid w:val="00991804"/>
    <w:rsid w:val="009919CD"/>
    <w:rsid w:val="00992062"/>
    <w:rsid w:val="009921E8"/>
    <w:rsid w:val="0099242A"/>
    <w:rsid w:val="009929A3"/>
    <w:rsid w:val="009932A5"/>
    <w:rsid w:val="0099357F"/>
    <w:rsid w:val="00993A1C"/>
    <w:rsid w:val="00993B75"/>
    <w:rsid w:val="00993CCB"/>
    <w:rsid w:val="00993D6E"/>
    <w:rsid w:val="00994196"/>
    <w:rsid w:val="00994454"/>
    <w:rsid w:val="00994A05"/>
    <w:rsid w:val="00994D69"/>
    <w:rsid w:val="0099577B"/>
    <w:rsid w:val="009957BC"/>
    <w:rsid w:val="00996E69"/>
    <w:rsid w:val="009974B3"/>
    <w:rsid w:val="0099777C"/>
    <w:rsid w:val="009979AC"/>
    <w:rsid w:val="009A06CE"/>
    <w:rsid w:val="009A0BEB"/>
    <w:rsid w:val="009A0FE0"/>
    <w:rsid w:val="009A18C7"/>
    <w:rsid w:val="009A1C7D"/>
    <w:rsid w:val="009A2083"/>
    <w:rsid w:val="009A3599"/>
    <w:rsid w:val="009A359E"/>
    <w:rsid w:val="009A3E10"/>
    <w:rsid w:val="009A452D"/>
    <w:rsid w:val="009A49B8"/>
    <w:rsid w:val="009A5088"/>
    <w:rsid w:val="009A54D7"/>
    <w:rsid w:val="009A5A7C"/>
    <w:rsid w:val="009A5C7B"/>
    <w:rsid w:val="009A6760"/>
    <w:rsid w:val="009A6AD2"/>
    <w:rsid w:val="009A6C0F"/>
    <w:rsid w:val="009A6DE3"/>
    <w:rsid w:val="009A7AEF"/>
    <w:rsid w:val="009B048B"/>
    <w:rsid w:val="009B07F8"/>
    <w:rsid w:val="009B093B"/>
    <w:rsid w:val="009B175E"/>
    <w:rsid w:val="009B1788"/>
    <w:rsid w:val="009B24DF"/>
    <w:rsid w:val="009B3356"/>
    <w:rsid w:val="009B387E"/>
    <w:rsid w:val="009B3BF8"/>
    <w:rsid w:val="009B3E7C"/>
    <w:rsid w:val="009B451D"/>
    <w:rsid w:val="009B513F"/>
    <w:rsid w:val="009B55AA"/>
    <w:rsid w:val="009B590B"/>
    <w:rsid w:val="009B5B0A"/>
    <w:rsid w:val="009B5D3C"/>
    <w:rsid w:val="009B5ECD"/>
    <w:rsid w:val="009B6504"/>
    <w:rsid w:val="009B6D42"/>
    <w:rsid w:val="009B7377"/>
    <w:rsid w:val="009C01AD"/>
    <w:rsid w:val="009C0631"/>
    <w:rsid w:val="009C0DAC"/>
    <w:rsid w:val="009C1135"/>
    <w:rsid w:val="009C1D2C"/>
    <w:rsid w:val="009C2447"/>
    <w:rsid w:val="009C24B5"/>
    <w:rsid w:val="009C2983"/>
    <w:rsid w:val="009C2C9F"/>
    <w:rsid w:val="009C2EAF"/>
    <w:rsid w:val="009C30BD"/>
    <w:rsid w:val="009C34DD"/>
    <w:rsid w:val="009C40D8"/>
    <w:rsid w:val="009C4272"/>
    <w:rsid w:val="009C4339"/>
    <w:rsid w:val="009C49D1"/>
    <w:rsid w:val="009C4AE0"/>
    <w:rsid w:val="009C5BB4"/>
    <w:rsid w:val="009C5C31"/>
    <w:rsid w:val="009C67AE"/>
    <w:rsid w:val="009C6884"/>
    <w:rsid w:val="009C6925"/>
    <w:rsid w:val="009D0BD6"/>
    <w:rsid w:val="009D17C5"/>
    <w:rsid w:val="009D2509"/>
    <w:rsid w:val="009D353C"/>
    <w:rsid w:val="009D38D3"/>
    <w:rsid w:val="009D39B0"/>
    <w:rsid w:val="009D3C30"/>
    <w:rsid w:val="009D4623"/>
    <w:rsid w:val="009D4813"/>
    <w:rsid w:val="009D4EB6"/>
    <w:rsid w:val="009D6370"/>
    <w:rsid w:val="009D645C"/>
    <w:rsid w:val="009D6648"/>
    <w:rsid w:val="009D6973"/>
    <w:rsid w:val="009D6CDA"/>
    <w:rsid w:val="009D73A7"/>
    <w:rsid w:val="009D7499"/>
    <w:rsid w:val="009D7B8E"/>
    <w:rsid w:val="009D7E26"/>
    <w:rsid w:val="009E0551"/>
    <w:rsid w:val="009E0D61"/>
    <w:rsid w:val="009E0E62"/>
    <w:rsid w:val="009E135B"/>
    <w:rsid w:val="009E1BB8"/>
    <w:rsid w:val="009E2221"/>
    <w:rsid w:val="009E342D"/>
    <w:rsid w:val="009E3897"/>
    <w:rsid w:val="009E3C7E"/>
    <w:rsid w:val="009E4EE3"/>
    <w:rsid w:val="009E534B"/>
    <w:rsid w:val="009E579C"/>
    <w:rsid w:val="009E5B11"/>
    <w:rsid w:val="009E5C5A"/>
    <w:rsid w:val="009E609B"/>
    <w:rsid w:val="009E6103"/>
    <w:rsid w:val="009E660A"/>
    <w:rsid w:val="009F007E"/>
    <w:rsid w:val="009F0730"/>
    <w:rsid w:val="009F0AEF"/>
    <w:rsid w:val="009F181C"/>
    <w:rsid w:val="009F2C22"/>
    <w:rsid w:val="009F3401"/>
    <w:rsid w:val="009F3481"/>
    <w:rsid w:val="009F3FC0"/>
    <w:rsid w:val="009F4337"/>
    <w:rsid w:val="009F47C7"/>
    <w:rsid w:val="009F48C6"/>
    <w:rsid w:val="009F4D16"/>
    <w:rsid w:val="009F4D69"/>
    <w:rsid w:val="009F5062"/>
    <w:rsid w:val="009F52CE"/>
    <w:rsid w:val="009F5343"/>
    <w:rsid w:val="009F5E28"/>
    <w:rsid w:val="009F5EEE"/>
    <w:rsid w:val="009F64B6"/>
    <w:rsid w:val="009F6694"/>
    <w:rsid w:val="009F6CF3"/>
    <w:rsid w:val="009F79ED"/>
    <w:rsid w:val="009F7F94"/>
    <w:rsid w:val="00A00608"/>
    <w:rsid w:val="00A01153"/>
    <w:rsid w:val="00A0190A"/>
    <w:rsid w:val="00A01A51"/>
    <w:rsid w:val="00A01A90"/>
    <w:rsid w:val="00A0276E"/>
    <w:rsid w:val="00A02B24"/>
    <w:rsid w:val="00A02B58"/>
    <w:rsid w:val="00A031A6"/>
    <w:rsid w:val="00A03793"/>
    <w:rsid w:val="00A03839"/>
    <w:rsid w:val="00A03FA6"/>
    <w:rsid w:val="00A03FE9"/>
    <w:rsid w:val="00A040BE"/>
    <w:rsid w:val="00A046AD"/>
    <w:rsid w:val="00A04754"/>
    <w:rsid w:val="00A04C26"/>
    <w:rsid w:val="00A04C64"/>
    <w:rsid w:val="00A05146"/>
    <w:rsid w:val="00A05332"/>
    <w:rsid w:val="00A054B5"/>
    <w:rsid w:val="00A05D68"/>
    <w:rsid w:val="00A0663D"/>
    <w:rsid w:val="00A07D51"/>
    <w:rsid w:val="00A10AEF"/>
    <w:rsid w:val="00A10FBA"/>
    <w:rsid w:val="00A1167A"/>
    <w:rsid w:val="00A11BFB"/>
    <w:rsid w:val="00A120C3"/>
    <w:rsid w:val="00A123F6"/>
    <w:rsid w:val="00A1257E"/>
    <w:rsid w:val="00A13ACD"/>
    <w:rsid w:val="00A14EFE"/>
    <w:rsid w:val="00A15FF8"/>
    <w:rsid w:val="00A163B7"/>
    <w:rsid w:val="00A163ED"/>
    <w:rsid w:val="00A1650A"/>
    <w:rsid w:val="00A16572"/>
    <w:rsid w:val="00A165BF"/>
    <w:rsid w:val="00A169DF"/>
    <w:rsid w:val="00A16F64"/>
    <w:rsid w:val="00A1716D"/>
    <w:rsid w:val="00A178B5"/>
    <w:rsid w:val="00A17FB6"/>
    <w:rsid w:val="00A20A36"/>
    <w:rsid w:val="00A218F1"/>
    <w:rsid w:val="00A21A9E"/>
    <w:rsid w:val="00A21B1F"/>
    <w:rsid w:val="00A22125"/>
    <w:rsid w:val="00A2218A"/>
    <w:rsid w:val="00A224D1"/>
    <w:rsid w:val="00A2255B"/>
    <w:rsid w:val="00A22EEE"/>
    <w:rsid w:val="00A2322D"/>
    <w:rsid w:val="00A2369A"/>
    <w:rsid w:val="00A23785"/>
    <w:rsid w:val="00A24FB3"/>
    <w:rsid w:val="00A25297"/>
    <w:rsid w:val="00A25404"/>
    <w:rsid w:val="00A25597"/>
    <w:rsid w:val="00A2572B"/>
    <w:rsid w:val="00A25BBF"/>
    <w:rsid w:val="00A2609D"/>
    <w:rsid w:val="00A263FD"/>
    <w:rsid w:val="00A26696"/>
    <w:rsid w:val="00A26BCB"/>
    <w:rsid w:val="00A26D6C"/>
    <w:rsid w:val="00A26DB2"/>
    <w:rsid w:val="00A27375"/>
    <w:rsid w:val="00A27B96"/>
    <w:rsid w:val="00A27BF1"/>
    <w:rsid w:val="00A31832"/>
    <w:rsid w:val="00A31E81"/>
    <w:rsid w:val="00A31F9A"/>
    <w:rsid w:val="00A326A4"/>
    <w:rsid w:val="00A335A8"/>
    <w:rsid w:val="00A33ECA"/>
    <w:rsid w:val="00A345CD"/>
    <w:rsid w:val="00A34E3E"/>
    <w:rsid w:val="00A35322"/>
    <w:rsid w:val="00A353AE"/>
    <w:rsid w:val="00A357FC"/>
    <w:rsid w:val="00A35B8A"/>
    <w:rsid w:val="00A35FF4"/>
    <w:rsid w:val="00A3659E"/>
    <w:rsid w:val="00A365B0"/>
    <w:rsid w:val="00A36C19"/>
    <w:rsid w:val="00A36CE3"/>
    <w:rsid w:val="00A36D71"/>
    <w:rsid w:val="00A3711A"/>
    <w:rsid w:val="00A37347"/>
    <w:rsid w:val="00A37A05"/>
    <w:rsid w:val="00A4006C"/>
    <w:rsid w:val="00A41412"/>
    <w:rsid w:val="00A42B2B"/>
    <w:rsid w:val="00A43763"/>
    <w:rsid w:val="00A43DC7"/>
    <w:rsid w:val="00A45003"/>
    <w:rsid w:val="00A45716"/>
    <w:rsid w:val="00A45CCF"/>
    <w:rsid w:val="00A4616D"/>
    <w:rsid w:val="00A46249"/>
    <w:rsid w:val="00A464AC"/>
    <w:rsid w:val="00A46530"/>
    <w:rsid w:val="00A467FC"/>
    <w:rsid w:val="00A471E3"/>
    <w:rsid w:val="00A472C8"/>
    <w:rsid w:val="00A50215"/>
    <w:rsid w:val="00A50AEC"/>
    <w:rsid w:val="00A51BFB"/>
    <w:rsid w:val="00A52B1C"/>
    <w:rsid w:val="00A5373D"/>
    <w:rsid w:val="00A53B4F"/>
    <w:rsid w:val="00A5401D"/>
    <w:rsid w:val="00A54AA2"/>
    <w:rsid w:val="00A55516"/>
    <w:rsid w:val="00A55DA2"/>
    <w:rsid w:val="00A55F26"/>
    <w:rsid w:val="00A55F78"/>
    <w:rsid w:val="00A55F83"/>
    <w:rsid w:val="00A56244"/>
    <w:rsid w:val="00A563F3"/>
    <w:rsid w:val="00A56580"/>
    <w:rsid w:val="00A56EE4"/>
    <w:rsid w:val="00A57416"/>
    <w:rsid w:val="00A57601"/>
    <w:rsid w:val="00A57ABA"/>
    <w:rsid w:val="00A60DAA"/>
    <w:rsid w:val="00A6126E"/>
    <w:rsid w:val="00A6152D"/>
    <w:rsid w:val="00A61749"/>
    <w:rsid w:val="00A61890"/>
    <w:rsid w:val="00A619BA"/>
    <w:rsid w:val="00A6229D"/>
    <w:rsid w:val="00A6285E"/>
    <w:rsid w:val="00A62B62"/>
    <w:rsid w:val="00A62C92"/>
    <w:rsid w:val="00A63765"/>
    <w:rsid w:val="00A63BD4"/>
    <w:rsid w:val="00A655C4"/>
    <w:rsid w:val="00A65E21"/>
    <w:rsid w:val="00A66106"/>
    <w:rsid w:val="00A664BA"/>
    <w:rsid w:val="00A668F0"/>
    <w:rsid w:val="00A67839"/>
    <w:rsid w:val="00A67C82"/>
    <w:rsid w:val="00A67E69"/>
    <w:rsid w:val="00A70598"/>
    <w:rsid w:val="00A70E3D"/>
    <w:rsid w:val="00A72CF8"/>
    <w:rsid w:val="00A732D7"/>
    <w:rsid w:val="00A733AE"/>
    <w:rsid w:val="00A735B7"/>
    <w:rsid w:val="00A74397"/>
    <w:rsid w:val="00A743A0"/>
    <w:rsid w:val="00A751AD"/>
    <w:rsid w:val="00A7594B"/>
    <w:rsid w:val="00A75F08"/>
    <w:rsid w:val="00A761F0"/>
    <w:rsid w:val="00A77136"/>
    <w:rsid w:val="00A77631"/>
    <w:rsid w:val="00A77D28"/>
    <w:rsid w:val="00A802FF"/>
    <w:rsid w:val="00A80FDD"/>
    <w:rsid w:val="00A821D2"/>
    <w:rsid w:val="00A82C12"/>
    <w:rsid w:val="00A8305A"/>
    <w:rsid w:val="00A8307A"/>
    <w:rsid w:val="00A83182"/>
    <w:rsid w:val="00A83A3B"/>
    <w:rsid w:val="00A83C57"/>
    <w:rsid w:val="00A84002"/>
    <w:rsid w:val="00A84034"/>
    <w:rsid w:val="00A8440E"/>
    <w:rsid w:val="00A84664"/>
    <w:rsid w:val="00A849B8"/>
    <w:rsid w:val="00A853B3"/>
    <w:rsid w:val="00A8559A"/>
    <w:rsid w:val="00A861BC"/>
    <w:rsid w:val="00A8691C"/>
    <w:rsid w:val="00A86E32"/>
    <w:rsid w:val="00A87315"/>
    <w:rsid w:val="00A87765"/>
    <w:rsid w:val="00A87C13"/>
    <w:rsid w:val="00A87D8F"/>
    <w:rsid w:val="00A90306"/>
    <w:rsid w:val="00A9047A"/>
    <w:rsid w:val="00A90A4C"/>
    <w:rsid w:val="00A91030"/>
    <w:rsid w:val="00A91112"/>
    <w:rsid w:val="00A9161A"/>
    <w:rsid w:val="00A91BB4"/>
    <w:rsid w:val="00A92098"/>
    <w:rsid w:val="00A92CFD"/>
    <w:rsid w:val="00A92E9A"/>
    <w:rsid w:val="00A93183"/>
    <w:rsid w:val="00A93C7B"/>
    <w:rsid w:val="00A941E4"/>
    <w:rsid w:val="00A94E83"/>
    <w:rsid w:val="00A95F96"/>
    <w:rsid w:val="00A96324"/>
    <w:rsid w:val="00A96560"/>
    <w:rsid w:val="00A967C4"/>
    <w:rsid w:val="00A96B79"/>
    <w:rsid w:val="00A972BC"/>
    <w:rsid w:val="00A97572"/>
    <w:rsid w:val="00A97E0E"/>
    <w:rsid w:val="00AA048D"/>
    <w:rsid w:val="00AA0A35"/>
    <w:rsid w:val="00AA0AB8"/>
    <w:rsid w:val="00AA16B3"/>
    <w:rsid w:val="00AA170E"/>
    <w:rsid w:val="00AA2B51"/>
    <w:rsid w:val="00AA3BE1"/>
    <w:rsid w:val="00AA431C"/>
    <w:rsid w:val="00AA4394"/>
    <w:rsid w:val="00AA44EE"/>
    <w:rsid w:val="00AA49CC"/>
    <w:rsid w:val="00AA5A33"/>
    <w:rsid w:val="00AA6278"/>
    <w:rsid w:val="00AA6990"/>
    <w:rsid w:val="00AA7356"/>
    <w:rsid w:val="00AA76D2"/>
    <w:rsid w:val="00AB0492"/>
    <w:rsid w:val="00AB11F4"/>
    <w:rsid w:val="00AB1381"/>
    <w:rsid w:val="00AB1D84"/>
    <w:rsid w:val="00AB2018"/>
    <w:rsid w:val="00AB2977"/>
    <w:rsid w:val="00AB2B7C"/>
    <w:rsid w:val="00AB2D4B"/>
    <w:rsid w:val="00AB39D5"/>
    <w:rsid w:val="00AB403D"/>
    <w:rsid w:val="00AB43D6"/>
    <w:rsid w:val="00AB49E2"/>
    <w:rsid w:val="00AB5289"/>
    <w:rsid w:val="00AB5419"/>
    <w:rsid w:val="00AB5B2F"/>
    <w:rsid w:val="00AB5BCA"/>
    <w:rsid w:val="00AB63F9"/>
    <w:rsid w:val="00AB6A7E"/>
    <w:rsid w:val="00AB6D6F"/>
    <w:rsid w:val="00AB73C2"/>
    <w:rsid w:val="00AB74BA"/>
    <w:rsid w:val="00AC0C94"/>
    <w:rsid w:val="00AC0D36"/>
    <w:rsid w:val="00AC0FD7"/>
    <w:rsid w:val="00AC1044"/>
    <w:rsid w:val="00AC1A31"/>
    <w:rsid w:val="00AC1E87"/>
    <w:rsid w:val="00AC21FA"/>
    <w:rsid w:val="00AC3103"/>
    <w:rsid w:val="00AC36D9"/>
    <w:rsid w:val="00AC4385"/>
    <w:rsid w:val="00AC4528"/>
    <w:rsid w:val="00AC4CD9"/>
    <w:rsid w:val="00AC54D8"/>
    <w:rsid w:val="00AC5EED"/>
    <w:rsid w:val="00AC6284"/>
    <w:rsid w:val="00AC657C"/>
    <w:rsid w:val="00AC7EA7"/>
    <w:rsid w:val="00AD0578"/>
    <w:rsid w:val="00AD05E3"/>
    <w:rsid w:val="00AD064C"/>
    <w:rsid w:val="00AD0B46"/>
    <w:rsid w:val="00AD1051"/>
    <w:rsid w:val="00AD1C81"/>
    <w:rsid w:val="00AD201A"/>
    <w:rsid w:val="00AD236F"/>
    <w:rsid w:val="00AD2680"/>
    <w:rsid w:val="00AD2FAE"/>
    <w:rsid w:val="00AD324C"/>
    <w:rsid w:val="00AD37C0"/>
    <w:rsid w:val="00AD4B8C"/>
    <w:rsid w:val="00AD4ECB"/>
    <w:rsid w:val="00AD53D2"/>
    <w:rsid w:val="00AD54A7"/>
    <w:rsid w:val="00AD6395"/>
    <w:rsid w:val="00AD63F6"/>
    <w:rsid w:val="00AD6718"/>
    <w:rsid w:val="00AD6835"/>
    <w:rsid w:val="00AD75E9"/>
    <w:rsid w:val="00AD7792"/>
    <w:rsid w:val="00AE01B9"/>
    <w:rsid w:val="00AE06AA"/>
    <w:rsid w:val="00AE070F"/>
    <w:rsid w:val="00AE0E2E"/>
    <w:rsid w:val="00AE161A"/>
    <w:rsid w:val="00AE1D02"/>
    <w:rsid w:val="00AE1F4D"/>
    <w:rsid w:val="00AE23A7"/>
    <w:rsid w:val="00AE2844"/>
    <w:rsid w:val="00AE2B53"/>
    <w:rsid w:val="00AE2EE7"/>
    <w:rsid w:val="00AE2F01"/>
    <w:rsid w:val="00AE3014"/>
    <w:rsid w:val="00AE351C"/>
    <w:rsid w:val="00AE3600"/>
    <w:rsid w:val="00AE39C1"/>
    <w:rsid w:val="00AE3C8C"/>
    <w:rsid w:val="00AE3F71"/>
    <w:rsid w:val="00AE3F9A"/>
    <w:rsid w:val="00AE45D5"/>
    <w:rsid w:val="00AE4B3F"/>
    <w:rsid w:val="00AE52A5"/>
    <w:rsid w:val="00AE5C20"/>
    <w:rsid w:val="00AE5ECE"/>
    <w:rsid w:val="00AE5F19"/>
    <w:rsid w:val="00AE6723"/>
    <w:rsid w:val="00AE7EFF"/>
    <w:rsid w:val="00AE7FEE"/>
    <w:rsid w:val="00AF02EF"/>
    <w:rsid w:val="00AF085A"/>
    <w:rsid w:val="00AF112E"/>
    <w:rsid w:val="00AF1139"/>
    <w:rsid w:val="00AF125B"/>
    <w:rsid w:val="00AF137C"/>
    <w:rsid w:val="00AF16BF"/>
    <w:rsid w:val="00AF18E1"/>
    <w:rsid w:val="00AF1DA1"/>
    <w:rsid w:val="00AF2C2C"/>
    <w:rsid w:val="00AF2FD0"/>
    <w:rsid w:val="00AF3062"/>
    <w:rsid w:val="00AF35C9"/>
    <w:rsid w:val="00AF3C2B"/>
    <w:rsid w:val="00AF3EAC"/>
    <w:rsid w:val="00AF4075"/>
    <w:rsid w:val="00AF426B"/>
    <w:rsid w:val="00AF43A5"/>
    <w:rsid w:val="00AF46A9"/>
    <w:rsid w:val="00AF47F9"/>
    <w:rsid w:val="00AF5041"/>
    <w:rsid w:val="00AF5242"/>
    <w:rsid w:val="00AF538C"/>
    <w:rsid w:val="00B000CC"/>
    <w:rsid w:val="00B0065F"/>
    <w:rsid w:val="00B00ACF"/>
    <w:rsid w:val="00B01548"/>
    <w:rsid w:val="00B015AD"/>
    <w:rsid w:val="00B01A91"/>
    <w:rsid w:val="00B0311C"/>
    <w:rsid w:val="00B032BB"/>
    <w:rsid w:val="00B0334D"/>
    <w:rsid w:val="00B03994"/>
    <w:rsid w:val="00B04972"/>
    <w:rsid w:val="00B04E6B"/>
    <w:rsid w:val="00B05729"/>
    <w:rsid w:val="00B06179"/>
    <w:rsid w:val="00B06910"/>
    <w:rsid w:val="00B06B57"/>
    <w:rsid w:val="00B06C0F"/>
    <w:rsid w:val="00B06D46"/>
    <w:rsid w:val="00B06FA9"/>
    <w:rsid w:val="00B075B6"/>
    <w:rsid w:val="00B075BA"/>
    <w:rsid w:val="00B07669"/>
    <w:rsid w:val="00B07E14"/>
    <w:rsid w:val="00B10085"/>
    <w:rsid w:val="00B1094E"/>
    <w:rsid w:val="00B10BA8"/>
    <w:rsid w:val="00B10D15"/>
    <w:rsid w:val="00B1101C"/>
    <w:rsid w:val="00B11032"/>
    <w:rsid w:val="00B112E8"/>
    <w:rsid w:val="00B11328"/>
    <w:rsid w:val="00B11689"/>
    <w:rsid w:val="00B11A67"/>
    <w:rsid w:val="00B11B1A"/>
    <w:rsid w:val="00B12697"/>
    <w:rsid w:val="00B1272D"/>
    <w:rsid w:val="00B128E1"/>
    <w:rsid w:val="00B131D8"/>
    <w:rsid w:val="00B13372"/>
    <w:rsid w:val="00B1392D"/>
    <w:rsid w:val="00B143A6"/>
    <w:rsid w:val="00B14B21"/>
    <w:rsid w:val="00B156CA"/>
    <w:rsid w:val="00B16231"/>
    <w:rsid w:val="00B16642"/>
    <w:rsid w:val="00B1708A"/>
    <w:rsid w:val="00B17A87"/>
    <w:rsid w:val="00B20A23"/>
    <w:rsid w:val="00B21430"/>
    <w:rsid w:val="00B21441"/>
    <w:rsid w:val="00B21C61"/>
    <w:rsid w:val="00B21D4B"/>
    <w:rsid w:val="00B22903"/>
    <w:rsid w:val="00B2291D"/>
    <w:rsid w:val="00B24029"/>
    <w:rsid w:val="00B2449B"/>
    <w:rsid w:val="00B245F8"/>
    <w:rsid w:val="00B24988"/>
    <w:rsid w:val="00B2499C"/>
    <w:rsid w:val="00B251AD"/>
    <w:rsid w:val="00B25528"/>
    <w:rsid w:val="00B25FCC"/>
    <w:rsid w:val="00B26AB2"/>
    <w:rsid w:val="00B27620"/>
    <w:rsid w:val="00B3026C"/>
    <w:rsid w:val="00B3045D"/>
    <w:rsid w:val="00B30933"/>
    <w:rsid w:val="00B317DE"/>
    <w:rsid w:val="00B31D16"/>
    <w:rsid w:val="00B32150"/>
    <w:rsid w:val="00B32271"/>
    <w:rsid w:val="00B32414"/>
    <w:rsid w:val="00B32DD4"/>
    <w:rsid w:val="00B33954"/>
    <w:rsid w:val="00B339C2"/>
    <w:rsid w:val="00B33BA0"/>
    <w:rsid w:val="00B33C65"/>
    <w:rsid w:val="00B347E6"/>
    <w:rsid w:val="00B349C7"/>
    <w:rsid w:val="00B34EDD"/>
    <w:rsid w:val="00B361CA"/>
    <w:rsid w:val="00B364D5"/>
    <w:rsid w:val="00B36CA5"/>
    <w:rsid w:val="00B370A2"/>
    <w:rsid w:val="00B3753E"/>
    <w:rsid w:val="00B37D07"/>
    <w:rsid w:val="00B403BD"/>
    <w:rsid w:val="00B40CAC"/>
    <w:rsid w:val="00B4135D"/>
    <w:rsid w:val="00B414DB"/>
    <w:rsid w:val="00B417A0"/>
    <w:rsid w:val="00B417F6"/>
    <w:rsid w:val="00B41947"/>
    <w:rsid w:val="00B41C24"/>
    <w:rsid w:val="00B41EBA"/>
    <w:rsid w:val="00B424D6"/>
    <w:rsid w:val="00B42C59"/>
    <w:rsid w:val="00B42D89"/>
    <w:rsid w:val="00B42DD2"/>
    <w:rsid w:val="00B42F79"/>
    <w:rsid w:val="00B43786"/>
    <w:rsid w:val="00B4396A"/>
    <w:rsid w:val="00B43A82"/>
    <w:rsid w:val="00B43E90"/>
    <w:rsid w:val="00B4407F"/>
    <w:rsid w:val="00B44C85"/>
    <w:rsid w:val="00B44CAE"/>
    <w:rsid w:val="00B45F74"/>
    <w:rsid w:val="00B4621F"/>
    <w:rsid w:val="00B463AE"/>
    <w:rsid w:val="00B46D1C"/>
    <w:rsid w:val="00B47425"/>
    <w:rsid w:val="00B478CF"/>
    <w:rsid w:val="00B50422"/>
    <w:rsid w:val="00B50638"/>
    <w:rsid w:val="00B506A6"/>
    <w:rsid w:val="00B506D8"/>
    <w:rsid w:val="00B50737"/>
    <w:rsid w:val="00B509FB"/>
    <w:rsid w:val="00B50BE4"/>
    <w:rsid w:val="00B50D54"/>
    <w:rsid w:val="00B51065"/>
    <w:rsid w:val="00B5160F"/>
    <w:rsid w:val="00B5169E"/>
    <w:rsid w:val="00B516C8"/>
    <w:rsid w:val="00B523E2"/>
    <w:rsid w:val="00B524B8"/>
    <w:rsid w:val="00B53476"/>
    <w:rsid w:val="00B53A43"/>
    <w:rsid w:val="00B53F13"/>
    <w:rsid w:val="00B54D5A"/>
    <w:rsid w:val="00B57B16"/>
    <w:rsid w:val="00B57D70"/>
    <w:rsid w:val="00B607C9"/>
    <w:rsid w:val="00B608E5"/>
    <w:rsid w:val="00B621B7"/>
    <w:rsid w:val="00B62D94"/>
    <w:rsid w:val="00B6320C"/>
    <w:rsid w:val="00B63507"/>
    <w:rsid w:val="00B6359A"/>
    <w:rsid w:val="00B6389A"/>
    <w:rsid w:val="00B64BAC"/>
    <w:rsid w:val="00B6541A"/>
    <w:rsid w:val="00B6596F"/>
    <w:rsid w:val="00B65AE9"/>
    <w:rsid w:val="00B6679B"/>
    <w:rsid w:val="00B66E2B"/>
    <w:rsid w:val="00B66E66"/>
    <w:rsid w:val="00B67012"/>
    <w:rsid w:val="00B67475"/>
    <w:rsid w:val="00B7041D"/>
    <w:rsid w:val="00B70CD1"/>
    <w:rsid w:val="00B711BB"/>
    <w:rsid w:val="00B71F4F"/>
    <w:rsid w:val="00B72238"/>
    <w:rsid w:val="00B72B77"/>
    <w:rsid w:val="00B72BE5"/>
    <w:rsid w:val="00B72BF7"/>
    <w:rsid w:val="00B72D67"/>
    <w:rsid w:val="00B73622"/>
    <w:rsid w:val="00B7395E"/>
    <w:rsid w:val="00B751A3"/>
    <w:rsid w:val="00B764F6"/>
    <w:rsid w:val="00B76526"/>
    <w:rsid w:val="00B76DE7"/>
    <w:rsid w:val="00B770B0"/>
    <w:rsid w:val="00B77A2B"/>
    <w:rsid w:val="00B77A97"/>
    <w:rsid w:val="00B77B27"/>
    <w:rsid w:val="00B77DFE"/>
    <w:rsid w:val="00B77E10"/>
    <w:rsid w:val="00B804CD"/>
    <w:rsid w:val="00B81D22"/>
    <w:rsid w:val="00B821A1"/>
    <w:rsid w:val="00B82246"/>
    <w:rsid w:val="00B829EC"/>
    <w:rsid w:val="00B82D52"/>
    <w:rsid w:val="00B83359"/>
    <w:rsid w:val="00B83B80"/>
    <w:rsid w:val="00B83C34"/>
    <w:rsid w:val="00B83D0D"/>
    <w:rsid w:val="00B8425E"/>
    <w:rsid w:val="00B85AFA"/>
    <w:rsid w:val="00B85D39"/>
    <w:rsid w:val="00B86905"/>
    <w:rsid w:val="00B86BAB"/>
    <w:rsid w:val="00B874C1"/>
    <w:rsid w:val="00B90C1E"/>
    <w:rsid w:val="00B90E84"/>
    <w:rsid w:val="00B913AA"/>
    <w:rsid w:val="00B924D1"/>
    <w:rsid w:val="00B92F89"/>
    <w:rsid w:val="00B939BD"/>
    <w:rsid w:val="00B94B74"/>
    <w:rsid w:val="00B94E4B"/>
    <w:rsid w:val="00B96A9C"/>
    <w:rsid w:val="00B96CA2"/>
    <w:rsid w:val="00B9720B"/>
    <w:rsid w:val="00B976E7"/>
    <w:rsid w:val="00B97E20"/>
    <w:rsid w:val="00BA1BC8"/>
    <w:rsid w:val="00BA1F4E"/>
    <w:rsid w:val="00BA2095"/>
    <w:rsid w:val="00BA27AB"/>
    <w:rsid w:val="00BA2A1A"/>
    <w:rsid w:val="00BA2B25"/>
    <w:rsid w:val="00BA2E51"/>
    <w:rsid w:val="00BA2E82"/>
    <w:rsid w:val="00BA3133"/>
    <w:rsid w:val="00BA3AFC"/>
    <w:rsid w:val="00BA3CC1"/>
    <w:rsid w:val="00BA4B2F"/>
    <w:rsid w:val="00BA508D"/>
    <w:rsid w:val="00BA5166"/>
    <w:rsid w:val="00BA6507"/>
    <w:rsid w:val="00BA6C14"/>
    <w:rsid w:val="00BA6EC2"/>
    <w:rsid w:val="00BA70A4"/>
    <w:rsid w:val="00BA7A52"/>
    <w:rsid w:val="00BB0559"/>
    <w:rsid w:val="00BB0A73"/>
    <w:rsid w:val="00BB0A74"/>
    <w:rsid w:val="00BB1318"/>
    <w:rsid w:val="00BB1FBD"/>
    <w:rsid w:val="00BB2468"/>
    <w:rsid w:val="00BB3344"/>
    <w:rsid w:val="00BB399B"/>
    <w:rsid w:val="00BB410A"/>
    <w:rsid w:val="00BB429B"/>
    <w:rsid w:val="00BB46B6"/>
    <w:rsid w:val="00BB4EFA"/>
    <w:rsid w:val="00BB507C"/>
    <w:rsid w:val="00BB51E3"/>
    <w:rsid w:val="00BB538D"/>
    <w:rsid w:val="00BB548C"/>
    <w:rsid w:val="00BB5A21"/>
    <w:rsid w:val="00BB60F3"/>
    <w:rsid w:val="00BB65F3"/>
    <w:rsid w:val="00BB678F"/>
    <w:rsid w:val="00BB7E7E"/>
    <w:rsid w:val="00BB7F16"/>
    <w:rsid w:val="00BC0018"/>
    <w:rsid w:val="00BC11EE"/>
    <w:rsid w:val="00BC12A8"/>
    <w:rsid w:val="00BC1AF1"/>
    <w:rsid w:val="00BC1F57"/>
    <w:rsid w:val="00BC24D0"/>
    <w:rsid w:val="00BC33A5"/>
    <w:rsid w:val="00BC3766"/>
    <w:rsid w:val="00BC4009"/>
    <w:rsid w:val="00BC4387"/>
    <w:rsid w:val="00BC440B"/>
    <w:rsid w:val="00BC46EF"/>
    <w:rsid w:val="00BC492B"/>
    <w:rsid w:val="00BC53E9"/>
    <w:rsid w:val="00BC5475"/>
    <w:rsid w:val="00BC5D3F"/>
    <w:rsid w:val="00BD0425"/>
    <w:rsid w:val="00BD1892"/>
    <w:rsid w:val="00BD19B6"/>
    <w:rsid w:val="00BD229D"/>
    <w:rsid w:val="00BD2E0F"/>
    <w:rsid w:val="00BD3618"/>
    <w:rsid w:val="00BD396D"/>
    <w:rsid w:val="00BD44EA"/>
    <w:rsid w:val="00BD56AD"/>
    <w:rsid w:val="00BD5C11"/>
    <w:rsid w:val="00BD6522"/>
    <w:rsid w:val="00BD6670"/>
    <w:rsid w:val="00BD744D"/>
    <w:rsid w:val="00BD79FD"/>
    <w:rsid w:val="00BE16AF"/>
    <w:rsid w:val="00BE16D6"/>
    <w:rsid w:val="00BE1CAE"/>
    <w:rsid w:val="00BE1F23"/>
    <w:rsid w:val="00BE2BA9"/>
    <w:rsid w:val="00BE2EEA"/>
    <w:rsid w:val="00BE315A"/>
    <w:rsid w:val="00BE344A"/>
    <w:rsid w:val="00BE3AE9"/>
    <w:rsid w:val="00BE4E59"/>
    <w:rsid w:val="00BE4FD0"/>
    <w:rsid w:val="00BE5999"/>
    <w:rsid w:val="00BE5B56"/>
    <w:rsid w:val="00BE6076"/>
    <w:rsid w:val="00BE6461"/>
    <w:rsid w:val="00BE79E1"/>
    <w:rsid w:val="00BF0582"/>
    <w:rsid w:val="00BF0CA6"/>
    <w:rsid w:val="00BF1526"/>
    <w:rsid w:val="00BF1F61"/>
    <w:rsid w:val="00BF2863"/>
    <w:rsid w:val="00BF28B7"/>
    <w:rsid w:val="00BF2B7E"/>
    <w:rsid w:val="00BF2C73"/>
    <w:rsid w:val="00BF33F5"/>
    <w:rsid w:val="00BF350C"/>
    <w:rsid w:val="00BF3791"/>
    <w:rsid w:val="00BF3B4B"/>
    <w:rsid w:val="00BF400E"/>
    <w:rsid w:val="00BF469C"/>
    <w:rsid w:val="00BF5048"/>
    <w:rsid w:val="00BF5136"/>
    <w:rsid w:val="00BF521D"/>
    <w:rsid w:val="00BF595E"/>
    <w:rsid w:val="00BF5A65"/>
    <w:rsid w:val="00BF63AA"/>
    <w:rsid w:val="00BF63D8"/>
    <w:rsid w:val="00BF65BD"/>
    <w:rsid w:val="00BF71FE"/>
    <w:rsid w:val="00BF73F8"/>
    <w:rsid w:val="00BF7F15"/>
    <w:rsid w:val="00C00286"/>
    <w:rsid w:val="00C005C1"/>
    <w:rsid w:val="00C006B1"/>
    <w:rsid w:val="00C006CF"/>
    <w:rsid w:val="00C00D27"/>
    <w:rsid w:val="00C00DF6"/>
    <w:rsid w:val="00C01D9E"/>
    <w:rsid w:val="00C04110"/>
    <w:rsid w:val="00C05389"/>
    <w:rsid w:val="00C068C5"/>
    <w:rsid w:val="00C0692D"/>
    <w:rsid w:val="00C06FBE"/>
    <w:rsid w:val="00C079B3"/>
    <w:rsid w:val="00C102F6"/>
    <w:rsid w:val="00C10B66"/>
    <w:rsid w:val="00C110F4"/>
    <w:rsid w:val="00C1367F"/>
    <w:rsid w:val="00C13B70"/>
    <w:rsid w:val="00C13E3F"/>
    <w:rsid w:val="00C151D6"/>
    <w:rsid w:val="00C15AC4"/>
    <w:rsid w:val="00C15BAA"/>
    <w:rsid w:val="00C15F5A"/>
    <w:rsid w:val="00C160A9"/>
    <w:rsid w:val="00C162D0"/>
    <w:rsid w:val="00C16773"/>
    <w:rsid w:val="00C16862"/>
    <w:rsid w:val="00C16D8B"/>
    <w:rsid w:val="00C17050"/>
    <w:rsid w:val="00C17187"/>
    <w:rsid w:val="00C177F6"/>
    <w:rsid w:val="00C17EDB"/>
    <w:rsid w:val="00C201A0"/>
    <w:rsid w:val="00C20D9E"/>
    <w:rsid w:val="00C215A5"/>
    <w:rsid w:val="00C21D85"/>
    <w:rsid w:val="00C21ED4"/>
    <w:rsid w:val="00C21FAB"/>
    <w:rsid w:val="00C221B4"/>
    <w:rsid w:val="00C2251F"/>
    <w:rsid w:val="00C2304A"/>
    <w:rsid w:val="00C230E4"/>
    <w:rsid w:val="00C23336"/>
    <w:rsid w:val="00C23B36"/>
    <w:rsid w:val="00C23DC4"/>
    <w:rsid w:val="00C245E0"/>
    <w:rsid w:val="00C247AF"/>
    <w:rsid w:val="00C25219"/>
    <w:rsid w:val="00C25319"/>
    <w:rsid w:val="00C25560"/>
    <w:rsid w:val="00C25C96"/>
    <w:rsid w:val="00C2655F"/>
    <w:rsid w:val="00C26B76"/>
    <w:rsid w:val="00C27CB6"/>
    <w:rsid w:val="00C31763"/>
    <w:rsid w:val="00C3230B"/>
    <w:rsid w:val="00C32A64"/>
    <w:rsid w:val="00C32B38"/>
    <w:rsid w:val="00C330CA"/>
    <w:rsid w:val="00C33B7B"/>
    <w:rsid w:val="00C34473"/>
    <w:rsid w:val="00C34DD5"/>
    <w:rsid w:val="00C3512E"/>
    <w:rsid w:val="00C3535F"/>
    <w:rsid w:val="00C354F7"/>
    <w:rsid w:val="00C35DDA"/>
    <w:rsid w:val="00C367D1"/>
    <w:rsid w:val="00C36A37"/>
    <w:rsid w:val="00C374FF"/>
    <w:rsid w:val="00C40255"/>
    <w:rsid w:val="00C40318"/>
    <w:rsid w:val="00C40374"/>
    <w:rsid w:val="00C403FD"/>
    <w:rsid w:val="00C407EB"/>
    <w:rsid w:val="00C40823"/>
    <w:rsid w:val="00C40CAE"/>
    <w:rsid w:val="00C40F59"/>
    <w:rsid w:val="00C4240F"/>
    <w:rsid w:val="00C425A2"/>
    <w:rsid w:val="00C425E7"/>
    <w:rsid w:val="00C42918"/>
    <w:rsid w:val="00C43379"/>
    <w:rsid w:val="00C44125"/>
    <w:rsid w:val="00C44311"/>
    <w:rsid w:val="00C4479C"/>
    <w:rsid w:val="00C447B0"/>
    <w:rsid w:val="00C465BA"/>
    <w:rsid w:val="00C46600"/>
    <w:rsid w:val="00C468A2"/>
    <w:rsid w:val="00C47A48"/>
    <w:rsid w:val="00C47AD8"/>
    <w:rsid w:val="00C47FD8"/>
    <w:rsid w:val="00C50502"/>
    <w:rsid w:val="00C51B3B"/>
    <w:rsid w:val="00C51FFC"/>
    <w:rsid w:val="00C5208C"/>
    <w:rsid w:val="00C5252D"/>
    <w:rsid w:val="00C52F47"/>
    <w:rsid w:val="00C54322"/>
    <w:rsid w:val="00C54491"/>
    <w:rsid w:val="00C553DE"/>
    <w:rsid w:val="00C5595A"/>
    <w:rsid w:val="00C55B73"/>
    <w:rsid w:val="00C56AA7"/>
    <w:rsid w:val="00C56E06"/>
    <w:rsid w:val="00C56E7E"/>
    <w:rsid w:val="00C56EAB"/>
    <w:rsid w:val="00C572E8"/>
    <w:rsid w:val="00C57E58"/>
    <w:rsid w:val="00C605FD"/>
    <w:rsid w:val="00C60BB7"/>
    <w:rsid w:val="00C60E75"/>
    <w:rsid w:val="00C6194E"/>
    <w:rsid w:val="00C61EFF"/>
    <w:rsid w:val="00C623B9"/>
    <w:rsid w:val="00C62851"/>
    <w:rsid w:val="00C6288F"/>
    <w:rsid w:val="00C63A61"/>
    <w:rsid w:val="00C63C79"/>
    <w:rsid w:val="00C64DED"/>
    <w:rsid w:val="00C64E5B"/>
    <w:rsid w:val="00C64FE1"/>
    <w:rsid w:val="00C65A89"/>
    <w:rsid w:val="00C67049"/>
    <w:rsid w:val="00C67768"/>
    <w:rsid w:val="00C67CF0"/>
    <w:rsid w:val="00C7008D"/>
    <w:rsid w:val="00C711B2"/>
    <w:rsid w:val="00C713C4"/>
    <w:rsid w:val="00C714BD"/>
    <w:rsid w:val="00C71E47"/>
    <w:rsid w:val="00C7440C"/>
    <w:rsid w:val="00C74816"/>
    <w:rsid w:val="00C7494F"/>
    <w:rsid w:val="00C74B2B"/>
    <w:rsid w:val="00C74C95"/>
    <w:rsid w:val="00C7609E"/>
    <w:rsid w:val="00C76206"/>
    <w:rsid w:val="00C76480"/>
    <w:rsid w:val="00C76508"/>
    <w:rsid w:val="00C77570"/>
    <w:rsid w:val="00C77840"/>
    <w:rsid w:val="00C77893"/>
    <w:rsid w:val="00C800F1"/>
    <w:rsid w:val="00C80243"/>
    <w:rsid w:val="00C802DD"/>
    <w:rsid w:val="00C80484"/>
    <w:rsid w:val="00C805B5"/>
    <w:rsid w:val="00C80828"/>
    <w:rsid w:val="00C80C91"/>
    <w:rsid w:val="00C81A51"/>
    <w:rsid w:val="00C81AE3"/>
    <w:rsid w:val="00C81CED"/>
    <w:rsid w:val="00C82382"/>
    <w:rsid w:val="00C8247A"/>
    <w:rsid w:val="00C8356E"/>
    <w:rsid w:val="00C83655"/>
    <w:rsid w:val="00C83902"/>
    <w:rsid w:val="00C84017"/>
    <w:rsid w:val="00C8427E"/>
    <w:rsid w:val="00C8432B"/>
    <w:rsid w:val="00C844BB"/>
    <w:rsid w:val="00C84559"/>
    <w:rsid w:val="00C84749"/>
    <w:rsid w:val="00C84BB9"/>
    <w:rsid w:val="00C84D65"/>
    <w:rsid w:val="00C85BF3"/>
    <w:rsid w:val="00C860C6"/>
    <w:rsid w:val="00C862A7"/>
    <w:rsid w:val="00C862E4"/>
    <w:rsid w:val="00C8648F"/>
    <w:rsid w:val="00C8681C"/>
    <w:rsid w:val="00C869F4"/>
    <w:rsid w:val="00C874F6"/>
    <w:rsid w:val="00C87848"/>
    <w:rsid w:val="00C9021D"/>
    <w:rsid w:val="00C9133C"/>
    <w:rsid w:val="00C91D5A"/>
    <w:rsid w:val="00C91F5E"/>
    <w:rsid w:val="00C92032"/>
    <w:rsid w:val="00C9261A"/>
    <w:rsid w:val="00C9270B"/>
    <w:rsid w:val="00C9279A"/>
    <w:rsid w:val="00C931FE"/>
    <w:rsid w:val="00C9327A"/>
    <w:rsid w:val="00C93301"/>
    <w:rsid w:val="00C93360"/>
    <w:rsid w:val="00C93924"/>
    <w:rsid w:val="00C93D0F"/>
    <w:rsid w:val="00C94197"/>
    <w:rsid w:val="00C9470F"/>
    <w:rsid w:val="00C94EFE"/>
    <w:rsid w:val="00C95F93"/>
    <w:rsid w:val="00C95FB6"/>
    <w:rsid w:val="00C971FC"/>
    <w:rsid w:val="00C9724C"/>
    <w:rsid w:val="00C972A5"/>
    <w:rsid w:val="00C975E5"/>
    <w:rsid w:val="00C97690"/>
    <w:rsid w:val="00C97B78"/>
    <w:rsid w:val="00C97F8C"/>
    <w:rsid w:val="00C97FDB"/>
    <w:rsid w:val="00CA006A"/>
    <w:rsid w:val="00CA0346"/>
    <w:rsid w:val="00CA09B6"/>
    <w:rsid w:val="00CA1674"/>
    <w:rsid w:val="00CA18E2"/>
    <w:rsid w:val="00CA25FB"/>
    <w:rsid w:val="00CA34E1"/>
    <w:rsid w:val="00CA5BAA"/>
    <w:rsid w:val="00CA7101"/>
    <w:rsid w:val="00CA767C"/>
    <w:rsid w:val="00CA7C19"/>
    <w:rsid w:val="00CB0224"/>
    <w:rsid w:val="00CB0509"/>
    <w:rsid w:val="00CB0653"/>
    <w:rsid w:val="00CB0DA9"/>
    <w:rsid w:val="00CB1A3D"/>
    <w:rsid w:val="00CB1B14"/>
    <w:rsid w:val="00CB1CB5"/>
    <w:rsid w:val="00CB1DF1"/>
    <w:rsid w:val="00CB2241"/>
    <w:rsid w:val="00CB24CF"/>
    <w:rsid w:val="00CB2F74"/>
    <w:rsid w:val="00CB4150"/>
    <w:rsid w:val="00CB46EA"/>
    <w:rsid w:val="00CB4723"/>
    <w:rsid w:val="00CB4E32"/>
    <w:rsid w:val="00CB548E"/>
    <w:rsid w:val="00CB5911"/>
    <w:rsid w:val="00CB605E"/>
    <w:rsid w:val="00CB6222"/>
    <w:rsid w:val="00CB627D"/>
    <w:rsid w:val="00CB66FE"/>
    <w:rsid w:val="00CB6FF1"/>
    <w:rsid w:val="00CB70D5"/>
    <w:rsid w:val="00CC0242"/>
    <w:rsid w:val="00CC039C"/>
    <w:rsid w:val="00CC0679"/>
    <w:rsid w:val="00CC097A"/>
    <w:rsid w:val="00CC099F"/>
    <w:rsid w:val="00CC155E"/>
    <w:rsid w:val="00CC1B9C"/>
    <w:rsid w:val="00CC21FA"/>
    <w:rsid w:val="00CC2301"/>
    <w:rsid w:val="00CC242E"/>
    <w:rsid w:val="00CC24DB"/>
    <w:rsid w:val="00CC3259"/>
    <w:rsid w:val="00CC3440"/>
    <w:rsid w:val="00CC38E4"/>
    <w:rsid w:val="00CC3BF1"/>
    <w:rsid w:val="00CC3BFD"/>
    <w:rsid w:val="00CC3D70"/>
    <w:rsid w:val="00CC3D7E"/>
    <w:rsid w:val="00CC4F02"/>
    <w:rsid w:val="00CC5047"/>
    <w:rsid w:val="00CC5296"/>
    <w:rsid w:val="00CC58DB"/>
    <w:rsid w:val="00CC5CE2"/>
    <w:rsid w:val="00CC64E0"/>
    <w:rsid w:val="00CC67A3"/>
    <w:rsid w:val="00CC72DE"/>
    <w:rsid w:val="00CC72FA"/>
    <w:rsid w:val="00CC7D20"/>
    <w:rsid w:val="00CD0726"/>
    <w:rsid w:val="00CD116B"/>
    <w:rsid w:val="00CD1392"/>
    <w:rsid w:val="00CD265C"/>
    <w:rsid w:val="00CD30DA"/>
    <w:rsid w:val="00CD3747"/>
    <w:rsid w:val="00CD3FED"/>
    <w:rsid w:val="00CD42D1"/>
    <w:rsid w:val="00CD4721"/>
    <w:rsid w:val="00CD4A86"/>
    <w:rsid w:val="00CD4D9D"/>
    <w:rsid w:val="00CD50AA"/>
    <w:rsid w:val="00CD5460"/>
    <w:rsid w:val="00CD55FD"/>
    <w:rsid w:val="00CD5A64"/>
    <w:rsid w:val="00CD5D2B"/>
    <w:rsid w:val="00CD64D3"/>
    <w:rsid w:val="00CD6FC1"/>
    <w:rsid w:val="00CD793C"/>
    <w:rsid w:val="00CD7A28"/>
    <w:rsid w:val="00CD7C57"/>
    <w:rsid w:val="00CE017C"/>
    <w:rsid w:val="00CE05E6"/>
    <w:rsid w:val="00CE0C33"/>
    <w:rsid w:val="00CE1933"/>
    <w:rsid w:val="00CE1F6B"/>
    <w:rsid w:val="00CE248F"/>
    <w:rsid w:val="00CE2822"/>
    <w:rsid w:val="00CE2BE5"/>
    <w:rsid w:val="00CE35CA"/>
    <w:rsid w:val="00CE4066"/>
    <w:rsid w:val="00CE4078"/>
    <w:rsid w:val="00CE4798"/>
    <w:rsid w:val="00CE4B64"/>
    <w:rsid w:val="00CE4FDA"/>
    <w:rsid w:val="00CE5283"/>
    <w:rsid w:val="00CE5B63"/>
    <w:rsid w:val="00CE5C66"/>
    <w:rsid w:val="00CE5F39"/>
    <w:rsid w:val="00CE6327"/>
    <w:rsid w:val="00CE6990"/>
    <w:rsid w:val="00CE6AF5"/>
    <w:rsid w:val="00CE6CA5"/>
    <w:rsid w:val="00CE7262"/>
    <w:rsid w:val="00CE7385"/>
    <w:rsid w:val="00CE7E0B"/>
    <w:rsid w:val="00CF00FA"/>
    <w:rsid w:val="00CF0819"/>
    <w:rsid w:val="00CF14AF"/>
    <w:rsid w:val="00CF178A"/>
    <w:rsid w:val="00CF1D85"/>
    <w:rsid w:val="00CF1DF0"/>
    <w:rsid w:val="00CF2ABB"/>
    <w:rsid w:val="00CF4713"/>
    <w:rsid w:val="00CF4825"/>
    <w:rsid w:val="00CF5228"/>
    <w:rsid w:val="00CF5288"/>
    <w:rsid w:val="00CF5942"/>
    <w:rsid w:val="00CF595E"/>
    <w:rsid w:val="00CF6024"/>
    <w:rsid w:val="00CF7C8F"/>
    <w:rsid w:val="00CF7FFB"/>
    <w:rsid w:val="00D0004B"/>
    <w:rsid w:val="00D00562"/>
    <w:rsid w:val="00D00BE7"/>
    <w:rsid w:val="00D00CCD"/>
    <w:rsid w:val="00D012FB"/>
    <w:rsid w:val="00D01765"/>
    <w:rsid w:val="00D0208B"/>
    <w:rsid w:val="00D02710"/>
    <w:rsid w:val="00D03CF2"/>
    <w:rsid w:val="00D04B9B"/>
    <w:rsid w:val="00D054B0"/>
    <w:rsid w:val="00D069C6"/>
    <w:rsid w:val="00D06E72"/>
    <w:rsid w:val="00D075A6"/>
    <w:rsid w:val="00D076B7"/>
    <w:rsid w:val="00D07F84"/>
    <w:rsid w:val="00D1095A"/>
    <w:rsid w:val="00D112E9"/>
    <w:rsid w:val="00D11750"/>
    <w:rsid w:val="00D12030"/>
    <w:rsid w:val="00D1404D"/>
    <w:rsid w:val="00D1458B"/>
    <w:rsid w:val="00D1484C"/>
    <w:rsid w:val="00D14C97"/>
    <w:rsid w:val="00D14D13"/>
    <w:rsid w:val="00D14D3E"/>
    <w:rsid w:val="00D151F4"/>
    <w:rsid w:val="00D15C39"/>
    <w:rsid w:val="00D162FC"/>
    <w:rsid w:val="00D163E1"/>
    <w:rsid w:val="00D16427"/>
    <w:rsid w:val="00D1663D"/>
    <w:rsid w:val="00D16DE0"/>
    <w:rsid w:val="00D179B0"/>
    <w:rsid w:val="00D2077C"/>
    <w:rsid w:val="00D20EC1"/>
    <w:rsid w:val="00D21738"/>
    <w:rsid w:val="00D21FCE"/>
    <w:rsid w:val="00D2265E"/>
    <w:rsid w:val="00D226EF"/>
    <w:rsid w:val="00D233AD"/>
    <w:rsid w:val="00D23543"/>
    <w:rsid w:val="00D2377F"/>
    <w:rsid w:val="00D24146"/>
    <w:rsid w:val="00D24602"/>
    <w:rsid w:val="00D25DCF"/>
    <w:rsid w:val="00D264CF"/>
    <w:rsid w:val="00D267FD"/>
    <w:rsid w:val="00D2707D"/>
    <w:rsid w:val="00D2728B"/>
    <w:rsid w:val="00D279C3"/>
    <w:rsid w:val="00D27DCA"/>
    <w:rsid w:val="00D27E0E"/>
    <w:rsid w:val="00D307BD"/>
    <w:rsid w:val="00D30BA4"/>
    <w:rsid w:val="00D30E68"/>
    <w:rsid w:val="00D30F6C"/>
    <w:rsid w:val="00D32306"/>
    <w:rsid w:val="00D32338"/>
    <w:rsid w:val="00D32696"/>
    <w:rsid w:val="00D32C81"/>
    <w:rsid w:val="00D32E83"/>
    <w:rsid w:val="00D32E94"/>
    <w:rsid w:val="00D33641"/>
    <w:rsid w:val="00D339B9"/>
    <w:rsid w:val="00D33C10"/>
    <w:rsid w:val="00D354D0"/>
    <w:rsid w:val="00D3553D"/>
    <w:rsid w:val="00D35603"/>
    <w:rsid w:val="00D36885"/>
    <w:rsid w:val="00D3688D"/>
    <w:rsid w:val="00D36A6B"/>
    <w:rsid w:val="00D36F1E"/>
    <w:rsid w:val="00D37F91"/>
    <w:rsid w:val="00D406F4"/>
    <w:rsid w:val="00D40707"/>
    <w:rsid w:val="00D40A1D"/>
    <w:rsid w:val="00D4145A"/>
    <w:rsid w:val="00D42B72"/>
    <w:rsid w:val="00D431E1"/>
    <w:rsid w:val="00D43FA3"/>
    <w:rsid w:val="00D4421F"/>
    <w:rsid w:val="00D461BF"/>
    <w:rsid w:val="00D46322"/>
    <w:rsid w:val="00D467E5"/>
    <w:rsid w:val="00D46FE8"/>
    <w:rsid w:val="00D474C7"/>
    <w:rsid w:val="00D47955"/>
    <w:rsid w:val="00D47C04"/>
    <w:rsid w:val="00D50DBE"/>
    <w:rsid w:val="00D51B99"/>
    <w:rsid w:val="00D52A89"/>
    <w:rsid w:val="00D537F1"/>
    <w:rsid w:val="00D5502B"/>
    <w:rsid w:val="00D553C5"/>
    <w:rsid w:val="00D556C2"/>
    <w:rsid w:val="00D5606D"/>
    <w:rsid w:val="00D56BA0"/>
    <w:rsid w:val="00D57078"/>
    <w:rsid w:val="00D57128"/>
    <w:rsid w:val="00D572EB"/>
    <w:rsid w:val="00D57580"/>
    <w:rsid w:val="00D57743"/>
    <w:rsid w:val="00D57F59"/>
    <w:rsid w:val="00D60288"/>
    <w:rsid w:val="00D60F18"/>
    <w:rsid w:val="00D61481"/>
    <w:rsid w:val="00D614D6"/>
    <w:rsid w:val="00D62217"/>
    <w:rsid w:val="00D624EA"/>
    <w:rsid w:val="00D629B0"/>
    <w:rsid w:val="00D6313A"/>
    <w:rsid w:val="00D6330A"/>
    <w:rsid w:val="00D63B82"/>
    <w:rsid w:val="00D63E12"/>
    <w:rsid w:val="00D642AC"/>
    <w:rsid w:val="00D64A4C"/>
    <w:rsid w:val="00D64CC7"/>
    <w:rsid w:val="00D64E07"/>
    <w:rsid w:val="00D64E92"/>
    <w:rsid w:val="00D6551D"/>
    <w:rsid w:val="00D658AF"/>
    <w:rsid w:val="00D6699F"/>
    <w:rsid w:val="00D66F26"/>
    <w:rsid w:val="00D672BE"/>
    <w:rsid w:val="00D67A0D"/>
    <w:rsid w:val="00D70EE1"/>
    <w:rsid w:val="00D718DC"/>
    <w:rsid w:val="00D71C57"/>
    <w:rsid w:val="00D71CE4"/>
    <w:rsid w:val="00D71EF3"/>
    <w:rsid w:val="00D72111"/>
    <w:rsid w:val="00D725DB"/>
    <w:rsid w:val="00D7287D"/>
    <w:rsid w:val="00D72D93"/>
    <w:rsid w:val="00D73652"/>
    <w:rsid w:val="00D73B89"/>
    <w:rsid w:val="00D74AFD"/>
    <w:rsid w:val="00D74D5C"/>
    <w:rsid w:val="00D755CA"/>
    <w:rsid w:val="00D7560B"/>
    <w:rsid w:val="00D75DA7"/>
    <w:rsid w:val="00D75E7D"/>
    <w:rsid w:val="00D75ECB"/>
    <w:rsid w:val="00D760F0"/>
    <w:rsid w:val="00D76318"/>
    <w:rsid w:val="00D76715"/>
    <w:rsid w:val="00D767CB"/>
    <w:rsid w:val="00D76AE4"/>
    <w:rsid w:val="00D77149"/>
    <w:rsid w:val="00D77803"/>
    <w:rsid w:val="00D80021"/>
    <w:rsid w:val="00D80D2F"/>
    <w:rsid w:val="00D80D82"/>
    <w:rsid w:val="00D810C4"/>
    <w:rsid w:val="00D825C3"/>
    <w:rsid w:val="00D82AA9"/>
    <w:rsid w:val="00D82F36"/>
    <w:rsid w:val="00D83029"/>
    <w:rsid w:val="00D830E6"/>
    <w:rsid w:val="00D838D7"/>
    <w:rsid w:val="00D841FC"/>
    <w:rsid w:val="00D844C6"/>
    <w:rsid w:val="00D8486A"/>
    <w:rsid w:val="00D8496C"/>
    <w:rsid w:val="00D84ACB"/>
    <w:rsid w:val="00D84E72"/>
    <w:rsid w:val="00D8517E"/>
    <w:rsid w:val="00D85347"/>
    <w:rsid w:val="00D859B1"/>
    <w:rsid w:val="00D85CA1"/>
    <w:rsid w:val="00D862E1"/>
    <w:rsid w:val="00D863F0"/>
    <w:rsid w:val="00D86560"/>
    <w:rsid w:val="00D867D6"/>
    <w:rsid w:val="00D8680F"/>
    <w:rsid w:val="00D86C74"/>
    <w:rsid w:val="00D875F0"/>
    <w:rsid w:val="00D8761F"/>
    <w:rsid w:val="00D901BC"/>
    <w:rsid w:val="00D909B2"/>
    <w:rsid w:val="00D90EF5"/>
    <w:rsid w:val="00D912A2"/>
    <w:rsid w:val="00D938F8"/>
    <w:rsid w:val="00D942A6"/>
    <w:rsid w:val="00D948FF"/>
    <w:rsid w:val="00D949F7"/>
    <w:rsid w:val="00D94AF0"/>
    <w:rsid w:val="00D95F02"/>
    <w:rsid w:val="00D95F9E"/>
    <w:rsid w:val="00D960EB"/>
    <w:rsid w:val="00D964B9"/>
    <w:rsid w:val="00D965DE"/>
    <w:rsid w:val="00D976A2"/>
    <w:rsid w:val="00D97A41"/>
    <w:rsid w:val="00D97CF9"/>
    <w:rsid w:val="00DA0264"/>
    <w:rsid w:val="00DA02EF"/>
    <w:rsid w:val="00DA25D0"/>
    <w:rsid w:val="00DA25FA"/>
    <w:rsid w:val="00DA269D"/>
    <w:rsid w:val="00DA2E43"/>
    <w:rsid w:val="00DA329C"/>
    <w:rsid w:val="00DA32BD"/>
    <w:rsid w:val="00DA32E0"/>
    <w:rsid w:val="00DA36B0"/>
    <w:rsid w:val="00DA39A4"/>
    <w:rsid w:val="00DA443E"/>
    <w:rsid w:val="00DA4F28"/>
    <w:rsid w:val="00DA5828"/>
    <w:rsid w:val="00DA582B"/>
    <w:rsid w:val="00DA5A34"/>
    <w:rsid w:val="00DA5DBC"/>
    <w:rsid w:val="00DA6461"/>
    <w:rsid w:val="00DA6C8A"/>
    <w:rsid w:val="00DA729E"/>
    <w:rsid w:val="00DA7477"/>
    <w:rsid w:val="00DA75CC"/>
    <w:rsid w:val="00DA7BF5"/>
    <w:rsid w:val="00DB02A3"/>
    <w:rsid w:val="00DB0C09"/>
    <w:rsid w:val="00DB154E"/>
    <w:rsid w:val="00DB17B5"/>
    <w:rsid w:val="00DB3284"/>
    <w:rsid w:val="00DB3E7D"/>
    <w:rsid w:val="00DB4001"/>
    <w:rsid w:val="00DB42C8"/>
    <w:rsid w:val="00DB4AD3"/>
    <w:rsid w:val="00DB4CA7"/>
    <w:rsid w:val="00DB4F54"/>
    <w:rsid w:val="00DB52B7"/>
    <w:rsid w:val="00DB582B"/>
    <w:rsid w:val="00DB6A18"/>
    <w:rsid w:val="00DB6BF0"/>
    <w:rsid w:val="00DB711B"/>
    <w:rsid w:val="00DB7126"/>
    <w:rsid w:val="00DB7942"/>
    <w:rsid w:val="00DB7A92"/>
    <w:rsid w:val="00DB7F31"/>
    <w:rsid w:val="00DC041B"/>
    <w:rsid w:val="00DC0441"/>
    <w:rsid w:val="00DC0E7A"/>
    <w:rsid w:val="00DC13D4"/>
    <w:rsid w:val="00DC1640"/>
    <w:rsid w:val="00DC22E4"/>
    <w:rsid w:val="00DC3118"/>
    <w:rsid w:val="00DC330D"/>
    <w:rsid w:val="00DC35D5"/>
    <w:rsid w:val="00DC39B1"/>
    <w:rsid w:val="00DC3B09"/>
    <w:rsid w:val="00DC4F00"/>
    <w:rsid w:val="00DC5B51"/>
    <w:rsid w:val="00DC6BA5"/>
    <w:rsid w:val="00DC6F4F"/>
    <w:rsid w:val="00DC725A"/>
    <w:rsid w:val="00DC74D7"/>
    <w:rsid w:val="00DC7635"/>
    <w:rsid w:val="00DC769B"/>
    <w:rsid w:val="00DC7A5D"/>
    <w:rsid w:val="00DC7C30"/>
    <w:rsid w:val="00DD1B48"/>
    <w:rsid w:val="00DD2181"/>
    <w:rsid w:val="00DD2537"/>
    <w:rsid w:val="00DD28FC"/>
    <w:rsid w:val="00DD2933"/>
    <w:rsid w:val="00DD295D"/>
    <w:rsid w:val="00DD3055"/>
    <w:rsid w:val="00DD360B"/>
    <w:rsid w:val="00DD41D0"/>
    <w:rsid w:val="00DD51DE"/>
    <w:rsid w:val="00DD5220"/>
    <w:rsid w:val="00DD52DA"/>
    <w:rsid w:val="00DD59C9"/>
    <w:rsid w:val="00DD5C6D"/>
    <w:rsid w:val="00DD623B"/>
    <w:rsid w:val="00DD64BC"/>
    <w:rsid w:val="00DD64CC"/>
    <w:rsid w:val="00DD6958"/>
    <w:rsid w:val="00DD7976"/>
    <w:rsid w:val="00DD7DC7"/>
    <w:rsid w:val="00DE02F9"/>
    <w:rsid w:val="00DE0861"/>
    <w:rsid w:val="00DE0E5E"/>
    <w:rsid w:val="00DE0F11"/>
    <w:rsid w:val="00DE11C4"/>
    <w:rsid w:val="00DE1B7A"/>
    <w:rsid w:val="00DE2F44"/>
    <w:rsid w:val="00DE34F8"/>
    <w:rsid w:val="00DE350A"/>
    <w:rsid w:val="00DE4476"/>
    <w:rsid w:val="00DE4908"/>
    <w:rsid w:val="00DE4A3D"/>
    <w:rsid w:val="00DE4AC8"/>
    <w:rsid w:val="00DE4C65"/>
    <w:rsid w:val="00DE4E69"/>
    <w:rsid w:val="00DE552A"/>
    <w:rsid w:val="00DE5B7C"/>
    <w:rsid w:val="00DE5F71"/>
    <w:rsid w:val="00DE6BEF"/>
    <w:rsid w:val="00DE73F4"/>
    <w:rsid w:val="00DE75E6"/>
    <w:rsid w:val="00DE7D09"/>
    <w:rsid w:val="00DE7FD2"/>
    <w:rsid w:val="00DF0FB6"/>
    <w:rsid w:val="00DF288F"/>
    <w:rsid w:val="00DF30FC"/>
    <w:rsid w:val="00DF373F"/>
    <w:rsid w:val="00DF3747"/>
    <w:rsid w:val="00DF38CC"/>
    <w:rsid w:val="00DF3DDA"/>
    <w:rsid w:val="00DF4621"/>
    <w:rsid w:val="00DF556A"/>
    <w:rsid w:val="00DF55E6"/>
    <w:rsid w:val="00DF5792"/>
    <w:rsid w:val="00DF6556"/>
    <w:rsid w:val="00DF6C5C"/>
    <w:rsid w:val="00DF7145"/>
    <w:rsid w:val="00DF7C7B"/>
    <w:rsid w:val="00E009D6"/>
    <w:rsid w:val="00E00E8F"/>
    <w:rsid w:val="00E0112A"/>
    <w:rsid w:val="00E01161"/>
    <w:rsid w:val="00E01317"/>
    <w:rsid w:val="00E014F5"/>
    <w:rsid w:val="00E023C2"/>
    <w:rsid w:val="00E02825"/>
    <w:rsid w:val="00E029B2"/>
    <w:rsid w:val="00E0310E"/>
    <w:rsid w:val="00E03671"/>
    <w:rsid w:val="00E03974"/>
    <w:rsid w:val="00E03B98"/>
    <w:rsid w:val="00E03C6E"/>
    <w:rsid w:val="00E03D99"/>
    <w:rsid w:val="00E05252"/>
    <w:rsid w:val="00E05480"/>
    <w:rsid w:val="00E0612D"/>
    <w:rsid w:val="00E06708"/>
    <w:rsid w:val="00E075B3"/>
    <w:rsid w:val="00E07E32"/>
    <w:rsid w:val="00E07EF0"/>
    <w:rsid w:val="00E103C2"/>
    <w:rsid w:val="00E1078D"/>
    <w:rsid w:val="00E1079A"/>
    <w:rsid w:val="00E10981"/>
    <w:rsid w:val="00E10FCA"/>
    <w:rsid w:val="00E11436"/>
    <w:rsid w:val="00E115CB"/>
    <w:rsid w:val="00E11651"/>
    <w:rsid w:val="00E116B3"/>
    <w:rsid w:val="00E138F4"/>
    <w:rsid w:val="00E13CB2"/>
    <w:rsid w:val="00E14433"/>
    <w:rsid w:val="00E14859"/>
    <w:rsid w:val="00E1575F"/>
    <w:rsid w:val="00E15FD3"/>
    <w:rsid w:val="00E166DB"/>
    <w:rsid w:val="00E16C06"/>
    <w:rsid w:val="00E1779B"/>
    <w:rsid w:val="00E20172"/>
    <w:rsid w:val="00E21B7B"/>
    <w:rsid w:val="00E21E0A"/>
    <w:rsid w:val="00E21F8C"/>
    <w:rsid w:val="00E2266F"/>
    <w:rsid w:val="00E22E4C"/>
    <w:rsid w:val="00E233C1"/>
    <w:rsid w:val="00E24485"/>
    <w:rsid w:val="00E244B9"/>
    <w:rsid w:val="00E244CB"/>
    <w:rsid w:val="00E24DC7"/>
    <w:rsid w:val="00E25307"/>
    <w:rsid w:val="00E25372"/>
    <w:rsid w:val="00E25F59"/>
    <w:rsid w:val="00E25FEA"/>
    <w:rsid w:val="00E26513"/>
    <w:rsid w:val="00E265BC"/>
    <w:rsid w:val="00E307EF"/>
    <w:rsid w:val="00E30994"/>
    <w:rsid w:val="00E309AF"/>
    <w:rsid w:val="00E30D84"/>
    <w:rsid w:val="00E3104E"/>
    <w:rsid w:val="00E3139F"/>
    <w:rsid w:val="00E315D7"/>
    <w:rsid w:val="00E316BF"/>
    <w:rsid w:val="00E32075"/>
    <w:rsid w:val="00E32C45"/>
    <w:rsid w:val="00E32EEC"/>
    <w:rsid w:val="00E333C1"/>
    <w:rsid w:val="00E343BB"/>
    <w:rsid w:val="00E34663"/>
    <w:rsid w:val="00E34B9D"/>
    <w:rsid w:val="00E35076"/>
    <w:rsid w:val="00E355F0"/>
    <w:rsid w:val="00E37B49"/>
    <w:rsid w:val="00E37ED5"/>
    <w:rsid w:val="00E40627"/>
    <w:rsid w:val="00E40F07"/>
    <w:rsid w:val="00E4100F"/>
    <w:rsid w:val="00E41313"/>
    <w:rsid w:val="00E41A52"/>
    <w:rsid w:val="00E41B63"/>
    <w:rsid w:val="00E42341"/>
    <w:rsid w:val="00E429CF"/>
    <w:rsid w:val="00E42B17"/>
    <w:rsid w:val="00E42D5E"/>
    <w:rsid w:val="00E443A7"/>
    <w:rsid w:val="00E444D3"/>
    <w:rsid w:val="00E44BAF"/>
    <w:rsid w:val="00E460BB"/>
    <w:rsid w:val="00E4620D"/>
    <w:rsid w:val="00E46806"/>
    <w:rsid w:val="00E47193"/>
    <w:rsid w:val="00E47868"/>
    <w:rsid w:val="00E5035B"/>
    <w:rsid w:val="00E50C36"/>
    <w:rsid w:val="00E5200E"/>
    <w:rsid w:val="00E532EF"/>
    <w:rsid w:val="00E5379C"/>
    <w:rsid w:val="00E5450D"/>
    <w:rsid w:val="00E54A46"/>
    <w:rsid w:val="00E54AA3"/>
    <w:rsid w:val="00E54B38"/>
    <w:rsid w:val="00E54C8F"/>
    <w:rsid w:val="00E5529D"/>
    <w:rsid w:val="00E564B4"/>
    <w:rsid w:val="00E5664D"/>
    <w:rsid w:val="00E570A0"/>
    <w:rsid w:val="00E570DE"/>
    <w:rsid w:val="00E57225"/>
    <w:rsid w:val="00E57DFB"/>
    <w:rsid w:val="00E61625"/>
    <w:rsid w:val="00E62309"/>
    <w:rsid w:val="00E63A3B"/>
    <w:rsid w:val="00E64368"/>
    <w:rsid w:val="00E65067"/>
    <w:rsid w:val="00E651C4"/>
    <w:rsid w:val="00E66170"/>
    <w:rsid w:val="00E6658F"/>
    <w:rsid w:val="00E6681E"/>
    <w:rsid w:val="00E67287"/>
    <w:rsid w:val="00E67849"/>
    <w:rsid w:val="00E700D5"/>
    <w:rsid w:val="00E70183"/>
    <w:rsid w:val="00E7043D"/>
    <w:rsid w:val="00E704AA"/>
    <w:rsid w:val="00E704ED"/>
    <w:rsid w:val="00E70703"/>
    <w:rsid w:val="00E70726"/>
    <w:rsid w:val="00E7092D"/>
    <w:rsid w:val="00E715B9"/>
    <w:rsid w:val="00E718F7"/>
    <w:rsid w:val="00E71D92"/>
    <w:rsid w:val="00E7205E"/>
    <w:rsid w:val="00E720DD"/>
    <w:rsid w:val="00E722FD"/>
    <w:rsid w:val="00E727F3"/>
    <w:rsid w:val="00E72B81"/>
    <w:rsid w:val="00E731C8"/>
    <w:rsid w:val="00E73776"/>
    <w:rsid w:val="00E737D4"/>
    <w:rsid w:val="00E73961"/>
    <w:rsid w:val="00E73AC8"/>
    <w:rsid w:val="00E752E8"/>
    <w:rsid w:val="00E76831"/>
    <w:rsid w:val="00E778B7"/>
    <w:rsid w:val="00E80095"/>
    <w:rsid w:val="00E808F0"/>
    <w:rsid w:val="00E81177"/>
    <w:rsid w:val="00E812BC"/>
    <w:rsid w:val="00E81AA8"/>
    <w:rsid w:val="00E82BD6"/>
    <w:rsid w:val="00E83976"/>
    <w:rsid w:val="00E83CE7"/>
    <w:rsid w:val="00E83E4C"/>
    <w:rsid w:val="00E8402B"/>
    <w:rsid w:val="00E855CB"/>
    <w:rsid w:val="00E879E8"/>
    <w:rsid w:val="00E87A59"/>
    <w:rsid w:val="00E912AB"/>
    <w:rsid w:val="00E91B40"/>
    <w:rsid w:val="00E924E0"/>
    <w:rsid w:val="00E92580"/>
    <w:rsid w:val="00E92B97"/>
    <w:rsid w:val="00E92FB6"/>
    <w:rsid w:val="00E93424"/>
    <w:rsid w:val="00E93F1E"/>
    <w:rsid w:val="00E9412C"/>
    <w:rsid w:val="00E9462E"/>
    <w:rsid w:val="00E94647"/>
    <w:rsid w:val="00E94CC7"/>
    <w:rsid w:val="00E9642F"/>
    <w:rsid w:val="00E96648"/>
    <w:rsid w:val="00E96828"/>
    <w:rsid w:val="00E972A8"/>
    <w:rsid w:val="00E97372"/>
    <w:rsid w:val="00E97C48"/>
    <w:rsid w:val="00E97FD6"/>
    <w:rsid w:val="00EA1504"/>
    <w:rsid w:val="00EA21AD"/>
    <w:rsid w:val="00EA2DE7"/>
    <w:rsid w:val="00EA33AE"/>
    <w:rsid w:val="00EA3B7D"/>
    <w:rsid w:val="00EA430B"/>
    <w:rsid w:val="00EA5D7B"/>
    <w:rsid w:val="00EA5D88"/>
    <w:rsid w:val="00EA5DF8"/>
    <w:rsid w:val="00EA6159"/>
    <w:rsid w:val="00EA61F0"/>
    <w:rsid w:val="00EA62B2"/>
    <w:rsid w:val="00EA6390"/>
    <w:rsid w:val="00EA7836"/>
    <w:rsid w:val="00EB091D"/>
    <w:rsid w:val="00EB09F7"/>
    <w:rsid w:val="00EB1A3C"/>
    <w:rsid w:val="00EB1C8B"/>
    <w:rsid w:val="00EB1E7B"/>
    <w:rsid w:val="00EB1F3B"/>
    <w:rsid w:val="00EB24BE"/>
    <w:rsid w:val="00EB2932"/>
    <w:rsid w:val="00EB3582"/>
    <w:rsid w:val="00EB368B"/>
    <w:rsid w:val="00EB36ED"/>
    <w:rsid w:val="00EB409D"/>
    <w:rsid w:val="00EB40F5"/>
    <w:rsid w:val="00EB4224"/>
    <w:rsid w:val="00EB4428"/>
    <w:rsid w:val="00EB4C5C"/>
    <w:rsid w:val="00EB502E"/>
    <w:rsid w:val="00EB59FC"/>
    <w:rsid w:val="00EB718A"/>
    <w:rsid w:val="00EB7383"/>
    <w:rsid w:val="00EB79EC"/>
    <w:rsid w:val="00EB7F06"/>
    <w:rsid w:val="00EB7F85"/>
    <w:rsid w:val="00EC0D62"/>
    <w:rsid w:val="00EC0F01"/>
    <w:rsid w:val="00EC10F9"/>
    <w:rsid w:val="00EC13A9"/>
    <w:rsid w:val="00EC1A56"/>
    <w:rsid w:val="00EC1C86"/>
    <w:rsid w:val="00EC1F10"/>
    <w:rsid w:val="00EC2FA8"/>
    <w:rsid w:val="00EC32E7"/>
    <w:rsid w:val="00EC47AF"/>
    <w:rsid w:val="00EC602F"/>
    <w:rsid w:val="00EC61DA"/>
    <w:rsid w:val="00EC61F2"/>
    <w:rsid w:val="00EC68A5"/>
    <w:rsid w:val="00EC690D"/>
    <w:rsid w:val="00EC6B93"/>
    <w:rsid w:val="00EC70E6"/>
    <w:rsid w:val="00EC76C8"/>
    <w:rsid w:val="00ED00EC"/>
    <w:rsid w:val="00ED0358"/>
    <w:rsid w:val="00ED1338"/>
    <w:rsid w:val="00ED28FB"/>
    <w:rsid w:val="00ED2BA9"/>
    <w:rsid w:val="00ED3637"/>
    <w:rsid w:val="00ED43E1"/>
    <w:rsid w:val="00ED4400"/>
    <w:rsid w:val="00ED46D2"/>
    <w:rsid w:val="00ED4A1D"/>
    <w:rsid w:val="00ED4EC4"/>
    <w:rsid w:val="00ED53B9"/>
    <w:rsid w:val="00ED60D6"/>
    <w:rsid w:val="00ED6496"/>
    <w:rsid w:val="00ED65C5"/>
    <w:rsid w:val="00ED6CAD"/>
    <w:rsid w:val="00ED6DD6"/>
    <w:rsid w:val="00ED6E7B"/>
    <w:rsid w:val="00ED7A1B"/>
    <w:rsid w:val="00ED7FE7"/>
    <w:rsid w:val="00EE1A14"/>
    <w:rsid w:val="00EE206F"/>
    <w:rsid w:val="00EE2B52"/>
    <w:rsid w:val="00EE2DB4"/>
    <w:rsid w:val="00EE2F9D"/>
    <w:rsid w:val="00EE315E"/>
    <w:rsid w:val="00EE3880"/>
    <w:rsid w:val="00EE3B1C"/>
    <w:rsid w:val="00EE4059"/>
    <w:rsid w:val="00EE413C"/>
    <w:rsid w:val="00EE4920"/>
    <w:rsid w:val="00EE4A29"/>
    <w:rsid w:val="00EE4E71"/>
    <w:rsid w:val="00EE6324"/>
    <w:rsid w:val="00EE6553"/>
    <w:rsid w:val="00EE65C8"/>
    <w:rsid w:val="00EE6652"/>
    <w:rsid w:val="00EE6A5F"/>
    <w:rsid w:val="00EE6AC8"/>
    <w:rsid w:val="00EE6D19"/>
    <w:rsid w:val="00EE6D6E"/>
    <w:rsid w:val="00EE6E12"/>
    <w:rsid w:val="00EE6ED1"/>
    <w:rsid w:val="00EE6F64"/>
    <w:rsid w:val="00EE7463"/>
    <w:rsid w:val="00EE752C"/>
    <w:rsid w:val="00EF02DF"/>
    <w:rsid w:val="00EF1F72"/>
    <w:rsid w:val="00EF22AF"/>
    <w:rsid w:val="00EF25F4"/>
    <w:rsid w:val="00EF2917"/>
    <w:rsid w:val="00EF2C0E"/>
    <w:rsid w:val="00EF2F4B"/>
    <w:rsid w:val="00EF32B9"/>
    <w:rsid w:val="00EF442E"/>
    <w:rsid w:val="00EF453E"/>
    <w:rsid w:val="00EF48C0"/>
    <w:rsid w:val="00EF497F"/>
    <w:rsid w:val="00EF500A"/>
    <w:rsid w:val="00EF54EB"/>
    <w:rsid w:val="00EF5C53"/>
    <w:rsid w:val="00EF5EBD"/>
    <w:rsid w:val="00EF6AD8"/>
    <w:rsid w:val="00EF70AF"/>
    <w:rsid w:val="00EF748E"/>
    <w:rsid w:val="00EF7F31"/>
    <w:rsid w:val="00F00A78"/>
    <w:rsid w:val="00F023A6"/>
    <w:rsid w:val="00F02609"/>
    <w:rsid w:val="00F02E5D"/>
    <w:rsid w:val="00F03799"/>
    <w:rsid w:val="00F052E1"/>
    <w:rsid w:val="00F065B5"/>
    <w:rsid w:val="00F0665A"/>
    <w:rsid w:val="00F06B2B"/>
    <w:rsid w:val="00F06EB9"/>
    <w:rsid w:val="00F0700C"/>
    <w:rsid w:val="00F07AF3"/>
    <w:rsid w:val="00F07B4D"/>
    <w:rsid w:val="00F07E5D"/>
    <w:rsid w:val="00F07E8A"/>
    <w:rsid w:val="00F101B6"/>
    <w:rsid w:val="00F105EF"/>
    <w:rsid w:val="00F10BEC"/>
    <w:rsid w:val="00F1134F"/>
    <w:rsid w:val="00F1218E"/>
    <w:rsid w:val="00F12426"/>
    <w:rsid w:val="00F13588"/>
    <w:rsid w:val="00F14CC6"/>
    <w:rsid w:val="00F15715"/>
    <w:rsid w:val="00F15BC1"/>
    <w:rsid w:val="00F16C31"/>
    <w:rsid w:val="00F17004"/>
    <w:rsid w:val="00F20A99"/>
    <w:rsid w:val="00F20FD3"/>
    <w:rsid w:val="00F21572"/>
    <w:rsid w:val="00F22621"/>
    <w:rsid w:val="00F22630"/>
    <w:rsid w:val="00F22A72"/>
    <w:rsid w:val="00F230E0"/>
    <w:rsid w:val="00F23772"/>
    <w:rsid w:val="00F23D0E"/>
    <w:rsid w:val="00F24EBC"/>
    <w:rsid w:val="00F2551A"/>
    <w:rsid w:val="00F262F6"/>
    <w:rsid w:val="00F26A99"/>
    <w:rsid w:val="00F26B2E"/>
    <w:rsid w:val="00F26C45"/>
    <w:rsid w:val="00F26EC3"/>
    <w:rsid w:val="00F2720E"/>
    <w:rsid w:val="00F279E7"/>
    <w:rsid w:val="00F27A65"/>
    <w:rsid w:val="00F27FE2"/>
    <w:rsid w:val="00F303BE"/>
    <w:rsid w:val="00F30BCC"/>
    <w:rsid w:val="00F30E76"/>
    <w:rsid w:val="00F3170C"/>
    <w:rsid w:val="00F322D9"/>
    <w:rsid w:val="00F3268B"/>
    <w:rsid w:val="00F32B11"/>
    <w:rsid w:val="00F32D22"/>
    <w:rsid w:val="00F3322A"/>
    <w:rsid w:val="00F3327C"/>
    <w:rsid w:val="00F33360"/>
    <w:rsid w:val="00F33600"/>
    <w:rsid w:val="00F339FD"/>
    <w:rsid w:val="00F3401A"/>
    <w:rsid w:val="00F3437B"/>
    <w:rsid w:val="00F3487F"/>
    <w:rsid w:val="00F3494F"/>
    <w:rsid w:val="00F35D2A"/>
    <w:rsid w:val="00F36297"/>
    <w:rsid w:val="00F366DB"/>
    <w:rsid w:val="00F36779"/>
    <w:rsid w:val="00F3797F"/>
    <w:rsid w:val="00F401BF"/>
    <w:rsid w:val="00F40678"/>
    <w:rsid w:val="00F40C6A"/>
    <w:rsid w:val="00F40FD7"/>
    <w:rsid w:val="00F41228"/>
    <w:rsid w:val="00F42831"/>
    <w:rsid w:val="00F4283F"/>
    <w:rsid w:val="00F44648"/>
    <w:rsid w:val="00F4529C"/>
    <w:rsid w:val="00F45B2F"/>
    <w:rsid w:val="00F46473"/>
    <w:rsid w:val="00F46A05"/>
    <w:rsid w:val="00F471D5"/>
    <w:rsid w:val="00F477A0"/>
    <w:rsid w:val="00F47C53"/>
    <w:rsid w:val="00F47F81"/>
    <w:rsid w:val="00F506F8"/>
    <w:rsid w:val="00F5173D"/>
    <w:rsid w:val="00F51F89"/>
    <w:rsid w:val="00F522CB"/>
    <w:rsid w:val="00F526BA"/>
    <w:rsid w:val="00F52EC6"/>
    <w:rsid w:val="00F53099"/>
    <w:rsid w:val="00F53464"/>
    <w:rsid w:val="00F5350C"/>
    <w:rsid w:val="00F5411B"/>
    <w:rsid w:val="00F54331"/>
    <w:rsid w:val="00F5496A"/>
    <w:rsid w:val="00F54F3D"/>
    <w:rsid w:val="00F554D9"/>
    <w:rsid w:val="00F56387"/>
    <w:rsid w:val="00F5656E"/>
    <w:rsid w:val="00F56616"/>
    <w:rsid w:val="00F56735"/>
    <w:rsid w:val="00F57094"/>
    <w:rsid w:val="00F57218"/>
    <w:rsid w:val="00F577FA"/>
    <w:rsid w:val="00F61BFA"/>
    <w:rsid w:val="00F620C1"/>
    <w:rsid w:val="00F624D8"/>
    <w:rsid w:val="00F6308A"/>
    <w:rsid w:val="00F6329D"/>
    <w:rsid w:val="00F635D3"/>
    <w:rsid w:val="00F638D3"/>
    <w:rsid w:val="00F63CF5"/>
    <w:rsid w:val="00F640B7"/>
    <w:rsid w:val="00F6475E"/>
    <w:rsid w:val="00F65579"/>
    <w:rsid w:val="00F65F4B"/>
    <w:rsid w:val="00F6621F"/>
    <w:rsid w:val="00F662EC"/>
    <w:rsid w:val="00F66525"/>
    <w:rsid w:val="00F66740"/>
    <w:rsid w:val="00F66C06"/>
    <w:rsid w:val="00F66DED"/>
    <w:rsid w:val="00F670C3"/>
    <w:rsid w:val="00F670FD"/>
    <w:rsid w:val="00F671A4"/>
    <w:rsid w:val="00F67634"/>
    <w:rsid w:val="00F706CF"/>
    <w:rsid w:val="00F708EC"/>
    <w:rsid w:val="00F70D81"/>
    <w:rsid w:val="00F71971"/>
    <w:rsid w:val="00F71B8B"/>
    <w:rsid w:val="00F71D45"/>
    <w:rsid w:val="00F72078"/>
    <w:rsid w:val="00F72090"/>
    <w:rsid w:val="00F726B9"/>
    <w:rsid w:val="00F728B0"/>
    <w:rsid w:val="00F7292D"/>
    <w:rsid w:val="00F72F0B"/>
    <w:rsid w:val="00F73135"/>
    <w:rsid w:val="00F7353A"/>
    <w:rsid w:val="00F7394B"/>
    <w:rsid w:val="00F73953"/>
    <w:rsid w:val="00F73BC7"/>
    <w:rsid w:val="00F74938"/>
    <w:rsid w:val="00F74E5B"/>
    <w:rsid w:val="00F7543A"/>
    <w:rsid w:val="00F758E8"/>
    <w:rsid w:val="00F759F0"/>
    <w:rsid w:val="00F75B42"/>
    <w:rsid w:val="00F76455"/>
    <w:rsid w:val="00F7651D"/>
    <w:rsid w:val="00F773A2"/>
    <w:rsid w:val="00F7766E"/>
    <w:rsid w:val="00F8000F"/>
    <w:rsid w:val="00F80383"/>
    <w:rsid w:val="00F81249"/>
    <w:rsid w:val="00F816C3"/>
    <w:rsid w:val="00F81DE7"/>
    <w:rsid w:val="00F81F6F"/>
    <w:rsid w:val="00F8211D"/>
    <w:rsid w:val="00F825C7"/>
    <w:rsid w:val="00F82859"/>
    <w:rsid w:val="00F82DA1"/>
    <w:rsid w:val="00F8305F"/>
    <w:rsid w:val="00F83205"/>
    <w:rsid w:val="00F83818"/>
    <w:rsid w:val="00F83A5B"/>
    <w:rsid w:val="00F85C16"/>
    <w:rsid w:val="00F87186"/>
    <w:rsid w:val="00F8763B"/>
    <w:rsid w:val="00F8778F"/>
    <w:rsid w:val="00F87881"/>
    <w:rsid w:val="00F906B0"/>
    <w:rsid w:val="00F9099D"/>
    <w:rsid w:val="00F9132F"/>
    <w:rsid w:val="00F9151A"/>
    <w:rsid w:val="00F91AE3"/>
    <w:rsid w:val="00F91AE9"/>
    <w:rsid w:val="00F91C53"/>
    <w:rsid w:val="00F92091"/>
    <w:rsid w:val="00F9262F"/>
    <w:rsid w:val="00F9277C"/>
    <w:rsid w:val="00F92911"/>
    <w:rsid w:val="00F93531"/>
    <w:rsid w:val="00F93881"/>
    <w:rsid w:val="00F93E01"/>
    <w:rsid w:val="00F94881"/>
    <w:rsid w:val="00F9517F"/>
    <w:rsid w:val="00F952D2"/>
    <w:rsid w:val="00F95730"/>
    <w:rsid w:val="00F97534"/>
    <w:rsid w:val="00F97CFB"/>
    <w:rsid w:val="00FA0385"/>
    <w:rsid w:val="00FA0B8F"/>
    <w:rsid w:val="00FA0D19"/>
    <w:rsid w:val="00FA145C"/>
    <w:rsid w:val="00FA16B5"/>
    <w:rsid w:val="00FA1A88"/>
    <w:rsid w:val="00FA258D"/>
    <w:rsid w:val="00FA279F"/>
    <w:rsid w:val="00FA2F6C"/>
    <w:rsid w:val="00FA3056"/>
    <w:rsid w:val="00FA3071"/>
    <w:rsid w:val="00FA34D8"/>
    <w:rsid w:val="00FA3E3A"/>
    <w:rsid w:val="00FA4511"/>
    <w:rsid w:val="00FA4522"/>
    <w:rsid w:val="00FA4F68"/>
    <w:rsid w:val="00FA5AFA"/>
    <w:rsid w:val="00FA60C4"/>
    <w:rsid w:val="00FA611B"/>
    <w:rsid w:val="00FA69FB"/>
    <w:rsid w:val="00FA7070"/>
    <w:rsid w:val="00FA742E"/>
    <w:rsid w:val="00FB0233"/>
    <w:rsid w:val="00FB02C6"/>
    <w:rsid w:val="00FB0560"/>
    <w:rsid w:val="00FB0A16"/>
    <w:rsid w:val="00FB1257"/>
    <w:rsid w:val="00FB134C"/>
    <w:rsid w:val="00FB1F92"/>
    <w:rsid w:val="00FB2591"/>
    <w:rsid w:val="00FB25E9"/>
    <w:rsid w:val="00FB267A"/>
    <w:rsid w:val="00FB3A65"/>
    <w:rsid w:val="00FB3C1D"/>
    <w:rsid w:val="00FB4615"/>
    <w:rsid w:val="00FB4900"/>
    <w:rsid w:val="00FB566F"/>
    <w:rsid w:val="00FB58FF"/>
    <w:rsid w:val="00FB59A3"/>
    <w:rsid w:val="00FB6A46"/>
    <w:rsid w:val="00FC0293"/>
    <w:rsid w:val="00FC059B"/>
    <w:rsid w:val="00FC0A96"/>
    <w:rsid w:val="00FC0D34"/>
    <w:rsid w:val="00FC1978"/>
    <w:rsid w:val="00FC1D67"/>
    <w:rsid w:val="00FC2EC5"/>
    <w:rsid w:val="00FC393A"/>
    <w:rsid w:val="00FC4402"/>
    <w:rsid w:val="00FC4C3D"/>
    <w:rsid w:val="00FC50D2"/>
    <w:rsid w:val="00FC5276"/>
    <w:rsid w:val="00FC5C51"/>
    <w:rsid w:val="00FC5D49"/>
    <w:rsid w:val="00FC6349"/>
    <w:rsid w:val="00FC6C77"/>
    <w:rsid w:val="00FC6CBC"/>
    <w:rsid w:val="00FC7159"/>
    <w:rsid w:val="00FD04CA"/>
    <w:rsid w:val="00FD04F1"/>
    <w:rsid w:val="00FD06E0"/>
    <w:rsid w:val="00FD0DCA"/>
    <w:rsid w:val="00FD1258"/>
    <w:rsid w:val="00FD168D"/>
    <w:rsid w:val="00FD2206"/>
    <w:rsid w:val="00FD28BE"/>
    <w:rsid w:val="00FD2C1C"/>
    <w:rsid w:val="00FD5FC6"/>
    <w:rsid w:val="00FD66FD"/>
    <w:rsid w:val="00FD688B"/>
    <w:rsid w:val="00FD6953"/>
    <w:rsid w:val="00FD69E7"/>
    <w:rsid w:val="00FD6A39"/>
    <w:rsid w:val="00FD6BAF"/>
    <w:rsid w:val="00FD77BD"/>
    <w:rsid w:val="00FD7A6C"/>
    <w:rsid w:val="00FD7BDD"/>
    <w:rsid w:val="00FD7FC3"/>
    <w:rsid w:val="00FE0241"/>
    <w:rsid w:val="00FE05EB"/>
    <w:rsid w:val="00FE0F15"/>
    <w:rsid w:val="00FE10E4"/>
    <w:rsid w:val="00FE11D7"/>
    <w:rsid w:val="00FE129F"/>
    <w:rsid w:val="00FE1DD8"/>
    <w:rsid w:val="00FE2824"/>
    <w:rsid w:val="00FE2B66"/>
    <w:rsid w:val="00FE3367"/>
    <w:rsid w:val="00FE4664"/>
    <w:rsid w:val="00FE4BAC"/>
    <w:rsid w:val="00FE4E7D"/>
    <w:rsid w:val="00FE509E"/>
    <w:rsid w:val="00FE61CA"/>
    <w:rsid w:val="00FE6434"/>
    <w:rsid w:val="00FE6E5A"/>
    <w:rsid w:val="00FE72DE"/>
    <w:rsid w:val="00FE75F4"/>
    <w:rsid w:val="00FF2D4E"/>
    <w:rsid w:val="00FF2EF2"/>
    <w:rsid w:val="00FF30F3"/>
    <w:rsid w:val="00FF41D5"/>
    <w:rsid w:val="00FF4796"/>
    <w:rsid w:val="00FF4A35"/>
    <w:rsid w:val="00FF5094"/>
    <w:rsid w:val="00FF509D"/>
    <w:rsid w:val="00FF6B40"/>
    <w:rsid w:val="00FF77BB"/>
    <w:rsid w:val="00FF7C07"/>
    <w:rsid w:val="0BD63A8E"/>
    <w:rsid w:val="0CF0B32B"/>
    <w:rsid w:val="21B7AF6D"/>
    <w:rsid w:val="2780820E"/>
    <w:rsid w:val="2EEBABD3"/>
    <w:rsid w:val="321BF594"/>
    <w:rsid w:val="40D97984"/>
    <w:rsid w:val="411448E6"/>
    <w:rsid w:val="44232657"/>
    <w:rsid w:val="47D6632C"/>
    <w:rsid w:val="4BA2BAA5"/>
    <w:rsid w:val="4CAE3B53"/>
    <w:rsid w:val="5026E70C"/>
    <w:rsid w:val="55EA7D48"/>
    <w:rsid w:val="608291D0"/>
    <w:rsid w:val="66CA4D4B"/>
    <w:rsid w:val="672A5B6C"/>
    <w:rsid w:val="674DD171"/>
    <w:rsid w:val="677927F6"/>
    <w:rsid w:val="69C0515D"/>
    <w:rsid w:val="6CAEEA75"/>
    <w:rsid w:val="6DDBCA05"/>
    <w:rsid w:val="76061C22"/>
    <w:rsid w:val="79AE87C0"/>
    <w:rsid w:val="7D39331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6998"/>
  <w15:chartTrackingRefBased/>
  <w15:docId w15:val="{A4DC4086-4638-4030-8F82-9D3C61B53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550"/>
    <w:pPr>
      <w:tabs>
        <w:tab w:val="left" w:pos="567"/>
      </w:tabs>
      <w:spacing w:before="120" w:line="254" w:lineRule="auto"/>
    </w:pPr>
    <w:rPr>
      <w:rFonts w:ascii="Open Sans Light" w:hAnsi="Open Sans Light"/>
      <w:sz w:val="20"/>
      <w:szCs w:val="22"/>
    </w:rPr>
  </w:style>
  <w:style w:type="paragraph" w:styleId="Heading1">
    <w:name w:val="heading 1"/>
    <w:basedOn w:val="CGCSubHead"/>
    <w:next w:val="Normal"/>
    <w:link w:val="Heading1Char"/>
    <w:uiPriority w:val="9"/>
    <w:qFormat/>
    <w:rsid w:val="00F8305F"/>
    <w:pPr>
      <w:spacing w:before="360"/>
      <w:outlineLvl w:val="0"/>
    </w:pPr>
    <w:rPr>
      <w:sz w:val="40"/>
      <w:szCs w:val="40"/>
    </w:rPr>
  </w:style>
  <w:style w:type="paragraph" w:styleId="Heading2">
    <w:name w:val="heading 2"/>
    <w:basedOn w:val="Normal"/>
    <w:next w:val="Normal"/>
    <w:link w:val="Heading2Char"/>
    <w:uiPriority w:val="9"/>
    <w:unhideWhenUsed/>
    <w:qFormat/>
    <w:rsid w:val="000D6032"/>
    <w:pPr>
      <w:tabs>
        <w:tab w:val="clear" w:pos="567"/>
      </w:tabs>
      <w:spacing w:before="360" w:after="200" w:line="276" w:lineRule="auto"/>
      <w:outlineLvl w:val="1"/>
    </w:pPr>
    <w:rPr>
      <w:rFonts w:ascii="Work Sans" w:eastAsia="Times New Roman" w:hAnsi="Work Sans" w:cs="Open Sans"/>
      <w:b/>
      <w:bCs/>
      <w:color w:val="006991"/>
      <w:sz w:val="36"/>
      <w:szCs w:val="36"/>
    </w:rPr>
  </w:style>
  <w:style w:type="paragraph" w:styleId="Heading3">
    <w:name w:val="heading 3"/>
    <w:basedOn w:val="Heading2"/>
    <w:next w:val="Normal"/>
    <w:link w:val="Heading3Char"/>
    <w:uiPriority w:val="9"/>
    <w:unhideWhenUsed/>
    <w:qFormat/>
    <w:rsid w:val="00214D86"/>
    <w:pPr>
      <w:outlineLvl w:val="2"/>
    </w:pPr>
    <w:rPr>
      <w:rFonts w:eastAsiaTheme="majorEastAsia"/>
      <w:sz w:val="28"/>
      <w:szCs w:val="28"/>
    </w:rPr>
  </w:style>
  <w:style w:type="paragraph" w:styleId="Heading4">
    <w:name w:val="heading 4"/>
    <w:basedOn w:val="Normal"/>
    <w:next w:val="Normal"/>
    <w:link w:val="Heading4Char"/>
    <w:uiPriority w:val="9"/>
    <w:unhideWhenUsed/>
    <w:qFormat/>
    <w:rsid w:val="00EC68A5"/>
    <w:pPr>
      <w:keepNext/>
      <w:keepLines/>
      <w:outlineLvl w:val="3"/>
    </w:pPr>
    <w:rPr>
      <w:rFonts w:ascii="Work Sans" w:eastAsiaTheme="majorEastAsia" w:hAnsi="Work Sans" w:cstheme="majorBidi"/>
      <w:b/>
      <w:bCs/>
      <w:color w:val="006991"/>
      <w:sz w:val="24"/>
      <w:szCs w:val="24"/>
    </w:rPr>
  </w:style>
  <w:style w:type="paragraph" w:styleId="Heading6">
    <w:name w:val="heading 6"/>
    <w:basedOn w:val="Normal"/>
    <w:next w:val="Normal"/>
    <w:link w:val="Heading6Char"/>
    <w:uiPriority w:val="9"/>
    <w:semiHidden/>
    <w:unhideWhenUsed/>
    <w:qFormat/>
    <w:rsid w:val="00A80FDD"/>
    <w:pPr>
      <w:keepNext/>
      <w:keepLines/>
      <w:spacing w:before="40"/>
      <w:outlineLvl w:val="5"/>
    </w:pPr>
    <w:rPr>
      <w:rFonts w:asciiTheme="majorHAnsi" w:eastAsiaTheme="majorEastAsia" w:hAnsiTheme="majorHAnsi" w:cstheme="majorBidi"/>
      <w:color w:val="002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0550"/>
    <w:pPr>
      <w:tabs>
        <w:tab w:val="center" w:pos="4513"/>
        <w:tab w:val="right" w:pos="9026"/>
      </w:tabs>
    </w:pPr>
  </w:style>
  <w:style w:type="character" w:customStyle="1" w:styleId="HeaderChar">
    <w:name w:val="Header Char"/>
    <w:basedOn w:val="DefaultParagraphFont"/>
    <w:link w:val="Header"/>
    <w:uiPriority w:val="99"/>
    <w:rsid w:val="005C0550"/>
  </w:style>
  <w:style w:type="paragraph" w:styleId="Footer">
    <w:name w:val="footer"/>
    <w:basedOn w:val="Normal"/>
    <w:link w:val="FooterChar"/>
    <w:uiPriority w:val="99"/>
    <w:unhideWhenUsed/>
    <w:rsid w:val="005C0550"/>
    <w:pPr>
      <w:tabs>
        <w:tab w:val="center" w:pos="4513"/>
        <w:tab w:val="right" w:pos="9026"/>
      </w:tabs>
    </w:pPr>
  </w:style>
  <w:style w:type="character" w:customStyle="1" w:styleId="FooterChar">
    <w:name w:val="Footer Char"/>
    <w:basedOn w:val="DefaultParagraphFont"/>
    <w:link w:val="Footer"/>
    <w:uiPriority w:val="99"/>
    <w:rsid w:val="005C0550"/>
  </w:style>
  <w:style w:type="paragraph" w:styleId="Caption">
    <w:name w:val="caption"/>
    <w:basedOn w:val="Normal"/>
    <w:next w:val="Normal"/>
    <w:link w:val="CaptionChar"/>
    <w:qFormat/>
    <w:rsid w:val="0042793F"/>
    <w:pPr>
      <w:keepNext/>
      <w:keepLines/>
      <w:tabs>
        <w:tab w:val="clear" w:pos="567"/>
        <w:tab w:val="left" w:pos="1134"/>
        <w:tab w:val="left" w:pos="1418"/>
      </w:tabs>
      <w:spacing w:before="240" w:after="120" w:line="240" w:lineRule="auto"/>
      <w:ind w:left="1134" w:hanging="1134"/>
    </w:pPr>
    <w:rPr>
      <w:rFonts w:ascii="Work Sans" w:hAnsi="Work Sans"/>
      <w:szCs w:val="20"/>
    </w:rPr>
  </w:style>
  <w:style w:type="character" w:customStyle="1" w:styleId="CaptionChar">
    <w:name w:val="Caption Char"/>
    <w:basedOn w:val="DefaultParagraphFont"/>
    <w:link w:val="Caption"/>
    <w:rsid w:val="0042793F"/>
    <w:rPr>
      <w:rFonts w:ascii="Work Sans" w:hAnsi="Work Sans"/>
      <w:sz w:val="20"/>
      <w:szCs w:val="20"/>
    </w:rPr>
  </w:style>
  <w:style w:type="paragraph" w:customStyle="1" w:styleId="CGCTablenote">
    <w:name w:val="CGC Table note"/>
    <w:basedOn w:val="Normal"/>
    <w:next w:val="Normal"/>
    <w:qFormat/>
    <w:rsid w:val="00CE4B64"/>
    <w:pPr>
      <w:tabs>
        <w:tab w:val="clear" w:pos="567"/>
        <w:tab w:val="left" w:pos="709"/>
      </w:tabs>
      <w:spacing w:before="40" w:line="240" w:lineRule="auto"/>
      <w:ind w:left="709" w:hanging="709"/>
    </w:pPr>
    <w:rPr>
      <w:rFonts w:ascii="Work Sans" w:hAnsi="Work Sans"/>
      <w:sz w:val="14"/>
      <w:szCs w:val="14"/>
    </w:rPr>
  </w:style>
  <w:style w:type="paragraph" w:styleId="BodyText">
    <w:name w:val="Body Text"/>
    <w:link w:val="BodyTextChar"/>
    <w:qFormat/>
    <w:rsid w:val="004409B1"/>
    <w:pPr>
      <w:numPr>
        <w:numId w:val="1"/>
      </w:numPr>
      <w:spacing w:before="240" w:line="300" w:lineRule="atLeast"/>
    </w:pPr>
    <w:rPr>
      <w:rFonts w:ascii="Work Sans" w:eastAsia="Times New Roman" w:hAnsi="Work Sans" w:cs="Times New Roman"/>
      <w:lang w:eastAsia="en-AU"/>
    </w:rPr>
  </w:style>
  <w:style w:type="character" w:customStyle="1" w:styleId="BodyTextChar">
    <w:name w:val="Body Text Char"/>
    <w:basedOn w:val="DefaultParagraphFont"/>
    <w:link w:val="BodyText"/>
    <w:rsid w:val="004409B1"/>
    <w:rPr>
      <w:rFonts w:ascii="Work Sans" w:eastAsia="Times New Roman" w:hAnsi="Work Sans" w:cs="Times New Roman"/>
      <w:lang w:eastAsia="en-AU"/>
    </w:rPr>
  </w:style>
  <w:style w:type="character" w:customStyle="1" w:styleId="normaltextrun">
    <w:name w:val="normaltextrun"/>
    <w:basedOn w:val="DefaultParagraphFont"/>
    <w:rsid w:val="005C0550"/>
  </w:style>
  <w:style w:type="paragraph" w:customStyle="1" w:styleId="CGCBodyCopy">
    <w:name w:val="CGC Body Copy"/>
    <w:basedOn w:val="Normal"/>
    <w:autoRedefine/>
    <w:qFormat/>
    <w:rsid w:val="0004064D"/>
    <w:pPr>
      <w:keepLines/>
    </w:pPr>
    <w:rPr>
      <w:rFonts w:ascii="Work Sans" w:hAnsi="Work Sans" w:cs="Cambria Math"/>
      <w:color w:val="000000"/>
      <w:sz w:val="24"/>
      <w:szCs w:val="24"/>
      <w:shd w:val="clear" w:color="auto" w:fill="FFFFFF"/>
      <w:lang w:eastAsia="en-AU"/>
    </w:rPr>
  </w:style>
  <w:style w:type="paragraph" w:customStyle="1" w:styleId="CGCSubHead">
    <w:name w:val="CGC Sub Head"/>
    <w:autoRedefine/>
    <w:qFormat/>
    <w:rsid w:val="00F8305F"/>
    <w:pPr>
      <w:spacing w:before="240" w:after="200" w:line="276" w:lineRule="auto"/>
    </w:pPr>
    <w:rPr>
      <w:rFonts w:ascii="Work Sans" w:eastAsiaTheme="majorEastAsia" w:hAnsi="Work Sans" w:cs="Open Sans"/>
      <w:b/>
      <w:bCs/>
      <w:color w:val="006991"/>
      <w:sz w:val="28"/>
      <w:szCs w:val="28"/>
    </w:rPr>
  </w:style>
  <w:style w:type="character" w:styleId="Hyperlink">
    <w:name w:val="Hyperlink"/>
    <w:basedOn w:val="DefaultParagraphFont"/>
    <w:uiPriority w:val="99"/>
    <w:unhideWhenUsed/>
    <w:rsid w:val="008B3F9B"/>
    <w:rPr>
      <w:color w:val="006991" w:themeColor="hyperlink"/>
      <w:u w:val="single"/>
    </w:rPr>
  </w:style>
  <w:style w:type="character" w:styleId="UnresolvedMention">
    <w:name w:val="Unresolved Mention"/>
    <w:basedOn w:val="DefaultParagraphFont"/>
    <w:uiPriority w:val="99"/>
    <w:unhideWhenUsed/>
    <w:rsid w:val="008B3F9B"/>
    <w:rPr>
      <w:color w:val="605E5C"/>
      <w:shd w:val="clear" w:color="auto" w:fill="E1DFDD"/>
    </w:rPr>
  </w:style>
  <w:style w:type="character" w:styleId="PageNumber">
    <w:name w:val="page number"/>
    <w:basedOn w:val="DefaultParagraphFont"/>
    <w:uiPriority w:val="99"/>
    <w:semiHidden/>
    <w:unhideWhenUsed/>
    <w:rsid w:val="008B3F9B"/>
  </w:style>
  <w:style w:type="character" w:customStyle="1" w:styleId="Heading1Char">
    <w:name w:val="Heading 1 Char"/>
    <w:basedOn w:val="DefaultParagraphFont"/>
    <w:link w:val="Heading1"/>
    <w:uiPriority w:val="9"/>
    <w:rsid w:val="00F8305F"/>
    <w:rPr>
      <w:rFonts w:ascii="Work Sans" w:eastAsiaTheme="majorEastAsia" w:hAnsi="Work Sans" w:cs="Open Sans"/>
      <w:b/>
      <w:bCs/>
      <w:color w:val="006991"/>
      <w:sz w:val="40"/>
      <w:szCs w:val="40"/>
    </w:rPr>
  </w:style>
  <w:style w:type="character" w:customStyle="1" w:styleId="Heading2Char">
    <w:name w:val="Heading 2 Char"/>
    <w:basedOn w:val="DefaultParagraphFont"/>
    <w:link w:val="Heading2"/>
    <w:uiPriority w:val="9"/>
    <w:rsid w:val="000D6032"/>
    <w:rPr>
      <w:rFonts w:ascii="Work Sans" w:eastAsia="Times New Roman" w:hAnsi="Work Sans" w:cs="Open Sans"/>
      <w:b/>
      <w:bCs/>
      <w:color w:val="006991"/>
      <w:sz w:val="36"/>
      <w:szCs w:val="36"/>
    </w:rPr>
  </w:style>
  <w:style w:type="character" w:customStyle="1" w:styleId="Heading3Char">
    <w:name w:val="Heading 3 Char"/>
    <w:basedOn w:val="DefaultParagraphFont"/>
    <w:link w:val="Heading3"/>
    <w:uiPriority w:val="9"/>
    <w:rsid w:val="00214D86"/>
    <w:rPr>
      <w:rFonts w:ascii="Work Sans" w:eastAsiaTheme="majorEastAsia" w:hAnsi="Work Sans" w:cs="Open Sans"/>
      <w:b/>
      <w:bCs/>
      <w:color w:val="006991"/>
      <w:sz w:val="28"/>
      <w:szCs w:val="28"/>
    </w:rPr>
  </w:style>
  <w:style w:type="paragraph" w:styleId="FootnoteText">
    <w:name w:val="footnote text"/>
    <w:basedOn w:val="Normal"/>
    <w:link w:val="FootnoteTextChar"/>
    <w:uiPriority w:val="99"/>
    <w:unhideWhenUsed/>
    <w:qFormat/>
    <w:rsid w:val="002B51B6"/>
    <w:pPr>
      <w:spacing w:before="0" w:line="240" w:lineRule="auto"/>
    </w:pPr>
    <w:rPr>
      <w:szCs w:val="20"/>
    </w:rPr>
  </w:style>
  <w:style w:type="character" w:customStyle="1" w:styleId="FootnoteTextChar">
    <w:name w:val="Footnote Text Char"/>
    <w:basedOn w:val="DefaultParagraphFont"/>
    <w:link w:val="FootnoteText"/>
    <w:uiPriority w:val="99"/>
    <w:rsid w:val="002B51B6"/>
    <w:rPr>
      <w:rFonts w:ascii="Open Sans Light" w:hAnsi="Open Sans Light"/>
      <w:sz w:val="20"/>
      <w:szCs w:val="20"/>
    </w:rPr>
  </w:style>
  <w:style w:type="character" w:styleId="FootnoteReference">
    <w:name w:val="footnote reference"/>
    <w:basedOn w:val="DefaultParagraphFont"/>
    <w:unhideWhenUsed/>
    <w:qFormat/>
    <w:rsid w:val="00367977"/>
    <w:rPr>
      <w:rFonts w:ascii="Work Sans" w:hAnsi="Work Sans"/>
      <w:sz w:val="14"/>
      <w:szCs w:val="14"/>
    </w:rPr>
  </w:style>
  <w:style w:type="paragraph" w:customStyle="1" w:styleId="Footnote">
    <w:name w:val="Footnote"/>
    <w:basedOn w:val="FootnoteText"/>
    <w:link w:val="FootnoteChar"/>
    <w:qFormat/>
    <w:rsid w:val="00EC13A9"/>
    <w:pPr>
      <w:spacing w:before="40"/>
      <w:ind w:left="113" w:hanging="113"/>
    </w:pPr>
    <w:rPr>
      <w:rFonts w:ascii="Work Sans" w:hAnsi="Work Sans"/>
    </w:rPr>
  </w:style>
  <w:style w:type="character" w:customStyle="1" w:styleId="FootnoteChar">
    <w:name w:val="Footnote Char"/>
    <w:basedOn w:val="FootnoteTextChar"/>
    <w:link w:val="Footnote"/>
    <w:rsid w:val="00EC13A9"/>
    <w:rPr>
      <w:rFonts w:ascii="Work Sans" w:hAnsi="Work Sans"/>
      <w:sz w:val="20"/>
      <w:szCs w:val="20"/>
    </w:rPr>
  </w:style>
  <w:style w:type="table" w:styleId="TableGrid">
    <w:name w:val="Table Grid"/>
    <w:basedOn w:val="TableNormal"/>
    <w:uiPriority w:val="59"/>
    <w:rsid w:val="00141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41E0D"/>
    <w:rPr>
      <w:sz w:val="16"/>
      <w:szCs w:val="16"/>
    </w:rPr>
  </w:style>
  <w:style w:type="paragraph" w:styleId="CommentText">
    <w:name w:val="annotation text"/>
    <w:basedOn w:val="Normal"/>
    <w:link w:val="CommentTextChar"/>
    <w:uiPriority w:val="99"/>
    <w:unhideWhenUsed/>
    <w:rsid w:val="00141E0D"/>
    <w:pPr>
      <w:spacing w:line="240" w:lineRule="auto"/>
    </w:pPr>
    <w:rPr>
      <w:szCs w:val="20"/>
    </w:rPr>
  </w:style>
  <w:style w:type="character" w:customStyle="1" w:styleId="CommentTextChar">
    <w:name w:val="Comment Text Char"/>
    <w:basedOn w:val="DefaultParagraphFont"/>
    <w:link w:val="CommentText"/>
    <w:uiPriority w:val="99"/>
    <w:rsid w:val="00141E0D"/>
    <w:rPr>
      <w:rFonts w:ascii="Open Sans Light" w:hAnsi="Open Sans Light"/>
      <w:sz w:val="20"/>
      <w:szCs w:val="20"/>
    </w:rPr>
  </w:style>
  <w:style w:type="character" w:customStyle="1" w:styleId="Heading4Char">
    <w:name w:val="Heading 4 Char"/>
    <w:basedOn w:val="DefaultParagraphFont"/>
    <w:link w:val="Heading4"/>
    <w:uiPriority w:val="9"/>
    <w:rsid w:val="00A80FDD"/>
    <w:rPr>
      <w:rFonts w:ascii="Work Sans" w:eastAsiaTheme="majorEastAsia" w:hAnsi="Work Sans" w:cstheme="majorBidi"/>
      <w:b/>
      <w:bCs/>
      <w:color w:val="006991"/>
    </w:rPr>
  </w:style>
  <w:style w:type="character" w:customStyle="1" w:styleId="Heading6Char">
    <w:name w:val="Heading 6 Char"/>
    <w:basedOn w:val="DefaultParagraphFont"/>
    <w:link w:val="Heading6"/>
    <w:uiPriority w:val="9"/>
    <w:semiHidden/>
    <w:rsid w:val="00A80FDD"/>
    <w:rPr>
      <w:rFonts w:asciiTheme="majorHAnsi" w:eastAsiaTheme="majorEastAsia" w:hAnsiTheme="majorHAnsi" w:cstheme="majorBidi"/>
      <w:color w:val="002231" w:themeColor="accent1" w:themeShade="7F"/>
      <w:sz w:val="20"/>
      <w:szCs w:val="22"/>
    </w:rPr>
  </w:style>
  <w:style w:type="paragraph" w:styleId="CommentSubject">
    <w:name w:val="annotation subject"/>
    <w:basedOn w:val="CommentText"/>
    <w:next w:val="CommentText"/>
    <w:link w:val="CommentSubjectChar"/>
    <w:uiPriority w:val="99"/>
    <w:semiHidden/>
    <w:unhideWhenUsed/>
    <w:rsid w:val="00A80FDD"/>
    <w:rPr>
      <w:b/>
      <w:bCs/>
    </w:rPr>
  </w:style>
  <w:style w:type="character" w:customStyle="1" w:styleId="CommentSubjectChar">
    <w:name w:val="Comment Subject Char"/>
    <w:basedOn w:val="CommentTextChar"/>
    <w:link w:val="CommentSubject"/>
    <w:uiPriority w:val="99"/>
    <w:semiHidden/>
    <w:rsid w:val="00A80FDD"/>
    <w:rPr>
      <w:rFonts w:ascii="Open Sans Light" w:hAnsi="Open Sans Light"/>
      <w:b/>
      <w:bCs/>
      <w:sz w:val="20"/>
      <w:szCs w:val="20"/>
    </w:rPr>
  </w:style>
  <w:style w:type="character" w:styleId="Mention">
    <w:name w:val="Mention"/>
    <w:basedOn w:val="DefaultParagraphFont"/>
    <w:uiPriority w:val="99"/>
    <w:unhideWhenUsed/>
    <w:rsid w:val="00A80FDD"/>
    <w:rPr>
      <w:color w:val="2B579A"/>
      <w:shd w:val="clear" w:color="auto" w:fill="E1DFDD"/>
    </w:rPr>
  </w:style>
  <w:style w:type="paragraph" w:styleId="Revision">
    <w:name w:val="Revision"/>
    <w:hidden/>
    <w:uiPriority w:val="99"/>
    <w:semiHidden/>
    <w:rsid w:val="00A80FDD"/>
    <w:rPr>
      <w:rFonts w:ascii="Open Sans Light" w:hAnsi="Open Sans Light"/>
      <w:sz w:val="20"/>
      <w:szCs w:val="22"/>
    </w:rPr>
  </w:style>
  <w:style w:type="paragraph" w:styleId="ListParagraph">
    <w:name w:val="List Paragraph"/>
    <w:basedOn w:val="Normal"/>
    <w:uiPriority w:val="34"/>
    <w:qFormat/>
    <w:rsid w:val="00A80FDD"/>
    <w:pPr>
      <w:ind w:left="720"/>
      <w:contextualSpacing/>
    </w:pPr>
  </w:style>
  <w:style w:type="paragraph" w:customStyle="1" w:styleId="Dashpoint">
    <w:name w:val="Dash point"/>
    <w:basedOn w:val="Normal"/>
    <w:qFormat/>
    <w:rsid w:val="006B24ED"/>
    <w:pPr>
      <w:numPr>
        <w:ilvl w:val="1"/>
        <w:numId w:val="1"/>
      </w:numPr>
      <w:tabs>
        <w:tab w:val="clear" w:pos="567"/>
      </w:tabs>
      <w:spacing w:before="240" w:line="300" w:lineRule="atLeast"/>
    </w:pPr>
    <w:rPr>
      <w:rFonts w:ascii="Work Sans" w:eastAsia="Times New Roman" w:hAnsi="Work Sans" w:cs="Times New Roman"/>
      <w:sz w:val="24"/>
      <w:szCs w:val="20"/>
      <w:lang w:eastAsia="en-AU"/>
    </w:rPr>
  </w:style>
  <w:style w:type="paragraph" w:styleId="TOCHeading">
    <w:name w:val="TOC Heading"/>
    <w:basedOn w:val="Heading1"/>
    <w:next w:val="Normal"/>
    <w:uiPriority w:val="39"/>
    <w:unhideWhenUsed/>
    <w:qFormat/>
    <w:rsid w:val="00516CB3"/>
    <w:pPr>
      <w:keepNext/>
      <w:keepLines/>
      <w:spacing w:before="240" w:after="0" w:line="259" w:lineRule="auto"/>
      <w:outlineLvl w:val="9"/>
    </w:pPr>
    <w:rPr>
      <w:rFonts w:asciiTheme="majorHAnsi" w:hAnsiTheme="majorHAnsi" w:cstheme="majorBidi"/>
      <w:b w:val="0"/>
      <w:bCs w:val="0"/>
      <w:color w:val="00334A" w:themeColor="accent1" w:themeShade="BF"/>
      <w:sz w:val="32"/>
      <w:szCs w:val="32"/>
      <w:lang w:val="en-US"/>
    </w:rPr>
  </w:style>
  <w:style w:type="paragraph" w:styleId="TOC1">
    <w:name w:val="toc 1"/>
    <w:basedOn w:val="Normal"/>
    <w:next w:val="Normal"/>
    <w:autoRedefine/>
    <w:uiPriority w:val="39"/>
    <w:unhideWhenUsed/>
    <w:rsid w:val="00651659"/>
    <w:pPr>
      <w:tabs>
        <w:tab w:val="clear" w:pos="567"/>
        <w:tab w:val="left" w:pos="400"/>
        <w:tab w:val="right" w:leader="dot" w:pos="9054"/>
      </w:tabs>
      <w:spacing w:after="100"/>
    </w:pPr>
    <w:rPr>
      <w:rFonts w:ascii="Work Sans" w:eastAsiaTheme="majorEastAsia" w:hAnsi="Work Sans" w:cs="Open Sans"/>
      <w:noProof/>
    </w:rPr>
  </w:style>
  <w:style w:type="paragraph" w:styleId="TOC2">
    <w:name w:val="toc 2"/>
    <w:basedOn w:val="Normal"/>
    <w:next w:val="Normal"/>
    <w:autoRedefine/>
    <w:uiPriority w:val="39"/>
    <w:unhideWhenUsed/>
    <w:rsid w:val="00516CB3"/>
    <w:pPr>
      <w:tabs>
        <w:tab w:val="clear" w:pos="567"/>
      </w:tabs>
      <w:spacing w:after="100"/>
      <w:ind w:left="200"/>
    </w:pPr>
  </w:style>
  <w:style w:type="paragraph" w:styleId="TOC3">
    <w:name w:val="toc 3"/>
    <w:basedOn w:val="Normal"/>
    <w:next w:val="Normal"/>
    <w:autoRedefine/>
    <w:uiPriority w:val="39"/>
    <w:unhideWhenUsed/>
    <w:rsid w:val="00516CB3"/>
    <w:pPr>
      <w:tabs>
        <w:tab w:val="clear" w:pos="567"/>
      </w:tabs>
      <w:spacing w:after="100"/>
      <w:ind w:left="400"/>
    </w:pPr>
  </w:style>
  <w:style w:type="paragraph" w:customStyle="1" w:styleId="CGCParaNumber">
    <w:name w:val="CGC Para Number"/>
    <w:basedOn w:val="Normal"/>
    <w:qFormat/>
    <w:rsid w:val="005A0452"/>
    <w:pPr>
      <w:numPr>
        <w:numId w:val="11"/>
      </w:numPr>
    </w:pPr>
  </w:style>
  <w:style w:type="paragraph" w:customStyle="1" w:styleId="CGCTableHeading">
    <w:name w:val="CGC Table Heading"/>
    <w:basedOn w:val="Normal"/>
    <w:next w:val="Normal"/>
    <w:link w:val="CGCTableHeadingChar"/>
    <w:rsid w:val="005A0452"/>
    <w:pPr>
      <w:keepNext/>
      <w:keepLines/>
      <w:tabs>
        <w:tab w:val="clear" w:pos="567"/>
        <w:tab w:val="left" w:pos="1134"/>
        <w:tab w:val="left" w:pos="1420"/>
      </w:tabs>
      <w:spacing w:before="0" w:line="240" w:lineRule="auto"/>
    </w:pPr>
    <w:rPr>
      <w:rFonts w:ascii="Open Sans Semibold" w:hAnsi="Open Sans Semibold"/>
      <w:color w:val="FFFFFF" w:themeColor="background1"/>
      <w:sz w:val="16"/>
      <w:szCs w:val="20"/>
    </w:rPr>
  </w:style>
  <w:style w:type="paragraph" w:customStyle="1" w:styleId="CGCTablesubhead1">
    <w:name w:val="CGC Table subhead1"/>
    <w:basedOn w:val="Normal"/>
    <w:rsid w:val="005A0452"/>
    <w:pPr>
      <w:spacing w:before="0" w:line="240" w:lineRule="auto"/>
    </w:pPr>
    <w:rPr>
      <w:rFonts w:ascii="Open Sans Semibold" w:hAnsi="Open Sans Semibold"/>
      <w:sz w:val="16"/>
    </w:rPr>
  </w:style>
  <w:style w:type="character" w:customStyle="1" w:styleId="CGCTableHeadingChar">
    <w:name w:val="CGC Table Heading Char"/>
    <w:basedOn w:val="DefaultParagraphFont"/>
    <w:link w:val="CGCTableHeading"/>
    <w:rsid w:val="005A0452"/>
    <w:rPr>
      <w:rFonts w:ascii="Open Sans Semibold" w:hAnsi="Open Sans Semibold"/>
      <w:color w:val="FFFFFF" w:themeColor="background1"/>
      <w:sz w:val="16"/>
      <w:szCs w:val="20"/>
    </w:rPr>
  </w:style>
  <w:style w:type="paragraph" w:customStyle="1" w:styleId="paragraph">
    <w:name w:val="paragraph"/>
    <w:basedOn w:val="Normal"/>
    <w:rsid w:val="005A0452"/>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char">
    <w:name w:val="tabchar"/>
    <w:basedOn w:val="DefaultParagraphFont"/>
    <w:rsid w:val="005A0452"/>
  </w:style>
  <w:style w:type="character" w:customStyle="1" w:styleId="eop">
    <w:name w:val="eop"/>
    <w:basedOn w:val="DefaultParagraphFont"/>
    <w:rsid w:val="005A0452"/>
  </w:style>
  <w:style w:type="paragraph" w:customStyle="1" w:styleId="TableRowNormal">
    <w:name w:val="TableRowNormal"/>
    <w:basedOn w:val="Normal"/>
    <w:rsid w:val="005A0452"/>
    <w:pPr>
      <w:keepNext/>
      <w:keepLines/>
      <w:tabs>
        <w:tab w:val="left" w:pos="475"/>
        <w:tab w:val="left" w:pos="1440"/>
        <w:tab w:val="left" w:pos="2160"/>
        <w:tab w:val="left" w:pos="2880"/>
      </w:tabs>
      <w:spacing w:before="60" w:after="60" w:line="200" w:lineRule="atLeast"/>
      <w:ind w:left="144" w:hanging="144"/>
      <w:jc w:val="right"/>
    </w:pPr>
    <w:rPr>
      <w:szCs w:val="20"/>
    </w:rPr>
  </w:style>
  <w:style w:type="paragraph" w:customStyle="1" w:styleId="CGCTableStub">
    <w:name w:val="CGC Table Stub"/>
    <w:basedOn w:val="Normal"/>
    <w:link w:val="CGCTableStubChar"/>
    <w:rsid w:val="005A0452"/>
    <w:pPr>
      <w:keepNext/>
      <w:keepLines/>
      <w:tabs>
        <w:tab w:val="left" w:pos="284"/>
      </w:tabs>
      <w:spacing w:before="60" w:after="60" w:line="200" w:lineRule="atLeast"/>
    </w:pPr>
    <w:rPr>
      <w:rFonts w:asciiTheme="minorHAnsi" w:hAnsiTheme="minorHAnsi"/>
      <w:szCs w:val="20"/>
    </w:rPr>
  </w:style>
  <w:style w:type="character" w:customStyle="1" w:styleId="CGCTableStubChar">
    <w:name w:val="CGC Table Stub Char"/>
    <w:basedOn w:val="DefaultParagraphFont"/>
    <w:link w:val="CGCTableStub"/>
    <w:rsid w:val="005A0452"/>
    <w:rPr>
      <w:sz w:val="20"/>
      <w:szCs w:val="20"/>
    </w:rPr>
  </w:style>
  <w:style w:type="paragraph" w:customStyle="1" w:styleId="CGCBullet1">
    <w:name w:val="CGC Bullet 1"/>
    <w:basedOn w:val="Normal"/>
    <w:qFormat/>
    <w:rsid w:val="00852485"/>
    <w:pPr>
      <w:numPr>
        <w:numId w:val="41"/>
      </w:numPr>
    </w:pPr>
  </w:style>
  <w:style w:type="paragraph" w:styleId="EndnoteText">
    <w:name w:val="endnote text"/>
    <w:basedOn w:val="Normal"/>
    <w:link w:val="EndnoteTextChar"/>
    <w:uiPriority w:val="99"/>
    <w:semiHidden/>
    <w:unhideWhenUsed/>
    <w:rsid w:val="00F7353A"/>
    <w:pPr>
      <w:spacing w:before="0" w:line="240" w:lineRule="auto"/>
    </w:pPr>
    <w:rPr>
      <w:szCs w:val="20"/>
    </w:rPr>
  </w:style>
  <w:style w:type="character" w:customStyle="1" w:styleId="EndnoteTextChar">
    <w:name w:val="Endnote Text Char"/>
    <w:basedOn w:val="DefaultParagraphFont"/>
    <w:link w:val="EndnoteText"/>
    <w:uiPriority w:val="99"/>
    <w:semiHidden/>
    <w:rsid w:val="00F7353A"/>
    <w:rPr>
      <w:rFonts w:ascii="Open Sans Light" w:hAnsi="Open Sans Light"/>
      <w:sz w:val="20"/>
      <w:szCs w:val="20"/>
    </w:rPr>
  </w:style>
  <w:style w:type="character" w:styleId="EndnoteReference">
    <w:name w:val="endnote reference"/>
    <w:basedOn w:val="DefaultParagraphFont"/>
    <w:uiPriority w:val="99"/>
    <w:semiHidden/>
    <w:unhideWhenUsed/>
    <w:rsid w:val="00F7353A"/>
    <w:rPr>
      <w:vertAlign w:val="superscript"/>
    </w:rPr>
  </w:style>
  <w:style w:type="character" w:styleId="FollowedHyperlink">
    <w:name w:val="FollowedHyperlink"/>
    <w:basedOn w:val="DefaultParagraphFont"/>
    <w:uiPriority w:val="99"/>
    <w:semiHidden/>
    <w:unhideWhenUsed/>
    <w:rsid w:val="00BE344A"/>
    <w:rPr>
      <w:color w:val="93EA9E" w:themeColor="followedHyperlink"/>
      <w:u w:val="single"/>
    </w:rPr>
  </w:style>
  <w:style w:type="paragraph" w:customStyle="1" w:styleId="CGCDataCaption">
    <w:name w:val="CGC Data Caption"/>
    <w:basedOn w:val="Normal"/>
    <w:next w:val="NoSpacing"/>
    <w:link w:val="DataCaptionChar"/>
    <w:rsid w:val="00661543"/>
    <w:pPr>
      <w:tabs>
        <w:tab w:val="clear" w:pos="567"/>
        <w:tab w:val="left" w:pos="851"/>
      </w:tabs>
      <w:spacing w:before="0" w:line="240" w:lineRule="auto"/>
      <w:ind w:left="851" w:hanging="851"/>
    </w:pPr>
    <w:rPr>
      <w:szCs w:val="24"/>
    </w:rPr>
  </w:style>
  <w:style w:type="character" w:customStyle="1" w:styleId="DataCaptionChar">
    <w:name w:val="Data Caption Char"/>
    <w:basedOn w:val="DefaultParagraphFont"/>
    <w:link w:val="CGCDataCaption"/>
    <w:rsid w:val="00661543"/>
    <w:rPr>
      <w:rFonts w:ascii="Open Sans Light" w:hAnsi="Open Sans Light"/>
      <w:sz w:val="20"/>
    </w:rPr>
  </w:style>
  <w:style w:type="paragraph" w:styleId="NoSpacing">
    <w:name w:val="No Spacing"/>
    <w:uiPriority w:val="1"/>
    <w:qFormat/>
    <w:rsid w:val="00661543"/>
    <w:pPr>
      <w:tabs>
        <w:tab w:val="left" w:pos="567"/>
      </w:tabs>
    </w:pPr>
    <w:rPr>
      <w:rFonts w:ascii="Open Sans Light" w:hAnsi="Open Sans Light"/>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1247">
      <w:bodyDiv w:val="1"/>
      <w:marLeft w:val="0"/>
      <w:marRight w:val="0"/>
      <w:marTop w:val="0"/>
      <w:marBottom w:val="0"/>
      <w:divBdr>
        <w:top w:val="none" w:sz="0" w:space="0" w:color="auto"/>
        <w:left w:val="none" w:sz="0" w:space="0" w:color="auto"/>
        <w:bottom w:val="none" w:sz="0" w:space="0" w:color="auto"/>
        <w:right w:val="none" w:sz="0" w:space="0" w:color="auto"/>
      </w:divBdr>
    </w:div>
    <w:div w:id="19403697">
      <w:bodyDiv w:val="1"/>
      <w:marLeft w:val="0"/>
      <w:marRight w:val="0"/>
      <w:marTop w:val="0"/>
      <w:marBottom w:val="0"/>
      <w:divBdr>
        <w:top w:val="none" w:sz="0" w:space="0" w:color="auto"/>
        <w:left w:val="none" w:sz="0" w:space="0" w:color="auto"/>
        <w:bottom w:val="none" w:sz="0" w:space="0" w:color="auto"/>
        <w:right w:val="none" w:sz="0" w:space="0" w:color="auto"/>
      </w:divBdr>
    </w:div>
    <w:div w:id="76874204">
      <w:bodyDiv w:val="1"/>
      <w:marLeft w:val="0"/>
      <w:marRight w:val="0"/>
      <w:marTop w:val="0"/>
      <w:marBottom w:val="0"/>
      <w:divBdr>
        <w:top w:val="none" w:sz="0" w:space="0" w:color="auto"/>
        <w:left w:val="none" w:sz="0" w:space="0" w:color="auto"/>
        <w:bottom w:val="none" w:sz="0" w:space="0" w:color="auto"/>
        <w:right w:val="none" w:sz="0" w:space="0" w:color="auto"/>
      </w:divBdr>
    </w:div>
    <w:div w:id="90054840">
      <w:bodyDiv w:val="1"/>
      <w:marLeft w:val="0"/>
      <w:marRight w:val="0"/>
      <w:marTop w:val="0"/>
      <w:marBottom w:val="0"/>
      <w:divBdr>
        <w:top w:val="none" w:sz="0" w:space="0" w:color="auto"/>
        <w:left w:val="none" w:sz="0" w:space="0" w:color="auto"/>
        <w:bottom w:val="none" w:sz="0" w:space="0" w:color="auto"/>
        <w:right w:val="none" w:sz="0" w:space="0" w:color="auto"/>
      </w:divBdr>
    </w:div>
    <w:div w:id="94979661">
      <w:bodyDiv w:val="1"/>
      <w:marLeft w:val="0"/>
      <w:marRight w:val="0"/>
      <w:marTop w:val="0"/>
      <w:marBottom w:val="0"/>
      <w:divBdr>
        <w:top w:val="none" w:sz="0" w:space="0" w:color="auto"/>
        <w:left w:val="none" w:sz="0" w:space="0" w:color="auto"/>
        <w:bottom w:val="none" w:sz="0" w:space="0" w:color="auto"/>
        <w:right w:val="none" w:sz="0" w:space="0" w:color="auto"/>
      </w:divBdr>
    </w:div>
    <w:div w:id="205607081">
      <w:bodyDiv w:val="1"/>
      <w:marLeft w:val="0"/>
      <w:marRight w:val="0"/>
      <w:marTop w:val="0"/>
      <w:marBottom w:val="0"/>
      <w:divBdr>
        <w:top w:val="none" w:sz="0" w:space="0" w:color="auto"/>
        <w:left w:val="none" w:sz="0" w:space="0" w:color="auto"/>
        <w:bottom w:val="none" w:sz="0" w:space="0" w:color="auto"/>
        <w:right w:val="none" w:sz="0" w:space="0" w:color="auto"/>
      </w:divBdr>
    </w:div>
    <w:div w:id="284584457">
      <w:bodyDiv w:val="1"/>
      <w:marLeft w:val="0"/>
      <w:marRight w:val="0"/>
      <w:marTop w:val="0"/>
      <w:marBottom w:val="0"/>
      <w:divBdr>
        <w:top w:val="none" w:sz="0" w:space="0" w:color="auto"/>
        <w:left w:val="none" w:sz="0" w:space="0" w:color="auto"/>
        <w:bottom w:val="none" w:sz="0" w:space="0" w:color="auto"/>
        <w:right w:val="none" w:sz="0" w:space="0" w:color="auto"/>
      </w:divBdr>
    </w:div>
    <w:div w:id="307519294">
      <w:bodyDiv w:val="1"/>
      <w:marLeft w:val="0"/>
      <w:marRight w:val="0"/>
      <w:marTop w:val="0"/>
      <w:marBottom w:val="0"/>
      <w:divBdr>
        <w:top w:val="none" w:sz="0" w:space="0" w:color="auto"/>
        <w:left w:val="none" w:sz="0" w:space="0" w:color="auto"/>
        <w:bottom w:val="none" w:sz="0" w:space="0" w:color="auto"/>
        <w:right w:val="none" w:sz="0" w:space="0" w:color="auto"/>
      </w:divBdr>
    </w:div>
    <w:div w:id="315110683">
      <w:bodyDiv w:val="1"/>
      <w:marLeft w:val="0"/>
      <w:marRight w:val="0"/>
      <w:marTop w:val="0"/>
      <w:marBottom w:val="0"/>
      <w:divBdr>
        <w:top w:val="none" w:sz="0" w:space="0" w:color="auto"/>
        <w:left w:val="none" w:sz="0" w:space="0" w:color="auto"/>
        <w:bottom w:val="none" w:sz="0" w:space="0" w:color="auto"/>
        <w:right w:val="none" w:sz="0" w:space="0" w:color="auto"/>
      </w:divBdr>
    </w:div>
    <w:div w:id="323628550">
      <w:bodyDiv w:val="1"/>
      <w:marLeft w:val="0"/>
      <w:marRight w:val="0"/>
      <w:marTop w:val="0"/>
      <w:marBottom w:val="0"/>
      <w:divBdr>
        <w:top w:val="none" w:sz="0" w:space="0" w:color="auto"/>
        <w:left w:val="none" w:sz="0" w:space="0" w:color="auto"/>
        <w:bottom w:val="none" w:sz="0" w:space="0" w:color="auto"/>
        <w:right w:val="none" w:sz="0" w:space="0" w:color="auto"/>
      </w:divBdr>
    </w:div>
    <w:div w:id="328143027">
      <w:bodyDiv w:val="1"/>
      <w:marLeft w:val="0"/>
      <w:marRight w:val="0"/>
      <w:marTop w:val="0"/>
      <w:marBottom w:val="0"/>
      <w:divBdr>
        <w:top w:val="none" w:sz="0" w:space="0" w:color="auto"/>
        <w:left w:val="none" w:sz="0" w:space="0" w:color="auto"/>
        <w:bottom w:val="none" w:sz="0" w:space="0" w:color="auto"/>
        <w:right w:val="none" w:sz="0" w:space="0" w:color="auto"/>
      </w:divBdr>
    </w:div>
    <w:div w:id="365568797">
      <w:bodyDiv w:val="1"/>
      <w:marLeft w:val="0"/>
      <w:marRight w:val="0"/>
      <w:marTop w:val="0"/>
      <w:marBottom w:val="0"/>
      <w:divBdr>
        <w:top w:val="none" w:sz="0" w:space="0" w:color="auto"/>
        <w:left w:val="none" w:sz="0" w:space="0" w:color="auto"/>
        <w:bottom w:val="none" w:sz="0" w:space="0" w:color="auto"/>
        <w:right w:val="none" w:sz="0" w:space="0" w:color="auto"/>
      </w:divBdr>
    </w:div>
    <w:div w:id="365984799">
      <w:bodyDiv w:val="1"/>
      <w:marLeft w:val="0"/>
      <w:marRight w:val="0"/>
      <w:marTop w:val="0"/>
      <w:marBottom w:val="0"/>
      <w:divBdr>
        <w:top w:val="none" w:sz="0" w:space="0" w:color="auto"/>
        <w:left w:val="none" w:sz="0" w:space="0" w:color="auto"/>
        <w:bottom w:val="none" w:sz="0" w:space="0" w:color="auto"/>
        <w:right w:val="none" w:sz="0" w:space="0" w:color="auto"/>
      </w:divBdr>
    </w:div>
    <w:div w:id="410395843">
      <w:bodyDiv w:val="1"/>
      <w:marLeft w:val="0"/>
      <w:marRight w:val="0"/>
      <w:marTop w:val="0"/>
      <w:marBottom w:val="0"/>
      <w:divBdr>
        <w:top w:val="none" w:sz="0" w:space="0" w:color="auto"/>
        <w:left w:val="none" w:sz="0" w:space="0" w:color="auto"/>
        <w:bottom w:val="none" w:sz="0" w:space="0" w:color="auto"/>
        <w:right w:val="none" w:sz="0" w:space="0" w:color="auto"/>
      </w:divBdr>
    </w:div>
    <w:div w:id="443236732">
      <w:bodyDiv w:val="1"/>
      <w:marLeft w:val="0"/>
      <w:marRight w:val="0"/>
      <w:marTop w:val="0"/>
      <w:marBottom w:val="0"/>
      <w:divBdr>
        <w:top w:val="none" w:sz="0" w:space="0" w:color="auto"/>
        <w:left w:val="none" w:sz="0" w:space="0" w:color="auto"/>
        <w:bottom w:val="none" w:sz="0" w:space="0" w:color="auto"/>
        <w:right w:val="none" w:sz="0" w:space="0" w:color="auto"/>
      </w:divBdr>
    </w:div>
    <w:div w:id="473987294">
      <w:bodyDiv w:val="1"/>
      <w:marLeft w:val="0"/>
      <w:marRight w:val="0"/>
      <w:marTop w:val="0"/>
      <w:marBottom w:val="0"/>
      <w:divBdr>
        <w:top w:val="none" w:sz="0" w:space="0" w:color="auto"/>
        <w:left w:val="none" w:sz="0" w:space="0" w:color="auto"/>
        <w:bottom w:val="none" w:sz="0" w:space="0" w:color="auto"/>
        <w:right w:val="none" w:sz="0" w:space="0" w:color="auto"/>
      </w:divBdr>
    </w:div>
    <w:div w:id="488012947">
      <w:bodyDiv w:val="1"/>
      <w:marLeft w:val="0"/>
      <w:marRight w:val="0"/>
      <w:marTop w:val="0"/>
      <w:marBottom w:val="0"/>
      <w:divBdr>
        <w:top w:val="none" w:sz="0" w:space="0" w:color="auto"/>
        <w:left w:val="none" w:sz="0" w:space="0" w:color="auto"/>
        <w:bottom w:val="none" w:sz="0" w:space="0" w:color="auto"/>
        <w:right w:val="none" w:sz="0" w:space="0" w:color="auto"/>
      </w:divBdr>
    </w:div>
    <w:div w:id="496190813">
      <w:bodyDiv w:val="1"/>
      <w:marLeft w:val="0"/>
      <w:marRight w:val="0"/>
      <w:marTop w:val="0"/>
      <w:marBottom w:val="0"/>
      <w:divBdr>
        <w:top w:val="none" w:sz="0" w:space="0" w:color="auto"/>
        <w:left w:val="none" w:sz="0" w:space="0" w:color="auto"/>
        <w:bottom w:val="none" w:sz="0" w:space="0" w:color="auto"/>
        <w:right w:val="none" w:sz="0" w:space="0" w:color="auto"/>
      </w:divBdr>
    </w:div>
    <w:div w:id="569537075">
      <w:bodyDiv w:val="1"/>
      <w:marLeft w:val="0"/>
      <w:marRight w:val="0"/>
      <w:marTop w:val="0"/>
      <w:marBottom w:val="0"/>
      <w:divBdr>
        <w:top w:val="none" w:sz="0" w:space="0" w:color="auto"/>
        <w:left w:val="none" w:sz="0" w:space="0" w:color="auto"/>
        <w:bottom w:val="none" w:sz="0" w:space="0" w:color="auto"/>
        <w:right w:val="none" w:sz="0" w:space="0" w:color="auto"/>
      </w:divBdr>
    </w:div>
    <w:div w:id="619532455">
      <w:bodyDiv w:val="1"/>
      <w:marLeft w:val="0"/>
      <w:marRight w:val="0"/>
      <w:marTop w:val="0"/>
      <w:marBottom w:val="0"/>
      <w:divBdr>
        <w:top w:val="none" w:sz="0" w:space="0" w:color="auto"/>
        <w:left w:val="none" w:sz="0" w:space="0" w:color="auto"/>
        <w:bottom w:val="none" w:sz="0" w:space="0" w:color="auto"/>
        <w:right w:val="none" w:sz="0" w:space="0" w:color="auto"/>
      </w:divBdr>
    </w:div>
    <w:div w:id="619729746">
      <w:bodyDiv w:val="1"/>
      <w:marLeft w:val="0"/>
      <w:marRight w:val="0"/>
      <w:marTop w:val="0"/>
      <w:marBottom w:val="0"/>
      <w:divBdr>
        <w:top w:val="none" w:sz="0" w:space="0" w:color="auto"/>
        <w:left w:val="none" w:sz="0" w:space="0" w:color="auto"/>
        <w:bottom w:val="none" w:sz="0" w:space="0" w:color="auto"/>
        <w:right w:val="none" w:sz="0" w:space="0" w:color="auto"/>
      </w:divBdr>
    </w:div>
    <w:div w:id="634721073">
      <w:bodyDiv w:val="1"/>
      <w:marLeft w:val="0"/>
      <w:marRight w:val="0"/>
      <w:marTop w:val="0"/>
      <w:marBottom w:val="0"/>
      <w:divBdr>
        <w:top w:val="none" w:sz="0" w:space="0" w:color="auto"/>
        <w:left w:val="none" w:sz="0" w:space="0" w:color="auto"/>
        <w:bottom w:val="none" w:sz="0" w:space="0" w:color="auto"/>
        <w:right w:val="none" w:sz="0" w:space="0" w:color="auto"/>
      </w:divBdr>
    </w:div>
    <w:div w:id="635061217">
      <w:bodyDiv w:val="1"/>
      <w:marLeft w:val="0"/>
      <w:marRight w:val="0"/>
      <w:marTop w:val="0"/>
      <w:marBottom w:val="0"/>
      <w:divBdr>
        <w:top w:val="none" w:sz="0" w:space="0" w:color="auto"/>
        <w:left w:val="none" w:sz="0" w:space="0" w:color="auto"/>
        <w:bottom w:val="none" w:sz="0" w:space="0" w:color="auto"/>
        <w:right w:val="none" w:sz="0" w:space="0" w:color="auto"/>
      </w:divBdr>
    </w:div>
    <w:div w:id="647056885">
      <w:bodyDiv w:val="1"/>
      <w:marLeft w:val="0"/>
      <w:marRight w:val="0"/>
      <w:marTop w:val="0"/>
      <w:marBottom w:val="0"/>
      <w:divBdr>
        <w:top w:val="none" w:sz="0" w:space="0" w:color="auto"/>
        <w:left w:val="none" w:sz="0" w:space="0" w:color="auto"/>
        <w:bottom w:val="none" w:sz="0" w:space="0" w:color="auto"/>
        <w:right w:val="none" w:sz="0" w:space="0" w:color="auto"/>
      </w:divBdr>
    </w:div>
    <w:div w:id="666136013">
      <w:bodyDiv w:val="1"/>
      <w:marLeft w:val="0"/>
      <w:marRight w:val="0"/>
      <w:marTop w:val="0"/>
      <w:marBottom w:val="0"/>
      <w:divBdr>
        <w:top w:val="none" w:sz="0" w:space="0" w:color="auto"/>
        <w:left w:val="none" w:sz="0" w:space="0" w:color="auto"/>
        <w:bottom w:val="none" w:sz="0" w:space="0" w:color="auto"/>
        <w:right w:val="none" w:sz="0" w:space="0" w:color="auto"/>
      </w:divBdr>
    </w:div>
    <w:div w:id="706685977">
      <w:bodyDiv w:val="1"/>
      <w:marLeft w:val="0"/>
      <w:marRight w:val="0"/>
      <w:marTop w:val="0"/>
      <w:marBottom w:val="0"/>
      <w:divBdr>
        <w:top w:val="none" w:sz="0" w:space="0" w:color="auto"/>
        <w:left w:val="none" w:sz="0" w:space="0" w:color="auto"/>
        <w:bottom w:val="none" w:sz="0" w:space="0" w:color="auto"/>
        <w:right w:val="none" w:sz="0" w:space="0" w:color="auto"/>
      </w:divBdr>
    </w:div>
    <w:div w:id="734817823">
      <w:bodyDiv w:val="1"/>
      <w:marLeft w:val="0"/>
      <w:marRight w:val="0"/>
      <w:marTop w:val="0"/>
      <w:marBottom w:val="0"/>
      <w:divBdr>
        <w:top w:val="none" w:sz="0" w:space="0" w:color="auto"/>
        <w:left w:val="none" w:sz="0" w:space="0" w:color="auto"/>
        <w:bottom w:val="none" w:sz="0" w:space="0" w:color="auto"/>
        <w:right w:val="none" w:sz="0" w:space="0" w:color="auto"/>
      </w:divBdr>
    </w:div>
    <w:div w:id="743920241">
      <w:bodyDiv w:val="1"/>
      <w:marLeft w:val="0"/>
      <w:marRight w:val="0"/>
      <w:marTop w:val="0"/>
      <w:marBottom w:val="0"/>
      <w:divBdr>
        <w:top w:val="none" w:sz="0" w:space="0" w:color="auto"/>
        <w:left w:val="none" w:sz="0" w:space="0" w:color="auto"/>
        <w:bottom w:val="none" w:sz="0" w:space="0" w:color="auto"/>
        <w:right w:val="none" w:sz="0" w:space="0" w:color="auto"/>
      </w:divBdr>
    </w:div>
    <w:div w:id="795756567">
      <w:bodyDiv w:val="1"/>
      <w:marLeft w:val="0"/>
      <w:marRight w:val="0"/>
      <w:marTop w:val="0"/>
      <w:marBottom w:val="0"/>
      <w:divBdr>
        <w:top w:val="none" w:sz="0" w:space="0" w:color="auto"/>
        <w:left w:val="none" w:sz="0" w:space="0" w:color="auto"/>
        <w:bottom w:val="none" w:sz="0" w:space="0" w:color="auto"/>
        <w:right w:val="none" w:sz="0" w:space="0" w:color="auto"/>
      </w:divBdr>
    </w:div>
    <w:div w:id="812989616">
      <w:bodyDiv w:val="1"/>
      <w:marLeft w:val="0"/>
      <w:marRight w:val="0"/>
      <w:marTop w:val="0"/>
      <w:marBottom w:val="0"/>
      <w:divBdr>
        <w:top w:val="none" w:sz="0" w:space="0" w:color="auto"/>
        <w:left w:val="none" w:sz="0" w:space="0" w:color="auto"/>
        <w:bottom w:val="none" w:sz="0" w:space="0" w:color="auto"/>
        <w:right w:val="none" w:sz="0" w:space="0" w:color="auto"/>
      </w:divBdr>
    </w:div>
    <w:div w:id="835533292">
      <w:bodyDiv w:val="1"/>
      <w:marLeft w:val="0"/>
      <w:marRight w:val="0"/>
      <w:marTop w:val="0"/>
      <w:marBottom w:val="0"/>
      <w:divBdr>
        <w:top w:val="none" w:sz="0" w:space="0" w:color="auto"/>
        <w:left w:val="none" w:sz="0" w:space="0" w:color="auto"/>
        <w:bottom w:val="none" w:sz="0" w:space="0" w:color="auto"/>
        <w:right w:val="none" w:sz="0" w:space="0" w:color="auto"/>
      </w:divBdr>
    </w:div>
    <w:div w:id="841287063">
      <w:bodyDiv w:val="1"/>
      <w:marLeft w:val="0"/>
      <w:marRight w:val="0"/>
      <w:marTop w:val="0"/>
      <w:marBottom w:val="0"/>
      <w:divBdr>
        <w:top w:val="none" w:sz="0" w:space="0" w:color="auto"/>
        <w:left w:val="none" w:sz="0" w:space="0" w:color="auto"/>
        <w:bottom w:val="none" w:sz="0" w:space="0" w:color="auto"/>
        <w:right w:val="none" w:sz="0" w:space="0" w:color="auto"/>
      </w:divBdr>
    </w:div>
    <w:div w:id="842667346">
      <w:bodyDiv w:val="1"/>
      <w:marLeft w:val="0"/>
      <w:marRight w:val="0"/>
      <w:marTop w:val="0"/>
      <w:marBottom w:val="0"/>
      <w:divBdr>
        <w:top w:val="none" w:sz="0" w:space="0" w:color="auto"/>
        <w:left w:val="none" w:sz="0" w:space="0" w:color="auto"/>
        <w:bottom w:val="none" w:sz="0" w:space="0" w:color="auto"/>
        <w:right w:val="none" w:sz="0" w:space="0" w:color="auto"/>
      </w:divBdr>
    </w:div>
    <w:div w:id="879048451">
      <w:bodyDiv w:val="1"/>
      <w:marLeft w:val="0"/>
      <w:marRight w:val="0"/>
      <w:marTop w:val="0"/>
      <w:marBottom w:val="0"/>
      <w:divBdr>
        <w:top w:val="none" w:sz="0" w:space="0" w:color="auto"/>
        <w:left w:val="none" w:sz="0" w:space="0" w:color="auto"/>
        <w:bottom w:val="none" w:sz="0" w:space="0" w:color="auto"/>
        <w:right w:val="none" w:sz="0" w:space="0" w:color="auto"/>
      </w:divBdr>
    </w:div>
    <w:div w:id="920717133">
      <w:bodyDiv w:val="1"/>
      <w:marLeft w:val="0"/>
      <w:marRight w:val="0"/>
      <w:marTop w:val="0"/>
      <w:marBottom w:val="0"/>
      <w:divBdr>
        <w:top w:val="none" w:sz="0" w:space="0" w:color="auto"/>
        <w:left w:val="none" w:sz="0" w:space="0" w:color="auto"/>
        <w:bottom w:val="none" w:sz="0" w:space="0" w:color="auto"/>
        <w:right w:val="none" w:sz="0" w:space="0" w:color="auto"/>
      </w:divBdr>
    </w:div>
    <w:div w:id="942036716">
      <w:bodyDiv w:val="1"/>
      <w:marLeft w:val="0"/>
      <w:marRight w:val="0"/>
      <w:marTop w:val="0"/>
      <w:marBottom w:val="0"/>
      <w:divBdr>
        <w:top w:val="none" w:sz="0" w:space="0" w:color="auto"/>
        <w:left w:val="none" w:sz="0" w:space="0" w:color="auto"/>
        <w:bottom w:val="none" w:sz="0" w:space="0" w:color="auto"/>
        <w:right w:val="none" w:sz="0" w:space="0" w:color="auto"/>
      </w:divBdr>
    </w:div>
    <w:div w:id="1012411720">
      <w:bodyDiv w:val="1"/>
      <w:marLeft w:val="0"/>
      <w:marRight w:val="0"/>
      <w:marTop w:val="0"/>
      <w:marBottom w:val="0"/>
      <w:divBdr>
        <w:top w:val="none" w:sz="0" w:space="0" w:color="auto"/>
        <w:left w:val="none" w:sz="0" w:space="0" w:color="auto"/>
        <w:bottom w:val="none" w:sz="0" w:space="0" w:color="auto"/>
        <w:right w:val="none" w:sz="0" w:space="0" w:color="auto"/>
      </w:divBdr>
    </w:div>
    <w:div w:id="1163738921">
      <w:bodyDiv w:val="1"/>
      <w:marLeft w:val="0"/>
      <w:marRight w:val="0"/>
      <w:marTop w:val="0"/>
      <w:marBottom w:val="0"/>
      <w:divBdr>
        <w:top w:val="none" w:sz="0" w:space="0" w:color="auto"/>
        <w:left w:val="none" w:sz="0" w:space="0" w:color="auto"/>
        <w:bottom w:val="none" w:sz="0" w:space="0" w:color="auto"/>
        <w:right w:val="none" w:sz="0" w:space="0" w:color="auto"/>
      </w:divBdr>
    </w:div>
    <w:div w:id="1170171734">
      <w:bodyDiv w:val="1"/>
      <w:marLeft w:val="0"/>
      <w:marRight w:val="0"/>
      <w:marTop w:val="0"/>
      <w:marBottom w:val="0"/>
      <w:divBdr>
        <w:top w:val="none" w:sz="0" w:space="0" w:color="auto"/>
        <w:left w:val="none" w:sz="0" w:space="0" w:color="auto"/>
        <w:bottom w:val="none" w:sz="0" w:space="0" w:color="auto"/>
        <w:right w:val="none" w:sz="0" w:space="0" w:color="auto"/>
      </w:divBdr>
    </w:div>
    <w:div w:id="1223103207">
      <w:bodyDiv w:val="1"/>
      <w:marLeft w:val="0"/>
      <w:marRight w:val="0"/>
      <w:marTop w:val="0"/>
      <w:marBottom w:val="0"/>
      <w:divBdr>
        <w:top w:val="none" w:sz="0" w:space="0" w:color="auto"/>
        <w:left w:val="none" w:sz="0" w:space="0" w:color="auto"/>
        <w:bottom w:val="none" w:sz="0" w:space="0" w:color="auto"/>
        <w:right w:val="none" w:sz="0" w:space="0" w:color="auto"/>
      </w:divBdr>
    </w:div>
    <w:div w:id="1331517695">
      <w:bodyDiv w:val="1"/>
      <w:marLeft w:val="0"/>
      <w:marRight w:val="0"/>
      <w:marTop w:val="0"/>
      <w:marBottom w:val="0"/>
      <w:divBdr>
        <w:top w:val="none" w:sz="0" w:space="0" w:color="auto"/>
        <w:left w:val="none" w:sz="0" w:space="0" w:color="auto"/>
        <w:bottom w:val="none" w:sz="0" w:space="0" w:color="auto"/>
        <w:right w:val="none" w:sz="0" w:space="0" w:color="auto"/>
      </w:divBdr>
    </w:div>
    <w:div w:id="1376807967">
      <w:bodyDiv w:val="1"/>
      <w:marLeft w:val="0"/>
      <w:marRight w:val="0"/>
      <w:marTop w:val="0"/>
      <w:marBottom w:val="0"/>
      <w:divBdr>
        <w:top w:val="none" w:sz="0" w:space="0" w:color="auto"/>
        <w:left w:val="none" w:sz="0" w:space="0" w:color="auto"/>
        <w:bottom w:val="none" w:sz="0" w:space="0" w:color="auto"/>
        <w:right w:val="none" w:sz="0" w:space="0" w:color="auto"/>
      </w:divBdr>
    </w:div>
    <w:div w:id="1381399746">
      <w:bodyDiv w:val="1"/>
      <w:marLeft w:val="0"/>
      <w:marRight w:val="0"/>
      <w:marTop w:val="0"/>
      <w:marBottom w:val="0"/>
      <w:divBdr>
        <w:top w:val="none" w:sz="0" w:space="0" w:color="auto"/>
        <w:left w:val="none" w:sz="0" w:space="0" w:color="auto"/>
        <w:bottom w:val="none" w:sz="0" w:space="0" w:color="auto"/>
        <w:right w:val="none" w:sz="0" w:space="0" w:color="auto"/>
      </w:divBdr>
    </w:div>
    <w:div w:id="1395199370">
      <w:bodyDiv w:val="1"/>
      <w:marLeft w:val="0"/>
      <w:marRight w:val="0"/>
      <w:marTop w:val="0"/>
      <w:marBottom w:val="0"/>
      <w:divBdr>
        <w:top w:val="none" w:sz="0" w:space="0" w:color="auto"/>
        <w:left w:val="none" w:sz="0" w:space="0" w:color="auto"/>
        <w:bottom w:val="none" w:sz="0" w:space="0" w:color="auto"/>
        <w:right w:val="none" w:sz="0" w:space="0" w:color="auto"/>
      </w:divBdr>
    </w:div>
    <w:div w:id="1425689925">
      <w:bodyDiv w:val="1"/>
      <w:marLeft w:val="0"/>
      <w:marRight w:val="0"/>
      <w:marTop w:val="0"/>
      <w:marBottom w:val="0"/>
      <w:divBdr>
        <w:top w:val="none" w:sz="0" w:space="0" w:color="auto"/>
        <w:left w:val="none" w:sz="0" w:space="0" w:color="auto"/>
        <w:bottom w:val="none" w:sz="0" w:space="0" w:color="auto"/>
        <w:right w:val="none" w:sz="0" w:space="0" w:color="auto"/>
      </w:divBdr>
    </w:div>
    <w:div w:id="1437864232">
      <w:bodyDiv w:val="1"/>
      <w:marLeft w:val="0"/>
      <w:marRight w:val="0"/>
      <w:marTop w:val="0"/>
      <w:marBottom w:val="0"/>
      <w:divBdr>
        <w:top w:val="none" w:sz="0" w:space="0" w:color="auto"/>
        <w:left w:val="none" w:sz="0" w:space="0" w:color="auto"/>
        <w:bottom w:val="none" w:sz="0" w:space="0" w:color="auto"/>
        <w:right w:val="none" w:sz="0" w:space="0" w:color="auto"/>
      </w:divBdr>
    </w:div>
    <w:div w:id="1525898466">
      <w:bodyDiv w:val="1"/>
      <w:marLeft w:val="0"/>
      <w:marRight w:val="0"/>
      <w:marTop w:val="0"/>
      <w:marBottom w:val="0"/>
      <w:divBdr>
        <w:top w:val="none" w:sz="0" w:space="0" w:color="auto"/>
        <w:left w:val="none" w:sz="0" w:space="0" w:color="auto"/>
        <w:bottom w:val="none" w:sz="0" w:space="0" w:color="auto"/>
        <w:right w:val="none" w:sz="0" w:space="0" w:color="auto"/>
      </w:divBdr>
    </w:div>
    <w:div w:id="1535921653">
      <w:bodyDiv w:val="1"/>
      <w:marLeft w:val="0"/>
      <w:marRight w:val="0"/>
      <w:marTop w:val="0"/>
      <w:marBottom w:val="0"/>
      <w:divBdr>
        <w:top w:val="none" w:sz="0" w:space="0" w:color="auto"/>
        <w:left w:val="none" w:sz="0" w:space="0" w:color="auto"/>
        <w:bottom w:val="none" w:sz="0" w:space="0" w:color="auto"/>
        <w:right w:val="none" w:sz="0" w:space="0" w:color="auto"/>
      </w:divBdr>
    </w:div>
    <w:div w:id="1560750505">
      <w:bodyDiv w:val="1"/>
      <w:marLeft w:val="0"/>
      <w:marRight w:val="0"/>
      <w:marTop w:val="0"/>
      <w:marBottom w:val="0"/>
      <w:divBdr>
        <w:top w:val="none" w:sz="0" w:space="0" w:color="auto"/>
        <w:left w:val="none" w:sz="0" w:space="0" w:color="auto"/>
        <w:bottom w:val="none" w:sz="0" w:space="0" w:color="auto"/>
        <w:right w:val="none" w:sz="0" w:space="0" w:color="auto"/>
      </w:divBdr>
    </w:div>
    <w:div w:id="1562597384">
      <w:bodyDiv w:val="1"/>
      <w:marLeft w:val="0"/>
      <w:marRight w:val="0"/>
      <w:marTop w:val="0"/>
      <w:marBottom w:val="0"/>
      <w:divBdr>
        <w:top w:val="none" w:sz="0" w:space="0" w:color="auto"/>
        <w:left w:val="none" w:sz="0" w:space="0" w:color="auto"/>
        <w:bottom w:val="none" w:sz="0" w:space="0" w:color="auto"/>
        <w:right w:val="none" w:sz="0" w:space="0" w:color="auto"/>
      </w:divBdr>
    </w:div>
    <w:div w:id="1673872959">
      <w:bodyDiv w:val="1"/>
      <w:marLeft w:val="0"/>
      <w:marRight w:val="0"/>
      <w:marTop w:val="0"/>
      <w:marBottom w:val="0"/>
      <w:divBdr>
        <w:top w:val="none" w:sz="0" w:space="0" w:color="auto"/>
        <w:left w:val="none" w:sz="0" w:space="0" w:color="auto"/>
        <w:bottom w:val="none" w:sz="0" w:space="0" w:color="auto"/>
        <w:right w:val="none" w:sz="0" w:space="0" w:color="auto"/>
      </w:divBdr>
    </w:div>
    <w:div w:id="1701587652">
      <w:bodyDiv w:val="1"/>
      <w:marLeft w:val="0"/>
      <w:marRight w:val="0"/>
      <w:marTop w:val="0"/>
      <w:marBottom w:val="0"/>
      <w:divBdr>
        <w:top w:val="none" w:sz="0" w:space="0" w:color="auto"/>
        <w:left w:val="none" w:sz="0" w:space="0" w:color="auto"/>
        <w:bottom w:val="none" w:sz="0" w:space="0" w:color="auto"/>
        <w:right w:val="none" w:sz="0" w:space="0" w:color="auto"/>
      </w:divBdr>
    </w:div>
    <w:div w:id="1703700638">
      <w:bodyDiv w:val="1"/>
      <w:marLeft w:val="0"/>
      <w:marRight w:val="0"/>
      <w:marTop w:val="0"/>
      <w:marBottom w:val="0"/>
      <w:divBdr>
        <w:top w:val="none" w:sz="0" w:space="0" w:color="auto"/>
        <w:left w:val="none" w:sz="0" w:space="0" w:color="auto"/>
        <w:bottom w:val="none" w:sz="0" w:space="0" w:color="auto"/>
        <w:right w:val="none" w:sz="0" w:space="0" w:color="auto"/>
      </w:divBdr>
    </w:div>
    <w:div w:id="1734500451">
      <w:bodyDiv w:val="1"/>
      <w:marLeft w:val="0"/>
      <w:marRight w:val="0"/>
      <w:marTop w:val="0"/>
      <w:marBottom w:val="0"/>
      <w:divBdr>
        <w:top w:val="none" w:sz="0" w:space="0" w:color="auto"/>
        <w:left w:val="none" w:sz="0" w:space="0" w:color="auto"/>
        <w:bottom w:val="none" w:sz="0" w:space="0" w:color="auto"/>
        <w:right w:val="none" w:sz="0" w:space="0" w:color="auto"/>
      </w:divBdr>
    </w:div>
    <w:div w:id="1775401802">
      <w:bodyDiv w:val="1"/>
      <w:marLeft w:val="0"/>
      <w:marRight w:val="0"/>
      <w:marTop w:val="0"/>
      <w:marBottom w:val="0"/>
      <w:divBdr>
        <w:top w:val="none" w:sz="0" w:space="0" w:color="auto"/>
        <w:left w:val="none" w:sz="0" w:space="0" w:color="auto"/>
        <w:bottom w:val="none" w:sz="0" w:space="0" w:color="auto"/>
        <w:right w:val="none" w:sz="0" w:space="0" w:color="auto"/>
      </w:divBdr>
    </w:div>
    <w:div w:id="1802268133">
      <w:bodyDiv w:val="1"/>
      <w:marLeft w:val="0"/>
      <w:marRight w:val="0"/>
      <w:marTop w:val="0"/>
      <w:marBottom w:val="0"/>
      <w:divBdr>
        <w:top w:val="none" w:sz="0" w:space="0" w:color="auto"/>
        <w:left w:val="none" w:sz="0" w:space="0" w:color="auto"/>
        <w:bottom w:val="none" w:sz="0" w:space="0" w:color="auto"/>
        <w:right w:val="none" w:sz="0" w:space="0" w:color="auto"/>
      </w:divBdr>
    </w:div>
    <w:div w:id="1826504961">
      <w:bodyDiv w:val="1"/>
      <w:marLeft w:val="0"/>
      <w:marRight w:val="0"/>
      <w:marTop w:val="0"/>
      <w:marBottom w:val="0"/>
      <w:divBdr>
        <w:top w:val="none" w:sz="0" w:space="0" w:color="auto"/>
        <w:left w:val="none" w:sz="0" w:space="0" w:color="auto"/>
        <w:bottom w:val="none" w:sz="0" w:space="0" w:color="auto"/>
        <w:right w:val="none" w:sz="0" w:space="0" w:color="auto"/>
      </w:divBdr>
    </w:div>
    <w:div w:id="1827626892">
      <w:bodyDiv w:val="1"/>
      <w:marLeft w:val="0"/>
      <w:marRight w:val="0"/>
      <w:marTop w:val="0"/>
      <w:marBottom w:val="0"/>
      <w:divBdr>
        <w:top w:val="none" w:sz="0" w:space="0" w:color="auto"/>
        <w:left w:val="none" w:sz="0" w:space="0" w:color="auto"/>
        <w:bottom w:val="none" w:sz="0" w:space="0" w:color="auto"/>
        <w:right w:val="none" w:sz="0" w:space="0" w:color="auto"/>
      </w:divBdr>
    </w:div>
    <w:div w:id="1843399672">
      <w:bodyDiv w:val="1"/>
      <w:marLeft w:val="0"/>
      <w:marRight w:val="0"/>
      <w:marTop w:val="0"/>
      <w:marBottom w:val="0"/>
      <w:divBdr>
        <w:top w:val="none" w:sz="0" w:space="0" w:color="auto"/>
        <w:left w:val="none" w:sz="0" w:space="0" w:color="auto"/>
        <w:bottom w:val="none" w:sz="0" w:space="0" w:color="auto"/>
        <w:right w:val="none" w:sz="0" w:space="0" w:color="auto"/>
      </w:divBdr>
    </w:div>
    <w:div w:id="1850215611">
      <w:bodyDiv w:val="1"/>
      <w:marLeft w:val="0"/>
      <w:marRight w:val="0"/>
      <w:marTop w:val="0"/>
      <w:marBottom w:val="0"/>
      <w:divBdr>
        <w:top w:val="none" w:sz="0" w:space="0" w:color="auto"/>
        <w:left w:val="none" w:sz="0" w:space="0" w:color="auto"/>
        <w:bottom w:val="none" w:sz="0" w:space="0" w:color="auto"/>
        <w:right w:val="none" w:sz="0" w:space="0" w:color="auto"/>
      </w:divBdr>
    </w:div>
    <w:div w:id="1943563608">
      <w:bodyDiv w:val="1"/>
      <w:marLeft w:val="0"/>
      <w:marRight w:val="0"/>
      <w:marTop w:val="0"/>
      <w:marBottom w:val="0"/>
      <w:divBdr>
        <w:top w:val="none" w:sz="0" w:space="0" w:color="auto"/>
        <w:left w:val="none" w:sz="0" w:space="0" w:color="auto"/>
        <w:bottom w:val="none" w:sz="0" w:space="0" w:color="auto"/>
        <w:right w:val="none" w:sz="0" w:space="0" w:color="auto"/>
      </w:divBdr>
    </w:div>
    <w:div w:id="1977251997">
      <w:bodyDiv w:val="1"/>
      <w:marLeft w:val="0"/>
      <w:marRight w:val="0"/>
      <w:marTop w:val="0"/>
      <w:marBottom w:val="0"/>
      <w:divBdr>
        <w:top w:val="none" w:sz="0" w:space="0" w:color="auto"/>
        <w:left w:val="none" w:sz="0" w:space="0" w:color="auto"/>
        <w:bottom w:val="none" w:sz="0" w:space="0" w:color="auto"/>
        <w:right w:val="none" w:sz="0" w:space="0" w:color="auto"/>
      </w:divBdr>
    </w:div>
    <w:div w:id="2006981198">
      <w:bodyDiv w:val="1"/>
      <w:marLeft w:val="0"/>
      <w:marRight w:val="0"/>
      <w:marTop w:val="0"/>
      <w:marBottom w:val="0"/>
      <w:divBdr>
        <w:top w:val="none" w:sz="0" w:space="0" w:color="auto"/>
        <w:left w:val="none" w:sz="0" w:space="0" w:color="auto"/>
        <w:bottom w:val="none" w:sz="0" w:space="0" w:color="auto"/>
        <w:right w:val="none" w:sz="0" w:space="0" w:color="auto"/>
      </w:divBdr>
    </w:div>
    <w:div w:id="2027050723">
      <w:bodyDiv w:val="1"/>
      <w:marLeft w:val="0"/>
      <w:marRight w:val="0"/>
      <w:marTop w:val="0"/>
      <w:marBottom w:val="0"/>
      <w:divBdr>
        <w:top w:val="none" w:sz="0" w:space="0" w:color="auto"/>
        <w:left w:val="none" w:sz="0" w:space="0" w:color="auto"/>
        <w:bottom w:val="none" w:sz="0" w:space="0" w:color="auto"/>
        <w:right w:val="none" w:sz="0" w:space="0" w:color="auto"/>
      </w:divBdr>
    </w:div>
    <w:div w:id="2074310137">
      <w:bodyDiv w:val="1"/>
      <w:marLeft w:val="0"/>
      <w:marRight w:val="0"/>
      <w:marTop w:val="0"/>
      <w:marBottom w:val="0"/>
      <w:divBdr>
        <w:top w:val="none" w:sz="0" w:space="0" w:color="auto"/>
        <w:left w:val="none" w:sz="0" w:space="0" w:color="auto"/>
        <w:bottom w:val="none" w:sz="0" w:space="0" w:color="auto"/>
        <w:right w:val="none" w:sz="0" w:space="0" w:color="auto"/>
      </w:divBdr>
    </w:div>
    <w:div w:id="2088918524">
      <w:bodyDiv w:val="1"/>
      <w:marLeft w:val="0"/>
      <w:marRight w:val="0"/>
      <w:marTop w:val="0"/>
      <w:marBottom w:val="0"/>
      <w:divBdr>
        <w:top w:val="none" w:sz="0" w:space="0" w:color="auto"/>
        <w:left w:val="none" w:sz="0" w:space="0" w:color="auto"/>
        <w:bottom w:val="none" w:sz="0" w:space="0" w:color="auto"/>
        <w:right w:val="none" w:sz="0" w:space="0" w:color="auto"/>
      </w:divBdr>
    </w:div>
    <w:div w:id="2100245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www.cgc.gov.au" TargetMode="External"/><Relationship Id="rId34" Type="http://schemas.openxmlformats.org/officeDocument/2006/relationships/hyperlink" Target="https://www.cgc.gov.au/sites/default/files/2022-03/New%20issues%20in%20the%202022%20Update.pdf" TargetMode="External"/><Relationship Id="rId42" Type="http://schemas.openxmlformats.org/officeDocument/2006/relationships/footer" Target="footer4.xml"/><Relationship Id="rId47" Type="http://schemas.openxmlformats.org/officeDocument/2006/relationships/image" Target="media/image22.emf"/><Relationship Id="rId50" Type="http://schemas.openxmlformats.org/officeDocument/2006/relationships/hyperlink" Target="https://www.cgc.gov.au/sites/default/files/2022-03/New%20issues%20in%20the%202022%20Update.pdf" TargetMode="External"/><Relationship Id="rId55" Type="http://schemas.openxmlformats.org/officeDocument/2006/relationships/image" Target="media/image29.emf"/><Relationship Id="rId63" Type="http://schemas.openxmlformats.org/officeDocument/2006/relationships/hyperlink" Target="https://www.cgc.gov.au/publications/2020-review"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8.emf"/><Relationship Id="rId40" Type="http://schemas.openxmlformats.org/officeDocument/2006/relationships/header" Target="header3.xml"/><Relationship Id="rId45" Type="http://schemas.openxmlformats.org/officeDocument/2006/relationships/image" Target="media/image20.emf"/><Relationship Id="rId53" Type="http://schemas.openxmlformats.org/officeDocument/2006/relationships/image" Target="media/image27.emf"/><Relationship Id="rId58" Type="http://schemas.openxmlformats.org/officeDocument/2006/relationships/image" Target="media/image32.emf"/><Relationship Id="rId5" Type="http://schemas.openxmlformats.org/officeDocument/2006/relationships/numbering" Target="numbering.xml"/><Relationship Id="rId61" Type="http://schemas.openxmlformats.org/officeDocument/2006/relationships/hyperlink" Target="https://www.cgc.gov.au/sites/default/files/2022-03/New%20issues%20in%20the%202022%20Update.pdf" TargetMode="External"/><Relationship Id="rId19" Type="http://schemas.openxmlformats.org/officeDocument/2006/relationships/hyperlink" Target="https://www.pmc.gov.au/government/commonwealth-coat-arms/" TargetMode="External"/><Relationship Id="rId14" Type="http://schemas.openxmlformats.org/officeDocument/2006/relationships/footer" Target="footer2.xml"/><Relationship Id="rId22" Type="http://schemas.openxmlformats.org/officeDocument/2006/relationships/hyperlink" Target="https://www.cgc.gov.au"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cgc.gov.au/sites/default/files/2022-03/New%20issues%20in%20the%202022%20Update.pdf" TargetMode="External"/><Relationship Id="rId43" Type="http://schemas.openxmlformats.org/officeDocument/2006/relationships/header" Target="header4.xml"/><Relationship Id="rId48" Type="http://schemas.openxmlformats.org/officeDocument/2006/relationships/image" Target="media/image23.emf"/><Relationship Id="rId56" Type="http://schemas.openxmlformats.org/officeDocument/2006/relationships/image" Target="media/image30.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hyperlink" Target="mailto:Mike.Callaghan@cgc.gov.au" TargetMode="External"/><Relationship Id="rId33" Type="http://schemas.openxmlformats.org/officeDocument/2006/relationships/image" Target="media/image16.png"/><Relationship Id="rId38" Type="http://schemas.openxmlformats.org/officeDocument/2006/relationships/image" Target="media/image19.emf"/><Relationship Id="rId46" Type="http://schemas.openxmlformats.org/officeDocument/2006/relationships/image" Target="media/image21.emf"/><Relationship Id="rId59" Type="http://schemas.openxmlformats.org/officeDocument/2006/relationships/image" Target="media/image33.emf"/><Relationship Id="rId20" Type="http://schemas.openxmlformats.org/officeDocument/2006/relationships/hyperlink" Target="mailto:secretary@cgc.gov.au" TargetMode="External"/><Relationship Id="rId41" Type="http://schemas.openxmlformats.org/officeDocument/2006/relationships/footer" Target="footer3.xml"/><Relationship Id="rId54" Type="http://schemas.openxmlformats.org/officeDocument/2006/relationships/image" Target="media/image28.emf"/><Relationship Id="rId62" Type="http://schemas.openxmlformats.org/officeDocument/2006/relationships/hyperlink" Target="https://www.cgc.gov.au/publications/occasional-paper-4-new-arrangements-distributing-gs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7.emf"/><Relationship Id="rId49" Type="http://schemas.openxmlformats.org/officeDocument/2006/relationships/image" Target="media/image24.emf"/><Relationship Id="rId57" Type="http://schemas.openxmlformats.org/officeDocument/2006/relationships/image" Target="media/image31.emf"/><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hyperlink" Target="https://www.cgc.gov.au/sites/default/files/2022-03/New%20issues%20in%20the%202022%20Update.pdf" TargetMode="External"/><Relationship Id="rId52" Type="http://schemas.openxmlformats.org/officeDocument/2006/relationships/image" Target="media/image26.emf"/><Relationship Id="rId60" Type="http://schemas.openxmlformats.org/officeDocument/2006/relationships/hyperlink" Target="https://www.cgc.gov.au/"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cgc.gov.au/sites/default/files/2022-03/New%20issues%20in%20the%202022%20Update.pdf" TargetMode="External"/><Relationship Id="rId1" Type="http://schemas.openxmlformats.org/officeDocument/2006/relationships/hyperlink" Target="https://budget.gov.au/2021-22/content/myefo/index.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CGC Colour Themes">
      <a:dk1>
        <a:srgbClr val="004562"/>
      </a:dk1>
      <a:lt1>
        <a:srgbClr val="FFFFFF"/>
      </a:lt1>
      <a:dk2>
        <a:srgbClr val="004562"/>
      </a:dk2>
      <a:lt2>
        <a:srgbClr val="E7E6E6"/>
      </a:lt2>
      <a:accent1>
        <a:srgbClr val="004563"/>
      </a:accent1>
      <a:accent2>
        <a:srgbClr val="0092C8"/>
      </a:accent2>
      <a:accent3>
        <a:srgbClr val="CC5E12"/>
      </a:accent3>
      <a:accent4>
        <a:srgbClr val="EDAB16"/>
      </a:accent4>
      <a:accent5>
        <a:srgbClr val="008069"/>
      </a:accent5>
      <a:accent6>
        <a:srgbClr val="00CE87"/>
      </a:accent6>
      <a:hlink>
        <a:srgbClr val="006991"/>
      </a:hlink>
      <a:folHlink>
        <a:srgbClr val="93EA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17b8d322-b3ba-4bfd-9231-19e7cb432e91">
      <UserInfo>
        <DisplayName>Kathryn Conroy</DisplayName>
        <AccountId>70</AccountId>
        <AccountType/>
      </UserInfo>
      <UserInfo>
        <DisplayName>Therese Maher</DisplayName>
        <AccountId>178</AccountId>
        <AccountType/>
      </UserInfo>
      <UserInfo>
        <DisplayName>Rose Verspaandonk</DisplayName>
        <AccountId>23</AccountId>
        <AccountType/>
      </UserInfo>
      <UserInfo>
        <DisplayName>Jonathan Rollings</DisplayName>
        <AccountId>37</AccountId>
        <AccountType/>
      </UserInfo>
      <UserInfo>
        <DisplayName>Anli Chin</DisplayName>
        <AccountId>24</AccountId>
        <AccountType/>
      </UserInfo>
      <UserInfo>
        <DisplayName>Kathleen Morris</DisplayName>
        <AccountId>27</AccountId>
        <AccountType/>
      </UserInfo>
      <UserInfo>
        <DisplayName>Philip Harber</DisplayName>
        <AccountId>17</AccountId>
        <AccountType/>
      </UserInfo>
      <UserInfo>
        <DisplayName>Maria Henriquez</DisplayName>
        <AccountId>81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5608154119F44D9D6CB236DB4F716E" ma:contentTypeVersion="12" ma:contentTypeDescription="Create a new document." ma:contentTypeScope="" ma:versionID="f49854c8c5b782fe8437864f25183c0a">
  <xsd:schema xmlns:xsd="http://www.w3.org/2001/XMLSchema" xmlns:xs="http://www.w3.org/2001/XMLSchema" xmlns:p="http://schemas.microsoft.com/office/2006/metadata/properties" xmlns:ns2="ae41af08-9e52-420f-9b3a-4b86536e2466" xmlns:ns3="17b8d322-b3ba-4bfd-9231-19e7cb432e91" targetNamespace="http://schemas.microsoft.com/office/2006/metadata/properties" ma:root="true" ma:fieldsID="1127e7e555e1f51fac54c15b37082609" ns2:_="" ns3:_="">
    <xsd:import namespace="ae41af08-9e52-420f-9b3a-4b86536e2466"/>
    <xsd:import namespace="17b8d322-b3ba-4bfd-9231-19e7cb432e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41af08-9e52-420f-9b3a-4b86536e2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b8d322-b3ba-4bfd-9231-19e7cb432e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AFEE77-DB88-48B5-976E-1D87DFA759C3}">
  <ds:schemaRefs>
    <ds:schemaRef ds:uri="http://schemas.openxmlformats.org/officeDocument/2006/bibliography"/>
  </ds:schemaRefs>
</ds:datastoreItem>
</file>

<file path=customXml/itemProps2.xml><?xml version="1.0" encoding="utf-8"?>
<ds:datastoreItem xmlns:ds="http://schemas.openxmlformats.org/officeDocument/2006/customXml" ds:itemID="{52979382-591B-49F4-B835-508E57F947A4}">
  <ds:schemaRefs>
    <ds:schemaRef ds:uri="http://schemas.microsoft.com/office/2006/metadata/properties"/>
    <ds:schemaRef ds:uri="http://schemas.microsoft.com/office/infopath/2007/PartnerControls"/>
    <ds:schemaRef ds:uri="17b8d322-b3ba-4bfd-9231-19e7cb432e91"/>
  </ds:schemaRefs>
</ds:datastoreItem>
</file>

<file path=customXml/itemProps3.xml><?xml version="1.0" encoding="utf-8"?>
<ds:datastoreItem xmlns:ds="http://schemas.openxmlformats.org/officeDocument/2006/customXml" ds:itemID="{49494F84-814F-4EE2-B308-02A3D0AE89C4}">
  <ds:schemaRefs>
    <ds:schemaRef ds:uri="http://schemas.microsoft.com/sharepoint/v3/contenttype/forms"/>
  </ds:schemaRefs>
</ds:datastoreItem>
</file>

<file path=customXml/itemProps4.xml><?xml version="1.0" encoding="utf-8"?>
<ds:datastoreItem xmlns:ds="http://schemas.openxmlformats.org/officeDocument/2006/customXml" ds:itemID="{6014F8AE-DFB5-44DF-A8CF-803EC4FC8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41af08-9e52-420f-9b3a-4b86536e2466"/>
    <ds:schemaRef ds:uri="17b8d322-b3ba-4bfd-9231-19e7cb432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15812</Words>
  <Characters>90135</Characters>
  <Application>Microsoft Office Word</Application>
  <DocSecurity>4</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105736</CharactersWithSpaces>
  <SharedDoc>false</SharedDoc>
  <HLinks>
    <vt:vector size="186" baseType="variant">
      <vt:variant>
        <vt:i4>6684716</vt:i4>
      </vt:variant>
      <vt:variant>
        <vt:i4>300</vt:i4>
      </vt:variant>
      <vt:variant>
        <vt:i4>0</vt:i4>
      </vt:variant>
      <vt:variant>
        <vt:i4>5</vt:i4>
      </vt:variant>
      <vt:variant>
        <vt:lpwstr>https://www.cgc.gov.au/publications/2020-review</vt:lpwstr>
      </vt:variant>
      <vt:variant>
        <vt:lpwstr/>
      </vt:variant>
      <vt:variant>
        <vt:i4>589914</vt:i4>
      </vt:variant>
      <vt:variant>
        <vt:i4>297</vt:i4>
      </vt:variant>
      <vt:variant>
        <vt:i4>0</vt:i4>
      </vt:variant>
      <vt:variant>
        <vt:i4>5</vt:i4>
      </vt:variant>
      <vt:variant>
        <vt:lpwstr>https://www.cgc.gov.au/publications/occasional-paper-4-new-arrangements-distributing-gst</vt:lpwstr>
      </vt:variant>
      <vt:variant>
        <vt:lpwstr/>
      </vt:variant>
      <vt:variant>
        <vt:i4>6160473</vt:i4>
      </vt:variant>
      <vt:variant>
        <vt:i4>294</vt:i4>
      </vt:variant>
      <vt:variant>
        <vt:i4>0</vt:i4>
      </vt:variant>
      <vt:variant>
        <vt:i4>5</vt:i4>
      </vt:variant>
      <vt:variant>
        <vt:lpwstr>https://www.cgc.gov.au/sites/default/files/2022-03/New issues in the 2022 Update.pdf</vt:lpwstr>
      </vt:variant>
      <vt:variant>
        <vt:lpwstr/>
      </vt:variant>
      <vt:variant>
        <vt:i4>3473456</vt:i4>
      </vt:variant>
      <vt:variant>
        <vt:i4>291</vt:i4>
      </vt:variant>
      <vt:variant>
        <vt:i4>0</vt:i4>
      </vt:variant>
      <vt:variant>
        <vt:i4>5</vt:i4>
      </vt:variant>
      <vt:variant>
        <vt:lpwstr>https://www.cgc.gov.au/</vt:lpwstr>
      </vt:variant>
      <vt:variant>
        <vt:lpwstr/>
      </vt:variant>
      <vt:variant>
        <vt:i4>6160473</vt:i4>
      </vt:variant>
      <vt:variant>
        <vt:i4>222</vt:i4>
      </vt:variant>
      <vt:variant>
        <vt:i4>0</vt:i4>
      </vt:variant>
      <vt:variant>
        <vt:i4>5</vt:i4>
      </vt:variant>
      <vt:variant>
        <vt:lpwstr>https://www.cgc.gov.au/sites/default/files/2022-03/New issues in the 2022 Update.pdf</vt:lpwstr>
      </vt:variant>
      <vt:variant>
        <vt:lpwstr/>
      </vt:variant>
      <vt:variant>
        <vt:i4>6160473</vt:i4>
      </vt:variant>
      <vt:variant>
        <vt:i4>219</vt:i4>
      </vt:variant>
      <vt:variant>
        <vt:i4>0</vt:i4>
      </vt:variant>
      <vt:variant>
        <vt:i4>5</vt:i4>
      </vt:variant>
      <vt:variant>
        <vt:lpwstr>https://www.cgc.gov.au/sites/default/files/2022-03/New issues in the 2022 Update.pdf</vt:lpwstr>
      </vt:variant>
      <vt:variant>
        <vt:lpwstr/>
      </vt:variant>
      <vt:variant>
        <vt:i4>6160473</vt:i4>
      </vt:variant>
      <vt:variant>
        <vt:i4>168</vt:i4>
      </vt:variant>
      <vt:variant>
        <vt:i4>0</vt:i4>
      </vt:variant>
      <vt:variant>
        <vt:i4>5</vt:i4>
      </vt:variant>
      <vt:variant>
        <vt:lpwstr>https://www.cgc.gov.au/sites/default/files/2022-03/New issues in the 2022 Update.pdf</vt:lpwstr>
      </vt:variant>
      <vt:variant>
        <vt:lpwstr/>
      </vt:variant>
      <vt:variant>
        <vt:i4>6160473</vt:i4>
      </vt:variant>
      <vt:variant>
        <vt:i4>147</vt:i4>
      </vt:variant>
      <vt:variant>
        <vt:i4>0</vt:i4>
      </vt:variant>
      <vt:variant>
        <vt:i4>5</vt:i4>
      </vt:variant>
      <vt:variant>
        <vt:lpwstr>https://www.cgc.gov.au/sites/default/files/2022-03/New issues in the 2022 Update.pdf</vt:lpwstr>
      </vt:variant>
      <vt:variant>
        <vt:lpwstr/>
      </vt:variant>
      <vt:variant>
        <vt:i4>6160473</vt:i4>
      </vt:variant>
      <vt:variant>
        <vt:i4>99</vt:i4>
      </vt:variant>
      <vt:variant>
        <vt:i4>0</vt:i4>
      </vt:variant>
      <vt:variant>
        <vt:i4>5</vt:i4>
      </vt:variant>
      <vt:variant>
        <vt:lpwstr>https://www.cgc.gov.au/sites/default/files/2022-03/New issues in the 2022 Update.pdf</vt:lpwstr>
      </vt:variant>
      <vt:variant>
        <vt:lpwstr/>
      </vt:variant>
      <vt:variant>
        <vt:i4>6160473</vt:i4>
      </vt:variant>
      <vt:variant>
        <vt:i4>96</vt:i4>
      </vt:variant>
      <vt:variant>
        <vt:i4>0</vt:i4>
      </vt:variant>
      <vt:variant>
        <vt:i4>5</vt:i4>
      </vt:variant>
      <vt:variant>
        <vt:lpwstr>https://www.cgc.gov.au/sites/default/files/2022-03/New issues in the 2022 Update.pdf</vt:lpwstr>
      </vt:variant>
      <vt:variant>
        <vt:lpwstr/>
      </vt:variant>
      <vt:variant>
        <vt:i4>2031679</vt:i4>
      </vt:variant>
      <vt:variant>
        <vt:i4>89</vt:i4>
      </vt:variant>
      <vt:variant>
        <vt:i4>0</vt:i4>
      </vt:variant>
      <vt:variant>
        <vt:i4>5</vt:i4>
      </vt:variant>
      <vt:variant>
        <vt:lpwstr/>
      </vt:variant>
      <vt:variant>
        <vt:lpwstr>_Toc96074920</vt:lpwstr>
      </vt:variant>
      <vt:variant>
        <vt:i4>1441852</vt:i4>
      </vt:variant>
      <vt:variant>
        <vt:i4>83</vt:i4>
      </vt:variant>
      <vt:variant>
        <vt:i4>0</vt:i4>
      </vt:variant>
      <vt:variant>
        <vt:i4>5</vt:i4>
      </vt:variant>
      <vt:variant>
        <vt:lpwstr/>
      </vt:variant>
      <vt:variant>
        <vt:lpwstr>_Toc96074919</vt:lpwstr>
      </vt:variant>
      <vt:variant>
        <vt:i4>1507388</vt:i4>
      </vt:variant>
      <vt:variant>
        <vt:i4>77</vt:i4>
      </vt:variant>
      <vt:variant>
        <vt:i4>0</vt:i4>
      </vt:variant>
      <vt:variant>
        <vt:i4>5</vt:i4>
      </vt:variant>
      <vt:variant>
        <vt:lpwstr/>
      </vt:variant>
      <vt:variant>
        <vt:lpwstr>_Toc96074918</vt:lpwstr>
      </vt:variant>
      <vt:variant>
        <vt:i4>1572924</vt:i4>
      </vt:variant>
      <vt:variant>
        <vt:i4>71</vt:i4>
      </vt:variant>
      <vt:variant>
        <vt:i4>0</vt:i4>
      </vt:variant>
      <vt:variant>
        <vt:i4>5</vt:i4>
      </vt:variant>
      <vt:variant>
        <vt:lpwstr/>
      </vt:variant>
      <vt:variant>
        <vt:lpwstr>_Toc96074917</vt:lpwstr>
      </vt:variant>
      <vt:variant>
        <vt:i4>1638460</vt:i4>
      </vt:variant>
      <vt:variant>
        <vt:i4>65</vt:i4>
      </vt:variant>
      <vt:variant>
        <vt:i4>0</vt:i4>
      </vt:variant>
      <vt:variant>
        <vt:i4>5</vt:i4>
      </vt:variant>
      <vt:variant>
        <vt:lpwstr/>
      </vt:variant>
      <vt:variant>
        <vt:lpwstr>_Toc96074916</vt:lpwstr>
      </vt:variant>
      <vt:variant>
        <vt:i4>1703996</vt:i4>
      </vt:variant>
      <vt:variant>
        <vt:i4>59</vt:i4>
      </vt:variant>
      <vt:variant>
        <vt:i4>0</vt:i4>
      </vt:variant>
      <vt:variant>
        <vt:i4>5</vt:i4>
      </vt:variant>
      <vt:variant>
        <vt:lpwstr/>
      </vt:variant>
      <vt:variant>
        <vt:lpwstr>_Toc96074915</vt:lpwstr>
      </vt:variant>
      <vt:variant>
        <vt:i4>1769532</vt:i4>
      </vt:variant>
      <vt:variant>
        <vt:i4>53</vt:i4>
      </vt:variant>
      <vt:variant>
        <vt:i4>0</vt:i4>
      </vt:variant>
      <vt:variant>
        <vt:i4>5</vt:i4>
      </vt:variant>
      <vt:variant>
        <vt:lpwstr/>
      </vt:variant>
      <vt:variant>
        <vt:lpwstr>_Toc96074914</vt:lpwstr>
      </vt:variant>
      <vt:variant>
        <vt:i4>1835068</vt:i4>
      </vt:variant>
      <vt:variant>
        <vt:i4>47</vt:i4>
      </vt:variant>
      <vt:variant>
        <vt:i4>0</vt:i4>
      </vt:variant>
      <vt:variant>
        <vt:i4>5</vt:i4>
      </vt:variant>
      <vt:variant>
        <vt:lpwstr/>
      </vt:variant>
      <vt:variant>
        <vt:lpwstr>_Toc96074913</vt:lpwstr>
      </vt:variant>
      <vt:variant>
        <vt:i4>1900604</vt:i4>
      </vt:variant>
      <vt:variant>
        <vt:i4>41</vt:i4>
      </vt:variant>
      <vt:variant>
        <vt:i4>0</vt:i4>
      </vt:variant>
      <vt:variant>
        <vt:i4>5</vt:i4>
      </vt:variant>
      <vt:variant>
        <vt:lpwstr/>
      </vt:variant>
      <vt:variant>
        <vt:lpwstr>_Toc96074912</vt:lpwstr>
      </vt:variant>
      <vt:variant>
        <vt:i4>1966140</vt:i4>
      </vt:variant>
      <vt:variant>
        <vt:i4>35</vt:i4>
      </vt:variant>
      <vt:variant>
        <vt:i4>0</vt:i4>
      </vt:variant>
      <vt:variant>
        <vt:i4>5</vt:i4>
      </vt:variant>
      <vt:variant>
        <vt:lpwstr/>
      </vt:variant>
      <vt:variant>
        <vt:lpwstr>_Toc96074911</vt:lpwstr>
      </vt:variant>
      <vt:variant>
        <vt:i4>2031676</vt:i4>
      </vt:variant>
      <vt:variant>
        <vt:i4>29</vt:i4>
      </vt:variant>
      <vt:variant>
        <vt:i4>0</vt:i4>
      </vt:variant>
      <vt:variant>
        <vt:i4>5</vt:i4>
      </vt:variant>
      <vt:variant>
        <vt:lpwstr/>
      </vt:variant>
      <vt:variant>
        <vt:lpwstr>_Toc96074910</vt:lpwstr>
      </vt:variant>
      <vt:variant>
        <vt:i4>1441853</vt:i4>
      </vt:variant>
      <vt:variant>
        <vt:i4>23</vt:i4>
      </vt:variant>
      <vt:variant>
        <vt:i4>0</vt:i4>
      </vt:variant>
      <vt:variant>
        <vt:i4>5</vt:i4>
      </vt:variant>
      <vt:variant>
        <vt:lpwstr/>
      </vt:variant>
      <vt:variant>
        <vt:lpwstr>_Toc96074909</vt:lpwstr>
      </vt:variant>
      <vt:variant>
        <vt:i4>8126558</vt:i4>
      </vt:variant>
      <vt:variant>
        <vt:i4>18</vt:i4>
      </vt:variant>
      <vt:variant>
        <vt:i4>0</vt:i4>
      </vt:variant>
      <vt:variant>
        <vt:i4>5</vt:i4>
      </vt:variant>
      <vt:variant>
        <vt:lpwstr>mailto:Mike.Callaghan@cgc.gov.au</vt:lpwstr>
      </vt:variant>
      <vt:variant>
        <vt:lpwstr/>
      </vt:variant>
      <vt:variant>
        <vt:i4>3473456</vt:i4>
      </vt:variant>
      <vt:variant>
        <vt:i4>15</vt:i4>
      </vt:variant>
      <vt:variant>
        <vt:i4>0</vt:i4>
      </vt:variant>
      <vt:variant>
        <vt:i4>5</vt:i4>
      </vt:variant>
      <vt:variant>
        <vt:lpwstr>https://www.cgc.gov.au/</vt:lpwstr>
      </vt:variant>
      <vt:variant>
        <vt:lpwstr/>
      </vt:variant>
      <vt:variant>
        <vt:i4>7602221</vt:i4>
      </vt:variant>
      <vt:variant>
        <vt:i4>12</vt:i4>
      </vt:variant>
      <vt:variant>
        <vt:i4>0</vt:i4>
      </vt:variant>
      <vt:variant>
        <vt:i4>5</vt:i4>
      </vt:variant>
      <vt:variant>
        <vt:lpwstr>http://www.cgc.gov.au/</vt:lpwstr>
      </vt:variant>
      <vt:variant>
        <vt:lpwstr/>
      </vt:variant>
      <vt:variant>
        <vt:i4>8323091</vt:i4>
      </vt:variant>
      <vt:variant>
        <vt:i4>9</vt:i4>
      </vt:variant>
      <vt:variant>
        <vt:i4>0</vt:i4>
      </vt:variant>
      <vt:variant>
        <vt:i4>5</vt:i4>
      </vt:variant>
      <vt:variant>
        <vt:lpwstr>mailto:secretary@cgc.gov.au</vt:lpwstr>
      </vt:variant>
      <vt:variant>
        <vt:lpwstr/>
      </vt:variant>
      <vt:variant>
        <vt:i4>5439552</vt:i4>
      </vt:variant>
      <vt:variant>
        <vt:i4>6</vt:i4>
      </vt:variant>
      <vt:variant>
        <vt:i4>0</vt:i4>
      </vt:variant>
      <vt:variant>
        <vt:i4>5</vt:i4>
      </vt:variant>
      <vt:variant>
        <vt:lpwstr>https://www.pmc.gov.au/government/commonwealth-coat-arms/</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6160473</vt:i4>
      </vt:variant>
      <vt:variant>
        <vt:i4>3</vt:i4>
      </vt:variant>
      <vt:variant>
        <vt:i4>0</vt:i4>
      </vt:variant>
      <vt:variant>
        <vt:i4>5</vt:i4>
      </vt:variant>
      <vt:variant>
        <vt:lpwstr>https://www.cgc.gov.au/sites/default/files/2022-03/New issues in the 2022 Update.pdf</vt:lpwstr>
      </vt:variant>
      <vt:variant>
        <vt:lpwstr/>
      </vt:variant>
      <vt:variant>
        <vt:i4>983104</vt:i4>
      </vt:variant>
      <vt:variant>
        <vt:i4>0</vt:i4>
      </vt:variant>
      <vt:variant>
        <vt:i4>0</vt:i4>
      </vt:variant>
      <vt:variant>
        <vt:i4>5</vt:i4>
      </vt:variant>
      <vt:variant>
        <vt:lpwstr>https://budget.gov.au/2021-22/content/myefo/index.htm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Warder</dc:creator>
  <cp:keywords/>
  <dc:description/>
  <cp:lastModifiedBy>Kathleen Morris</cp:lastModifiedBy>
  <cp:revision>5</cp:revision>
  <cp:lastPrinted>2022-03-20T23:05:00Z</cp:lastPrinted>
  <dcterms:created xsi:type="dcterms:W3CDTF">2022-03-23T03:56:00Z</dcterms:created>
  <dcterms:modified xsi:type="dcterms:W3CDTF">2022-03-25T00:04:00Z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0x010100485608154119F44D9D6CB236DB4F716E</vt:lpwstr>
  </property>
</Properties>
</file>