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2D8B" w14:textId="3D9F23DE" w:rsidR="00EA5599" w:rsidRDefault="00EA5599" w:rsidP="00BE3655">
      <w:pPr>
        <w:pStyle w:val="CGCSubHead"/>
      </w:pPr>
      <w:r>
        <w:rPr>
          <w:noProof/>
        </w:rPr>
        <w:drawing>
          <wp:anchor distT="0" distB="0" distL="114300" distR="114300" simplePos="0" relativeHeight="251662336" behindDoc="1" locked="0" layoutInCell="1" allowOverlap="1" wp14:anchorId="4A1A01F6" wp14:editId="68D1353D">
            <wp:simplePos x="0" y="0"/>
            <wp:positionH relativeFrom="margin">
              <wp:posOffset>-989330</wp:posOffset>
            </wp:positionH>
            <wp:positionV relativeFrom="paragraph">
              <wp:posOffset>-1255618</wp:posOffset>
            </wp:positionV>
            <wp:extent cx="7725600" cy="10922400"/>
            <wp:effectExtent l="0" t="0" r="8890" b="0"/>
            <wp:wrapNone/>
            <wp:docPr id="6" name="Picture 6"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8AEB452" wp14:editId="61489AF5">
            <wp:extent cx="2441749" cy="460926"/>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597" cy="496952"/>
                    </a:xfrm>
                    <a:prstGeom prst="rect">
                      <a:avLst/>
                    </a:prstGeom>
                  </pic:spPr>
                </pic:pic>
              </a:graphicData>
            </a:graphic>
          </wp:inline>
        </w:drawing>
      </w:r>
    </w:p>
    <w:p w14:paraId="45018030" w14:textId="3CF46596" w:rsidR="00C9327A" w:rsidRPr="00EA5599" w:rsidRDefault="00C9327A" w:rsidP="00EA5599">
      <w:pPr>
        <w:pStyle w:val="CGCBodyCopy"/>
        <w:rPr>
          <w:rFonts w:ascii="Work Sans" w:hAnsi="Work Sans"/>
        </w:rPr>
      </w:pPr>
    </w:p>
    <w:p w14:paraId="06EA1213" w14:textId="5D423E60" w:rsidR="00EA5599" w:rsidRDefault="00EA5599" w:rsidP="00EA5599">
      <w:pPr>
        <w:pStyle w:val="CGCBodyCopy"/>
        <w:rPr>
          <w:rFonts w:ascii="Work Sans" w:hAnsi="Work Sans"/>
        </w:rPr>
      </w:pPr>
    </w:p>
    <w:p w14:paraId="515FD9A4" w14:textId="652D5094" w:rsidR="00BE3655" w:rsidRDefault="00BE3655" w:rsidP="00EA5599">
      <w:pPr>
        <w:pStyle w:val="CGCBodyCopy"/>
        <w:rPr>
          <w:rFonts w:ascii="Work Sans" w:hAnsi="Work Sans"/>
        </w:rPr>
      </w:pPr>
    </w:p>
    <w:p w14:paraId="16791C1A" w14:textId="432DF8A6" w:rsidR="00BE3655" w:rsidRDefault="00BE3655" w:rsidP="00EA5599">
      <w:pPr>
        <w:pStyle w:val="CGCBodyCopy"/>
        <w:rPr>
          <w:rFonts w:ascii="Work Sans" w:hAnsi="Work Sans"/>
        </w:rPr>
      </w:pPr>
    </w:p>
    <w:p w14:paraId="55A8C674" w14:textId="46D23B4A" w:rsidR="00A82021" w:rsidRDefault="00A82021" w:rsidP="00EA5599">
      <w:pPr>
        <w:pStyle w:val="CGCBodyCopy"/>
        <w:rPr>
          <w:rFonts w:ascii="Work Sans" w:hAnsi="Work Sans"/>
        </w:rPr>
      </w:pPr>
    </w:p>
    <w:p w14:paraId="0A3955FC" w14:textId="77777777" w:rsidR="00A82021" w:rsidRPr="00EA5599" w:rsidRDefault="00A82021" w:rsidP="00EA5599">
      <w:pPr>
        <w:pStyle w:val="CGCBodyCopy"/>
        <w:rPr>
          <w:rFonts w:ascii="Work Sans" w:hAnsi="Work Sans"/>
        </w:rPr>
      </w:pPr>
    </w:p>
    <w:p w14:paraId="689BBECA" w14:textId="73C60CC4" w:rsidR="00EA5599" w:rsidRPr="00BE3655" w:rsidRDefault="00EA5599" w:rsidP="00BE3655">
      <w:pPr>
        <w:jc w:val="left"/>
        <w:rPr>
          <w:rFonts w:ascii="Work Sans" w:hAnsi="Work Sans" w:cs="Open Sans"/>
          <w:b/>
          <w:bCs/>
          <w:color w:val="FFFFFF"/>
          <w:sz w:val="84"/>
          <w:szCs w:val="84"/>
          <w:shd w:val="clear" w:color="auto" w:fill="auto"/>
        </w:rPr>
      </w:pPr>
      <w:r w:rsidRPr="00BE3655">
        <w:rPr>
          <w:rFonts w:ascii="Work Sans" w:hAnsi="Work Sans" w:cs="Open Sans"/>
          <w:b/>
          <w:bCs/>
          <w:color w:val="FFFFFF"/>
          <w:sz w:val="84"/>
          <w:szCs w:val="84"/>
          <w:shd w:val="clear" w:color="auto" w:fill="auto"/>
        </w:rPr>
        <w:t>Occasional Paper</w:t>
      </w:r>
    </w:p>
    <w:p w14:paraId="0FE4A335" w14:textId="08E04B7A" w:rsidR="00BE3655" w:rsidRPr="00A82021" w:rsidRDefault="00BE3655" w:rsidP="00BE3655">
      <w:pPr>
        <w:pStyle w:val="CGCBodyCopy"/>
        <w:rPr>
          <w:rFonts w:ascii="Work Sans" w:hAnsi="Work Sans"/>
        </w:rPr>
      </w:pPr>
    </w:p>
    <w:p w14:paraId="1FBC4570" w14:textId="14C0A36B" w:rsidR="00BE3655" w:rsidRPr="00A82021" w:rsidRDefault="00BE3655" w:rsidP="00BE3655">
      <w:pPr>
        <w:pStyle w:val="CGCBodyCopy"/>
        <w:rPr>
          <w:rFonts w:ascii="Work Sans" w:hAnsi="Work Sans"/>
        </w:rPr>
      </w:pPr>
    </w:p>
    <w:p w14:paraId="3D4A0F85" w14:textId="77777777" w:rsidR="00BE3655" w:rsidRPr="00A82021" w:rsidRDefault="00BE3655" w:rsidP="00BE3655">
      <w:pPr>
        <w:pStyle w:val="CGCBodyCopy"/>
        <w:rPr>
          <w:rFonts w:ascii="Work Sans" w:hAnsi="Work Sans"/>
        </w:rPr>
      </w:pPr>
    </w:p>
    <w:p w14:paraId="46494691" w14:textId="5155E03A" w:rsidR="00EA5599" w:rsidRPr="00BE3655" w:rsidRDefault="00BE3655" w:rsidP="00BE3655">
      <w:pPr>
        <w:jc w:val="left"/>
        <w:rPr>
          <w:rFonts w:ascii="Work Sans" w:hAnsi="Work Sans" w:cs="Open Sans"/>
          <w:color w:val="FFFFFF"/>
          <w:sz w:val="48"/>
          <w:szCs w:val="48"/>
          <w:shd w:val="clear" w:color="auto" w:fill="auto"/>
        </w:rPr>
      </w:pPr>
      <w:r w:rsidRPr="00BE3655">
        <w:rPr>
          <w:rFonts w:ascii="Work Sans" w:hAnsi="Work Sans" w:cs="Open Sans"/>
          <w:color w:val="FFFFFF"/>
          <w:sz w:val="48"/>
          <w:szCs w:val="48"/>
          <w:shd w:val="clear" w:color="auto" w:fill="auto"/>
        </w:rPr>
        <w:t>No 4: New arrangements for distributing GST</w:t>
      </w:r>
    </w:p>
    <w:p w14:paraId="6687DED8" w14:textId="318DBF92" w:rsidR="00BE3655" w:rsidRPr="00A82021" w:rsidRDefault="00BE3655" w:rsidP="00A82021">
      <w:pPr>
        <w:pStyle w:val="CGCBodyCopy"/>
        <w:rPr>
          <w:rFonts w:ascii="Work Sans" w:hAnsi="Work Sans"/>
        </w:rPr>
      </w:pPr>
    </w:p>
    <w:p w14:paraId="25FB1F61" w14:textId="2DEF8FD3" w:rsidR="00A82021" w:rsidRPr="00A82021" w:rsidRDefault="00A82021" w:rsidP="00A82021">
      <w:pPr>
        <w:pStyle w:val="CGCBodyCopy"/>
        <w:rPr>
          <w:rFonts w:ascii="Work Sans" w:hAnsi="Work Sans"/>
        </w:rPr>
      </w:pPr>
    </w:p>
    <w:p w14:paraId="5A6D6559" w14:textId="1A878D8F" w:rsidR="00A82021" w:rsidRPr="00A82021" w:rsidRDefault="00A82021" w:rsidP="00A82021">
      <w:pPr>
        <w:pStyle w:val="CGCBodyCopy"/>
        <w:rPr>
          <w:rFonts w:ascii="Work Sans" w:hAnsi="Work Sans"/>
        </w:rPr>
      </w:pPr>
    </w:p>
    <w:p w14:paraId="5D4E72C6" w14:textId="25960F3E" w:rsidR="00A82021" w:rsidRPr="00A82021" w:rsidRDefault="00A82021" w:rsidP="00A82021">
      <w:pPr>
        <w:pStyle w:val="CGCBodyCopy"/>
        <w:rPr>
          <w:rFonts w:ascii="Work Sans" w:hAnsi="Work Sans"/>
        </w:rPr>
      </w:pPr>
    </w:p>
    <w:p w14:paraId="08D373ED" w14:textId="3312F9A1" w:rsidR="00A82021" w:rsidRPr="00A82021" w:rsidRDefault="00A82021" w:rsidP="00A82021">
      <w:pPr>
        <w:pStyle w:val="CGCBodyCopy"/>
        <w:rPr>
          <w:rFonts w:ascii="Work Sans" w:hAnsi="Work Sans"/>
        </w:rPr>
      </w:pPr>
    </w:p>
    <w:p w14:paraId="79FF679B" w14:textId="77777777" w:rsidR="00A82021" w:rsidRPr="00A82021" w:rsidRDefault="00A82021" w:rsidP="00A82021">
      <w:pPr>
        <w:pStyle w:val="CGCBodyCopy"/>
        <w:rPr>
          <w:rFonts w:ascii="Work Sans" w:hAnsi="Work Sans"/>
        </w:rPr>
      </w:pPr>
    </w:p>
    <w:p w14:paraId="25886A6C" w14:textId="5F20CF04" w:rsidR="00BE3655" w:rsidRPr="00A82021" w:rsidRDefault="00A82021" w:rsidP="00A82021">
      <w:pPr>
        <w:jc w:val="left"/>
        <w:rPr>
          <w:rFonts w:ascii="Work Sans" w:hAnsi="Work Sans" w:cs="Open Sans"/>
          <w:color w:val="FFFFFF"/>
          <w:sz w:val="28"/>
          <w:szCs w:val="28"/>
          <w:shd w:val="clear" w:color="auto" w:fill="auto"/>
        </w:rPr>
      </w:pPr>
      <w:r w:rsidRPr="00A82021">
        <w:rPr>
          <w:rFonts w:ascii="Work Sans" w:hAnsi="Work Sans" w:cs="Open Sans"/>
          <w:color w:val="FFFFFF"/>
          <w:sz w:val="28"/>
          <w:szCs w:val="28"/>
          <w:shd w:val="clear" w:color="auto" w:fill="auto"/>
        </w:rPr>
        <w:t>September 2021</w:t>
      </w:r>
    </w:p>
    <w:p w14:paraId="7204236B" w14:textId="23CFB523" w:rsidR="00D627B5" w:rsidRDefault="00D627B5">
      <w:pPr>
        <w:tabs>
          <w:tab w:val="clear" w:pos="567"/>
        </w:tabs>
        <w:spacing w:before="0" w:line="240" w:lineRule="auto"/>
        <w:jc w:val="left"/>
        <w:sectPr w:rsidR="00D627B5" w:rsidSect="00D627B5">
          <w:headerReference w:type="even" r:id="rId13"/>
          <w:headerReference w:type="default" r:id="rId14"/>
          <w:footerReference w:type="even" r:id="rId15"/>
          <w:footerReference w:type="default" r:id="rId16"/>
          <w:headerReference w:type="first" r:id="rId17"/>
          <w:footerReference w:type="first" r:id="rId18"/>
          <w:pgSz w:w="11900" w:h="16840"/>
          <w:pgMar w:top="1985" w:right="1418" w:bottom="1418" w:left="1418" w:header="709" w:footer="284" w:gutter="0"/>
          <w:pgNumType w:fmt="lowerRoman"/>
          <w:cols w:space="708"/>
          <w:titlePg/>
          <w:docGrid w:linePitch="360"/>
        </w:sectPr>
      </w:pPr>
    </w:p>
    <w:p w14:paraId="327DFC38" w14:textId="50510A3E" w:rsidR="00EA5599" w:rsidRDefault="00EA5599">
      <w:pPr>
        <w:tabs>
          <w:tab w:val="clear" w:pos="567"/>
        </w:tabs>
        <w:spacing w:before="0" w:line="240" w:lineRule="auto"/>
        <w:jc w:val="left"/>
      </w:pPr>
    </w:p>
    <w:p w14:paraId="742CE4AF" w14:textId="77777777" w:rsidR="00C3472D" w:rsidRDefault="00C3472D" w:rsidP="00C3472D">
      <w:pPr>
        <w:pStyle w:val="NormalWeb"/>
        <w:rPr>
          <w:color w:val="000000"/>
          <w:sz w:val="27"/>
          <w:szCs w:val="27"/>
        </w:rPr>
      </w:pPr>
    </w:p>
    <w:p w14:paraId="3EE705E8" w14:textId="77777777" w:rsidR="00C3472D" w:rsidRDefault="00C3472D" w:rsidP="00C3472D">
      <w:pPr>
        <w:pStyle w:val="NormalWeb"/>
        <w:rPr>
          <w:color w:val="000000"/>
          <w:sz w:val="27"/>
          <w:szCs w:val="27"/>
        </w:rPr>
      </w:pPr>
    </w:p>
    <w:p w14:paraId="3A92422D" w14:textId="77777777" w:rsidR="00C3472D" w:rsidRDefault="00C3472D" w:rsidP="00C3472D">
      <w:pPr>
        <w:pStyle w:val="NormalWeb"/>
        <w:rPr>
          <w:color w:val="000000"/>
          <w:sz w:val="27"/>
          <w:szCs w:val="27"/>
        </w:rPr>
      </w:pPr>
    </w:p>
    <w:p w14:paraId="0CB16B60" w14:textId="77777777" w:rsidR="00C3472D" w:rsidRDefault="00C3472D" w:rsidP="00C3472D">
      <w:pPr>
        <w:pStyle w:val="NormalWeb"/>
        <w:rPr>
          <w:color w:val="000000"/>
          <w:sz w:val="27"/>
          <w:szCs w:val="27"/>
        </w:rPr>
      </w:pPr>
    </w:p>
    <w:p w14:paraId="42394717" w14:textId="77777777" w:rsidR="00C3472D" w:rsidRDefault="00C3472D" w:rsidP="00C3472D">
      <w:pPr>
        <w:pStyle w:val="NormalWeb"/>
        <w:rPr>
          <w:color w:val="000000"/>
          <w:sz w:val="27"/>
          <w:szCs w:val="27"/>
        </w:rPr>
      </w:pPr>
    </w:p>
    <w:p w14:paraId="071408D9" w14:textId="77777777" w:rsidR="00C3472D" w:rsidRDefault="00C3472D" w:rsidP="00C3472D">
      <w:pPr>
        <w:pStyle w:val="NormalWeb"/>
        <w:rPr>
          <w:color w:val="000000"/>
          <w:sz w:val="27"/>
          <w:szCs w:val="27"/>
        </w:rPr>
      </w:pPr>
    </w:p>
    <w:p w14:paraId="1F356957" w14:textId="26A431FE" w:rsidR="00C3472D" w:rsidRPr="00C3472D" w:rsidRDefault="00C3472D" w:rsidP="00C3472D">
      <w:pPr>
        <w:pStyle w:val="NormalWeb"/>
        <w:rPr>
          <w:rFonts w:ascii="Work Sans" w:hAnsi="Work Sans"/>
          <w:b/>
          <w:bCs/>
          <w:color w:val="000000"/>
        </w:rPr>
      </w:pPr>
      <w:r w:rsidRPr="00C3472D">
        <w:rPr>
          <w:rFonts w:ascii="Work Sans" w:hAnsi="Work Sans"/>
          <w:b/>
          <w:bCs/>
          <w:color w:val="000000"/>
        </w:rPr>
        <w:t>Copyright</w:t>
      </w:r>
    </w:p>
    <w:p w14:paraId="5F16F077" w14:textId="77777777" w:rsidR="00C3472D" w:rsidRPr="00C3472D" w:rsidRDefault="00C3472D" w:rsidP="00C3472D">
      <w:pPr>
        <w:pStyle w:val="NormalWeb"/>
        <w:rPr>
          <w:rFonts w:ascii="Work Sans" w:hAnsi="Work Sans"/>
          <w:color w:val="000000"/>
        </w:rPr>
      </w:pPr>
      <w:r w:rsidRPr="00C3472D">
        <w:rPr>
          <w:rFonts w:ascii="Work Sans" w:hAnsi="Work Sans"/>
          <w:color w:val="000000"/>
        </w:rPr>
        <w:t>© Commonwealth of Australia 2021</w:t>
      </w:r>
    </w:p>
    <w:p w14:paraId="0E13F879" w14:textId="158EE49B" w:rsidR="00C3472D" w:rsidRDefault="00C3472D" w:rsidP="00C3472D">
      <w:pPr>
        <w:pStyle w:val="NormalWeb"/>
        <w:rPr>
          <w:rFonts w:ascii="Work Sans" w:hAnsi="Work Sans"/>
          <w:color w:val="000000"/>
        </w:rPr>
      </w:pPr>
      <w:proofErr w:type="gramStart"/>
      <w:r w:rsidRPr="00C3472D">
        <w:rPr>
          <w:rFonts w:ascii="Work Sans" w:hAnsi="Work Sans"/>
          <w:color w:val="000000"/>
        </w:rPr>
        <w:t>With the exception of</w:t>
      </w:r>
      <w:proofErr w:type="gramEnd"/>
      <w:r w:rsidRPr="00C3472D">
        <w:rPr>
          <w:rFonts w:ascii="Work Sans" w:hAnsi="Work Sans"/>
          <w:color w:val="000000"/>
        </w:rPr>
        <w:t xml:space="preserve"> the Commonwealth Coat of Arms, all material presented in this document is provided under Creative Commons Attribution 4.0 (https://creativecommons.org/licenses/by/4.0/) licence. The details of the relevant licence conditions are available on the Creative Commons website as is the full legal code for CC BY 4.0 International (</w:t>
      </w:r>
      <w:hyperlink r:id="rId19" w:history="1">
        <w:r w:rsidRPr="00DC711F">
          <w:rPr>
            <w:rStyle w:val="Hyperlink"/>
            <w:rFonts w:ascii="Work Sans" w:hAnsi="Work Sans"/>
          </w:rPr>
          <w:t>https://creativecommons.org/licenses/by/4.0/legalcode</w:t>
        </w:r>
      </w:hyperlink>
      <w:r w:rsidRPr="00C3472D">
        <w:rPr>
          <w:rFonts w:ascii="Work Sans" w:hAnsi="Work Sans"/>
          <w:color w:val="000000"/>
        </w:rPr>
        <w:t>).</w:t>
      </w:r>
    </w:p>
    <w:p w14:paraId="0F71C16C" w14:textId="193A0039" w:rsidR="00C3472D" w:rsidRPr="00C3472D" w:rsidRDefault="00C3472D" w:rsidP="00C3472D">
      <w:pPr>
        <w:pStyle w:val="NormalWeb"/>
        <w:rPr>
          <w:rFonts w:ascii="Work Sans" w:hAnsi="Work Sans"/>
          <w:color w:val="000000"/>
        </w:rPr>
      </w:pPr>
      <w:r w:rsidRPr="000A2C87">
        <w:rPr>
          <w:noProof/>
          <w:sz w:val="20"/>
          <w:szCs w:val="20"/>
        </w:rPr>
        <w:drawing>
          <wp:inline distT="0" distB="0" distL="0" distR="0" wp14:anchorId="61273D35" wp14:editId="3964046E">
            <wp:extent cx="828675" cy="295275"/>
            <wp:effectExtent l="19050" t="0" r="9525" b="0"/>
            <wp:docPr id="3" name="Picture 1" descr="Creative Commons -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20" cstate="print"/>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2F2FFB5F" w14:textId="77777777" w:rsidR="00C3472D" w:rsidRPr="00C3472D" w:rsidRDefault="00C3472D" w:rsidP="00C3472D">
      <w:pPr>
        <w:pStyle w:val="NormalWeb"/>
        <w:rPr>
          <w:rFonts w:ascii="Work Sans" w:hAnsi="Work Sans"/>
          <w:b/>
          <w:bCs/>
          <w:color w:val="000000"/>
        </w:rPr>
      </w:pPr>
      <w:r w:rsidRPr="00C3472D">
        <w:rPr>
          <w:rFonts w:ascii="Work Sans" w:hAnsi="Work Sans"/>
          <w:b/>
          <w:bCs/>
          <w:color w:val="000000"/>
        </w:rPr>
        <w:t>Attribution</w:t>
      </w:r>
    </w:p>
    <w:p w14:paraId="5ECB34F1" w14:textId="22E72957" w:rsidR="00C3472D" w:rsidRPr="00C3472D" w:rsidRDefault="00C3472D" w:rsidP="00C3472D">
      <w:pPr>
        <w:pStyle w:val="NormalWeb"/>
        <w:rPr>
          <w:rFonts w:ascii="Work Sans" w:hAnsi="Work Sans"/>
          <w:color w:val="000000"/>
        </w:rPr>
      </w:pPr>
      <w:r w:rsidRPr="00C3472D">
        <w:rPr>
          <w:rFonts w:ascii="Work Sans" w:hAnsi="Work Sans"/>
          <w:color w:val="000000"/>
        </w:rPr>
        <w:t>The recommended attribution for this document is Commonwealth Grants Commission, Occasional Paper No. 4: New arrangements for distributing GST</w:t>
      </w:r>
    </w:p>
    <w:p w14:paraId="1C31650C" w14:textId="77777777" w:rsidR="00C3472D" w:rsidRDefault="00C3472D" w:rsidP="00C3472D">
      <w:pPr>
        <w:pStyle w:val="NormalWeb"/>
        <w:rPr>
          <w:rFonts w:ascii="Work Sans" w:hAnsi="Work Sans"/>
          <w:color w:val="000000"/>
        </w:rPr>
      </w:pPr>
      <w:r w:rsidRPr="00C3472D">
        <w:rPr>
          <w:rFonts w:ascii="Work Sans" w:hAnsi="Work Sans"/>
          <w:b/>
          <w:bCs/>
          <w:color w:val="000000"/>
        </w:rPr>
        <w:t>Contact us</w:t>
      </w:r>
      <w:r w:rsidRPr="00C3472D">
        <w:rPr>
          <w:rFonts w:ascii="Work Sans" w:hAnsi="Work Sans"/>
          <w:color w:val="000000"/>
        </w:rPr>
        <w:t xml:space="preserve"> </w:t>
      </w:r>
    </w:p>
    <w:p w14:paraId="34BADBB1" w14:textId="1BD38210" w:rsidR="00C3472D" w:rsidRPr="00C3472D" w:rsidRDefault="00C3472D" w:rsidP="00C3472D">
      <w:pPr>
        <w:pStyle w:val="NormalWeb"/>
        <w:rPr>
          <w:rFonts w:ascii="Work Sans" w:hAnsi="Work Sans"/>
          <w:color w:val="000000"/>
        </w:rPr>
      </w:pPr>
      <w:r w:rsidRPr="00C3472D">
        <w:rPr>
          <w:rFonts w:ascii="Work Sans" w:hAnsi="Work Sans"/>
          <w:color w:val="000000"/>
        </w:rPr>
        <w:t>Inquiries regarding the use of this document should be directed to secretary@cgc.gov.au.</w:t>
      </w:r>
    </w:p>
    <w:p w14:paraId="7A7C4B76" w14:textId="77777777" w:rsidR="00D627B5" w:rsidRPr="00D627B5" w:rsidRDefault="00C3472D" w:rsidP="00C3472D">
      <w:pPr>
        <w:pStyle w:val="NormalWeb"/>
        <w:rPr>
          <w:rFonts w:ascii="Work Sans" w:hAnsi="Work Sans"/>
          <w:b/>
          <w:bCs/>
          <w:color w:val="000000"/>
        </w:rPr>
      </w:pPr>
      <w:r w:rsidRPr="00D627B5">
        <w:rPr>
          <w:rFonts w:ascii="Work Sans" w:hAnsi="Work Sans"/>
          <w:b/>
          <w:bCs/>
          <w:color w:val="000000"/>
        </w:rPr>
        <w:t xml:space="preserve">Internet </w:t>
      </w:r>
    </w:p>
    <w:p w14:paraId="5002CD7B" w14:textId="7DCB4754" w:rsidR="00C3472D" w:rsidRPr="00C3472D" w:rsidRDefault="00C3472D" w:rsidP="00C3472D">
      <w:pPr>
        <w:pStyle w:val="NormalWeb"/>
        <w:rPr>
          <w:rFonts w:ascii="Work Sans" w:hAnsi="Work Sans"/>
          <w:color w:val="000000"/>
        </w:rPr>
      </w:pPr>
      <w:r w:rsidRPr="00C3472D">
        <w:rPr>
          <w:rFonts w:ascii="Work Sans" w:hAnsi="Work Sans"/>
          <w:color w:val="000000"/>
        </w:rPr>
        <w:t>A copy of this paper is available on the Commission’s website (http://www.cgc.gov.au).</w:t>
      </w:r>
    </w:p>
    <w:p w14:paraId="70F94081" w14:textId="77777777" w:rsidR="00C3472D" w:rsidRDefault="00C3472D">
      <w:pPr>
        <w:tabs>
          <w:tab w:val="clear" w:pos="567"/>
        </w:tabs>
        <w:spacing w:before="0" w:line="240" w:lineRule="auto"/>
        <w:jc w:val="left"/>
        <w:rPr>
          <w:rFonts w:ascii="Open Sans" w:eastAsiaTheme="majorEastAsia" w:hAnsi="Open Sans" w:cs="Open Sans"/>
          <w:b/>
          <w:bCs/>
          <w:color w:val="006991"/>
          <w:sz w:val="40"/>
          <w:szCs w:val="40"/>
          <w:shd w:val="clear" w:color="auto" w:fill="auto"/>
        </w:rPr>
      </w:pPr>
    </w:p>
    <w:p w14:paraId="4CFE3C03" w14:textId="77777777" w:rsidR="00C3472D" w:rsidRDefault="00C3472D" w:rsidP="00BE3655">
      <w:pPr>
        <w:pStyle w:val="Heading1"/>
        <w:sectPr w:rsidR="00C3472D" w:rsidSect="00D627B5">
          <w:pgSz w:w="11900" w:h="16840"/>
          <w:pgMar w:top="1985" w:right="1418" w:bottom="1418" w:left="1418" w:header="709" w:footer="284" w:gutter="0"/>
          <w:pgNumType w:fmt="lowerRoman"/>
          <w:cols w:space="708"/>
          <w:titlePg/>
          <w:docGrid w:linePitch="360"/>
        </w:sectPr>
      </w:pPr>
    </w:p>
    <w:p w14:paraId="622FA1A9" w14:textId="4845A2A9" w:rsidR="005D7039" w:rsidRPr="007C1977" w:rsidRDefault="00570369" w:rsidP="00BE3655">
      <w:pPr>
        <w:pStyle w:val="Heading1"/>
      </w:pPr>
      <w:r w:rsidRPr="007C1977">
        <w:lastRenderedPageBreak/>
        <w:t>New arrangements for distributing GST</w:t>
      </w:r>
    </w:p>
    <w:p w14:paraId="5859ABE1" w14:textId="0D7C3A7E" w:rsidR="005D7039" w:rsidRPr="007C1977" w:rsidRDefault="004733F8" w:rsidP="00BE3655">
      <w:pPr>
        <w:pStyle w:val="Heading2"/>
      </w:pPr>
      <w:r w:rsidRPr="007C1977">
        <w:t>Introduction</w:t>
      </w:r>
    </w:p>
    <w:p w14:paraId="5689C068" w14:textId="208C6318" w:rsidR="00292F2B" w:rsidRPr="00190F88" w:rsidRDefault="00292F2B" w:rsidP="00292F2B">
      <w:pPr>
        <w:tabs>
          <w:tab w:val="clear" w:pos="567"/>
        </w:tabs>
        <w:spacing w:before="240" w:line="300" w:lineRule="atLeast"/>
        <w:rPr>
          <w:rFonts w:ascii="Work Sans" w:eastAsia="Times New Roman" w:hAnsi="Work Sans" w:cs="Times New Roman"/>
          <w:szCs w:val="20"/>
          <w:lang w:eastAsia="en-AU"/>
        </w:rPr>
      </w:pPr>
      <w:r w:rsidRPr="00190F88">
        <w:rPr>
          <w:rFonts w:ascii="Work Sans" w:eastAsia="Times New Roman" w:hAnsi="Work Sans" w:cs="Times New Roman"/>
          <w:szCs w:val="20"/>
          <w:lang w:eastAsia="en-AU"/>
        </w:rPr>
        <w:t xml:space="preserve">In 2018, the Commonwealth Parliament legislated a new way to distribute GST revenue among the states and territories (states). This has been referred to as the </w:t>
      </w:r>
      <w:r w:rsidRPr="00190F88">
        <w:rPr>
          <w:rFonts w:ascii="Work Sans" w:eastAsia="Times New Roman" w:hAnsi="Work Sans" w:cs="Times New Roman"/>
          <w:i/>
          <w:iCs/>
          <w:szCs w:val="20"/>
          <w:lang w:eastAsia="en-AU"/>
        </w:rPr>
        <w:t xml:space="preserve">new equalisation arrangements. </w:t>
      </w:r>
    </w:p>
    <w:p w14:paraId="7DA743EC" w14:textId="77777777" w:rsidR="00292F2B" w:rsidRPr="00190F88" w:rsidRDefault="00292F2B" w:rsidP="00292F2B">
      <w:pPr>
        <w:tabs>
          <w:tab w:val="clear" w:pos="567"/>
        </w:tabs>
        <w:spacing w:before="240" w:line="300" w:lineRule="atLeast"/>
        <w:rPr>
          <w:rFonts w:ascii="Work Sans" w:eastAsia="Times New Roman" w:hAnsi="Work Sans" w:cs="Times New Roman"/>
          <w:szCs w:val="20"/>
          <w:lang w:eastAsia="en-AU"/>
        </w:rPr>
      </w:pPr>
      <w:r w:rsidRPr="00190F88">
        <w:rPr>
          <w:rFonts w:ascii="Work Sans" w:eastAsia="Times New Roman" w:hAnsi="Work Sans" w:cs="Times New Roman"/>
          <w:szCs w:val="20"/>
          <w:lang w:eastAsia="en-AU"/>
        </w:rPr>
        <w:t>The key elements are:</w:t>
      </w:r>
    </w:p>
    <w:p w14:paraId="14E5B564" w14:textId="77777777" w:rsidR="00292F2B" w:rsidRPr="00190F88" w:rsidRDefault="00292F2B" w:rsidP="00292F2B">
      <w:pPr>
        <w:pStyle w:val="BodyText"/>
        <w:rPr>
          <w:rFonts w:ascii="Work Sans" w:hAnsi="Work Sans"/>
        </w:rPr>
      </w:pPr>
      <w:r w:rsidRPr="00190F88">
        <w:rPr>
          <w:rFonts w:ascii="Work Sans" w:hAnsi="Work Sans"/>
        </w:rPr>
        <w:t xml:space="preserve">a new equalisation benchmark linked to the fiscally stronger of NSW or Victoria </w:t>
      </w:r>
    </w:p>
    <w:p w14:paraId="4B6C6C28" w14:textId="77777777" w:rsidR="00292F2B" w:rsidRPr="00190F88" w:rsidRDefault="00292F2B" w:rsidP="00292F2B">
      <w:pPr>
        <w:pStyle w:val="BodyText"/>
        <w:rPr>
          <w:rFonts w:ascii="Work Sans" w:hAnsi="Work Sans"/>
        </w:rPr>
      </w:pPr>
      <w:r w:rsidRPr="00190F88">
        <w:rPr>
          <w:rFonts w:ascii="Work Sans" w:hAnsi="Work Sans"/>
        </w:rPr>
        <w:t>a GST relativity floor</w:t>
      </w:r>
    </w:p>
    <w:p w14:paraId="197E2887" w14:textId="77777777" w:rsidR="00292F2B" w:rsidRPr="00190F88" w:rsidRDefault="00292F2B" w:rsidP="00292F2B">
      <w:pPr>
        <w:pStyle w:val="BodyText"/>
        <w:rPr>
          <w:rFonts w:ascii="Work Sans" w:hAnsi="Work Sans"/>
        </w:rPr>
      </w:pPr>
      <w:r w:rsidRPr="00190F88">
        <w:rPr>
          <w:rFonts w:ascii="Work Sans" w:hAnsi="Work Sans"/>
        </w:rPr>
        <w:t>Commonwealth funded top-ups to the GST pool</w:t>
      </w:r>
    </w:p>
    <w:p w14:paraId="17E58F66" w14:textId="77777777" w:rsidR="00292F2B" w:rsidRPr="00190F88" w:rsidRDefault="00292F2B" w:rsidP="00292F2B">
      <w:pPr>
        <w:pStyle w:val="BodyText"/>
        <w:rPr>
          <w:rFonts w:ascii="Work Sans" w:hAnsi="Work Sans"/>
        </w:rPr>
      </w:pPr>
      <w:r w:rsidRPr="00190F88">
        <w:rPr>
          <w:rFonts w:ascii="Work Sans" w:hAnsi="Work Sans"/>
        </w:rPr>
        <w:t xml:space="preserve">transitional arrangements, staging implementation of the new equalisation benchmark and giving states a no-worse off guarantee. </w:t>
      </w:r>
    </w:p>
    <w:p w14:paraId="5CBAF30D" w14:textId="77777777" w:rsidR="00292F2B" w:rsidRPr="00190F88" w:rsidRDefault="00292F2B" w:rsidP="00292F2B">
      <w:pPr>
        <w:rPr>
          <w:rFonts w:ascii="Work Sans" w:eastAsia="Calibri" w:hAnsi="Work Sans"/>
        </w:rPr>
      </w:pPr>
      <w:r w:rsidRPr="00190F88">
        <w:rPr>
          <w:rFonts w:ascii="Work Sans" w:eastAsia="Calibri" w:hAnsi="Work Sans"/>
        </w:rPr>
        <w:t>This paper briefly outlines the new arrangements.</w:t>
      </w:r>
    </w:p>
    <w:p w14:paraId="0323CEA1" w14:textId="1F978E58" w:rsidR="005D7039" w:rsidRPr="007C1977" w:rsidRDefault="00C465AC" w:rsidP="00BE3655">
      <w:pPr>
        <w:pStyle w:val="Heading2"/>
      </w:pPr>
      <w:r w:rsidRPr="007C1977">
        <w:t xml:space="preserve">A new equalisation </w:t>
      </w:r>
      <w:proofErr w:type="gramStart"/>
      <w:r w:rsidRPr="007C1977">
        <w:t>benchmark</w:t>
      </w:r>
      <w:proofErr w:type="gramEnd"/>
    </w:p>
    <w:p w14:paraId="3B9D6C9A" w14:textId="4A80FD1C" w:rsidR="00F554D7" w:rsidRPr="00190F88" w:rsidRDefault="00F554D7" w:rsidP="00F554D7">
      <w:pPr>
        <w:rPr>
          <w:rFonts w:ascii="Work Sans" w:hAnsi="Work Sans"/>
        </w:rPr>
      </w:pPr>
      <w:r w:rsidRPr="00190F88">
        <w:rPr>
          <w:rFonts w:ascii="Work Sans" w:hAnsi="Work Sans"/>
        </w:rPr>
        <w:t xml:space="preserve">Since introducing the GST in 2000, the Commonwealth has distributed the revenue among the states. Because they have different service delivery needs and abilities to raise revenue, a different amount of GST per person </w:t>
      </w:r>
      <w:r w:rsidR="006A7FF0" w:rsidRPr="00190F88">
        <w:rPr>
          <w:rFonts w:ascii="Work Sans" w:hAnsi="Work Sans"/>
        </w:rPr>
        <w:t xml:space="preserve">is allocated </w:t>
      </w:r>
      <w:r w:rsidRPr="00190F88">
        <w:rPr>
          <w:rFonts w:ascii="Work Sans" w:hAnsi="Work Sans"/>
        </w:rPr>
        <w:t>to each state. It seeks to put all Australians on a level playing field in terms of their potential to access services and infrastructure. This is referred to as fiscal equalisation.</w:t>
      </w:r>
    </w:p>
    <w:p w14:paraId="215C1A47" w14:textId="77777777" w:rsidR="00F554D7" w:rsidRPr="00190F88" w:rsidRDefault="00F554D7" w:rsidP="00F554D7">
      <w:pPr>
        <w:rPr>
          <w:rFonts w:ascii="Work Sans" w:hAnsi="Work Sans"/>
        </w:rPr>
      </w:pPr>
      <w:r w:rsidRPr="00190F88">
        <w:rPr>
          <w:rFonts w:ascii="Work Sans" w:hAnsi="Work Sans"/>
        </w:rPr>
        <w:t xml:space="preserve">The per person GST share is expressed as a ‘GST relativity’. If all states had the same fiscal capacity, each would have a GST relativity of 1 and receive the same GST per person. Because their needs are different, fiscally stronger states have a GST relativity below 1 (and receive less than the average GST per person), and fiscally weaker states have a GST relativity above 1 (and receive more than the average GST per person). </w:t>
      </w:r>
    </w:p>
    <w:p w14:paraId="6568D076" w14:textId="3C1946BA" w:rsidR="00F554D7" w:rsidRPr="00190F88" w:rsidRDefault="00F554D7" w:rsidP="00F554D7">
      <w:pPr>
        <w:rPr>
          <w:rFonts w:ascii="Work Sans" w:hAnsi="Work Sans"/>
        </w:rPr>
      </w:pPr>
      <w:r w:rsidRPr="00190F88">
        <w:rPr>
          <w:rFonts w:ascii="Work Sans" w:hAnsi="Work Sans"/>
        </w:rPr>
        <w:t>Prior to the new approach, equalisation gave each state the fiscal capacity of the fiscally strongest state</w:t>
      </w:r>
      <w:r w:rsidR="009D459E" w:rsidRPr="00190F88">
        <w:rPr>
          <w:rFonts w:ascii="Work Sans" w:hAnsi="Work Sans"/>
        </w:rPr>
        <w:t xml:space="preserve"> to provide services</w:t>
      </w:r>
      <w:r w:rsidRPr="00190F88">
        <w:rPr>
          <w:rFonts w:ascii="Work Sans" w:hAnsi="Work Sans"/>
        </w:rPr>
        <w:t>.</w:t>
      </w:r>
    </w:p>
    <w:p w14:paraId="01122154" w14:textId="77777777" w:rsidR="00F554D7" w:rsidRPr="00190F88" w:rsidRDefault="00F554D7" w:rsidP="00F554D7">
      <w:pPr>
        <w:rPr>
          <w:rFonts w:ascii="Work Sans" w:hAnsi="Work Sans"/>
        </w:rPr>
      </w:pPr>
      <w:r w:rsidRPr="00190F88">
        <w:rPr>
          <w:rFonts w:ascii="Work Sans" w:hAnsi="Work Sans"/>
        </w:rPr>
        <w:t>The new equalisation arrangements ensure that each state’s GST relativity is at least as high as the relativity of the fiscally stronger of New South Wales or Victoria (referred to as the ‘standard state’). This means no state will receive less GST per person than the standard state.</w:t>
      </w:r>
    </w:p>
    <w:p w14:paraId="2F953A8E" w14:textId="77777777" w:rsidR="00F554D7" w:rsidRPr="00190F88" w:rsidRDefault="00F554D7" w:rsidP="00F554D7">
      <w:pPr>
        <w:rPr>
          <w:rFonts w:ascii="Work Sans" w:hAnsi="Work Sans"/>
        </w:rPr>
      </w:pPr>
      <w:r w:rsidRPr="00190F88">
        <w:rPr>
          <w:rFonts w:ascii="Work Sans" w:hAnsi="Work Sans"/>
        </w:rPr>
        <w:t xml:space="preserve">Should any state be fiscally stronger than the standard state, its GST relativity will be increased to the relativity of the standard state. Given the </w:t>
      </w:r>
      <w:r w:rsidRPr="00190F88">
        <w:rPr>
          <w:rFonts w:ascii="Work Sans" w:hAnsi="Work Sans"/>
        </w:rPr>
        <w:lastRenderedPageBreak/>
        <w:t xml:space="preserve">GST is distributed from a fixed funding pool, other states’ relativities will fall to accommodate this increase. </w:t>
      </w:r>
    </w:p>
    <w:p w14:paraId="143C7746" w14:textId="529C1FEE" w:rsidR="00C465AC" w:rsidRPr="00190F88" w:rsidRDefault="00F554D7" w:rsidP="00F554D7">
      <w:pPr>
        <w:rPr>
          <w:rFonts w:ascii="Work Sans" w:hAnsi="Work Sans"/>
        </w:rPr>
      </w:pPr>
      <w:r w:rsidRPr="00190F88">
        <w:rPr>
          <w:rFonts w:ascii="Work Sans" w:hAnsi="Work Sans"/>
        </w:rPr>
        <w:t xml:space="preserve">In practice, a state that has its relativity lifted to that of the standard state will end up with a higher fiscal capacity. The other states will have a fiscal capacity lower than the strongest state, but </w:t>
      </w:r>
      <w:proofErr w:type="gramStart"/>
      <w:r w:rsidRPr="00190F88">
        <w:rPr>
          <w:rFonts w:ascii="Work Sans" w:hAnsi="Work Sans"/>
        </w:rPr>
        <w:t>similar to</w:t>
      </w:r>
      <w:proofErr w:type="gramEnd"/>
      <w:r w:rsidRPr="00190F88">
        <w:rPr>
          <w:rFonts w:ascii="Work Sans" w:hAnsi="Work Sans"/>
        </w:rPr>
        <w:t xml:space="preserve"> the standard state.</w:t>
      </w:r>
    </w:p>
    <w:p w14:paraId="4A81E173" w14:textId="6AD4498D" w:rsidR="004175C4" w:rsidRPr="007C1977" w:rsidRDefault="004175C4" w:rsidP="00BE3655">
      <w:pPr>
        <w:pStyle w:val="Heading2"/>
      </w:pPr>
      <w:r w:rsidRPr="007C1977">
        <w:t>A GST relativity floor</w:t>
      </w:r>
    </w:p>
    <w:p w14:paraId="767994B8" w14:textId="77777777" w:rsidR="00627D6B" w:rsidRPr="00190F88" w:rsidRDefault="00627D6B" w:rsidP="00627D6B">
      <w:pPr>
        <w:rPr>
          <w:rFonts w:ascii="Work Sans" w:hAnsi="Work Sans"/>
        </w:rPr>
      </w:pPr>
      <w:r w:rsidRPr="00190F88">
        <w:rPr>
          <w:rFonts w:ascii="Work Sans" w:hAnsi="Work Sans"/>
        </w:rPr>
        <w:t xml:space="preserve">The GST floor sets a relativity below which a state’s GST share cannot fall. It creates a minimum per person GST share that each state receives, irrespective of its fiscal circumstances. </w:t>
      </w:r>
    </w:p>
    <w:p w14:paraId="314B3FBF" w14:textId="4469C028" w:rsidR="00627D6B" w:rsidRPr="00190F88" w:rsidRDefault="00627D6B" w:rsidP="00627D6B">
      <w:pPr>
        <w:rPr>
          <w:rFonts w:ascii="Work Sans" w:hAnsi="Work Sans"/>
        </w:rPr>
      </w:pPr>
      <w:r w:rsidRPr="00190F88">
        <w:rPr>
          <w:rFonts w:ascii="Work Sans" w:hAnsi="Work Sans"/>
        </w:rPr>
        <w:t>In 2022-23 and 2023-24, the floor will be 0.70. From 2024-25, the floor will increase to 0.75. If the floor is activated, it will be financed from the GST pool</w:t>
      </w:r>
      <w:r w:rsidR="002D032E" w:rsidRPr="00190F88">
        <w:rPr>
          <w:rFonts w:ascii="Work Sans" w:hAnsi="Work Sans"/>
        </w:rPr>
        <w:t xml:space="preserve"> with</w:t>
      </w:r>
      <w:r w:rsidRPr="00190F88">
        <w:rPr>
          <w:rFonts w:ascii="Work Sans" w:hAnsi="Work Sans"/>
        </w:rPr>
        <w:t xml:space="preserve"> Commonwealth top-ups. </w:t>
      </w:r>
    </w:p>
    <w:p w14:paraId="6D168FDE" w14:textId="5FA91D4C" w:rsidR="00627D6B" w:rsidRPr="00190F88" w:rsidRDefault="00627D6B" w:rsidP="00627D6B">
      <w:pPr>
        <w:rPr>
          <w:rFonts w:ascii="Work Sans" w:hAnsi="Work Sans"/>
        </w:rPr>
      </w:pPr>
      <w:r w:rsidRPr="00190F88">
        <w:rPr>
          <w:rFonts w:ascii="Work Sans" w:hAnsi="Work Sans"/>
        </w:rPr>
        <w:t>While the floor will be a permanent feature of the new arrangements, it is very unlikely to be needed once the new equalisation benchmark has been fully implemented. The new benchmark is expected to provide each state with a minimum GST per person that is more than that provided by the floor.</w:t>
      </w:r>
    </w:p>
    <w:p w14:paraId="75D5DFC5" w14:textId="76B5901D" w:rsidR="00627D6B" w:rsidRPr="007C1977" w:rsidRDefault="00034B07" w:rsidP="00BE3655">
      <w:pPr>
        <w:pStyle w:val="Heading2"/>
      </w:pPr>
      <w:r w:rsidRPr="007C1977">
        <w:t>GST pool top-up</w:t>
      </w:r>
    </w:p>
    <w:p w14:paraId="26A7E346" w14:textId="61E6B625" w:rsidR="00CA17AD" w:rsidRPr="00190F88" w:rsidRDefault="00DF52E0" w:rsidP="00034B07">
      <w:pPr>
        <w:rPr>
          <w:rFonts w:ascii="Work Sans" w:hAnsi="Work Sans"/>
        </w:rPr>
      </w:pPr>
      <w:r w:rsidRPr="00190F88">
        <w:rPr>
          <w:rFonts w:ascii="Work Sans" w:hAnsi="Work Sans"/>
        </w:rPr>
        <w:t>The Commonwealth topped-up the GST pool</w:t>
      </w:r>
      <w:r w:rsidR="00D5474B" w:rsidRPr="00190F88">
        <w:rPr>
          <w:rFonts w:ascii="Work Sans" w:hAnsi="Work Sans"/>
        </w:rPr>
        <w:t xml:space="preserve"> by </w:t>
      </w:r>
      <w:r w:rsidR="005639C2" w:rsidRPr="00190F88">
        <w:rPr>
          <w:rFonts w:ascii="Work Sans" w:hAnsi="Work Sans"/>
        </w:rPr>
        <w:t>$600</w:t>
      </w:r>
      <w:r w:rsidR="00AE6054" w:rsidRPr="00190F88">
        <w:rPr>
          <w:rFonts w:ascii="Work Sans" w:hAnsi="Work Sans"/>
        </w:rPr>
        <w:t> </w:t>
      </w:r>
      <w:r w:rsidR="005639C2" w:rsidRPr="00190F88">
        <w:rPr>
          <w:rFonts w:ascii="Work Sans" w:hAnsi="Work Sans"/>
        </w:rPr>
        <w:t>million</w:t>
      </w:r>
      <w:r w:rsidRPr="00190F88">
        <w:rPr>
          <w:rFonts w:ascii="Work Sans" w:hAnsi="Work Sans"/>
        </w:rPr>
        <w:t xml:space="preserve"> in 2021-21</w:t>
      </w:r>
      <w:r w:rsidR="005639C2" w:rsidRPr="00190F88">
        <w:rPr>
          <w:rFonts w:ascii="Work Sans" w:hAnsi="Work Sans"/>
        </w:rPr>
        <w:t>. This top-up will continue in each following year</w:t>
      </w:r>
      <w:r w:rsidR="006B0E32" w:rsidRPr="00190F88">
        <w:rPr>
          <w:rFonts w:ascii="Work Sans" w:hAnsi="Work Sans"/>
        </w:rPr>
        <w:t>,</w:t>
      </w:r>
      <w:r w:rsidR="005639C2" w:rsidRPr="00190F88">
        <w:rPr>
          <w:rFonts w:ascii="Work Sans" w:hAnsi="Work Sans"/>
        </w:rPr>
        <w:t xml:space="preserve"> with </w:t>
      </w:r>
      <w:r w:rsidR="00472CFF" w:rsidRPr="00190F88">
        <w:rPr>
          <w:rFonts w:ascii="Work Sans" w:hAnsi="Work Sans"/>
        </w:rPr>
        <w:t>indexation</w:t>
      </w:r>
      <w:r w:rsidR="005639C2" w:rsidRPr="00190F88">
        <w:rPr>
          <w:rFonts w:ascii="Work Sans" w:hAnsi="Work Sans"/>
        </w:rPr>
        <w:t xml:space="preserve">. In </w:t>
      </w:r>
      <w:r w:rsidR="00CA17AD" w:rsidRPr="00190F88">
        <w:rPr>
          <w:rFonts w:ascii="Work Sans" w:hAnsi="Work Sans"/>
        </w:rPr>
        <w:t xml:space="preserve">2024-25 </w:t>
      </w:r>
      <w:r w:rsidR="00EC1907" w:rsidRPr="00190F88">
        <w:rPr>
          <w:rFonts w:ascii="Work Sans" w:hAnsi="Work Sans"/>
        </w:rPr>
        <w:t xml:space="preserve">the GST pool </w:t>
      </w:r>
      <w:r w:rsidR="005639C2" w:rsidRPr="00190F88">
        <w:rPr>
          <w:rFonts w:ascii="Work Sans" w:hAnsi="Work Sans"/>
        </w:rPr>
        <w:t>will be supplemented with a further $250</w:t>
      </w:r>
      <w:r w:rsidR="00194D69" w:rsidRPr="00190F88">
        <w:rPr>
          <w:rFonts w:ascii="Work Sans" w:hAnsi="Work Sans"/>
        </w:rPr>
        <w:t> </w:t>
      </w:r>
      <w:r w:rsidR="005639C2" w:rsidRPr="00190F88">
        <w:rPr>
          <w:rFonts w:ascii="Work Sans" w:hAnsi="Work Sans"/>
        </w:rPr>
        <w:t xml:space="preserve">million with indexing of </w:t>
      </w:r>
      <w:r w:rsidR="00A360DE" w:rsidRPr="00190F88">
        <w:rPr>
          <w:rFonts w:ascii="Work Sans" w:hAnsi="Work Sans"/>
        </w:rPr>
        <w:t xml:space="preserve">both </w:t>
      </w:r>
      <w:r w:rsidR="005639C2" w:rsidRPr="00190F88">
        <w:rPr>
          <w:rFonts w:ascii="Work Sans" w:hAnsi="Work Sans"/>
        </w:rPr>
        <w:t>amount</w:t>
      </w:r>
      <w:r w:rsidR="00D5474B" w:rsidRPr="00190F88">
        <w:rPr>
          <w:rFonts w:ascii="Work Sans" w:hAnsi="Work Sans"/>
        </w:rPr>
        <w:t>s</w:t>
      </w:r>
      <w:r w:rsidR="005639C2" w:rsidRPr="00190F88">
        <w:rPr>
          <w:rFonts w:ascii="Work Sans" w:hAnsi="Work Sans"/>
        </w:rPr>
        <w:t xml:space="preserve"> continuing in subsequent years</w:t>
      </w:r>
      <w:r w:rsidR="00860ADB" w:rsidRPr="00190F88">
        <w:rPr>
          <w:rFonts w:ascii="Work Sans" w:hAnsi="Work Sans"/>
        </w:rPr>
        <w:t>.</w:t>
      </w:r>
      <w:r w:rsidR="00860ADB" w:rsidRPr="00190F88">
        <w:rPr>
          <w:rStyle w:val="FootnoteReference"/>
          <w:rFonts w:ascii="Work Sans" w:hAnsi="Work Sans"/>
        </w:rPr>
        <w:footnoteReference w:id="2"/>
      </w:r>
      <w:r w:rsidR="005639C2" w:rsidRPr="00190F88">
        <w:rPr>
          <w:rFonts w:ascii="Work Sans" w:hAnsi="Work Sans"/>
        </w:rPr>
        <w:t xml:space="preserve"> </w:t>
      </w:r>
    </w:p>
    <w:p w14:paraId="03E5A96C" w14:textId="6CE6A644" w:rsidR="00265C01" w:rsidRPr="007C1977" w:rsidRDefault="00265C01" w:rsidP="00BE3655">
      <w:pPr>
        <w:pStyle w:val="Heading2"/>
      </w:pPr>
      <w:r w:rsidRPr="007C1977">
        <w:t>Transitional arrangements</w:t>
      </w:r>
    </w:p>
    <w:p w14:paraId="4407337F" w14:textId="77777777" w:rsidR="00390913" w:rsidRPr="00190F88" w:rsidRDefault="00390913" w:rsidP="00390913">
      <w:pPr>
        <w:rPr>
          <w:rFonts w:ascii="Work Sans" w:hAnsi="Work Sans"/>
        </w:rPr>
      </w:pPr>
      <w:r w:rsidRPr="00190F88">
        <w:rPr>
          <w:rFonts w:ascii="Work Sans" w:hAnsi="Work Sans"/>
        </w:rPr>
        <w:t>The transition to the new equalisation arrangements commenced in 2021-22 and will conclude in 2026-27.</w:t>
      </w:r>
    </w:p>
    <w:p w14:paraId="634F721D" w14:textId="09BE7775" w:rsidR="00390913" w:rsidRPr="00190F88" w:rsidRDefault="00390913" w:rsidP="00390913">
      <w:pPr>
        <w:rPr>
          <w:rFonts w:ascii="Work Sans" w:hAnsi="Work Sans"/>
        </w:rPr>
      </w:pPr>
      <w:r w:rsidRPr="00190F88">
        <w:rPr>
          <w:rFonts w:ascii="Work Sans" w:hAnsi="Work Sans"/>
        </w:rPr>
        <w:t xml:space="preserve">During the </w:t>
      </w:r>
      <w:proofErr w:type="gramStart"/>
      <w:r w:rsidRPr="00190F88">
        <w:rPr>
          <w:rFonts w:ascii="Work Sans" w:hAnsi="Work Sans"/>
        </w:rPr>
        <w:t>6</w:t>
      </w:r>
      <w:r w:rsidR="001E2C1E" w:rsidRPr="00190F88">
        <w:rPr>
          <w:rFonts w:ascii="Work Sans" w:hAnsi="Work Sans"/>
        </w:rPr>
        <w:t> </w:t>
      </w:r>
      <w:r w:rsidRPr="00190F88">
        <w:rPr>
          <w:rFonts w:ascii="Work Sans" w:hAnsi="Work Sans"/>
        </w:rPr>
        <w:t>year</w:t>
      </w:r>
      <w:proofErr w:type="gramEnd"/>
      <w:r w:rsidRPr="00190F88">
        <w:rPr>
          <w:rFonts w:ascii="Work Sans" w:hAnsi="Work Sans"/>
        </w:rPr>
        <w:t xml:space="preserve"> transition, GST relativities are a blend of the old and new arrangements. For 2021-22, each state’s GST relativity was based on 5/6 of its GST relativity under the old arrangements and 1/6 of its relativity under the new arrangements. For 2022-23, the split will be 4/6 and 2/6, and so on. By 2026-27, GST distribution will fully reflect the new equalisation benchmark.</w:t>
      </w:r>
    </w:p>
    <w:p w14:paraId="67855DDC" w14:textId="6AE59BEC" w:rsidR="00265C01" w:rsidRPr="00190F88" w:rsidRDefault="00390913" w:rsidP="00390913">
      <w:pPr>
        <w:rPr>
          <w:rFonts w:ascii="Work Sans" w:hAnsi="Work Sans"/>
        </w:rPr>
      </w:pPr>
      <w:r w:rsidRPr="00190F88">
        <w:rPr>
          <w:rFonts w:ascii="Work Sans" w:hAnsi="Work Sans"/>
        </w:rPr>
        <w:t xml:space="preserve">A ‘no worse off’ guarantee operates during the transitional period. This ensures that, over the transitional period, no state will receive a lower cumulative amount of GST than it would have received under the previous arrangements. No worse-off payments are funded by the Commonwealth </w:t>
      </w:r>
      <w:r w:rsidRPr="00190F88">
        <w:rPr>
          <w:rFonts w:ascii="Work Sans" w:hAnsi="Work Sans"/>
        </w:rPr>
        <w:lastRenderedPageBreak/>
        <w:t>Government outside of the GST pool. The ‘no-worse off ‘guarantee is scheduled to expire after the transition ends in 2026</w:t>
      </w:r>
      <w:r w:rsidR="00E16441" w:rsidRPr="00190F88">
        <w:rPr>
          <w:rFonts w:ascii="Work Sans" w:hAnsi="Work Sans"/>
        </w:rPr>
        <w:noBreakHyphen/>
      </w:r>
      <w:r w:rsidRPr="00190F88">
        <w:rPr>
          <w:rFonts w:ascii="Work Sans" w:hAnsi="Work Sans"/>
        </w:rPr>
        <w:t>27.</w:t>
      </w:r>
    </w:p>
    <w:p w14:paraId="168A3D1C" w14:textId="77777777" w:rsidR="007A5CD0" w:rsidRPr="00190F88" w:rsidRDefault="007A5CD0" w:rsidP="007A5CD0">
      <w:pPr>
        <w:pStyle w:val="Caption"/>
        <w:rPr>
          <w:rFonts w:ascii="Work Sans" w:hAnsi="Work Sans"/>
          <w:b w:val="0"/>
          <w:bCs w:val="0"/>
        </w:rPr>
      </w:pPr>
      <w:r w:rsidRPr="00190F88">
        <w:rPr>
          <w:rFonts w:ascii="Work Sans" w:hAnsi="Work Sans"/>
          <w:b w:val="0"/>
          <w:bCs w:val="0"/>
        </w:rPr>
        <w:t>Table 1</w:t>
      </w:r>
      <w:r w:rsidRPr="00190F88">
        <w:rPr>
          <w:rFonts w:ascii="Work Sans" w:hAnsi="Work Sans"/>
          <w:b w:val="0"/>
          <w:bCs w:val="0"/>
        </w:rPr>
        <w:tab/>
        <w:t>Summary of the transition by year</w:t>
      </w:r>
      <w:r w:rsidRPr="00190F88">
        <w:rPr>
          <w:rFonts w:ascii="Work Sans" w:hAnsi="Work Sans"/>
          <w:b w:val="0"/>
          <w:bCs w:val="0"/>
          <w:vertAlign w:val="superscript"/>
        </w:rPr>
        <w:t>1</w:t>
      </w:r>
    </w:p>
    <w:tbl>
      <w:tblPr>
        <w:tblW w:w="8820" w:type="dxa"/>
        <w:tblLook w:val="04A0" w:firstRow="1" w:lastRow="0" w:firstColumn="1" w:lastColumn="0" w:noHBand="0" w:noVBand="1"/>
      </w:tblPr>
      <w:tblGrid>
        <w:gridCol w:w="1680"/>
        <w:gridCol w:w="1020"/>
        <w:gridCol w:w="1020"/>
        <w:gridCol w:w="1020"/>
        <w:gridCol w:w="1020"/>
        <w:gridCol w:w="1020"/>
        <w:gridCol w:w="1020"/>
        <w:gridCol w:w="1020"/>
      </w:tblGrid>
      <w:tr w:rsidR="007A5CD0" w:rsidRPr="007C1977" w14:paraId="5EE7ABF1" w14:textId="77777777" w:rsidTr="00620D45">
        <w:trPr>
          <w:trHeight w:val="375"/>
        </w:trPr>
        <w:tc>
          <w:tcPr>
            <w:tcW w:w="1680" w:type="dxa"/>
            <w:tcBorders>
              <w:top w:val="single" w:sz="4" w:space="0" w:color="ADD6EA"/>
              <w:left w:val="nil"/>
              <w:bottom w:val="nil"/>
              <w:right w:val="nil"/>
            </w:tcBorders>
            <w:shd w:val="clear" w:color="000000" w:fill="006991"/>
            <w:vAlign w:val="center"/>
            <w:hideMark/>
          </w:tcPr>
          <w:p w14:paraId="50570A87" w14:textId="77777777" w:rsidR="007A5CD0" w:rsidRPr="007C1977" w:rsidRDefault="007A5CD0" w:rsidP="007A5CD0">
            <w:pPr>
              <w:keepNext/>
              <w:keepLines/>
              <w:tabs>
                <w:tab w:val="clear" w:pos="567"/>
              </w:tabs>
              <w:spacing w:before="0" w:line="240" w:lineRule="auto"/>
              <w:jc w:val="left"/>
              <w:rPr>
                <w:rFonts w:ascii="Open Sans Semibold" w:eastAsia="Times New Roman" w:hAnsi="Open Sans Semibold" w:cs="Open Sans Semibold"/>
                <w:color w:val="FFFFFF"/>
                <w:sz w:val="20"/>
                <w:szCs w:val="20"/>
                <w:shd w:val="clear" w:color="auto" w:fill="auto"/>
                <w:lang w:eastAsia="en-AU"/>
              </w:rPr>
            </w:pPr>
            <w:r w:rsidRPr="007C1977">
              <w:rPr>
                <w:rFonts w:ascii="Open Sans Semibold" w:eastAsia="Times New Roman" w:hAnsi="Open Sans Semibold" w:cs="Open Sans Semibold"/>
                <w:color w:val="FFFFFF"/>
                <w:sz w:val="20"/>
                <w:szCs w:val="20"/>
                <w:shd w:val="clear" w:color="auto" w:fill="auto"/>
                <w:lang w:eastAsia="en-AU"/>
              </w:rPr>
              <w:t>Year</w:t>
            </w:r>
          </w:p>
        </w:tc>
        <w:tc>
          <w:tcPr>
            <w:tcW w:w="1020" w:type="dxa"/>
            <w:tcBorders>
              <w:top w:val="single" w:sz="4" w:space="0" w:color="ADD6EA"/>
              <w:left w:val="nil"/>
              <w:bottom w:val="nil"/>
              <w:right w:val="nil"/>
            </w:tcBorders>
            <w:shd w:val="clear" w:color="000000" w:fill="006991"/>
            <w:vAlign w:val="center"/>
            <w:hideMark/>
          </w:tcPr>
          <w:p w14:paraId="363BAF17" w14:textId="77777777" w:rsidR="007A5CD0" w:rsidRPr="007C1977" w:rsidRDefault="007A5CD0" w:rsidP="007A5CD0">
            <w:pPr>
              <w:keepNext/>
              <w:keepLines/>
              <w:tabs>
                <w:tab w:val="clear" w:pos="567"/>
              </w:tabs>
              <w:spacing w:before="0" w:line="240" w:lineRule="auto"/>
              <w:jc w:val="right"/>
              <w:rPr>
                <w:rFonts w:ascii="Open Sans Semibold" w:eastAsia="Times New Roman" w:hAnsi="Open Sans Semibold" w:cs="Open Sans Semibold"/>
                <w:color w:val="FFFFFF"/>
                <w:sz w:val="20"/>
                <w:szCs w:val="20"/>
                <w:shd w:val="clear" w:color="auto" w:fill="auto"/>
                <w:lang w:eastAsia="en-AU"/>
              </w:rPr>
            </w:pPr>
            <w:r w:rsidRPr="007C1977">
              <w:rPr>
                <w:rFonts w:ascii="Open Sans Semibold" w:eastAsia="Times New Roman" w:hAnsi="Open Sans Semibold" w:cs="Open Sans Semibold"/>
                <w:color w:val="FFFFFF"/>
                <w:sz w:val="20"/>
                <w:szCs w:val="20"/>
                <w:shd w:val="clear" w:color="auto" w:fill="auto"/>
                <w:lang w:eastAsia="en-AU"/>
              </w:rPr>
              <w:t>2021-22 </w:t>
            </w:r>
          </w:p>
        </w:tc>
        <w:tc>
          <w:tcPr>
            <w:tcW w:w="1020" w:type="dxa"/>
            <w:tcBorders>
              <w:top w:val="single" w:sz="4" w:space="0" w:color="ADD6EA"/>
              <w:left w:val="nil"/>
              <w:bottom w:val="nil"/>
              <w:right w:val="nil"/>
            </w:tcBorders>
            <w:shd w:val="clear" w:color="000000" w:fill="006991"/>
            <w:vAlign w:val="center"/>
            <w:hideMark/>
          </w:tcPr>
          <w:p w14:paraId="2AB8DB3A" w14:textId="77777777" w:rsidR="007A5CD0" w:rsidRPr="007C1977" w:rsidRDefault="007A5CD0" w:rsidP="007A5CD0">
            <w:pPr>
              <w:keepNext/>
              <w:keepLines/>
              <w:tabs>
                <w:tab w:val="clear" w:pos="567"/>
              </w:tabs>
              <w:spacing w:before="0" w:line="240" w:lineRule="auto"/>
              <w:jc w:val="right"/>
              <w:rPr>
                <w:rFonts w:ascii="Open Sans Semibold" w:eastAsia="Times New Roman" w:hAnsi="Open Sans Semibold" w:cs="Open Sans Semibold"/>
                <w:color w:val="FFFFFF"/>
                <w:sz w:val="20"/>
                <w:szCs w:val="20"/>
                <w:shd w:val="clear" w:color="auto" w:fill="auto"/>
                <w:lang w:eastAsia="en-AU"/>
              </w:rPr>
            </w:pPr>
            <w:r w:rsidRPr="007C1977">
              <w:rPr>
                <w:rFonts w:ascii="Open Sans Semibold" w:eastAsia="Times New Roman" w:hAnsi="Open Sans Semibold" w:cs="Open Sans Semibold"/>
                <w:color w:val="FFFFFF"/>
                <w:sz w:val="20"/>
                <w:szCs w:val="20"/>
                <w:shd w:val="clear" w:color="auto" w:fill="auto"/>
                <w:lang w:eastAsia="en-AU"/>
              </w:rPr>
              <w:t>2022-23 </w:t>
            </w:r>
          </w:p>
        </w:tc>
        <w:tc>
          <w:tcPr>
            <w:tcW w:w="1020" w:type="dxa"/>
            <w:tcBorders>
              <w:top w:val="single" w:sz="4" w:space="0" w:color="ADD6EA"/>
              <w:left w:val="nil"/>
              <w:bottom w:val="nil"/>
              <w:right w:val="nil"/>
            </w:tcBorders>
            <w:shd w:val="clear" w:color="000000" w:fill="006991"/>
            <w:vAlign w:val="center"/>
            <w:hideMark/>
          </w:tcPr>
          <w:p w14:paraId="10BEF9B2" w14:textId="77777777" w:rsidR="007A5CD0" w:rsidRPr="007C1977" w:rsidRDefault="007A5CD0" w:rsidP="007A5CD0">
            <w:pPr>
              <w:keepNext/>
              <w:keepLines/>
              <w:tabs>
                <w:tab w:val="clear" w:pos="567"/>
              </w:tabs>
              <w:spacing w:before="0" w:line="240" w:lineRule="auto"/>
              <w:jc w:val="right"/>
              <w:rPr>
                <w:rFonts w:ascii="Open Sans Semibold" w:eastAsia="Times New Roman" w:hAnsi="Open Sans Semibold" w:cs="Open Sans Semibold"/>
                <w:color w:val="FFFFFF"/>
                <w:sz w:val="20"/>
                <w:szCs w:val="20"/>
                <w:shd w:val="clear" w:color="auto" w:fill="auto"/>
                <w:lang w:eastAsia="en-AU"/>
              </w:rPr>
            </w:pPr>
            <w:r w:rsidRPr="007C1977">
              <w:rPr>
                <w:rFonts w:ascii="Open Sans Semibold" w:eastAsia="Times New Roman" w:hAnsi="Open Sans Semibold" w:cs="Open Sans Semibold"/>
                <w:color w:val="FFFFFF"/>
                <w:sz w:val="20"/>
                <w:szCs w:val="20"/>
                <w:shd w:val="clear" w:color="auto" w:fill="auto"/>
                <w:lang w:eastAsia="en-AU"/>
              </w:rPr>
              <w:t>2023-24 </w:t>
            </w:r>
          </w:p>
        </w:tc>
        <w:tc>
          <w:tcPr>
            <w:tcW w:w="1020" w:type="dxa"/>
            <w:tcBorders>
              <w:top w:val="single" w:sz="4" w:space="0" w:color="ADD6EA"/>
              <w:left w:val="nil"/>
              <w:bottom w:val="nil"/>
              <w:right w:val="nil"/>
            </w:tcBorders>
            <w:shd w:val="clear" w:color="000000" w:fill="006991"/>
            <w:vAlign w:val="center"/>
            <w:hideMark/>
          </w:tcPr>
          <w:p w14:paraId="097DC8EE" w14:textId="77777777" w:rsidR="007A5CD0" w:rsidRPr="007C1977" w:rsidRDefault="007A5CD0" w:rsidP="007A5CD0">
            <w:pPr>
              <w:keepNext/>
              <w:keepLines/>
              <w:tabs>
                <w:tab w:val="clear" w:pos="567"/>
              </w:tabs>
              <w:spacing w:before="0" w:line="240" w:lineRule="auto"/>
              <w:jc w:val="right"/>
              <w:rPr>
                <w:rFonts w:ascii="Open Sans Semibold" w:eastAsia="Times New Roman" w:hAnsi="Open Sans Semibold" w:cs="Open Sans Semibold"/>
                <w:color w:val="FFFFFF"/>
                <w:sz w:val="20"/>
                <w:szCs w:val="20"/>
                <w:shd w:val="clear" w:color="auto" w:fill="auto"/>
                <w:lang w:eastAsia="en-AU"/>
              </w:rPr>
            </w:pPr>
            <w:r w:rsidRPr="007C1977">
              <w:rPr>
                <w:rFonts w:ascii="Open Sans Semibold" w:eastAsia="Times New Roman" w:hAnsi="Open Sans Semibold" w:cs="Open Sans Semibold"/>
                <w:color w:val="FFFFFF"/>
                <w:sz w:val="20"/>
                <w:szCs w:val="20"/>
                <w:shd w:val="clear" w:color="auto" w:fill="auto"/>
                <w:lang w:eastAsia="en-AU"/>
              </w:rPr>
              <w:t>2024-25 </w:t>
            </w:r>
          </w:p>
        </w:tc>
        <w:tc>
          <w:tcPr>
            <w:tcW w:w="1020" w:type="dxa"/>
            <w:tcBorders>
              <w:top w:val="single" w:sz="4" w:space="0" w:color="ADD6EA"/>
              <w:left w:val="nil"/>
              <w:bottom w:val="nil"/>
              <w:right w:val="nil"/>
            </w:tcBorders>
            <w:shd w:val="clear" w:color="000000" w:fill="006991"/>
            <w:vAlign w:val="center"/>
            <w:hideMark/>
          </w:tcPr>
          <w:p w14:paraId="39920CD5" w14:textId="77777777" w:rsidR="007A5CD0" w:rsidRPr="007C1977" w:rsidRDefault="007A5CD0" w:rsidP="007A5CD0">
            <w:pPr>
              <w:keepNext/>
              <w:keepLines/>
              <w:tabs>
                <w:tab w:val="clear" w:pos="567"/>
              </w:tabs>
              <w:spacing w:before="0" w:line="240" w:lineRule="auto"/>
              <w:jc w:val="right"/>
              <w:rPr>
                <w:rFonts w:ascii="Open Sans Semibold" w:eastAsia="Times New Roman" w:hAnsi="Open Sans Semibold" w:cs="Open Sans Semibold"/>
                <w:color w:val="FFFFFF"/>
                <w:sz w:val="20"/>
                <w:szCs w:val="20"/>
                <w:shd w:val="clear" w:color="auto" w:fill="auto"/>
                <w:lang w:eastAsia="en-AU"/>
              </w:rPr>
            </w:pPr>
            <w:r w:rsidRPr="007C1977">
              <w:rPr>
                <w:rFonts w:ascii="Open Sans Semibold" w:eastAsia="Times New Roman" w:hAnsi="Open Sans Semibold" w:cs="Open Sans Semibold"/>
                <w:color w:val="FFFFFF"/>
                <w:sz w:val="20"/>
                <w:szCs w:val="20"/>
                <w:shd w:val="clear" w:color="auto" w:fill="auto"/>
                <w:lang w:eastAsia="en-AU"/>
              </w:rPr>
              <w:t>2025-26 </w:t>
            </w:r>
          </w:p>
        </w:tc>
        <w:tc>
          <w:tcPr>
            <w:tcW w:w="1020" w:type="dxa"/>
            <w:tcBorders>
              <w:top w:val="single" w:sz="4" w:space="0" w:color="ADD6EA"/>
              <w:left w:val="nil"/>
              <w:bottom w:val="nil"/>
              <w:right w:val="nil"/>
            </w:tcBorders>
            <w:shd w:val="clear" w:color="000000" w:fill="006991"/>
            <w:vAlign w:val="center"/>
            <w:hideMark/>
          </w:tcPr>
          <w:p w14:paraId="33030DF6" w14:textId="77777777" w:rsidR="007A5CD0" w:rsidRPr="007C1977" w:rsidRDefault="007A5CD0" w:rsidP="007A5CD0">
            <w:pPr>
              <w:keepNext/>
              <w:keepLines/>
              <w:tabs>
                <w:tab w:val="clear" w:pos="567"/>
              </w:tabs>
              <w:spacing w:before="0" w:line="240" w:lineRule="auto"/>
              <w:jc w:val="right"/>
              <w:rPr>
                <w:rFonts w:ascii="Open Sans Semibold" w:eastAsia="Times New Roman" w:hAnsi="Open Sans Semibold" w:cs="Open Sans Semibold"/>
                <w:color w:val="FFFFFF"/>
                <w:sz w:val="20"/>
                <w:szCs w:val="20"/>
                <w:shd w:val="clear" w:color="auto" w:fill="auto"/>
                <w:lang w:eastAsia="en-AU"/>
              </w:rPr>
            </w:pPr>
            <w:r w:rsidRPr="007C1977">
              <w:rPr>
                <w:rFonts w:ascii="Open Sans Semibold" w:eastAsia="Times New Roman" w:hAnsi="Open Sans Semibold" w:cs="Open Sans Semibold"/>
                <w:color w:val="FFFFFF"/>
                <w:sz w:val="20"/>
                <w:szCs w:val="20"/>
                <w:shd w:val="clear" w:color="auto" w:fill="auto"/>
                <w:lang w:eastAsia="en-AU"/>
              </w:rPr>
              <w:t>2026-27 </w:t>
            </w:r>
          </w:p>
        </w:tc>
        <w:tc>
          <w:tcPr>
            <w:tcW w:w="1020" w:type="dxa"/>
            <w:tcBorders>
              <w:top w:val="single" w:sz="4" w:space="0" w:color="ADD6EA"/>
              <w:left w:val="nil"/>
              <w:bottom w:val="nil"/>
              <w:right w:val="nil"/>
            </w:tcBorders>
            <w:shd w:val="clear" w:color="000000" w:fill="006991"/>
            <w:vAlign w:val="center"/>
            <w:hideMark/>
          </w:tcPr>
          <w:p w14:paraId="173B7441" w14:textId="77777777" w:rsidR="007A5CD0" w:rsidRPr="007C1977" w:rsidRDefault="007A5CD0" w:rsidP="007A5CD0">
            <w:pPr>
              <w:keepNext/>
              <w:keepLines/>
              <w:tabs>
                <w:tab w:val="clear" w:pos="567"/>
              </w:tabs>
              <w:spacing w:before="0" w:line="240" w:lineRule="auto"/>
              <w:jc w:val="right"/>
              <w:rPr>
                <w:rFonts w:ascii="Open Sans Semibold" w:eastAsia="Times New Roman" w:hAnsi="Open Sans Semibold" w:cs="Open Sans Semibold"/>
                <w:color w:val="FFFFFF"/>
                <w:sz w:val="20"/>
                <w:szCs w:val="20"/>
                <w:shd w:val="clear" w:color="auto" w:fill="auto"/>
                <w:lang w:eastAsia="en-AU"/>
              </w:rPr>
            </w:pPr>
            <w:r w:rsidRPr="007C1977">
              <w:rPr>
                <w:rFonts w:ascii="Open Sans Semibold" w:eastAsia="Times New Roman" w:hAnsi="Open Sans Semibold" w:cs="Open Sans Semibold"/>
                <w:color w:val="FFFFFF"/>
                <w:sz w:val="20"/>
                <w:szCs w:val="20"/>
                <w:shd w:val="clear" w:color="auto" w:fill="auto"/>
                <w:lang w:eastAsia="en-AU"/>
              </w:rPr>
              <w:t>2027-28 </w:t>
            </w:r>
          </w:p>
        </w:tc>
      </w:tr>
      <w:tr w:rsidR="007A5CD0" w:rsidRPr="007C1977" w14:paraId="63C7BF95" w14:textId="77777777" w:rsidTr="00620D45">
        <w:trPr>
          <w:trHeight w:val="315"/>
        </w:trPr>
        <w:tc>
          <w:tcPr>
            <w:tcW w:w="8820" w:type="dxa"/>
            <w:gridSpan w:val="8"/>
            <w:tcBorders>
              <w:top w:val="single" w:sz="4" w:space="0" w:color="ADD6EA"/>
              <w:left w:val="nil"/>
              <w:bottom w:val="single" w:sz="4" w:space="0" w:color="ADD6EA"/>
              <w:right w:val="nil"/>
            </w:tcBorders>
            <w:shd w:val="clear" w:color="auto" w:fill="auto"/>
            <w:vAlign w:val="bottom"/>
            <w:hideMark/>
          </w:tcPr>
          <w:p w14:paraId="78BC1D94" w14:textId="77777777" w:rsidR="007A5CD0" w:rsidRPr="007C1977" w:rsidRDefault="007A5CD0" w:rsidP="007A5CD0">
            <w:pPr>
              <w:keepNext/>
              <w:keepLines/>
              <w:tabs>
                <w:tab w:val="clear" w:pos="567"/>
              </w:tabs>
              <w:spacing w:before="0" w:line="240" w:lineRule="auto"/>
              <w:jc w:val="lef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GST pool </w:t>
            </w:r>
          </w:p>
        </w:tc>
      </w:tr>
      <w:tr w:rsidR="007A5CD0" w:rsidRPr="007C1977" w14:paraId="772AF3ED" w14:textId="77777777" w:rsidTr="00620D45">
        <w:trPr>
          <w:trHeight w:val="795"/>
        </w:trPr>
        <w:tc>
          <w:tcPr>
            <w:tcW w:w="1680" w:type="dxa"/>
            <w:tcBorders>
              <w:top w:val="nil"/>
              <w:left w:val="nil"/>
              <w:bottom w:val="nil"/>
              <w:right w:val="nil"/>
            </w:tcBorders>
            <w:shd w:val="clear" w:color="auto" w:fill="auto"/>
            <w:vAlign w:val="center"/>
            <w:hideMark/>
          </w:tcPr>
          <w:p w14:paraId="010DAB0C" w14:textId="77777777" w:rsidR="007A5CD0" w:rsidRPr="007C1977" w:rsidRDefault="007A5CD0" w:rsidP="007A5CD0">
            <w:pPr>
              <w:keepNext/>
              <w:keepLines/>
              <w:tabs>
                <w:tab w:val="clear" w:pos="567"/>
              </w:tabs>
              <w:spacing w:before="0" w:line="240" w:lineRule="auto"/>
              <w:ind w:firstLineChars="100" w:firstLine="160"/>
              <w:jc w:val="lef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Pool top-up </w:t>
            </w:r>
          </w:p>
        </w:tc>
        <w:tc>
          <w:tcPr>
            <w:tcW w:w="1020" w:type="dxa"/>
            <w:tcBorders>
              <w:top w:val="nil"/>
              <w:left w:val="nil"/>
              <w:bottom w:val="nil"/>
              <w:right w:val="nil"/>
            </w:tcBorders>
            <w:shd w:val="clear" w:color="auto" w:fill="auto"/>
            <w:vAlign w:val="center"/>
            <w:hideMark/>
          </w:tcPr>
          <w:p w14:paraId="04679EC4"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$600m </w:t>
            </w:r>
          </w:p>
        </w:tc>
        <w:tc>
          <w:tcPr>
            <w:tcW w:w="1020" w:type="dxa"/>
            <w:tcBorders>
              <w:top w:val="nil"/>
              <w:left w:val="nil"/>
              <w:bottom w:val="nil"/>
              <w:right w:val="nil"/>
            </w:tcBorders>
            <w:shd w:val="clear" w:color="auto" w:fill="auto"/>
            <w:vAlign w:val="center"/>
            <w:hideMark/>
          </w:tcPr>
          <w:p w14:paraId="1642698C"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$600m + indexation</w:t>
            </w:r>
          </w:p>
        </w:tc>
        <w:tc>
          <w:tcPr>
            <w:tcW w:w="1020" w:type="dxa"/>
            <w:tcBorders>
              <w:top w:val="nil"/>
              <w:left w:val="nil"/>
              <w:bottom w:val="nil"/>
              <w:right w:val="nil"/>
            </w:tcBorders>
            <w:shd w:val="clear" w:color="auto" w:fill="auto"/>
            <w:vAlign w:val="center"/>
            <w:hideMark/>
          </w:tcPr>
          <w:p w14:paraId="0CD7E282"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$600m + indexation</w:t>
            </w:r>
          </w:p>
        </w:tc>
        <w:tc>
          <w:tcPr>
            <w:tcW w:w="1020" w:type="dxa"/>
            <w:tcBorders>
              <w:top w:val="nil"/>
              <w:left w:val="nil"/>
              <w:bottom w:val="nil"/>
              <w:right w:val="nil"/>
            </w:tcBorders>
            <w:shd w:val="clear" w:color="auto" w:fill="auto"/>
            <w:vAlign w:val="center"/>
            <w:hideMark/>
          </w:tcPr>
          <w:p w14:paraId="511943BD"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$250m + ($600m + indexation)</w:t>
            </w:r>
          </w:p>
        </w:tc>
        <w:tc>
          <w:tcPr>
            <w:tcW w:w="1020" w:type="dxa"/>
            <w:tcBorders>
              <w:top w:val="nil"/>
              <w:left w:val="nil"/>
              <w:bottom w:val="nil"/>
              <w:right w:val="nil"/>
            </w:tcBorders>
            <w:shd w:val="clear" w:color="auto" w:fill="auto"/>
            <w:vAlign w:val="center"/>
            <w:hideMark/>
          </w:tcPr>
          <w:p w14:paraId="514883A1"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$850m + indexation</w:t>
            </w:r>
          </w:p>
        </w:tc>
        <w:tc>
          <w:tcPr>
            <w:tcW w:w="1020" w:type="dxa"/>
            <w:tcBorders>
              <w:top w:val="nil"/>
              <w:left w:val="nil"/>
              <w:bottom w:val="nil"/>
              <w:right w:val="nil"/>
            </w:tcBorders>
            <w:shd w:val="clear" w:color="auto" w:fill="auto"/>
            <w:vAlign w:val="center"/>
            <w:hideMark/>
          </w:tcPr>
          <w:p w14:paraId="65EE9EF6"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$850m + indexation</w:t>
            </w:r>
          </w:p>
        </w:tc>
        <w:tc>
          <w:tcPr>
            <w:tcW w:w="1020" w:type="dxa"/>
            <w:tcBorders>
              <w:top w:val="nil"/>
              <w:left w:val="nil"/>
              <w:bottom w:val="nil"/>
              <w:right w:val="nil"/>
            </w:tcBorders>
            <w:shd w:val="clear" w:color="auto" w:fill="auto"/>
            <w:vAlign w:val="center"/>
            <w:hideMark/>
          </w:tcPr>
          <w:p w14:paraId="0E553DA7"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$850m + indexation</w:t>
            </w:r>
          </w:p>
        </w:tc>
      </w:tr>
      <w:tr w:rsidR="007A5CD0" w:rsidRPr="007C1977" w14:paraId="1B3AA855" w14:textId="77777777" w:rsidTr="00620D45">
        <w:trPr>
          <w:trHeight w:val="315"/>
        </w:trPr>
        <w:tc>
          <w:tcPr>
            <w:tcW w:w="1680" w:type="dxa"/>
            <w:tcBorders>
              <w:top w:val="single" w:sz="4" w:space="0" w:color="ADD6EA"/>
              <w:left w:val="nil"/>
              <w:bottom w:val="nil"/>
              <w:right w:val="nil"/>
            </w:tcBorders>
            <w:shd w:val="clear" w:color="auto" w:fill="auto"/>
            <w:vAlign w:val="bottom"/>
            <w:hideMark/>
          </w:tcPr>
          <w:p w14:paraId="45DCB725" w14:textId="77777777" w:rsidR="007A5CD0" w:rsidRPr="007C1977" w:rsidRDefault="007A5CD0" w:rsidP="007A5CD0">
            <w:pPr>
              <w:keepNext/>
              <w:keepLines/>
              <w:tabs>
                <w:tab w:val="clear" w:pos="567"/>
              </w:tabs>
              <w:spacing w:before="0" w:line="240" w:lineRule="auto"/>
              <w:ind w:firstLineChars="100" w:firstLine="160"/>
              <w:jc w:val="lef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GST revenue </w:t>
            </w:r>
          </w:p>
        </w:tc>
        <w:tc>
          <w:tcPr>
            <w:tcW w:w="1020" w:type="dxa"/>
            <w:tcBorders>
              <w:top w:val="single" w:sz="4" w:space="0" w:color="ADD6EA"/>
              <w:left w:val="nil"/>
              <w:bottom w:val="nil"/>
              <w:right w:val="nil"/>
            </w:tcBorders>
            <w:shd w:val="clear" w:color="auto" w:fill="auto"/>
            <w:noWrap/>
            <w:vAlign w:val="bottom"/>
            <w:hideMark/>
          </w:tcPr>
          <w:p w14:paraId="3F6ADD95"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 </w:t>
            </w:r>
          </w:p>
        </w:tc>
        <w:tc>
          <w:tcPr>
            <w:tcW w:w="1020" w:type="dxa"/>
            <w:tcBorders>
              <w:top w:val="single" w:sz="4" w:space="0" w:color="ADD6EA"/>
              <w:left w:val="nil"/>
              <w:bottom w:val="nil"/>
              <w:right w:val="nil"/>
            </w:tcBorders>
            <w:shd w:val="clear" w:color="auto" w:fill="auto"/>
            <w:noWrap/>
            <w:vAlign w:val="bottom"/>
            <w:hideMark/>
          </w:tcPr>
          <w:p w14:paraId="01C3807D"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 </w:t>
            </w:r>
          </w:p>
        </w:tc>
        <w:tc>
          <w:tcPr>
            <w:tcW w:w="1020" w:type="dxa"/>
            <w:tcBorders>
              <w:top w:val="single" w:sz="4" w:space="0" w:color="ADD6EA"/>
              <w:left w:val="nil"/>
              <w:bottom w:val="nil"/>
              <w:right w:val="nil"/>
            </w:tcBorders>
            <w:shd w:val="clear" w:color="auto" w:fill="auto"/>
            <w:noWrap/>
            <w:vAlign w:val="bottom"/>
            <w:hideMark/>
          </w:tcPr>
          <w:p w14:paraId="4424E957"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 </w:t>
            </w:r>
          </w:p>
        </w:tc>
        <w:tc>
          <w:tcPr>
            <w:tcW w:w="1020" w:type="dxa"/>
            <w:tcBorders>
              <w:top w:val="single" w:sz="4" w:space="0" w:color="ADD6EA"/>
              <w:left w:val="nil"/>
              <w:bottom w:val="nil"/>
              <w:right w:val="nil"/>
            </w:tcBorders>
            <w:shd w:val="clear" w:color="auto" w:fill="auto"/>
            <w:noWrap/>
            <w:vAlign w:val="bottom"/>
            <w:hideMark/>
          </w:tcPr>
          <w:p w14:paraId="571895B5"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 </w:t>
            </w:r>
          </w:p>
        </w:tc>
        <w:tc>
          <w:tcPr>
            <w:tcW w:w="1020" w:type="dxa"/>
            <w:tcBorders>
              <w:top w:val="single" w:sz="4" w:space="0" w:color="ADD6EA"/>
              <w:left w:val="nil"/>
              <w:bottom w:val="nil"/>
              <w:right w:val="nil"/>
            </w:tcBorders>
            <w:shd w:val="clear" w:color="auto" w:fill="auto"/>
            <w:noWrap/>
            <w:vAlign w:val="bottom"/>
            <w:hideMark/>
          </w:tcPr>
          <w:p w14:paraId="65342F32"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 </w:t>
            </w:r>
          </w:p>
        </w:tc>
        <w:tc>
          <w:tcPr>
            <w:tcW w:w="1020" w:type="dxa"/>
            <w:tcBorders>
              <w:top w:val="single" w:sz="4" w:space="0" w:color="ADD6EA"/>
              <w:left w:val="nil"/>
              <w:bottom w:val="nil"/>
              <w:right w:val="nil"/>
            </w:tcBorders>
            <w:shd w:val="clear" w:color="auto" w:fill="auto"/>
            <w:noWrap/>
            <w:vAlign w:val="bottom"/>
            <w:hideMark/>
          </w:tcPr>
          <w:p w14:paraId="1E038754"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 </w:t>
            </w:r>
          </w:p>
        </w:tc>
        <w:tc>
          <w:tcPr>
            <w:tcW w:w="1020" w:type="dxa"/>
            <w:tcBorders>
              <w:top w:val="single" w:sz="4" w:space="0" w:color="ADD6EA"/>
              <w:left w:val="nil"/>
              <w:bottom w:val="nil"/>
              <w:right w:val="nil"/>
            </w:tcBorders>
            <w:shd w:val="clear" w:color="auto" w:fill="auto"/>
            <w:noWrap/>
            <w:vAlign w:val="bottom"/>
            <w:hideMark/>
          </w:tcPr>
          <w:p w14:paraId="086B6627"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 </w:t>
            </w:r>
          </w:p>
        </w:tc>
      </w:tr>
      <w:tr w:rsidR="007A5CD0" w:rsidRPr="007C1977" w14:paraId="342D0891" w14:textId="77777777" w:rsidTr="00620D45">
        <w:trPr>
          <w:trHeight w:val="315"/>
        </w:trPr>
        <w:tc>
          <w:tcPr>
            <w:tcW w:w="1680" w:type="dxa"/>
            <w:tcBorders>
              <w:top w:val="single" w:sz="4" w:space="0" w:color="ADD6EA"/>
              <w:left w:val="nil"/>
              <w:bottom w:val="nil"/>
              <w:right w:val="nil"/>
            </w:tcBorders>
            <w:shd w:val="clear" w:color="auto" w:fill="auto"/>
            <w:vAlign w:val="bottom"/>
            <w:hideMark/>
          </w:tcPr>
          <w:p w14:paraId="34588744" w14:textId="77777777" w:rsidR="007A5CD0" w:rsidRPr="007C1977" w:rsidRDefault="007A5CD0" w:rsidP="007A5CD0">
            <w:pPr>
              <w:keepNext/>
              <w:keepLines/>
              <w:tabs>
                <w:tab w:val="clear" w:pos="567"/>
              </w:tabs>
              <w:spacing w:before="0" w:line="240" w:lineRule="auto"/>
              <w:jc w:val="lef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Relativity floor </w:t>
            </w:r>
          </w:p>
        </w:tc>
        <w:tc>
          <w:tcPr>
            <w:tcW w:w="1020" w:type="dxa"/>
            <w:tcBorders>
              <w:top w:val="single" w:sz="4" w:space="0" w:color="ADD6EA"/>
              <w:left w:val="nil"/>
              <w:bottom w:val="nil"/>
              <w:right w:val="nil"/>
            </w:tcBorders>
            <w:shd w:val="clear" w:color="auto" w:fill="auto"/>
            <w:noWrap/>
            <w:vAlign w:val="bottom"/>
            <w:hideMark/>
          </w:tcPr>
          <w:p w14:paraId="434A12FF"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External</w:t>
            </w:r>
            <w:r w:rsidRPr="007C1977">
              <w:rPr>
                <w:rFonts w:eastAsia="Times New Roman" w:cs="Open Sans Light"/>
                <w:sz w:val="20"/>
                <w:szCs w:val="20"/>
                <w:shd w:val="clear" w:color="auto" w:fill="auto"/>
                <w:vertAlign w:val="superscript"/>
                <w:lang w:eastAsia="en-AU"/>
              </w:rPr>
              <w:t>2</w:t>
            </w:r>
            <w:r w:rsidRPr="007C1977">
              <w:rPr>
                <w:rFonts w:eastAsia="Times New Roman" w:cs="Open Sans Light"/>
                <w:sz w:val="16"/>
                <w:szCs w:val="16"/>
                <w:shd w:val="clear" w:color="auto" w:fill="auto"/>
                <w:lang w:eastAsia="en-AU"/>
              </w:rPr>
              <w:t> </w:t>
            </w:r>
          </w:p>
        </w:tc>
        <w:tc>
          <w:tcPr>
            <w:tcW w:w="1020" w:type="dxa"/>
            <w:tcBorders>
              <w:top w:val="single" w:sz="4" w:space="0" w:color="ADD6EA"/>
              <w:left w:val="nil"/>
              <w:bottom w:val="nil"/>
              <w:right w:val="nil"/>
            </w:tcBorders>
            <w:shd w:val="clear" w:color="auto" w:fill="auto"/>
            <w:noWrap/>
            <w:vAlign w:val="bottom"/>
            <w:hideMark/>
          </w:tcPr>
          <w:p w14:paraId="0BC78B92"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0.70 </w:t>
            </w:r>
          </w:p>
        </w:tc>
        <w:tc>
          <w:tcPr>
            <w:tcW w:w="1020" w:type="dxa"/>
            <w:tcBorders>
              <w:top w:val="single" w:sz="4" w:space="0" w:color="ADD6EA"/>
              <w:left w:val="nil"/>
              <w:bottom w:val="nil"/>
              <w:right w:val="nil"/>
            </w:tcBorders>
            <w:shd w:val="clear" w:color="auto" w:fill="auto"/>
            <w:noWrap/>
            <w:vAlign w:val="bottom"/>
            <w:hideMark/>
          </w:tcPr>
          <w:p w14:paraId="014205BB"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0.70 </w:t>
            </w:r>
          </w:p>
        </w:tc>
        <w:tc>
          <w:tcPr>
            <w:tcW w:w="1020" w:type="dxa"/>
            <w:tcBorders>
              <w:top w:val="single" w:sz="4" w:space="0" w:color="ADD6EA"/>
              <w:left w:val="nil"/>
              <w:bottom w:val="nil"/>
              <w:right w:val="nil"/>
            </w:tcBorders>
            <w:shd w:val="clear" w:color="auto" w:fill="auto"/>
            <w:noWrap/>
            <w:vAlign w:val="bottom"/>
            <w:hideMark/>
          </w:tcPr>
          <w:p w14:paraId="5CE2986B"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0.75 </w:t>
            </w:r>
          </w:p>
        </w:tc>
        <w:tc>
          <w:tcPr>
            <w:tcW w:w="1020" w:type="dxa"/>
            <w:tcBorders>
              <w:top w:val="single" w:sz="4" w:space="0" w:color="ADD6EA"/>
              <w:left w:val="nil"/>
              <w:bottom w:val="nil"/>
              <w:right w:val="nil"/>
            </w:tcBorders>
            <w:shd w:val="clear" w:color="auto" w:fill="auto"/>
            <w:noWrap/>
            <w:vAlign w:val="bottom"/>
            <w:hideMark/>
          </w:tcPr>
          <w:p w14:paraId="7BFE37A1"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0.75 </w:t>
            </w:r>
          </w:p>
        </w:tc>
        <w:tc>
          <w:tcPr>
            <w:tcW w:w="1020" w:type="dxa"/>
            <w:tcBorders>
              <w:top w:val="single" w:sz="4" w:space="0" w:color="ADD6EA"/>
              <w:left w:val="nil"/>
              <w:bottom w:val="nil"/>
              <w:right w:val="nil"/>
            </w:tcBorders>
            <w:shd w:val="clear" w:color="auto" w:fill="auto"/>
            <w:noWrap/>
            <w:vAlign w:val="bottom"/>
            <w:hideMark/>
          </w:tcPr>
          <w:p w14:paraId="62A92355"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0.75 </w:t>
            </w:r>
          </w:p>
        </w:tc>
        <w:tc>
          <w:tcPr>
            <w:tcW w:w="1020" w:type="dxa"/>
            <w:tcBorders>
              <w:top w:val="single" w:sz="4" w:space="0" w:color="ADD6EA"/>
              <w:left w:val="nil"/>
              <w:bottom w:val="nil"/>
              <w:right w:val="nil"/>
            </w:tcBorders>
            <w:shd w:val="clear" w:color="auto" w:fill="auto"/>
            <w:noWrap/>
            <w:vAlign w:val="bottom"/>
            <w:hideMark/>
          </w:tcPr>
          <w:p w14:paraId="0DBD59DC"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0.75 </w:t>
            </w:r>
          </w:p>
        </w:tc>
      </w:tr>
      <w:tr w:rsidR="007A5CD0" w:rsidRPr="007C1977" w14:paraId="448A410B" w14:textId="77777777" w:rsidTr="00620D45">
        <w:trPr>
          <w:trHeight w:val="315"/>
        </w:trPr>
        <w:tc>
          <w:tcPr>
            <w:tcW w:w="8820" w:type="dxa"/>
            <w:gridSpan w:val="8"/>
            <w:tcBorders>
              <w:top w:val="single" w:sz="4" w:space="0" w:color="ADD6EA"/>
              <w:left w:val="nil"/>
              <w:bottom w:val="single" w:sz="4" w:space="0" w:color="ADD6EA"/>
              <w:right w:val="nil"/>
            </w:tcBorders>
            <w:shd w:val="clear" w:color="auto" w:fill="auto"/>
            <w:vAlign w:val="bottom"/>
            <w:hideMark/>
          </w:tcPr>
          <w:p w14:paraId="3EAE6CA1" w14:textId="77777777" w:rsidR="007A5CD0" w:rsidRPr="007C1977" w:rsidRDefault="007A5CD0" w:rsidP="007A5CD0">
            <w:pPr>
              <w:keepNext/>
              <w:keepLines/>
              <w:tabs>
                <w:tab w:val="clear" w:pos="567"/>
              </w:tabs>
              <w:spacing w:before="0" w:line="240" w:lineRule="auto"/>
              <w:jc w:val="lef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Relativity ratio transition</w:t>
            </w:r>
          </w:p>
        </w:tc>
      </w:tr>
      <w:tr w:rsidR="007A5CD0" w:rsidRPr="007C1977" w14:paraId="4EA64D95" w14:textId="77777777" w:rsidTr="00620D45">
        <w:trPr>
          <w:trHeight w:val="315"/>
        </w:trPr>
        <w:tc>
          <w:tcPr>
            <w:tcW w:w="1680" w:type="dxa"/>
            <w:tcBorders>
              <w:top w:val="nil"/>
              <w:left w:val="nil"/>
              <w:bottom w:val="nil"/>
              <w:right w:val="nil"/>
            </w:tcBorders>
            <w:shd w:val="clear" w:color="auto" w:fill="auto"/>
            <w:vAlign w:val="bottom"/>
            <w:hideMark/>
          </w:tcPr>
          <w:p w14:paraId="06EE13B3" w14:textId="77777777" w:rsidR="007A5CD0" w:rsidRPr="007C1977" w:rsidRDefault="007A5CD0" w:rsidP="007A5CD0">
            <w:pPr>
              <w:keepNext/>
              <w:keepLines/>
              <w:tabs>
                <w:tab w:val="clear" w:pos="567"/>
              </w:tabs>
              <w:spacing w:before="0" w:line="240" w:lineRule="auto"/>
              <w:ind w:firstLineChars="100" w:firstLine="160"/>
              <w:jc w:val="lef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Full</w:t>
            </w:r>
          </w:p>
        </w:tc>
        <w:tc>
          <w:tcPr>
            <w:tcW w:w="1020" w:type="dxa"/>
            <w:tcBorders>
              <w:top w:val="nil"/>
              <w:left w:val="nil"/>
              <w:bottom w:val="nil"/>
              <w:right w:val="nil"/>
            </w:tcBorders>
            <w:shd w:val="clear" w:color="auto" w:fill="auto"/>
            <w:noWrap/>
            <w:vAlign w:val="bottom"/>
            <w:hideMark/>
          </w:tcPr>
          <w:p w14:paraId="76765F30"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5/6ths </w:t>
            </w:r>
          </w:p>
        </w:tc>
        <w:tc>
          <w:tcPr>
            <w:tcW w:w="1020" w:type="dxa"/>
            <w:tcBorders>
              <w:top w:val="nil"/>
              <w:left w:val="nil"/>
              <w:bottom w:val="nil"/>
              <w:right w:val="nil"/>
            </w:tcBorders>
            <w:shd w:val="clear" w:color="auto" w:fill="auto"/>
            <w:noWrap/>
            <w:vAlign w:val="bottom"/>
            <w:hideMark/>
          </w:tcPr>
          <w:p w14:paraId="362EB83D"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4/6ths </w:t>
            </w:r>
          </w:p>
        </w:tc>
        <w:tc>
          <w:tcPr>
            <w:tcW w:w="1020" w:type="dxa"/>
            <w:tcBorders>
              <w:top w:val="nil"/>
              <w:left w:val="nil"/>
              <w:bottom w:val="nil"/>
              <w:right w:val="nil"/>
            </w:tcBorders>
            <w:shd w:val="clear" w:color="auto" w:fill="auto"/>
            <w:noWrap/>
            <w:vAlign w:val="bottom"/>
            <w:hideMark/>
          </w:tcPr>
          <w:p w14:paraId="395EC31E"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3/6ths </w:t>
            </w:r>
          </w:p>
        </w:tc>
        <w:tc>
          <w:tcPr>
            <w:tcW w:w="1020" w:type="dxa"/>
            <w:tcBorders>
              <w:top w:val="nil"/>
              <w:left w:val="nil"/>
              <w:bottom w:val="nil"/>
              <w:right w:val="nil"/>
            </w:tcBorders>
            <w:shd w:val="clear" w:color="auto" w:fill="auto"/>
            <w:noWrap/>
            <w:vAlign w:val="bottom"/>
            <w:hideMark/>
          </w:tcPr>
          <w:p w14:paraId="03703044"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2/6ths </w:t>
            </w:r>
          </w:p>
        </w:tc>
        <w:tc>
          <w:tcPr>
            <w:tcW w:w="1020" w:type="dxa"/>
            <w:tcBorders>
              <w:top w:val="nil"/>
              <w:left w:val="nil"/>
              <w:bottom w:val="nil"/>
              <w:right w:val="nil"/>
            </w:tcBorders>
            <w:shd w:val="clear" w:color="auto" w:fill="auto"/>
            <w:noWrap/>
            <w:vAlign w:val="bottom"/>
            <w:hideMark/>
          </w:tcPr>
          <w:p w14:paraId="01F8566E"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1/6th </w:t>
            </w:r>
          </w:p>
        </w:tc>
        <w:tc>
          <w:tcPr>
            <w:tcW w:w="1020" w:type="dxa"/>
            <w:tcBorders>
              <w:top w:val="nil"/>
              <w:left w:val="nil"/>
              <w:bottom w:val="nil"/>
              <w:right w:val="nil"/>
            </w:tcBorders>
            <w:shd w:val="clear" w:color="auto" w:fill="auto"/>
            <w:noWrap/>
            <w:vAlign w:val="bottom"/>
            <w:hideMark/>
          </w:tcPr>
          <w:p w14:paraId="2F187681"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0/6ths </w:t>
            </w:r>
          </w:p>
        </w:tc>
        <w:tc>
          <w:tcPr>
            <w:tcW w:w="1020" w:type="dxa"/>
            <w:tcBorders>
              <w:top w:val="nil"/>
              <w:left w:val="nil"/>
              <w:bottom w:val="nil"/>
              <w:right w:val="nil"/>
            </w:tcBorders>
            <w:shd w:val="clear" w:color="auto" w:fill="auto"/>
            <w:noWrap/>
            <w:vAlign w:val="bottom"/>
            <w:hideMark/>
          </w:tcPr>
          <w:p w14:paraId="588703B6"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0/6ths </w:t>
            </w:r>
          </w:p>
        </w:tc>
      </w:tr>
      <w:tr w:rsidR="007A5CD0" w:rsidRPr="007C1977" w14:paraId="347AD9E1" w14:textId="77777777" w:rsidTr="00620D45">
        <w:trPr>
          <w:trHeight w:val="315"/>
        </w:trPr>
        <w:tc>
          <w:tcPr>
            <w:tcW w:w="1680" w:type="dxa"/>
            <w:tcBorders>
              <w:top w:val="single" w:sz="4" w:space="0" w:color="ADD6EA"/>
              <w:left w:val="nil"/>
              <w:bottom w:val="nil"/>
              <w:right w:val="nil"/>
            </w:tcBorders>
            <w:shd w:val="clear" w:color="auto" w:fill="auto"/>
            <w:vAlign w:val="bottom"/>
            <w:hideMark/>
          </w:tcPr>
          <w:p w14:paraId="5CFB3F9E" w14:textId="77777777" w:rsidR="007A5CD0" w:rsidRPr="007C1977" w:rsidRDefault="007A5CD0" w:rsidP="007A5CD0">
            <w:pPr>
              <w:keepNext/>
              <w:keepLines/>
              <w:tabs>
                <w:tab w:val="clear" w:pos="567"/>
              </w:tabs>
              <w:spacing w:before="0" w:line="240" w:lineRule="auto"/>
              <w:ind w:firstLineChars="100" w:firstLine="160"/>
              <w:jc w:val="lef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Reasonable</w:t>
            </w:r>
          </w:p>
        </w:tc>
        <w:tc>
          <w:tcPr>
            <w:tcW w:w="1020" w:type="dxa"/>
            <w:tcBorders>
              <w:top w:val="single" w:sz="4" w:space="0" w:color="ADD6EA"/>
              <w:left w:val="nil"/>
              <w:bottom w:val="nil"/>
              <w:right w:val="nil"/>
            </w:tcBorders>
            <w:shd w:val="clear" w:color="auto" w:fill="auto"/>
            <w:vAlign w:val="bottom"/>
            <w:hideMark/>
          </w:tcPr>
          <w:p w14:paraId="2DC47F38"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1/6th </w:t>
            </w:r>
          </w:p>
        </w:tc>
        <w:tc>
          <w:tcPr>
            <w:tcW w:w="1020" w:type="dxa"/>
            <w:tcBorders>
              <w:top w:val="single" w:sz="4" w:space="0" w:color="ADD6EA"/>
              <w:left w:val="nil"/>
              <w:bottom w:val="nil"/>
              <w:right w:val="nil"/>
            </w:tcBorders>
            <w:shd w:val="clear" w:color="auto" w:fill="auto"/>
            <w:vAlign w:val="bottom"/>
            <w:hideMark/>
          </w:tcPr>
          <w:p w14:paraId="6651539E"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2/6ths </w:t>
            </w:r>
          </w:p>
        </w:tc>
        <w:tc>
          <w:tcPr>
            <w:tcW w:w="1020" w:type="dxa"/>
            <w:tcBorders>
              <w:top w:val="single" w:sz="4" w:space="0" w:color="ADD6EA"/>
              <w:left w:val="nil"/>
              <w:bottom w:val="nil"/>
              <w:right w:val="nil"/>
            </w:tcBorders>
            <w:shd w:val="clear" w:color="auto" w:fill="auto"/>
            <w:vAlign w:val="bottom"/>
            <w:hideMark/>
          </w:tcPr>
          <w:p w14:paraId="5901D127"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3/6ths </w:t>
            </w:r>
          </w:p>
        </w:tc>
        <w:tc>
          <w:tcPr>
            <w:tcW w:w="1020" w:type="dxa"/>
            <w:tcBorders>
              <w:top w:val="single" w:sz="4" w:space="0" w:color="ADD6EA"/>
              <w:left w:val="nil"/>
              <w:bottom w:val="nil"/>
              <w:right w:val="nil"/>
            </w:tcBorders>
            <w:shd w:val="clear" w:color="auto" w:fill="auto"/>
            <w:vAlign w:val="bottom"/>
            <w:hideMark/>
          </w:tcPr>
          <w:p w14:paraId="35C1AF91"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4/6ths </w:t>
            </w:r>
          </w:p>
        </w:tc>
        <w:tc>
          <w:tcPr>
            <w:tcW w:w="1020" w:type="dxa"/>
            <w:tcBorders>
              <w:top w:val="single" w:sz="4" w:space="0" w:color="ADD6EA"/>
              <w:left w:val="nil"/>
              <w:bottom w:val="nil"/>
              <w:right w:val="nil"/>
            </w:tcBorders>
            <w:shd w:val="clear" w:color="auto" w:fill="auto"/>
            <w:vAlign w:val="bottom"/>
            <w:hideMark/>
          </w:tcPr>
          <w:p w14:paraId="627924D1"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5/6ths </w:t>
            </w:r>
          </w:p>
        </w:tc>
        <w:tc>
          <w:tcPr>
            <w:tcW w:w="1020" w:type="dxa"/>
            <w:tcBorders>
              <w:top w:val="single" w:sz="4" w:space="0" w:color="ADD6EA"/>
              <w:left w:val="nil"/>
              <w:bottom w:val="nil"/>
              <w:right w:val="nil"/>
            </w:tcBorders>
            <w:shd w:val="clear" w:color="auto" w:fill="auto"/>
            <w:vAlign w:val="bottom"/>
            <w:hideMark/>
          </w:tcPr>
          <w:p w14:paraId="5C864947"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6/6ths </w:t>
            </w:r>
          </w:p>
        </w:tc>
        <w:tc>
          <w:tcPr>
            <w:tcW w:w="1020" w:type="dxa"/>
            <w:tcBorders>
              <w:top w:val="single" w:sz="4" w:space="0" w:color="ADD6EA"/>
              <w:left w:val="nil"/>
              <w:bottom w:val="nil"/>
              <w:right w:val="nil"/>
            </w:tcBorders>
            <w:shd w:val="clear" w:color="auto" w:fill="auto"/>
            <w:vAlign w:val="bottom"/>
            <w:hideMark/>
          </w:tcPr>
          <w:p w14:paraId="26B62374"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6/6ths </w:t>
            </w:r>
          </w:p>
        </w:tc>
      </w:tr>
      <w:tr w:rsidR="007A5CD0" w:rsidRPr="007C1977" w14:paraId="71D46DF8" w14:textId="77777777" w:rsidTr="00620D45">
        <w:trPr>
          <w:trHeight w:val="555"/>
        </w:trPr>
        <w:tc>
          <w:tcPr>
            <w:tcW w:w="1680" w:type="dxa"/>
            <w:tcBorders>
              <w:top w:val="single" w:sz="4" w:space="0" w:color="ADD6EA"/>
              <w:left w:val="nil"/>
              <w:bottom w:val="single" w:sz="4" w:space="0" w:color="ADD6EA"/>
              <w:right w:val="nil"/>
            </w:tcBorders>
            <w:shd w:val="clear" w:color="auto" w:fill="auto"/>
            <w:vAlign w:val="bottom"/>
            <w:hideMark/>
          </w:tcPr>
          <w:p w14:paraId="6805642D" w14:textId="77777777" w:rsidR="007A5CD0" w:rsidRPr="007C1977" w:rsidRDefault="007A5CD0" w:rsidP="007A5CD0">
            <w:pPr>
              <w:keepNext/>
              <w:keepLines/>
              <w:tabs>
                <w:tab w:val="clear" w:pos="567"/>
              </w:tabs>
              <w:spacing w:before="0" w:line="240" w:lineRule="auto"/>
              <w:jc w:val="lef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No worse off guarantee</w:t>
            </w:r>
          </w:p>
        </w:tc>
        <w:tc>
          <w:tcPr>
            <w:tcW w:w="1020" w:type="dxa"/>
            <w:tcBorders>
              <w:top w:val="single" w:sz="4" w:space="0" w:color="ADD6EA"/>
              <w:left w:val="nil"/>
              <w:bottom w:val="single" w:sz="4" w:space="0" w:color="ADD6EA"/>
              <w:right w:val="nil"/>
            </w:tcBorders>
            <w:shd w:val="clear" w:color="auto" w:fill="auto"/>
            <w:vAlign w:val="bottom"/>
            <w:hideMark/>
          </w:tcPr>
          <w:p w14:paraId="31E11194"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w:t>
            </w:r>
          </w:p>
        </w:tc>
        <w:tc>
          <w:tcPr>
            <w:tcW w:w="1020" w:type="dxa"/>
            <w:tcBorders>
              <w:top w:val="single" w:sz="4" w:space="0" w:color="ADD6EA"/>
              <w:left w:val="nil"/>
              <w:bottom w:val="single" w:sz="4" w:space="0" w:color="ADD6EA"/>
              <w:right w:val="nil"/>
            </w:tcBorders>
            <w:shd w:val="clear" w:color="auto" w:fill="auto"/>
            <w:vAlign w:val="bottom"/>
            <w:hideMark/>
          </w:tcPr>
          <w:p w14:paraId="226C1E94"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w:t>
            </w:r>
          </w:p>
        </w:tc>
        <w:tc>
          <w:tcPr>
            <w:tcW w:w="1020" w:type="dxa"/>
            <w:tcBorders>
              <w:top w:val="single" w:sz="4" w:space="0" w:color="ADD6EA"/>
              <w:left w:val="nil"/>
              <w:bottom w:val="single" w:sz="4" w:space="0" w:color="ADD6EA"/>
              <w:right w:val="nil"/>
            </w:tcBorders>
            <w:shd w:val="clear" w:color="auto" w:fill="auto"/>
            <w:vAlign w:val="bottom"/>
            <w:hideMark/>
          </w:tcPr>
          <w:p w14:paraId="28DDD601"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w:t>
            </w:r>
          </w:p>
        </w:tc>
        <w:tc>
          <w:tcPr>
            <w:tcW w:w="1020" w:type="dxa"/>
            <w:tcBorders>
              <w:top w:val="single" w:sz="4" w:space="0" w:color="ADD6EA"/>
              <w:left w:val="nil"/>
              <w:bottom w:val="single" w:sz="4" w:space="0" w:color="ADD6EA"/>
              <w:right w:val="nil"/>
            </w:tcBorders>
            <w:shd w:val="clear" w:color="auto" w:fill="auto"/>
            <w:vAlign w:val="bottom"/>
            <w:hideMark/>
          </w:tcPr>
          <w:p w14:paraId="6167ADB7"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w:t>
            </w:r>
          </w:p>
        </w:tc>
        <w:tc>
          <w:tcPr>
            <w:tcW w:w="1020" w:type="dxa"/>
            <w:tcBorders>
              <w:top w:val="single" w:sz="4" w:space="0" w:color="ADD6EA"/>
              <w:left w:val="nil"/>
              <w:bottom w:val="single" w:sz="4" w:space="0" w:color="ADD6EA"/>
              <w:right w:val="nil"/>
            </w:tcBorders>
            <w:shd w:val="clear" w:color="auto" w:fill="auto"/>
            <w:vAlign w:val="bottom"/>
            <w:hideMark/>
          </w:tcPr>
          <w:p w14:paraId="61803F03"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w:t>
            </w:r>
          </w:p>
        </w:tc>
        <w:tc>
          <w:tcPr>
            <w:tcW w:w="1020" w:type="dxa"/>
            <w:tcBorders>
              <w:top w:val="single" w:sz="4" w:space="0" w:color="ADD6EA"/>
              <w:left w:val="nil"/>
              <w:bottom w:val="single" w:sz="4" w:space="0" w:color="ADD6EA"/>
              <w:right w:val="nil"/>
            </w:tcBorders>
            <w:shd w:val="clear" w:color="auto" w:fill="auto"/>
            <w:vAlign w:val="bottom"/>
            <w:hideMark/>
          </w:tcPr>
          <w:p w14:paraId="0FFE47C2"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Yes</w:t>
            </w:r>
          </w:p>
        </w:tc>
        <w:tc>
          <w:tcPr>
            <w:tcW w:w="1020" w:type="dxa"/>
            <w:tcBorders>
              <w:top w:val="single" w:sz="4" w:space="0" w:color="ADD6EA"/>
              <w:left w:val="nil"/>
              <w:bottom w:val="single" w:sz="4" w:space="0" w:color="ADD6EA"/>
              <w:right w:val="nil"/>
            </w:tcBorders>
            <w:shd w:val="clear" w:color="auto" w:fill="auto"/>
            <w:vAlign w:val="bottom"/>
            <w:hideMark/>
          </w:tcPr>
          <w:p w14:paraId="2913A602" w14:textId="77777777" w:rsidR="007A5CD0" w:rsidRPr="007C1977" w:rsidRDefault="007A5CD0" w:rsidP="007A5CD0">
            <w:pPr>
              <w:keepNext/>
              <w:keepLines/>
              <w:tabs>
                <w:tab w:val="clear" w:pos="567"/>
              </w:tabs>
              <w:spacing w:before="0" w:line="240" w:lineRule="auto"/>
              <w:jc w:val="right"/>
              <w:rPr>
                <w:rFonts w:eastAsia="Times New Roman" w:cs="Open Sans Light"/>
                <w:sz w:val="16"/>
                <w:szCs w:val="16"/>
                <w:shd w:val="clear" w:color="auto" w:fill="auto"/>
                <w:lang w:eastAsia="en-AU"/>
              </w:rPr>
            </w:pPr>
            <w:r w:rsidRPr="007C1977">
              <w:rPr>
                <w:rFonts w:eastAsia="Times New Roman" w:cs="Open Sans Light"/>
                <w:sz w:val="16"/>
                <w:szCs w:val="16"/>
                <w:shd w:val="clear" w:color="auto" w:fill="auto"/>
                <w:lang w:eastAsia="en-AU"/>
              </w:rPr>
              <w:t>No</w:t>
            </w:r>
          </w:p>
        </w:tc>
      </w:tr>
    </w:tbl>
    <w:p w14:paraId="7D8BBBBA" w14:textId="77777777" w:rsidR="007A5CD0" w:rsidRPr="00190F88" w:rsidRDefault="007A5CD0" w:rsidP="007A5CD0">
      <w:pPr>
        <w:tabs>
          <w:tab w:val="left" w:pos="680"/>
        </w:tabs>
        <w:spacing w:before="40" w:line="240" w:lineRule="auto"/>
        <w:ind w:left="340" w:hanging="227"/>
        <w:rPr>
          <w:rFonts w:ascii="Work Sans" w:eastAsia="Calibri" w:hAnsi="Work Sans"/>
          <w:sz w:val="14"/>
        </w:rPr>
      </w:pPr>
      <w:r w:rsidRPr="00190F88">
        <w:rPr>
          <w:rFonts w:ascii="Work Sans" w:eastAsia="Calibri" w:hAnsi="Work Sans"/>
          <w:sz w:val="14"/>
        </w:rPr>
        <w:t>1 2027-28 is the first year following the completion of the transition period.</w:t>
      </w:r>
    </w:p>
    <w:p w14:paraId="74ADB97D" w14:textId="77777777" w:rsidR="007A5CD0" w:rsidRPr="00190F88" w:rsidRDefault="007A5CD0" w:rsidP="007A5CD0">
      <w:pPr>
        <w:tabs>
          <w:tab w:val="left" w:pos="680"/>
        </w:tabs>
        <w:spacing w:before="40" w:line="240" w:lineRule="auto"/>
        <w:ind w:left="340" w:hanging="227"/>
        <w:rPr>
          <w:rFonts w:ascii="Work Sans" w:eastAsia="Calibri" w:hAnsi="Work Sans"/>
          <w:sz w:val="14"/>
        </w:rPr>
      </w:pPr>
      <w:r w:rsidRPr="00190F88">
        <w:rPr>
          <w:rFonts w:ascii="Work Sans" w:eastAsia="Calibri" w:hAnsi="Work Sans"/>
          <w:sz w:val="14"/>
        </w:rPr>
        <w:t>2 The Commonwealth is directly funding the cost of the floor in 2021-22. After this, the floor will be funded from within the GST pool.</w:t>
      </w:r>
    </w:p>
    <w:p w14:paraId="47B1F868" w14:textId="77777777" w:rsidR="007A5CD0" w:rsidRPr="00190F88" w:rsidRDefault="007A5CD0" w:rsidP="007A5CD0">
      <w:pPr>
        <w:tabs>
          <w:tab w:val="left" w:pos="680"/>
        </w:tabs>
        <w:spacing w:before="40" w:line="240" w:lineRule="auto"/>
        <w:ind w:left="340" w:hanging="227"/>
        <w:rPr>
          <w:rFonts w:ascii="Work Sans" w:eastAsia="Calibri" w:hAnsi="Work Sans"/>
          <w:sz w:val="14"/>
        </w:rPr>
      </w:pPr>
      <w:r w:rsidRPr="00190F88">
        <w:rPr>
          <w:rFonts w:ascii="Work Sans" w:eastAsia="Calibri" w:hAnsi="Work Sans"/>
          <w:sz w:val="14"/>
        </w:rPr>
        <w:t>Source:</w:t>
      </w:r>
      <w:r w:rsidRPr="00190F88">
        <w:rPr>
          <w:rFonts w:ascii="Work Sans" w:eastAsia="Calibri" w:hAnsi="Work Sans"/>
          <w:sz w:val="14"/>
        </w:rPr>
        <w:tab/>
      </w:r>
      <w:r w:rsidRPr="00190F88">
        <w:rPr>
          <w:rFonts w:ascii="Work Sans" w:eastAsia="Calibri" w:hAnsi="Work Sans"/>
          <w:i/>
          <w:iCs/>
          <w:sz w:val="14"/>
        </w:rPr>
        <w:t>Treasury Laws Amendment (Making Sure Every State and Territory Gets Their Fair Share of GST) Act 2018</w:t>
      </w:r>
      <w:r w:rsidRPr="00190F88">
        <w:rPr>
          <w:rFonts w:ascii="Work Sans" w:eastAsia="Calibri" w:hAnsi="Work Sans"/>
          <w:sz w:val="14"/>
        </w:rPr>
        <w:t>.</w:t>
      </w:r>
    </w:p>
    <w:p w14:paraId="1B2998E7" w14:textId="0372CE08" w:rsidR="007A5CD0" w:rsidRPr="007C1977" w:rsidRDefault="004E3304" w:rsidP="00BE3655">
      <w:pPr>
        <w:pStyle w:val="Heading2"/>
      </w:pPr>
      <w:r w:rsidRPr="007C1977">
        <w:t>Productivity Commission Review</w:t>
      </w:r>
    </w:p>
    <w:p w14:paraId="75E765B0" w14:textId="7C118C98" w:rsidR="007A5CD0" w:rsidRPr="00190F88" w:rsidRDefault="00557521" w:rsidP="00390913">
      <w:pPr>
        <w:rPr>
          <w:rFonts w:ascii="Work Sans" w:hAnsi="Work Sans"/>
        </w:rPr>
      </w:pPr>
      <w:r w:rsidRPr="00190F88">
        <w:rPr>
          <w:rFonts w:ascii="Work Sans" w:hAnsi="Work Sans"/>
        </w:rPr>
        <w:t>Under the legislation, by the end of 2026 the Productivity Commission will inquire into whether the changes to the fiscal equalisation arrangements are operating efficiently, effectively, and as intended. The inquiry will also examine the fiscal implications of the new arrangements for states.</w:t>
      </w:r>
    </w:p>
    <w:p w14:paraId="3AB85A1F" w14:textId="77777777" w:rsidR="005D7039" w:rsidRPr="00190F88" w:rsidRDefault="005D7039" w:rsidP="001A51D4">
      <w:pPr>
        <w:rPr>
          <w:rStyle w:val="normaltextrun"/>
          <w:rFonts w:ascii="Work Sans" w:hAnsi="Work Sans"/>
        </w:rPr>
      </w:pPr>
    </w:p>
    <w:sectPr w:rsidR="005D7039" w:rsidRPr="00190F88" w:rsidSect="00D627B5">
      <w:pgSz w:w="11900" w:h="16840"/>
      <w:pgMar w:top="1985" w:right="1418" w:bottom="1418" w:left="1418"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ADC5" w14:textId="77777777" w:rsidR="007E5BBA" w:rsidRDefault="007E5BBA" w:rsidP="00FF2A4A">
      <w:r>
        <w:separator/>
      </w:r>
    </w:p>
  </w:endnote>
  <w:endnote w:type="continuationSeparator" w:id="0">
    <w:p w14:paraId="3F3BDB8F" w14:textId="77777777" w:rsidR="007E5BBA" w:rsidRDefault="007E5BBA" w:rsidP="00FF2A4A">
      <w:r>
        <w:continuationSeparator/>
      </w:r>
    </w:p>
  </w:endnote>
  <w:endnote w:type="continuationNotice" w:id="1">
    <w:p w14:paraId="467E1015" w14:textId="77777777" w:rsidR="007E5BBA" w:rsidRDefault="007E5BB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Work Sans">
    <w:altName w:val="Work Sans"/>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555125"/>
      <w:docPartObj>
        <w:docPartGallery w:val="Page Numbers (Bottom of Page)"/>
        <w:docPartUnique/>
      </w:docPartObj>
    </w:sdtPr>
    <w:sdtEndPr>
      <w:rPr>
        <w:rStyle w:val="PageNumber"/>
      </w:rPr>
    </w:sdtEndPr>
    <w:sdtContent>
      <w:p w14:paraId="74BA921F" w14:textId="6126DBBB" w:rsidR="008B3F9B" w:rsidRDefault="008B3F9B" w:rsidP="00FF2A4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3134E" w14:textId="77777777" w:rsidR="008B3F9B" w:rsidRDefault="008B3F9B" w:rsidP="00FF2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pen Sans" w:hAnsi="Open Sans" w:cs="Open Sans"/>
      </w:rPr>
      <w:id w:val="397105312"/>
      <w:docPartObj>
        <w:docPartGallery w:val="Page Numbers (Bottom of Page)"/>
        <w:docPartUnique/>
      </w:docPartObj>
    </w:sdtPr>
    <w:sdtEndPr>
      <w:rPr>
        <w:rStyle w:val="PageNumber"/>
      </w:rPr>
    </w:sdtEndPr>
    <w:sdtContent>
      <w:p w14:paraId="660E2075" w14:textId="63614B84" w:rsidR="008B3F9B" w:rsidRPr="008B3F9B" w:rsidRDefault="008B3F9B" w:rsidP="00EC0715">
        <w:pPr>
          <w:pStyle w:val="Footer"/>
          <w:jc w:val="right"/>
          <w:rPr>
            <w:rStyle w:val="PageNumber"/>
            <w:rFonts w:ascii="Open Sans" w:hAnsi="Open Sans" w:cs="Open Sans"/>
          </w:rPr>
        </w:pPr>
        <w:r w:rsidRPr="003759A1">
          <w:rPr>
            <w:rStyle w:val="PageNumber"/>
            <w:rFonts w:ascii="Open Sans" w:hAnsi="Open Sans" w:cs="Open Sans"/>
            <w:color w:val="000000" w:themeColor="text1"/>
          </w:rPr>
          <w:fldChar w:fldCharType="begin"/>
        </w:r>
        <w:r w:rsidRPr="003759A1">
          <w:rPr>
            <w:rStyle w:val="PageNumber"/>
            <w:rFonts w:ascii="Open Sans" w:hAnsi="Open Sans" w:cs="Open Sans"/>
            <w:color w:val="000000" w:themeColor="text1"/>
          </w:rPr>
          <w:instrText xml:space="preserve"> PAGE </w:instrText>
        </w:r>
        <w:r w:rsidRPr="003759A1">
          <w:rPr>
            <w:rStyle w:val="PageNumber"/>
            <w:rFonts w:ascii="Open Sans" w:hAnsi="Open Sans" w:cs="Open Sans"/>
            <w:color w:val="000000" w:themeColor="text1"/>
          </w:rPr>
          <w:fldChar w:fldCharType="separate"/>
        </w:r>
        <w:r w:rsidRPr="003759A1">
          <w:rPr>
            <w:rStyle w:val="PageNumber"/>
            <w:rFonts w:ascii="Open Sans" w:hAnsi="Open Sans" w:cs="Open Sans"/>
            <w:noProof/>
            <w:color w:val="000000" w:themeColor="text1"/>
          </w:rPr>
          <w:t>1</w:t>
        </w:r>
        <w:r w:rsidRPr="003759A1">
          <w:rPr>
            <w:rStyle w:val="PageNumber"/>
            <w:rFonts w:ascii="Open Sans" w:hAnsi="Open Sans" w:cs="Open Sans"/>
            <w:color w:val="000000" w:themeColor="text1"/>
          </w:rPr>
          <w:fldChar w:fldCharType="end"/>
        </w:r>
      </w:p>
    </w:sdtContent>
  </w:sdt>
  <w:p w14:paraId="4C54B83C" w14:textId="77777777" w:rsidR="00F77ADF" w:rsidRDefault="0069159C" w:rsidP="00DF5221">
    <w:pPr>
      <w:pStyle w:val="Footer"/>
      <w:jc w:val="left"/>
      <w:rPr>
        <w:rFonts w:ascii="Open Sans" w:hAnsi="Open Sans" w:cs="Open Sans"/>
        <w:color w:val="0563C1" w:themeColor="hyperlink"/>
        <w:sz w:val="20"/>
        <w:szCs w:val="22"/>
        <w:shd w:val="clear" w:color="auto" w:fill="auto"/>
      </w:rPr>
    </w:pPr>
    <w:r>
      <w:rPr>
        <w:rFonts w:ascii="Open Sans" w:hAnsi="Open Sans" w:cs="Open Sans"/>
        <w:color w:val="0563C1" w:themeColor="hyperlink"/>
        <w:sz w:val="20"/>
        <w:szCs w:val="22"/>
        <w:shd w:val="clear" w:color="auto" w:fill="auto"/>
      </w:rPr>
      <w:tab/>
    </w:r>
  </w:p>
  <w:p w14:paraId="7F855381" w14:textId="1C4EA0C5" w:rsidR="008B3F9B" w:rsidRPr="00190F88" w:rsidRDefault="0069159C" w:rsidP="00DF5221">
    <w:pPr>
      <w:pStyle w:val="Footer"/>
      <w:jc w:val="left"/>
      <w:rPr>
        <w:rFonts w:ascii="Work Sans" w:hAnsi="Work Sans" w:cs="Open Sans"/>
      </w:rPr>
    </w:pPr>
    <w:r>
      <w:rPr>
        <w:rFonts w:ascii="Open Sans" w:hAnsi="Open Sans" w:cs="Open Sans"/>
        <w:color w:val="0563C1" w:themeColor="hyperlink"/>
        <w:sz w:val="20"/>
        <w:szCs w:val="22"/>
        <w:shd w:val="clear" w:color="auto" w:fill="auto"/>
      </w:rPr>
      <w:tab/>
    </w:r>
    <w:hyperlink r:id="rId1" w:history="1">
      <w:r w:rsidR="00D627B5" w:rsidRPr="00190F88">
        <w:rPr>
          <w:rStyle w:val="Hyperlink"/>
          <w:rFonts w:ascii="Work Sans" w:hAnsi="Work Sans" w:cs="Open Sans"/>
          <w:sz w:val="20"/>
          <w:szCs w:val="22"/>
          <w:shd w:val="clear" w:color="auto" w:fill="auto"/>
        </w:rPr>
        <w:t>www.cgc.gov.au</w:t>
      </w:r>
    </w:hyperlink>
    <w:r w:rsidR="00D627B5" w:rsidRPr="00190F88">
      <w:rPr>
        <w:rFonts w:ascii="Work Sans" w:hAnsi="Work Sans" w:cs="Open Sans"/>
        <w:color w:val="0563C1" w:themeColor="hyperlink"/>
        <w:sz w:val="20"/>
        <w:szCs w:val="22"/>
        <w:shd w:val="clear" w:color="auto" w:fill="auto"/>
      </w:rPr>
      <w:tab/>
    </w:r>
    <w:r w:rsidR="00EC0715" w:rsidRPr="00190F88">
      <w:rPr>
        <w:rFonts w:ascii="Work Sans" w:hAnsi="Work Sans" w:cs="Open Sans"/>
        <w:color w:val="0563C1" w:themeColor="hyperlink"/>
        <w:sz w:val="20"/>
        <w:szCs w:val="22"/>
        <w:shd w:val="clear" w:color="auto" w:fill="auto"/>
      </w:rPr>
      <w:t>Occasional Paper</w:t>
    </w:r>
    <w:r w:rsidR="000072FB" w:rsidRPr="00190F88">
      <w:rPr>
        <w:rFonts w:ascii="Work Sans" w:hAnsi="Work Sans" w:cs="Open Sans"/>
        <w:color w:val="0563C1" w:themeColor="hyperlink"/>
        <w:sz w:val="20"/>
        <w:szCs w:val="22"/>
        <w:shd w:val="clear" w:color="auto" w:fill="auto"/>
      </w:rPr>
      <w:t xml:space="preserve"> Series</w:t>
    </w:r>
    <w:r w:rsidR="00EC0715" w:rsidRPr="00190F88">
      <w:rPr>
        <w:rFonts w:ascii="Work Sans" w:hAnsi="Work Sans" w:cs="Open Sans"/>
        <w:color w:val="0563C1" w:themeColor="hyperlink"/>
        <w:sz w:val="20"/>
        <w:szCs w:val="22"/>
        <w:shd w:val="clear" w:color="auto" w:fill="auto"/>
      </w:rPr>
      <w:t xml:space="preserve"> </w:t>
    </w:r>
    <w:r w:rsidRPr="00190F88">
      <w:rPr>
        <w:rFonts w:ascii="Work Sans" w:hAnsi="Work Sans" w:cs="Open Sans"/>
        <w:color w:val="0563C1" w:themeColor="hyperlink"/>
        <w:sz w:val="20"/>
        <w:szCs w:val="22"/>
        <w:shd w:val="clear" w:color="auto" w:fill="auto"/>
      </w:rPr>
      <w:tab/>
    </w:r>
    <w:r w:rsidR="0049366E" w:rsidRPr="00190F88">
      <w:rPr>
        <w:rFonts w:ascii="Work Sans" w:hAnsi="Work Sans" w:cs="Open Sans"/>
        <w:color w:val="004563"/>
        <w:sz w:val="20"/>
        <w:szCs w:val="22"/>
        <w:shd w:val="clear" w:color="auto" w:fill="auto"/>
      </w:rPr>
      <w:t>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C755" w14:textId="2637CAC2" w:rsidR="007563EC" w:rsidRPr="00C10E99" w:rsidRDefault="007E5BBA" w:rsidP="00EC0715">
    <w:pPr>
      <w:tabs>
        <w:tab w:val="center" w:pos="4513"/>
        <w:tab w:val="right" w:pos="9026"/>
      </w:tabs>
      <w:jc w:val="left"/>
      <w:rPr>
        <w:rFonts w:ascii="Work Sans" w:hAnsi="Work Sans" w:cstheme="minorBidi"/>
        <w:color w:val="auto"/>
        <w:sz w:val="20"/>
        <w:szCs w:val="22"/>
        <w:shd w:val="clear" w:color="auto" w:fill="auto"/>
      </w:rPr>
    </w:pPr>
    <w:hyperlink r:id="rId1" w:tooltip="Click to visit homepage" w:history="1">
      <w:r w:rsidR="00EC0715" w:rsidRPr="00C10E99">
        <w:rPr>
          <w:rFonts w:ascii="Work Sans" w:hAnsi="Work Sans"/>
          <w:color w:val="0563C1" w:themeColor="hyperlink"/>
          <w:sz w:val="20"/>
          <w:u w:val="single"/>
          <w:shd w:val="clear" w:color="auto" w:fill="auto"/>
        </w:rPr>
        <w:t>www.cgc.gov.au</w:t>
      </w:r>
    </w:hyperlink>
    <w:r w:rsidR="00EC0715" w:rsidRPr="00C10E99">
      <w:rPr>
        <w:rFonts w:ascii="Work Sans" w:hAnsi="Work Sans" w:cs="Open Sans"/>
        <w:color w:val="0563C1" w:themeColor="hyperlink"/>
        <w:sz w:val="20"/>
        <w:szCs w:val="22"/>
        <w:shd w:val="clear" w:color="auto" w:fill="auto"/>
      </w:rPr>
      <w:tab/>
    </w:r>
    <w:bookmarkStart w:id="0" w:name="_Hlk80952414"/>
    <w:r w:rsidR="00EC0715" w:rsidRPr="00C10E99">
      <w:rPr>
        <w:rFonts w:ascii="Work Sans" w:hAnsi="Work Sans" w:cs="Open Sans"/>
        <w:color w:val="0563C1" w:themeColor="hyperlink"/>
        <w:sz w:val="20"/>
        <w:szCs w:val="22"/>
        <w:shd w:val="clear" w:color="auto" w:fill="auto"/>
      </w:rPr>
      <w:t xml:space="preserve">Occasional Paper </w:t>
    </w:r>
    <w:r w:rsidR="000072FB" w:rsidRPr="00C10E99">
      <w:rPr>
        <w:rFonts w:ascii="Work Sans" w:hAnsi="Work Sans" w:cs="Open Sans"/>
        <w:color w:val="0563C1" w:themeColor="hyperlink"/>
        <w:sz w:val="20"/>
        <w:szCs w:val="22"/>
        <w:shd w:val="clear" w:color="auto" w:fill="auto"/>
      </w:rPr>
      <w:t xml:space="preserve">Series </w:t>
    </w:r>
    <w:bookmarkEnd w:id="0"/>
    <w:r w:rsidR="00F05FF0" w:rsidRPr="00C10E99">
      <w:rPr>
        <w:rFonts w:ascii="Work Sans" w:hAnsi="Work Sans" w:cs="Open Sans"/>
        <w:color w:val="0563C1" w:themeColor="hyperlink"/>
        <w:sz w:val="20"/>
        <w:szCs w:val="22"/>
        <w:shd w:val="clear" w:color="auto" w:fill="auto"/>
      </w:rPr>
      <w:tab/>
    </w:r>
    <w:r w:rsidR="00557521" w:rsidRPr="00C10E99">
      <w:rPr>
        <w:rFonts w:ascii="Work Sans" w:hAnsi="Work Sans" w:cs="Open Sans"/>
        <w:color w:val="004563"/>
        <w:sz w:val="20"/>
        <w:szCs w:val="22"/>
        <w:shd w:val="clear" w:color="auto" w:fill="auto"/>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D59E" w14:textId="77777777" w:rsidR="007E5BBA" w:rsidRDefault="007E5BBA" w:rsidP="00FF2A4A">
      <w:r>
        <w:separator/>
      </w:r>
    </w:p>
  </w:footnote>
  <w:footnote w:type="continuationSeparator" w:id="0">
    <w:p w14:paraId="7F637E08" w14:textId="77777777" w:rsidR="007E5BBA" w:rsidRDefault="007E5BBA" w:rsidP="00FF2A4A">
      <w:r>
        <w:continuationSeparator/>
      </w:r>
    </w:p>
  </w:footnote>
  <w:footnote w:type="continuationNotice" w:id="1">
    <w:p w14:paraId="046B6A4F" w14:textId="77777777" w:rsidR="007E5BBA" w:rsidRDefault="007E5BBA">
      <w:pPr>
        <w:spacing w:before="0" w:line="240" w:lineRule="auto"/>
      </w:pPr>
    </w:p>
  </w:footnote>
  <w:footnote w:id="2">
    <w:p w14:paraId="18AF82FA" w14:textId="77777777" w:rsidR="00860ADB" w:rsidRPr="00190F88" w:rsidRDefault="00860ADB" w:rsidP="00860ADB">
      <w:pPr>
        <w:pStyle w:val="FootnoteText"/>
        <w:rPr>
          <w:rFonts w:ascii="Work Sans" w:hAnsi="Work Sans"/>
          <w:lang w:val="en-US"/>
        </w:rPr>
      </w:pPr>
      <w:r w:rsidRPr="007C1977">
        <w:rPr>
          <w:rStyle w:val="FootnoteReference"/>
        </w:rPr>
        <w:footnoteRef/>
      </w:r>
      <w:r w:rsidRPr="007C1977">
        <w:t xml:space="preserve"> </w:t>
      </w:r>
      <w:r w:rsidRPr="007C1977">
        <w:rPr>
          <w:lang w:val="en-US"/>
        </w:rPr>
        <w:tab/>
      </w:r>
      <w:r w:rsidRPr="00190F88">
        <w:rPr>
          <w:rFonts w:ascii="Work Sans" w:hAnsi="Work Sans"/>
          <w:i/>
          <w:iCs/>
          <w:lang w:val="en-US"/>
        </w:rPr>
        <w:t xml:space="preserve">Treasury Laws Amendment (Making sure every state gets their fair share of GST) Act 2018, </w:t>
      </w:r>
      <w:r w:rsidRPr="00190F88">
        <w:rPr>
          <w:rFonts w:ascii="Work Sans" w:hAnsi="Work Sans"/>
          <w:lang w:val="en-US"/>
        </w:rPr>
        <w:t xml:space="preserve">Section 8A.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5FCB" w14:textId="77777777" w:rsidR="00C10E99" w:rsidRDefault="00C10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BE2D" w14:textId="4FDDCC98" w:rsidR="00A345CD" w:rsidRDefault="003759A1" w:rsidP="00FF2A4A">
    <w:pPr>
      <w:pStyle w:val="Header"/>
    </w:pPr>
    <w:r>
      <w:rPr>
        <w:noProof/>
      </w:rPr>
      <w:drawing>
        <wp:anchor distT="0" distB="0" distL="114300" distR="114300" simplePos="0" relativeHeight="251663872" behindDoc="1" locked="0" layoutInCell="1" allowOverlap="1" wp14:anchorId="082EDAB8" wp14:editId="78E3686B">
          <wp:simplePos x="0" y="0"/>
          <wp:positionH relativeFrom="column">
            <wp:posOffset>-911860</wp:posOffset>
          </wp:positionH>
          <wp:positionV relativeFrom="paragraph">
            <wp:posOffset>-450215</wp:posOffset>
          </wp:positionV>
          <wp:extent cx="7580907" cy="10692000"/>
          <wp:effectExtent l="0" t="0" r="127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090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59C9" w14:textId="54E91860" w:rsidR="00C25219" w:rsidRDefault="00D627B5" w:rsidP="00FF2A4A">
    <w:pPr>
      <w:pStyle w:val="Header"/>
    </w:pPr>
    <w:r>
      <w:rPr>
        <w:noProof/>
      </w:rPr>
      <w:drawing>
        <wp:anchor distT="0" distB="0" distL="114300" distR="114300" simplePos="0" relativeHeight="251666944" behindDoc="1" locked="0" layoutInCell="1" allowOverlap="1" wp14:anchorId="0D590E31" wp14:editId="3343D49F">
          <wp:simplePos x="0" y="0"/>
          <wp:positionH relativeFrom="page">
            <wp:posOffset>0</wp:posOffset>
          </wp:positionH>
          <wp:positionV relativeFrom="paragraph">
            <wp:posOffset>-445358</wp:posOffset>
          </wp:positionV>
          <wp:extent cx="7580907" cy="10692000"/>
          <wp:effectExtent l="0" t="0" r="1270" b="0"/>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0907" cy="10692000"/>
                  </a:xfrm>
                  <a:prstGeom prst="rect">
                    <a:avLst/>
                  </a:prstGeom>
                </pic:spPr>
              </pic:pic>
            </a:graphicData>
          </a:graphic>
          <wp14:sizeRelH relativeFrom="margin">
            <wp14:pctWidth>0</wp14:pctWidth>
          </wp14:sizeRelH>
          <wp14:sizeRelV relativeFrom="margin">
            <wp14:pctHeight>0</wp14:pctHeight>
          </wp14:sizeRelV>
        </wp:anchor>
      </w:drawing>
    </w:r>
    <w:r w:rsidR="003759A1">
      <w:rPr>
        <w:noProof/>
      </w:rPr>
      <w:drawing>
        <wp:anchor distT="0" distB="0" distL="114300" distR="114300" simplePos="0" relativeHeight="251659776" behindDoc="1" locked="0" layoutInCell="1" allowOverlap="1" wp14:anchorId="5E0448FF" wp14:editId="5B373987">
          <wp:simplePos x="0" y="0"/>
          <wp:positionH relativeFrom="column">
            <wp:posOffset>-923290</wp:posOffset>
          </wp:positionH>
          <wp:positionV relativeFrom="paragraph">
            <wp:posOffset>10351135</wp:posOffset>
          </wp:positionV>
          <wp:extent cx="7580630" cy="10691495"/>
          <wp:effectExtent l="0" t="0" r="127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A345CD">
      <w:rPr>
        <w:noProof/>
      </w:rPr>
      <w:drawing>
        <wp:anchor distT="0" distB="0" distL="114300" distR="114300" simplePos="0" relativeHeight="251655680" behindDoc="1" locked="0" layoutInCell="1" allowOverlap="1" wp14:anchorId="2CFE1E5C" wp14:editId="795823A5">
          <wp:simplePos x="0" y="0"/>
          <wp:positionH relativeFrom="column">
            <wp:posOffset>-900430</wp:posOffset>
          </wp:positionH>
          <wp:positionV relativeFrom="paragraph">
            <wp:posOffset>10362565</wp:posOffset>
          </wp:positionV>
          <wp:extent cx="7580630" cy="10691495"/>
          <wp:effectExtent l="0" t="0" r="127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C25219" w:rsidRPr="00410188">
      <w:rPr>
        <w:rFonts w:ascii="Open Sans Semibold" w:hAnsi="Open Sans Semibold" w:cs="Open Sans Semibold"/>
        <w:bCs/>
        <w:noProof/>
        <w:sz w:val="40"/>
        <w:szCs w:val="40"/>
        <w:lang w:val="en-US"/>
      </w:rPr>
      <w:drawing>
        <wp:anchor distT="0" distB="0" distL="114300" distR="114300" simplePos="0" relativeHeight="251651584" behindDoc="1" locked="0" layoutInCell="1" allowOverlap="1" wp14:anchorId="355101D3" wp14:editId="6682A560">
          <wp:simplePos x="0" y="0"/>
          <wp:positionH relativeFrom="column">
            <wp:posOffset>-1037590</wp:posOffset>
          </wp:positionH>
          <wp:positionV relativeFrom="paragraph">
            <wp:posOffset>10328275</wp:posOffset>
          </wp:positionV>
          <wp:extent cx="7683500" cy="10836275"/>
          <wp:effectExtent l="38100" t="38100" r="63500" b="349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7683500" cy="10836275"/>
                  </a:xfrm>
                  <a:prstGeom prst="rect">
                    <a:avLst/>
                  </a:prstGeom>
                  <a:noFill/>
                  <a:ln w="88900" cap="sq">
                    <a:noFill/>
                    <a:miter lim="800000"/>
                  </a:ln>
                  <a:effectLst>
                    <a:outerShdw blurRad="55000" dist="18000" dir="5400000" algn="tl" rotWithShape="0">
                      <a:srgbClr val="000000">
                        <a:alpha val="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1B9C"/>
    <w:multiLevelType w:val="hybridMultilevel"/>
    <w:tmpl w:val="C9DED85E"/>
    <w:lvl w:ilvl="0" w:tplc="BB94D04E">
      <w:start w:val="1"/>
      <w:numFmt w:val="bullet"/>
      <w:pStyle w:val="CGC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D00CE7"/>
    <w:multiLevelType w:val="multilevel"/>
    <w:tmpl w:val="BCC2CEC4"/>
    <w:numStyleLink w:val="StyleBulletedSymbolsymbol12ptLeft063cmHanging0"/>
  </w:abstractNum>
  <w:abstractNum w:abstractNumId="2" w15:restartNumberingAfterBreak="0">
    <w:nsid w:val="3205244C"/>
    <w:multiLevelType w:val="multilevel"/>
    <w:tmpl w:val="BCC2CEC4"/>
    <w:styleLink w:val="StyleBulletedSymbolsymbol12ptLeft063cmHanging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1B0542"/>
    <w:multiLevelType w:val="multilevel"/>
    <w:tmpl w:val="BCC2CEC4"/>
    <w:numStyleLink w:val="StyleBulletedSymbolsymbol12ptLeft063cmHanging0"/>
  </w:abstractNum>
  <w:abstractNum w:abstractNumId="4" w15:restartNumberingAfterBreak="0">
    <w:nsid w:val="44511CFA"/>
    <w:multiLevelType w:val="hybridMultilevel"/>
    <w:tmpl w:val="CCDA6AB6"/>
    <w:lvl w:ilvl="0" w:tplc="69206B46">
      <w:start w:val="1"/>
      <w:numFmt w:val="bullet"/>
      <w:pStyle w:val="Body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C60DE9"/>
    <w:multiLevelType w:val="multilevel"/>
    <w:tmpl w:val="BCC2CEC4"/>
    <w:numStyleLink w:val="StyleBulletedSymbolsymbol12ptLeft063cmHanging0"/>
  </w:abstractNum>
  <w:abstractNum w:abstractNumId="6" w15:restartNumberingAfterBreak="0">
    <w:nsid w:val="6625743D"/>
    <w:multiLevelType w:val="multilevel"/>
    <w:tmpl w:val="BCC2CEC4"/>
    <w:numStyleLink w:val="StyleBulletedSymbolsymbol12ptLeft063cmHanging0"/>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50"/>
    <w:rsid w:val="000072FB"/>
    <w:rsid w:val="00010E37"/>
    <w:rsid w:val="000116CE"/>
    <w:rsid w:val="00034B07"/>
    <w:rsid w:val="00061506"/>
    <w:rsid w:val="00083980"/>
    <w:rsid w:val="000C50F6"/>
    <w:rsid w:val="000E2DB1"/>
    <w:rsid w:val="000E5535"/>
    <w:rsid w:val="00164E6D"/>
    <w:rsid w:val="0017781D"/>
    <w:rsid w:val="00187A16"/>
    <w:rsid w:val="00190F88"/>
    <w:rsid w:val="00194D69"/>
    <w:rsid w:val="001A2179"/>
    <w:rsid w:val="001A51D4"/>
    <w:rsid w:val="001C5B27"/>
    <w:rsid w:val="001D1AAB"/>
    <w:rsid w:val="001D4EC5"/>
    <w:rsid w:val="001E02ED"/>
    <w:rsid w:val="001E2C1E"/>
    <w:rsid w:val="00212D6A"/>
    <w:rsid w:val="00225383"/>
    <w:rsid w:val="00231405"/>
    <w:rsid w:val="00250CE4"/>
    <w:rsid w:val="00265C01"/>
    <w:rsid w:val="002826A0"/>
    <w:rsid w:val="0028328D"/>
    <w:rsid w:val="00292F2B"/>
    <w:rsid w:val="002B4725"/>
    <w:rsid w:val="002B754B"/>
    <w:rsid w:val="002D032E"/>
    <w:rsid w:val="002F2D78"/>
    <w:rsid w:val="002F6D4D"/>
    <w:rsid w:val="0033034C"/>
    <w:rsid w:val="00333D8E"/>
    <w:rsid w:val="0034016D"/>
    <w:rsid w:val="00346693"/>
    <w:rsid w:val="00362DDC"/>
    <w:rsid w:val="00365393"/>
    <w:rsid w:val="00372B2D"/>
    <w:rsid w:val="003759A1"/>
    <w:rsid w:val="00390913"/>
    <w:rsid w:val="003E0C88"/>
    <w:rsid w:val="003E712E"/>
    <w:rsid w:val="003E73C7"/>
    <w:rsid w:val="00403438"/>
    <w:rsid w:val="0040375E"/>
    <w:rsid w:val="00413401"/>
    <w:rsid w:val="004175C4"/>
    <w:rsid w:val="0045278C"/>
    <w:rsid w:val="004552E3"/>
    <w:rsid w:val="00472CFF"/>
    <w:rsid w:val="004733F8"/>
    <w:rsid w:val="0048698B"/>
    <w:rsid w:val="00490534"/>
    <w:rsid w:val="0049366E"/>
    <w:rsid w:val="004C0D4A"/>
    <w:rsid w:val="004C3C8D"/>
    <w:rsid w:val="004C684A"/>
    <w:rsid w:val="004D1258"/>
    <w:rsid w:val="004E19A4"/>
    <w:rsid w:val="004E3304"/>
    <w:rsid w:val="004F0C8D"/>
    <w:rsid w:val="005044EB"/>
    <w:rsid w:val="00523025"/>
    <w:rsid w:val="00546CE1"/>
    <w:rsid w:val="00557521"/>
    <w:rsid w:val="005639C2"/>
    <w:rsid w:val="00570369"/>
    <w:rsid w:val="005A141B"/>
    <w:rsid w:val="005B3FA2"/>
    <w:rsid w:val="005C0550"/>
    <w:rsid w:val="005D0A50"/>
    <w:rsid w:val="005D7039"/>
    <w:rsid w:val="005D764E"/>
    <w:rsid w:val="005F6489"/>
    <w:rsid w:val="006039AB"/>
    <w:rsid w:val="00620D45"/>
    <w:rsid w:val="00627D6B"/>
    <w:rsid w:val="0064121A"/>
    <w:rsid w:val="00654556"/>
    <w:rsid w:val="0065562F"/>
    <w:rsid w:val="00663B3C"/>
    <w:rsid w:val="00683557"/>
    <w:rsid w:val="0069159C"/>
    <w:rsid w:val="006A7FF0"/>
    <w:rsid w:val="006B0E32"/>
    <w:rsid w:val="006B547F"/>
    <w:rsid w:val="006F7B83"/>
    <w:rsid w:val="00707356"/>
    <w:rsid w:val="00750796"/>
    <w:rsid w:val="007525BD"/>
    <w:rsid w:val="00756091"/>
    <w:rsid w:val="007563EC"/>
    <w:rsid w:val="00760D91"/>
    <w:rsid w:val="00763CB0"/>
    <w:rsid w:val="00773535"/>
    <w:rsid w:val="00782888"/>
    <w:rsid w:val="007863EC"/>
    <w:rsid w:val="00794E93"/>
    <w:rsid w:val="007A5CD0"/>
    <w:rsid w:val="007A7F26"/>
    <w:rsid w:val="007C1977"/>
    <w:rsid w:val="007D209A"/>
    <w:rsid w:val="007E5BBA"/>
    <w:rsid w:val="007F04F3"/>
    <w:rsid w:val="007F0EA1"/>
    <w:rsid w:val="00815B5D"/>
    <w:rsid w:val="0082493C"/>
    <w:rsid w:val="008419F1"/>
    <w:rsid w:val="00846710"/>
    <w:rsid w:val="00857C48"/>
    <w:rsid w:val="00860ADB"/>
    <w:rsid w:val="008720F3"/>
    <w:rsid w:val="0088386A"/>
    <w:rsid w:val="00890B2D"/>
    <w:rsid w:val="008A22B7"/>
    <w:rsid w:val="008B2F3E"/>
    <w:rsid w:val="008B3F9B"/>
    <w:rsid w:val="008B3FC1"/>
    <w:rsid w:val="008B789B"/>
    <w:rsid w:val="008B7F8C"/>
    <w:rsid w:val="008C29AF"/>
    <w:rsid w:val="008F2EDA"/>
    <w:rsid w:val="0091155F"/>
    <w:rsid w:val="00924741"/>
    <w:rsid w:val="00955087"/>
    <w:rsid w:val="009D459E"/>
    <w:rsid w:val="00A040CA"/>
    <w:rsid w:val="00A10BE4"/>
    <w:rsid w:val="00A1580B"/>
    <w:rsid w:val="00A345CD"/>
    <w:rsid w:val="00A360DE"/>
    <w:rsid w:val="00A3712F"/>
    <w:rsid w:val="00A65CA9"/>
    <w:rsid w:val="00A71AE9"/>
    <w:rsid w:val="00A81D56"/>
    <w:rsid w:val="00A82021"/>
    <w:rsid w:val="00AA39CC"/>
    <w:rsid w:val="00AB78B2"/>
    <w:rsid w:val="00AC00FC"/>
    <w:rsid w:val="00AC3E69"/>
    <w:rsid w:val="00AC52BC"/>
    <w:rsid w:val="00AC5933"/>
    <w:rsid w:val="00AD1A04"/>
    <w:rsid w:val="00AD6215"/>
    <w:rsid w:val="00AE6054"/>
    <w:rsid w:val="00AF5CD7"/>
    <w:rsid w:val="00B00096"/>
    <w:rsid w:val="00B075B6"/>
    <w:rsid w:val="00B07C73"/>
    <w:rsid w:val="00B1229A"/>
    <w:rsid w:val="00B12F8D"/>
    <w:rsid w:val="00B53708"/>
    <w:rsid w:val="00B601FB"/>
    <w:rsid w:val="00B76858"/>
    <w:rsid w:val="00B76B6A"/>
    <w:rsid w:val="00BA4DCB"/>
    <w:rsid w:val="00BC19ED"/>
    <w:rsid w:val="00BD7278"/>
    <w:rsid w:val="00BE13BE"/>
    <w:rsid w:val="00BE3655"/>
    <w:rsid w:val="00BF5A1E"/>
    <w:rsid w:val="00C10E99"/>
    <w:rsid w:val="00C17EC4"/>
    <w:rsid w:val="00C25219"/>
    <w:rsid w:val="00C25C96"/>
    <w:rsid w:val="00C3217D"/>
    <w:rsid w:val="00C3472D"/>
    <w:rsid w:val="00C465AC"/>
    <w:rsid w:val="00C9327A"/>
    <w:rsid w:val="00CA17AD"/>
    <w:rsid w:val="00CA65EF"/>
    <w:rsid w:val="00CB2FBD"/>
    <w:rsid w:val="00CB63FE"/>
    <w:rsid w:val="00CE4998"/>
    <w:rsid w:val="00CF0272"/>
    <w:rsid w:val="00D00BF3"/>
    <w:rsid w:val="00D069E9"/>
    <w:rsid w:val="00D246E8"/>
    <w:rsid w:val="00D40C89"/>
    <w:rsid w:val="00D5474B"/>
    <w:rsid w:val="00D627B5"/>
    <w:rsid w:val="00D634FF"/>
    <w:rsid w:val="00D64911"/>
    <w:rsid w:val="00D7085F"/>
    <w:rsid w:val="00D746FA"/>
    <w:rsid w:val="00D85EAE"/>
    <w:rsid w:val="00D96A84"/>
    <w:rsid w:val="00DA141E"/>
    <w:rsid w:val="00DB3F91"/>
    <w:rsid w:val="00DB4027"/>
    <w:rsid w:val="00DC105C"/>
    <w:rsid w:val="00DC1D8F"/>
    <w:rsid w:val="00DE0B35"/>
    <w:rsid w:val="00DE2375"/>
    <w:rsid w:val="00DF5221"/>
    <w:rsid w:val="00DF52E0"/>
    <w:rsid w:val="00E14C41"/>
    <w:rsid w:val="00E16441"/>
    <w:rsid w:val="00E27ACC"/>
    <w:rsid w:val="00E45591"/>
    <w:rsid w:val="00E53E4A"/>
    <w:rsid w:val="00E5628C"/>
    <w:rsid w:val="00E63F69"/>
    <w:rsid w:val="00E642FE"/>
    <w:rsid w:val="00E665D7"/>
    <w:rsid w:val="00E705EB"/>
    <w:rsid w:val="00E952C7"/>
    <w:rsid w:val="00E96254"/>
    <w:rsid w:val="00EA5599"/>
    <w:rsid w:val="00EC0715"/>
    <w:rsid w:val="00EC1907"/>
    <w:rsid w:val="00ED16A3"/>
    <w:rsid w:val="00ED6724"/>
    <w:rsid w:val="00F05FF0"/>
    <w:rsid w:val="00F334FF"/>
    <w:rsid w:val="00F554D7"/>
    <w:rsid w:val="00F60E80"/>
    <w:rsid w:val="00F61F85"/>
    <w:rsid w:val="00F644D1"/>
    <w:rsid w:val="00F77ADF"/>
    <w:rsid w:val="00F8567E"/>
    <w:rsid w:val="00FA0742"/>
    <w:rsid w:val="00FA0E03"/>
    <w:rsid w:val="00FE37C9"/>
    <w:rsid w:val="00FF04FD"/>
    <w:rsid w:val="00FF2A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6998"/>
  <w15:chartTrackingRefBased/>
  <w15:docId w15:val="{1BE43C17-DB17-42B9-A576-DD3A4DB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89"/>
    <w:pPr>
      <w:tabs>
        <w:tab w:val="left" w:pos="567"/>
      </w:tabs>
      <w:spacing w:before="120" w:line="254" w:lineRule="auto"/>
      <w:jc w:val="both"/>
    </w:pPr>
    <w:rPr>
      <w:rFonts w:ascii="Open Sans Light" w:hAnsi="Open Sans Light" w:cs="Cambria Math"/>
      <w:color w:val="000000"/>
      <w:szCs w:val="21"/>
      <w:shd w:val="clear" w:color="auto" w:fill="FFFFFF"/>
    </w:rPr>
  </w:style>
  <w:style w:type="paragraph" w:styleId="Heading1">
    <w:name w:val="heading 1"/>
    <w:basedOn w:val="CGCSubHead"/>
    <w:next w:val="Normal"/>
    <w:link w:val="Heading1Char"/>
    <w:uiPriority w:val="9"/>
    <w:qFormat/>
    <w:rsid w:val="00AC52BC"/>
    <w:pPr>
      <w:spacing w:before="360"/>
      <w:outlineLvl w:val="0"/>
    </w:pPr>
    <w:rPr>
      <w:sz w:val="40"/>
      <w:szCs w:val="40"/>
    </w:rPr>
  </w:style>
  <w:style w:type="paragraph" w:styleId="Heading2">
    <w:name w:val="heading 2"/>
    <w:basedOn w:val="CGCSubHead"/>
    <w:next w:val="Normal"/>
    <w:link w:val="Heading2Char"/>
    <w:uiPriority w:val="9"/>
    <w:unhideWhenUsed/>
    <w:qFormat/>
    <w:rsid w:val="00212D6A"/>
    <w:pPr>
      <w:outlineLvl w:val="1"/>
    </w:pPr>
    <w:rPr>
      <w:sz w:val="28"/>
      <w:szCs w:val="28"/>
    </w:rPr>
  </w:style>
  <w:style w:type="paragraph" w:styleId="Heading3">
    <w:name w:val="heading 3"/>
    <w:basedOn w:val="Heading2"/>
    <w:next w:val="Normal"/>
    <w:link w:val="Heading3Char"/>
    <w:uiPriority w:val="9"/>
    <w:unhideWhenUsed/>
    <w:qFormat/>
    <w:rsid w:val="00212D6A"/>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550"/>
    <w:pPr>
      <w:tabs>
        <w:tab w:val="center" w:pos="4513"/>
        <w:tab w:val="right" w:pos="9026"/>
      </w:tabs>
    </w:pPr>
  </w:style>
  <w:style w:type="character" w:customStyle="1" w:styleId="HeaderChar">
    <w:name w:val="Header Char"/>
    <w:basedOn w:val="DefaultParagraphFont"/>
    <w:link w:val="Header"/>
    <w:uiPriority w:val="99"/>
    <w:rsid w:val="005C0550"/>
  </w:style>
  <w:style w:type="paragraph" w:styleId="Footer">
    <w:name w:val="footer"/>
    <w:basedOn w:val="Normal"/>
    <w:link w:val="FooterChar"/>
    <w:uiPriority w:val="99"/>
    <w:unhideWhenUsed/>
    <w:rsid w:val="005C0550"/>
    <w:pPr>
      <w:tabs>
        <w:tab w:val="center" w:pos="4513"/>
        <w:tab w:val="right" w:pos="9026"/>
      </w:tabs>
    </w:pPr>
  </w:style>
  <w:style w:type="character" w:customStyle="1" w:styleId="FooterChar">
    <w:name w:val="Footer Char"/>
    <w:basedOn w:val="DefaultParagraphFont"/>
    <w:link w:val="Footer"/>
    <w:uiPriority w:val="99"/>
    <w:rsid w:val="005C0550"/>
  </w:style>
  <w:style w:type="paragraph" w:styleId="Caption">
    <w:name w:val="caption"/>
    <w:basedOn w:val="Normal"/>
    <w:next w:val="Normal"/>
    <w:link w:val="CaptionChar"/>
    <w:qFormat/>
    <w:rsid w:val="005C0550"/>
    <w:pPr>
      <w:keepNext/>
      <w:keepLines/>
      <w:tabs>
        <w:tab w:val="clear" w:pos="567"/>
        <w:tab w:val="left" w:pos="1134"/>
        <w:tab w:val="left" w:pos="1418"/>
      </w:tabs>
      <w:spacing w:before="240" w:after="120" w:line="240" w:lineRule="auto"/>
      <w:ind w:left="1134" w:hanging="1134"/>
    </w:pPr>
    <w:rPr>
      <w:b/>
      <w:bCs/>
      <w:szCs w:val="20"/>
    </w:rPr>
  </w:style>
  <w:style w:type="character" w:customStyle="1" w:styleId="CaptionChar">
    <w:name w:val="Caption Char"/>
    <w:basedOn w:val="DefaultParagraphFont"/>
    <w:link w:val="Caption"/>
    <w:rsid w:val="005C0550"/>
    <w:rPr>
      <w:rFonts w:ascii="Open Sans Light" w:hAnsi="Open Sans Light"/>
      <w:b/>
      <w:bCs/>
      <w:sz w:val="20"/>
      <w:szCs w:val="20"/>
    </w:rPr>
  </w:style>
  <w:style w:type="paragraph" w:customStyle="1" w:styleId="CGCTablenote">
    <w:name w:val="CGC Table note"/>
    <w:basedOn w:val="Normal"/>
    <w:next w:val="Normal"/>
    <w:qFormat/>
    <w:rsid w:val="005C0550"/>
    <w:pPr>
      <w:tabs>
        <w:tab w:val="left" w:pos="680"/>
      </w:tabs>
      <w:spacing w:before="40" w:line="240" w:lineRule="auto"/>
      <w:ind w:left="340" w:hanging="227"/>
    </w:pPr>
    <w:rPr>
      <w:sz w:val="14"/>
    </w:rPr>
  </w:style>
  <w:style w:type="paragraph" w:styleId="BodyText">
    <w:name w:val="Body Text"/>
    <w:link w:val="BodyTextChar"/>
    <w:qFormat/>
    <w:rsid w:val="00F334FF"/>
    <w:pPr>
      <w:numPr>
        <w:numId w:val="1"/>
      </w:numPr>
      <w:spacing w:before="240" w:line="300" w:lineRule="atLeast"/>
      <w:jc w:val="both"/>
    </w:pPr>
    <w:rPr>
      <w:rFonts w:ascii="Open Sans Light" w:eastAsia="Times New Roman" w:hAnsi="Open Sans Light" w:cs="Times New Roman"/>
      <w:szCs w:val="20"/>
      <w:lang w:eastAsia="en-AU"/>
    </w:rPr>
  </w:style>
  <w:style w:type="character" w:customStyle="1" w:styleId="BodyTextChar">
    <w:name w:val="Body Text Char"/>
    <w:basedOn w:val="DefaultParagraphFont"/>
    <w:link w:val="BodyText"/>
    <w:rsid w:val="00F334FF"/>
    <w:rPr>
      <w:rFonts w:ascii="Open Sans Light" w:eastAsia="Times New Roman" w:hAnsi="Open Sans Light" w:cs="Times New Roman"/>
      <w:szCs w:val="20"/>
      <w:lang w:eastAsia="en-AU"/>
    </w:rPr>
  </w:style>
  <w:style w:type="character" w:customStyle="1" w:styleId="normaltextrun">
    <w:name w:val="normaltextrun"/>
    <w:basedOn w:val="DefaultParagraphFont"/>
    <w:rsid w:val="005C0550"/>
  </w:style>
  <w:style w:type="paragraph" w:customStyle="1" w:styleId="CGCBodyCopy">
    <w:name w:val="CGC Body Copy"/>
    <w:basedOn w:val="Normal"/>
    <w:autoRedefine/>
    <w:qFormat/>
    <w:rsid w:val="00C9327A"/>
  </w:style>
  <w:style w:type="paragraph" w:customStyle="1" w:styleId="CGCSubHead">
    <w:name w:val="CGC Sub Head"/>
    <w:autoRedefine/>
    <w:qFormat/>
    <w:rsid w:val="00BE3655"/>
    <w:pPr>
      <w:spacing w:before="240" w:after="200" w:line="276" w:lineRule="auto"/>
    </w:pPr>
    <w:rPr>
      <w:rFonts w:ascii="Work Sans" w:eastAsiaTheme="majorEastAsia" w:hAnsi="Work Sans" w:cs="Open Sans"/>
      <w:b/>
      <w:bCs/>
      <w:color w:val="006991"/>
      <w:sz w:val="48"/>
      <w:szCs w:val="48"/>
    </w:rPr>
  </w:style>
  <w:style w:type="character" w:styleId="Hyperlink">
    <w:name w:val="Hyperlink"/>
    <w:basedOn w:val="DefaultParagraphFont"/>
    <w:uiPriority w:val="99"/>
    <w:unhideWhenUsed/>
    <w:rsid w:val="008B3F9B"/>
    <w:rPr>
      <w:color w:val="0563C1" w:themeColor="hyperlink"/>
      <w:u w:val="single"/>
    </w:rPr>
  </w:style>
  <w:style w:type="character" w:styleId="UnresolvedMention">
    <w:name w:val="Unresolved Mention"/>
    <w:basedOn w:val="DefaultParagraphFont"/>
    <w:uiPriority w:val="99"/>
    <w:semiHidden/>
    <w:unhideWhenUsed/>
    <w:rsid w:val="008B3F9B"/>
    <w:rPr>
      <w:color w:val="605E5C"/>
      <w:shd w:val="clear" w:color="auto" w:fill="E1DFDD"/>
    </w:rPr>
  </w:style>
  <w:style w:type="character" w:styleId="PageNumber">
    <w:name w:val="page number"/>
    <w:basedOn w:val="DefaultParagraphFont"/>
    <w:uiPriority w:val="99"/>
    <w:semiHidden/>
    <w:unhideWhenUsed/>
    <w:rsid w:val="008B3F9B"/>
  </w:style>
  <w:style w:type="character" w:customStyle="1" w:styleId="Heading1Char">
    <w:name w:val="Heading 1 Char"/>
    <w:basedOn w:val="DefaultParagraphFont"/>
    <w:link w:val="Heading1"/>
    <w:uiPriority w:val="9"/>
    <w:rsid w:val="00AC52BC"/>
    <w:rPr>
      <w:rFonts w:ascii="Open Sans" w:eastAsiaTheme="majorEastAsia" w:hAnsi="Open Sans" w:cs="Open Sans"/>
      <w:b/>
      <w:bCs/>
      <w:color w:val="006991"/>
      <w:sz w:val="40"/>
      <w:szCs w:val="40"/>
    </w:rPr>
  </w:style>
  <w:style w:type="character" w:customStyle="1" w:styleId="Heading2Char">
    <w:name w:val="Heading 2 Char"/>
    <w:basedOn w:val="DefaultParagraphFont"/>
    <w:link w:val="Heading2"/>
    <w:uiPriority w:val="9"/>
    <w:rsid w:val="00212D6A"/>
    <w:rPr>
      <w:rFonts w:ascii="Open Sans" w:eastAsiaTheme="majorEastAsia" w:hAnsi="Open Sans" w:cs="Open Sans"/>
      <w:b/>
      <w:bCs/>
      <w:color w:val="006991"/>
      <w:sz w:val="28"/>
      <w:szCs w:val="28"/>
    </w:rPr>
  </w:style>
  <w:style w:type="numbering" w:customStyle="1" w:styleId="StyleBulletedSymbolsymbol12ptLeft063cmHanging0">
    <w:name w:val="Style Bulleted Symbol (symbol) 12 pt Left:  0.63 cm Hanging:  0..."/>
    <w:basedOn w:val="NoList"/>
    <w:rsid w:val="00A81D56"/>
    <w:pPr>
      <w:numPr>
        <w:numId w:val="2"/>
      </w:numPr>
    </w:pPr>
  </w:style>
  <w:style w:type="character" w:customStyle="1" w:styleId="Heading3Char">
    <w:name w:val="Heading 3 Char"/>
    <w:basedOn w:val="DefaultParagraphFont"/>
    <w:link w:val="Heading3"/>
    <w:uiPriority w:val="9"/>
    <w:rsid w:val="00212D6A"/>
    <w:rPr>
      <w:rFonts w:ascii="Open Sans" w:eastAsiaTheme="majorEastAsia" w:hAnsi="Open Sans" w:cs="Open Sans"/>
      <w:b/>
      <w:bCs/>
      <w:color w:val="006991"/>
    </w:rPr>
  </w:style>
  <w:style w:type="paragraph" w:customStyle="1" w:styleId="CGCBullet1">
    <w:name w:val="CGC Bullet 1"/>
    <w:basedOn w:val="Normal"/>
    <w:qFormat/>
    <w:rsid w:val="00292F2B"/>
    <w:pPr>
      <w:numPr>
        <w:numId w:val="7"/>
      </w:numPr>
      <w:jc w:val="left"/>
    </w:pPr>
    <w:rPr>
      <w:rFonts w:cstheme="minorBidi"/>
      <w:color w:val="auto"/>
      <w:sz w:val="20"/>
      <w:szCs w:val="22"/>
      <w:shd w:val="clear" w:color="auto" w:fill="auto"/>
    </w:rPr>
  </w:style>
  <w:style w:type="character" w:styleId="CommentReference">
    <w:name w:val="annotation reference"/>
    <w:basedOn w:val="DefaultParagraphFont"/>
    <w:uiPriority w:val="99"/>
    <w:semiHidden/>
    <w:unhideWhenUsed/>
    <w:rsid w:val="00D40C89"/>
    <w:rPr>
      <w:sz w:val="16"/>
      <w:szCs w:val="16"/>
    </w:rPr>
  </w:style>
  <w:style w:type="paragraph" w:styleId="CommentText">
    <w:name w:val="annotation text"/>
    <w:basedOn w:val="Normal"/>
    <w:link w:val="CommentTextChar"/>
    <w:uiPriority w:val="99"/>
    <w:semiHidden/>
    <w:unhideWhenUsed/>
    <w:rsid w:val="00D40C89"/>
    <w:pPr>
      <w:spacing w:line="240" w:lineRule="auto"/>
    </w:pPr>
    <w:rPr>
      <w:sz w:val="20"/>
      <w:szCs w:val="20"/>
    </w:rPr>
  </w:style>
  <w:style w:type="character" w:customStyle="1" w:styleId="CommentTextChar">
    <w:name w:val="Comment Text Char"/>
    <w:basedOn w:val="DefaultParagraphFont"/>
    <w:link w:val="CommentText"/>
    <w:uiPriority w:val="99"/>
    <w:semiHidden/>
    <w:rsid w:val="00D40C89"/>
    <w:rPr>
      <w:rFonts w:ascii="Open Sans Light" w:hAnsi="Open Sans Light" w:cs="Cambria Math"/>
      <w:color w:val="000000"/>
      <w:sz w:val="20"/>
      <w:szCs w:val="20"/>
    </w:rPr>
  </w:style>
  <w:style w:type="paragraph" w:styleId="CommentSubject">
    <w:name w:val="annotation subject"/>
    <w:basedOn w:val="CommentText"/>
    <w:next w:val="CommentText"/>
    <w:link w:val="CommentSubjectChar"/>
    <w:uiPriority w:val="99"/>
    <w:semiHidden/>
    <w:unhideWhenUsed/>
    <w:rsid w:val="00D40C89"/>
    <w:rPr>
      <w:b/>
      <w:bCs/>
    </w:rPr>
  </w:style>
  <w:style w:type="character" w:customStyle="1" w:styleId="CommentSubjectChar">
    <w:name w:val="Comment Subject Char"/>
    <w:basedOn w:val="CommentTextChar"/>
    <w:link w:val="CommentSubject"/>
    <w:uiPriority w:val="99"/>
    <w:semiHidden/>
    <w:rsid w:val="00D40C89"/>
    <w:rPr>
      <w:rFonts w:ascii="Open Sans Light" w:hAnsi="Open Sans Light" w:cs="Cambria Math"/>
      <w:b/>
      <w:bCs/>
      <w:color w:val="000000"/>
      <w:sz w:val="20"/>
      <w:szCs w:val="20"/>
    </w:rPr>
  </w:style>
  <w:style w:type="paragraph" w:styleId="FootnoteText">
    <w:name w:val="footnote text"/>
    <w:basedOn w:val="Normal"/>
    <w:link w:val="FootnoteTextChar"/>
    <w:uiPriority w:val="99"/>
    <w:semiHidden/>
    <w:unhideWhenUsed/>
    <w:rsid w:val="00763CB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63CB0"/>
    <w:rPr>
      <w:rFonts w:ascii="Open Sans Light" w:hAnsi="Open Sans Light" w:cs="Cambria Math"/>
      <w:color w:val="000000"/>
      <w:sz w:val="20"/>
      <w:szCs w:val="20"/>
    </w:rPr>
  </w:style>
  <w:style w:type="character" w:styleId="FootnoteReference">
    <w:name w:val="footnote reference"/>
    <w:basedOn w:val="DefaultParagraphFont"/>
    <w:uiPriority w:val="99"/>
    <w:semiHidden/>
    <w:unhideWhenUsed/>
    <w:rsid w:val="00763CB0"/>
    <w:rPr>
      <w:vertAlign w:val="superscript"/>
    </w:rPr>
  </w:style>
  <w:style w:type="paragraph" w:styleId="NormalWeb">
    <w:name w:val="Normal (Web)"/>
    <w:basedOn w:val="Normal"/>
    <w:uiPriority w:val="99"/>
    <w:unhideWhenUsed/>
    <w:rsid w:val="00C3472D"/>
    <w:pPr>
      <w:tabs>
        <w:tab w:val="clear" w:pos="567"/>
      </w:tabs>
      <w:spacing w:before="100" w:beforeAutospacing="1" w:after="100" w:afterAutospacing="1" w:line="240" w:lineRule="auto"/>
      <w:jc w:val="left"/>
    </w:pPr>
    <w:rPr>
      <w:rFonts w:ascii="Times New Roman" w:eastAsia="Times New Roman" w:hAnsi="Times New Roman" w:cs="Times New Roman"/>
      <w:color w:val="auto"/>
      <w:szCs w:val="24"/>
      <w:shd w:val="clear" w:color="auto" w:fil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g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g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0" ma:contentTypeDescription="Create a new document." ma:contentTypeScope="" ma:versionID="5d39d10a32ccba9c96e4777a503aeead">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7dc74ff3cf2b8b3397f2f35b7aae2c9"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b147965-d003-4c9e-9913-90f0d9e77379">
      <UserInfo>
        <DisplayName>Jonathan Rollings</DisplayName>
        <AccountId>79</AccountId>
        <AccountType/>
      </UserInfo>
      <UserInfo>
        <DisplayName>Julie Jasas</DisplayName>
        <AccountId>99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1365-0A3D-46F9-BB46-90DA1FCF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BCDF0-B35A-43F3-8C6D-EF50CF2091C6}">
  <ds:schemaRefs>
    <ds:schemaRef ds:uri="http://schemas.microsoft.com/office/2006/metadata/properties"/>
    <ds:schemaRef ds:uri="http://schemas.microsoft.com/office/infopath/2007/PartnerControls"/>
    <ds:schemaRef ds:uri="3b147965-d003-4c9e-9913-90f0d9e77379"/>
  </ds:schemaRefs>
</ds:datastoreItem>
</file>

<file path=customXml/itemProps3.xml><?xml version="1.0" encoding="utf-8"?>
<ds:datastoreItem xmlns:ds="http://schemas.openxmlformats.org/officeDocument/2006/customXml" ds:itemID="{326369CC-22ED-47E4-B425-A8B6A4C61693}">
  <ds:schemaRefs>
    <ds:schemaRef ds:uri="http://schemas.microsoft.com/sharepoint/v3/contenttype/forms"/>
  </ds:schemaRefs>
</ds:datastoreItem>
</file>

<file path=customXml/itemProps4.xml><?xml version="1.0" encoding="utf-8"?>
<ds:datastoreItem xmlns:ds="http://schemas.openxmlformats.org/officeDocument/2006/customXml" ds:itemID="{4251AB22-82B1-44D2-A94C-B513590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Warder</dc:creator>
  <cp:keywords/>
  <dc:description/>
  <cp:lastModifiedBy>Ben Crabb</cp:lastModifiedBy>
  <cp:revision>3</cp:revision>
  <dcterms:created xsi:type="dcterms:W3CDTF">2022-03-23T00:42:00Z</dcterms:created>
  <dcterms:modified xsi:type="dcterms:W3CDTF">2022-03-23T01:12:00Z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