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6846" w14:textId="5098C7AE" w:rsidR="004C78B6" w:rsidRDefault="006E6000" w:rsidP="004C78B6">
      <w:r>
        <w:rPr>
          <w:noProof/>
        </w:rPr>
        <w:drawing>
          <wp:anchor distT="0" distB="0" distL="114300" distR="114300" simplePos="0" relativeHeight="251658240" behindDoc="1" locked="0" layoutInCell="1" allowOverlap="1" wp14:anchorId="10314E4F" wp14:editId="1779EBB6">
            <wp:simplePos x="0" y="0"/>
            <wp:positionH relativeFrom="column">
              <wp:posOffset>-901700</wp:posOffset>
            </wp:positionH>
            <wp:positionV relativeFrom="paragraph">
              <wp:posOffset>-1260475</wp:posOffset>
            </wp:positionV>
            <wp:extent cx="7725600" cy="1092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5600" cy="10922400"/>
                    </a:xfrm>
                    <a:prstGeom prst="rect">
                      <a:avLst/>
                    </a:prstGeom>
                  </pic:spPr>
                </pic:pic>
              </a:graphicData>
            </a:graphic>
            <wp14:sizeRelH relativeFrom="margin">
              <wp14:pctWidth>0</wp14:pctWidth>
            </wp14:sizeRelH>
            <wp14:sizeRelV relativeFrom="margin">
              <wp14:pctHeight>0</wp14:pctHeight>
            </wp14:sizeRelV>
          </wp:anchor>
        </w:drawing>
      </w:r>
      <w:r w:rsidR="004C78B6">
        <w:rPr>
          <w:noProof/>
        </w:rPr>
        <w:drawing>
          <wp:inline distT="0" distB="0" distL="0" distR="0" wp14:anchorId="53D88FA4" wp14:editId="7CAF3C86">
            <wp:extent cx="2441749" cy="460926"/>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2597" cy="496952"/>
                    </a:xfrm>
                    <a:prstGeom prst="rect">
                      <a:avLst/>
                    </a:prstGeom>
                  </pic:spPr>
                </pic:pic>
              </a:graphicData>
            </a:graphic>
          </wp:inline>
        </w:drawing>
      </w:r>
    </w:p>
    <w:p w14:paraId="56AA9408" w14:textId="68FDD22B" w:rsidR="004C78B6" w:rsidRPr="00962EFF" w:rsidRDefault="004C78B6" w:rsidP="00962EFF">
      <w:pPr>
        <w:rPr>
          <w:rFonts w:ascii="Work Sans" w:hAnsi="Work Sans"/>
        </w:rPr>
      </w:pPr>
    </w:p>
    <w:p w14:paraId="6C749E99" w14:textId="7E1F7331" w:rsidR="004C78B6" w:rsidRPr="00962EFF" w:rsidRDefault="004C78B6" w:rsidP="00962EFF">
      <w:pPr>
        <w:rPr>
          <w:rFonts w:ascii="Work Sans" w:hAnsi="Work Sans"/>
        </w:rPr>
      </w:pPr>
    </w:p>
    <w:p w14:paraId="00648F61" w14:textId="7627E11B" w:rsidR="00D838D7" w:rsidRPr="00962EFF" w:rsidRDefault="00D838D7" w:rsidP="00962EFF">
      <w:pPr>
        <w:rPr>
          <w:rFonts w:ascii="Work Sans" w:hAnsi="Work Sans"/>
        </w:rPr>
      </w:pPr>
    </w:p>
    <w:p w14:paraId="1CD4EF8B" w14:textId="77777777" w:rsidR="00AD53D2" w:rsidRPr="00962EFF" w:rsidRDefault="00AD53D2" w:rsidP="00962EFF">
      <w:pPr>
        <w:rPr>
          <w:rFonts w:ascii="Work Sans" w:hAnsi="Work Sans"/>
        </w:rPr>
      </w:pPr>
    </w:p>
    <w:p w14:paraId="1BD893EE" w14:textId="77777777" w:rsidR="00AD53D2" w:rsidRPr="00962EFF" w:rsidRDefault="00AD53D2" w:rsidP="00962EFF">
      <w:pPr>
        <w:rPr>
          <w:rFonts w:ascii="Work Sans" w:hAnsi="Work Sans"/>
        </w:rPr>
      </w:pPr>
    </w:p>
    <w:p w14:paraId="19848CF4" w14:textId="77777777" w:rsidR="00AD53D2" w:rsidRPr="00962EFF" w:rsidRDefault="00AD53D2" w:rsidP="00962EFF">
      <w:pPr>
        <w:rPr>
          <w:rFonts w:ascii="Work Sans" w:hAnsi="Work Sans"/>
        </w:rPr>
      </w:pPr>
    </w:p>
    <w:p w14:paraId="699217D6" w14:textId="087D47E4" w:rsidR="00AD53D2" w:rsidRPr="00962EFF" w:rsidRDefault="00EC0F01" w:rsidP="00962EFF">
      <w:pPr>
        <w:rPr>
          <w:rFonts w:ascii="Work Sans" w:hAnsi="Work Sans"/>
        </w:rPr>
      </w:pPr>
      <w:r w:rsidRPr="00962EFF">
        <w:rPr>
          <w:rFonts w:ascii="Work Sans" w:hAnsi="Work Sans"/>
          <w:noProof/>
        </w:rPr>
        <mc:AlternateContent>
          <mc:Choice Requires="wps">
            <w:drawing>
              <wp:anchor distT="0" distB="0" distL="114300" distR="114300" simplePos="0" relativeHeight="251658241" behindDoc="0" locked="0" layoutInCell="1" allowOverlap="1" wp14:anchorId="13874347" wp14:editId="77F00492">
                <wp:simplePos x="0" y="0"/>
                <wp:positionH relativeFrom="column">
                  <wp:posOffset>43658</wp:posOffset>
                </wp:positionH>
                <wp:positionV relativeFrom="paragraph">
                  <wp:posOffset>79260</wp:posOffset>
                </wp:positionV>
                <wp:extent cx="5183580" cy="894080"/>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5183580" cy="894080"/>
                        </a:xfrm>
                        <a:prstGeom prst="rect">
                          <a:avLst/>
                        </a:prstGeom>
                        <a:noFill/>
                        <a:ln w="6350">
                          <a:noFill/>
                        </a:ln>
                      </wps:spPr>
                      <wps:txbx>
                        <w:txbxContent>
                          <w:p w14:paraId="2B443CCE" w14:textId="4EA77BD3" w:rsidR="00AD53D2" w:rsidRPr="00B417A0" w:rsidRDefault="00962EFF" w:rsidP="00AD53D2">
                            <w:pPr>
                              <w:rPr>
                                <w:rFonts w:ascii="Work Sans" w:hAnsi="Work Sans" w:cs="Open Sans"/>
                                <w:b/>
                                <w:bCs/>
                                <w:color w:val="FFFFFF"/>
                                <w:sz w:val="84"/>
                                <w:szCs w:val="84"/>
                              </w:rPr>
                            </w:pPr>
                            <w:r>
                              <w:rPr>
                                <w:rFonts w:ascii="Work Sans" w:hAnsi="Work Sans" w:cs="Open Sans"/>
                                <w:b/>
                                <w:bCs/>
                                <w:color w:val="FFFFFF"/>
                                <w:sz w:val="84"/>
                                <w:szCs w:val="84"/>
                              </w:rPr>
                              <w:t>Occasional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74347" id="_x0000_t202" coordsize="21600,21600" o:spt="202" path="m,l,21600r21600,l21600,xe">
                <v:stroke joinstyle="miter"/>
                <v:path gradientshapeok="t" o:connecttype="rect"/>
              </v:shapetype>
              <v:shape id="Text Box 13" o:spid="_x0000_s1026" type="#_x0000_t202" style="position:absolute;margin-left:3.45pt;margin-top:6.25pt;width:408.15pt;height:7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" filled="f" stroked="f" strokeweight=".5pt">
                <v:textbox>
                  <w:txbxContent>
                    <w:p w14:paraId="2B443CCE" w14:textId="4EA77BD3" w:rsidR="00AD53D2" w:rsidRPr="00B417A0" w:rsidRDefault="00962EFF" w:rsidP="00AD53D2">
                      <w:pPr>
                        <w:rPr>
                          <w:rFonts w:ascii="Work Sans" w:hAnsi="Work Sans" w:cs="Open Sans"/>
                          <w:b/>
                          <w:bCs/>
                          <w:color w:val="FFFFFF"/>
                          <w:sz w:val="84"/>
                          <w:szCs w:val="84"/>
                        </w:rPr>
                      </w:pPr>
                      <w:r>
                        <w:rPr>
                          <w:rFonts w:ascii="Work Sans" w:hAnsi="Work Sans" w:cs="Open Sans"/>
                          <w:b/>
                          <w:bCs/>
                          <w:color w:val="FFFFFF"/>
                          <w:sz w:val="84"/>
                          <w:szCs w:val="84"/>
                        </w:rPr>
                        <w:t>Occasional Paper</w:t>
                      </w:r>
                    </w:p>
                  </w:txbxContent>
                </v:textbox>
              </v:shape>
            </w:pict>
          </mc:Fallback>
        </mc:AlternateContent>
      </w:r>
    </w:p>
    <w:p w14:paraId="45D6F931" w14:textId="13806892" w:rsidR="00AD53D2" w:rsidRPr="00962EFF" w:rsidRDefault="00AD53D2" w:rsidP="00962EFF">
      <w:pPr>
        <w:rPr>
          <w:rFonts w:ascii="Work Sans" w:hAnsi="Work Sans"/>
        </w:rPr>
      </w:pPr>
    </w:p>
    <w:p w14:paraId="0568BBED" w14:textId="40254B98" w:rsidR="00AD53D2" w:rsidRPr="00962EFF" w:rsidRDefault="00AD53D2" w:rsidP="00962EFF">
      <w:pPr>
        <w:rPr>
          <w:rFonts w:ascii="Work Sans" w:hAnsi="Work Sans"/>
        </w:rPr>
      </w:pPr>
    </w:p>
    <w:p w14:paraId="39A7AC3F" w14:textId="493BB66B" w:rsidR="00AD53D2" w:rsidRDefault="00AD53D2" w:rsidP="00962EFF">
      <w:pPr>
        <w:rPr>
          <w:rFonts w:ascii="Work Sans" w:hAnsi="Work Sans"/>
        </w:rPr>
      </w:pPr>
    </w:p>
    <w:p w14:paraId="12D1F061" w14:textId="1AFF73FC" w:rsidR="00962EFF" w:rsidRDefault="00962EFF" w:rsidP="00962EFF">
      <w:pPr>
        <w:rPr>
          <w:rFonts w:ascii="Work Sans" w:hAnsi="Work Sans"/>
        </w:rPr>
      </w:pPr>
    </w:p>
    <w:p w14:paraId="55114D9B" w14:textId="77777777" w:rsidR="00962EFF" w:rsidRPr="00962EFF" w:rsidRDefault="00962EFF" w:rsidP="00962EFF">
      <w:pPr>
        <w:rPr>
          <w:rFonts w:ascii="Work Sans" w:hAnsi="Work Sans"/>
        </w:rPr>
      </w:pPr>
    </w:p>
    <w:p w14:paraId="25834C5D" w14:textId="15C123A2" w:rsidR="00AD53D2" w:rsidRPr="00962EFF" w:rsidRDefault="00EC0F01" w:rsidP="00962EFF">
      <w:pPr>
        <w:rPr>
          <w:rFonts w:ascii="Work Sans" w:hAnsi="Work Sans"/>
        </w:rPr>
      </w:pPr>
      <w:r w:rsidRPr="00962EFF">
        <w:rPr>
          <w:rFonts w:ascii="Work Sans" w:hAnsi="Work Sans"/>
          <w:noProof/>
        </w:rPr>
        <mc:AlternateContent>
          <mc:Choice Requires="wps">
            <w:drawing>
              <wp:anchor distT="0" distB="0" distL="114300" distR="114300" simplePos="0" relativeHeight="251658242" behindDoc="0" locked="0" layoutInCell="1" allowOverlap="1" wp14:anchorId="17BEE366" wp14:editId="4FD2F05E">
                <wp:simplePos x="0" y="0"/>
                <wp:positionH relativeFrom="margin">
                  <wp:align>left</wp:align>
                </wp:positionH>
                <wp:positionV relativeFrom="paragraph">
                  <wp:posOffset>13335</wp:posOffset>
                </wp:positionV>
                <wp:extent cx="4924425" cy="1157844"/>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4924425" cy="1157844"/>
                        </a:xfrm>
                        <a:prstGeom prst="rect">
                          <a:avLst/>
                        </a:prstGeom>
                        <a:noFill/>
                        <a:ln w="6350">
                          <a:noFill/>
                        </a:ln>
                      </wps:spPr>
                      <wps:txbx>
                        <w:txbxContent>
                          <w:p w14:paraId="73DD6A39" w14:textId="14352A7A" w:rsidR="00AD53D2" w:rsidRPr="00B417A0" w:rsidRDefault="00962EFF" w:rsidP="00AD53D2">
                            <w:pPr>
                              <w:rPr>
                                <w:rFonts w:ascii="Work Sans" w:hAnsi="Work Sans" w:cs="Open Sans"/>
                                <w:color w:val="FFFFFF"/>
                                <w:sz w:val="48"/>
                                <w:szCs w:val="48"/>
                              </w:rPr>
                            </w:pPr>
                            <w:r>
                              <w:rPr>
                                <w:rFonts w:ascii="Work Sans" w:hAnsi="Work Sans" w:cs="Open Sans"/>
                                <w:color w:val="FFFFFF"/>
                                <w:sz w:val="48"/>
                                <w:szCs w:val="48"/>
                              </w:rPr>
                              <w:t>No</w:t>
                            </w:r>
                            <w:r w:rsidR="00C87C4C">
                              <w:rPr>
                                <w:rFonts w:ascii="Work Sans" w:hAnsi="Work Sans" w:cs="Open Sans"/>
                                <w:color w:val="FFFFFF"/>
                                <w:sz w:val="48"/>
                                <w:szCs w:val="48"/>
                              </w:rPr>
                              <w:t>.</w:t>
                            </w:r>
                            <w:r w:rsidR="005B10C9">
                              <w:rPr>
                                <w:rFonts w:ascii="Work Sans" w:hAnsi="Work Sans" w:cs="Open Sans"/>
                                <w:color w:val="FFFFFF"/>
                                <w:sz w:val="48"/>
                                <w:szCs w:val="48"/>
                              </w:rPr>
                              <w:t>2</w:t>
                            </w:r>
                            <w:r w:rsidR="00C87C4C">
                              <w:rPr>
                                <w:rFonts w:ascii="Work Sans" w:hAnsi="Work Sans" w:cs="Open Sans"/>
                                <w:color w:val="FFFFFF"/>
                                <w:sz w:val="48"/>
                                <w:szCs w:val="48"/>
                              </w:rPr>
                              <w:t xml:space="preserve">: </w:t>
                            </w:r>
                            <w:r w:rsidR="005B10C9">
                              <w:rPr>
                                <w:rFonts w:ascii="Work Sans" w:hAnsi="Work Sans" w:cs="Open Sans"/>
                                <w:color w:val="FFFFFF"/>
                                <w:sz w:val="48"/>
                                <w:szCs w:val="48"/>
                              </w:rPr>
                              <w:t>GST distribution and state tax 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E366" id="Text Box 14" o:spid="_x0000_s1027" type="#_x0000_t202" style="position:absolute;margin-left:0;margin-top:1.05pt;width:387.75pt;height:91.1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" filled="f" stroked="f" strokeweight=".5pt">
                <v:textbox>
                  <w:txbxContent>
                    <w:p w14:paraId="73DD6A39" w14:textId="14352A7A" w:rsidR="00AD53D2" w:rsidRPr="00B417A0" w:rsidRDefault="00962EFF" w:rsidP="00AD53D2">
                      <w:pPr>
                        <w:rPr>
                          <w:rFonts w:ascii="Work Sans" w:hAnsi="Work Sans" w:cs="Open Sans"/>
                          <w:color w:val="FFFFFF"/>
                          <w:sz w:val="48"/>
                          <w:szCs w:val="48"/>
                        </w:rPr>
                      </w:pPr>
                      <w:r>
                        <w:rPr>
                          <w:rFonts w:ascii="Work Sans" w:hAnsi="Work Sans" w:cs="Open Sans"/>
                          <w:color w:val="FFFFFF"/>
                          <w:sz w:val="48"/>
                          <w:szCs w:val="48"/>
                        </w:rPr>
                        <w:t>No</w:t>
                      </w:r>
                      <w:r w:rsidR="00C87C4C">
                        <w:rPr>
                          <w:rFonts w:ascii="Work Sans" w:hAnsi="Work Sans" w:cs="Open Sans"/>
                          <w:color w:val="FFFFFF"/>
                          <w:sz w:val="48"/>
                          <w:szCs w:val="48"/>
                        </w:rPr>
                        <w:t>.</w:t>
                      </w:r>
                      <w:r w:rsidR="005B10C9">
                        <w:rPr>
                          <w:rFonts w:ascii="Work Sans" w:hAnsi="Work Sans" w:cs="Open Sans"/>
                          <w:color w:val="FFFFFF"/>
                          <w:sz w:val="48"/>
                          <w:szCs w:val="48"/>
                        </w:rPr>
                        <w:t>2</w:t>
                      </w:r>
                      <w:r w:rsidR="00C87C4C">
                        <w:rPr>
                          <w:rFonts w:ascii="Work Sans" w:hAnsi="Work Sans" w:cs="Open Sans"/>
                          <w:color w:val="FFFFFF"/>
                          <w:sz w:val="48"/>
                          <w:szCs w:val="48"/>
                        </w:rPr>
                        <w:t xml:space="preserve">: </w:t>
                      </w:r>
                      <w:r w:rsidR="005B10C9">
                        <w:rPr>
                          <w:rFonts w:ascii="Work Sans" w:hAnsi="Work Sans" w:cs="Open Sans"/>
                          <w:color w:val="FFFFFF"/>
                          <w:sz w:val="48"/>
                          <w:szCs w:val="48"/>
                        </w:rPr>
                        <w:t>GST distribution and state tax reform</w:t>
                      </w:r>
                    </w:p>
                  </w:txbxContent>
                </v:textbox>
                <w10:wrap anchorx="margin"/>
              </v:shape>
            </w:pict>
          </mc:Fallback>
        </mc:AlternateContent>
      </w:r>
    </w:p>
    <w:p w14:paraId="00E92AD7" w14:textId="5FF0A900" w:rsidR="00AD53D2" w:rsidRPr="00962EFF" w:rsidRDefault="00AD53D2" w:rsidP="00962EFF">
      <w:pPr>
        <w:rPr>
          <w:rFonts w:ascii="Work Sans" w:hAnsi="Work Sans"/>
        </w:rPr>
      </w:pPr>
    </w:p>
    <w:p w14:paraId="57BDAF8A" w14:textId="07F6A63B" w:rsidR="00AD53D2" w:rsidRPr="00962EFF" w:rsidRDefault="00AD53D2" w:rsidP="00962EFF">
      <w:pPr>
        <w:rPr>
          <w:rFonts w:ascii="Work Sans" w:hAnsi="Work Sans"/>
        </w:rPr>
      </w:pPr>
    </w:p>
    <w:p w14:paraId="7310BB9F" w14:textId="77777777" w:rsidR="00AD53D2" w:rsidRPr="00962EFF" w:rsidRDefault="00AD53D2" w:rsidP="00962EFF">
      <w:pPr>
        <w:rPr>
          <w:rFonts w:ascii="Work Sans" w:hAnsi="Work Sans"/>
        </w:rPr>
      </w:pPr>
    </w:p>
    <w:p w14:paraId="22A6B70E" w14:textId="77777777" w:rsidR="00AD53D2" w:rsidRPr="00962EFF" w:rsidRDefault="00AD53D2" w:rsidP="00962EFF">
      <w:pPr>
        <w:rPr>
          <w:rFonts w:ascii="Work Sans" w:hAnsi="Work Sans"/>
        </w:rPr>
      </w:pPr>
    </w:p>
    <w:p w14:paraId="6A754D7C" w14:textId="77777777" w:rsidR="00C87C4C" w:rsidRDefault="00C87C4C" w:rsidP="00962EFF">
      <w:pPr>
        <w:rPr>
          <w:rFonts w:ascii="Work Sans" w:hAnsi="Work Sans"/>
        </w:rPr>
      </w:pPr>
    </w:p>
    <w:p w14:paraId="436A3AEE" w14:textId="77777777" w:rsidR="00C87C4C" w:rsidRDefault="00C87C4C" w:rsidP="00962EFF">
      <w:pPr>
        <w:rPr>
          <w:rFonts w:ascii="Work Sans" w:hAnsi="Work Sans"/>
        </w:rPr>
      </w:pPr>
    </w:p>
    <w:p w14:paraId="4F92A4C4" w14:textId="77777777" w:rsidR="00C87C4C" w:rsidRDefault="00C87C4C" w:rsidP="00962EFF">
      <w:pPr>
        <w:rPr>
          <w:rFonts w:ascii="Work Sans" w:hAnsi="Work Sans"/>
        </w:rPr>
      </w:pPr>
    </w:p>
    <w:p w14:paraId="585F61AA" w14:textId="77777777" w:rsidR="00C87C4C" w:rsidRDefault="00C87C4C" w:rsidP="00962EFF">
      <w:pPr>
        <w:rPr>
          <w:rFonts w:ascii="Work Sans" w:hAnsi="Work Sans"/>
        </w:rPr>
      </w:pPr>
    </w:p>
    <w:p w14:paraId="57EA2C56" w14:textId="77777777" w:rsidR="00C87C4C" w:rsidRDefault="00C87C4C" w:rsidP="00962EFF">
      <w:pPr>
        <w:rPr>
          <w:rFonts w:ascii="Work Sans" w:hAnsi="Work Sans"/>
        </w:rPr>
      </w:pPr>
    </w:p>
    <w:p w14:paraId="02B92D57" w14:textId="77777777" w:rsidR="00C87C4C" w:rsidRDefault="00C87C4C" w:rsidP="00962EFF">
      <w:pPr>
        <w:rPr>
          <w:rFonts w:ascii="Work Sans" w:hAnsi="Work Sans"/>
        </w:rPr>
      </w:pPr>
    </w:p>
    <w:p w14:paraId="3134BF64" w14:textId="77777777" w:rsidR="00C87C4C" w:rsidRDefault="00C87C4C" w:rsidP="00962EFF">
      <w:pPr>
        <w:rPr>
          <w:rFonts w:ascii="Work Sans" w:hAnsi="Work Sans"/>
        </w:rPr>
      </w:pPr>
    </w:p>
    <w:p w14:paraId="75078E44" w14:textId="150D103D" w:rsidR="00AD53D2" w:rsidRPr="00962EFF" w:rsidRDefault="00F8305F" w:rsidP="00962EFF">
      <w:pPr>
        <w:rPr>
          <w:rFonts w:ascii="Work Sans" w:hAnsi="Work Sans"/>
        </w:rPr>
      </w:pPr>
      <w:r w:rsidRPr="00962EFF">
        <w:rPr>
          <w:rFonts w:ascii="Work Sans" w:hAnsi="Work Sans"/>
          <w:noProof/>
        </w:rPr>
        <mc:AlternateContent>
          <mc:Choice Requires="wps">
            <w:drawing>
              <wp:anchor distT="0" distB="0" distL="114300" distR="114300" simplePos="0" relativeHeight="251658243" behindDoc="0" locked="0" layoutInCell="1" allowOverlap="1" wp14:anchorId="0A5643A7" wp14:editId="7B26F898">
                <wp:simplePos x="0" y="0"/>
                <wp:positionH relativeFrom="margin">
                  <wp:align>left</wp:align>
                </wp:positionH>
                <wp:positionV relativeFrom="paragraph">
                  <wp:posOffset>73660</wp:posOffset>
                </wp:positionV>
                <wp:extent cx="1704975" cy="43938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04975" cy="439387"/>
                        </a:xfrm>
                        <a:prstGeom prst="rect">
                          <a:avLst/>
                        </a:prstGeom>
                        <a:noFill/>
                        <a:ln w="6350">
                          <a:noFill/>
                        </a:ln>
                      </wps:spPr>
                      <wps:txbx>
                        <w:txbxContent>
                          <w:p w14:paraId="1041002D" w14:textId="06F9516B" w:rsidR="00AD53D2" w:rsidRPr="00F8305F" w:rsidRDefault="00911412" w:rsidP="00AD53D2">
                            <w:pPr>
                              <w:rPr>
                                <w:rFonts w:ascii="Work Sans" w:hAnsi="Work Sans" w:cs="Open Sans"/>
                                <w:color w:val="FFFFFF"/>
                                <w:sz w:val="28"/>
                                <w:szCs w:val="28"/>
                              </w:rPr>
                            </w:pPr>
                            <w:r>
                              <w:rPr>
                                <w:rFonts w:ascii="Work Sans" w:hAnsi="Work Sans" w:cs="Open Sans"/>
                                <w:color w:val="FFFFFF"/>
                                <w:sz w:val="28"/>
                                <w:szCs w:val="28"/>
                              </w:rPr>
                              <w:t>April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43A7" id="Text Box 15" o:spid="_x0000_s1028" type="#_x0000_t202" style="position:absolute;margin-left:0;margin-top:5.8pt;width:134.25pt;height:34.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DX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" filled="f" stroked="f" strokeweight=".5pt">
                <v:textbox>
                  <w:txbxContent>
                    <w:p w14:paraId="1041002D" w14:textId="06F9516B" w:rsidR="00AD53D2" w:rsidRPr="00F8305F" w:rsidRDefault="00911412" w:rsidP="00AD53D2">
                      <w:pPr>
                        <w:rPr>
                          <w:rFonts w:ascii="Work Sans" w:hAnsi="Work Sans" w:cs="Open Sans"/>
                          <w:color w:val="FFFFFF"/>
                          <w:sz w:val="28"/>
                          <w:szCs w:val="28"/>
                        </w:rPr>
                      </w:pPr>
                      <w:r>
                        <w:rPr>
                          <w:rFonts w:ascii="Work Sans" w:hAnsi="Work Sans" w:cs="Open Sans"/>
                          <w:color w:val="FFFFFF"/>
                          <w:sz w:val="28"/>
                          <w:szCs w:val="28"/>
                        </w:rPr>
                        <w:t>April 2021</w:t>
                      </w:r>
                    </w:p>
                  </w:txbxContent>
                </v:textbox>
                <w10:wrap anchorx="margin"/>
              </v:shape>
            </w:pict>
          </mc:Fallback>
        </mc:AlternateContent>
      </w:r>
    </w:p>
    <w:p w14:paraId="4AF9959E" w14:textId="77777777" w:rsidR="00AD53D2" w:rsidRPr="00962EFF" w:rsidRDefault="00AD53D2" w:rsidP="00962EFF">
      <w:pPr>
        <w:rPr>
          <w:rFonts w:ascii="Work Sans" w:hAnsi="Work Sans"/>
        </w:rPr>
      </w:pPr>
    </w:p>
    <w:p w14:paraId="2E172C72" w14:textId="77777777" w:rsidR="00AD53D2" w:rsidRPr="00962EFF" w:rsidRDefault="00AD53D2" w:rsidP="00962EFF">
      <w:pPr>
        <w:rPr>
          <w:rFonts w:ascii="Work Sans" w:hAnsi="Work Sans"/>
        </w:rPr>
      </w:pPr>
    </w:p>
    <w:p w14:paraId="06D8C5E2" w14:textId="77777777" w:rsidR="00AD53D2" w:rsidRPr="00962EFF" w:rsidRDefault="00AD53D2" w:rsidP="00962EFF">
      <w:pPr>
        <w:rPr>
          <w:rFonts w:ascii="Work Sans" w:hAnsi="Work Sans"/>
        </w:rPr>
      </w:pPr>
    </w:p>
    <w:p w14:paraId="493FF90D" w14:textId="77777777" w:rsidR="00AD53D2" w:rsidRPr="00962EFF" w:rsidRDefault="00AD53D2" w:rsidP="00962EFF">
      <w:pPr>
        <w:rPr>
          <w:rFonts w:ascii="Work Sans" w:hAnsi="Work Sans"/>
        </w:rPr>
      </w:pPr>
    </w:p>
    <w:p w14:paraId="24EE791A" w14:textId="77777777" w:rsidR="00AD53D2" w:rsidRPr="00962EFF" w:rsidRDefault="00AD53D2" w:rsidP="00962EFF">
      <w:pPr>
        <w:rPr>
          <w:rFonts w:ascii="Work Sans" w:hAnsi="Work Sans"/>
        </w:rPr>
      </w:pPr>
    </w:p>
    <w:p w14:paraId="3E6770BD" w14:textId="77777777" w:rsidR="00AD53D2" w:rsidRPr="00962EFF" w:rsidRDefault="00AD53D2" w:rsidP="00962EFF">
      <w:pPr>
        <w:rPr>
          <w:rFonts w:ascii="Work Sans" w:hAnsi="Work Sans"/>
        </w:rPr>
      </w:pPr>
    </w:p>
    <w:p w14:paraId="164D3A4A" w14:textId="5B388E40" w:rsidR="00D838D7" w:rsidRPr="00962EFF" w:rsidRDefault="00D838D7" w:rsidP="00962EFF">
      <w:pPr>
        <w:rPr>
          <w:rFonts w:ascii="Work Sans" w:hAnsi="Work Sans"/>
        </w:rPr>
      </w:pPr>
    </w:p>
    <w:p w14:paraId="52BF4008" w14:textId="77777777" w:rsidR="00C87C4C" w:rsidRDefault="00C87C4C" w:rsidP="00962EFF">
      <w:pPr>
        <w:rPr>
          <w:rFonts w:ascii="Work Sans" w:hAnsi="Work Sans"/>
        </w:rPr>
        <w:sectPr w:rsidR="00C87C4C" w:rsidSect="004C78B6">
          <w:headerReference w:type="default" r:id="rId13"/>
          <w:footerReference w:type="even" r:id="rId14"/>
          <w:footerReference w:type="default" r:id="rId15"/>
          <w:headerReference w:type="first" r:id="rId16"/>
          <w:pgSz w:w="11900" w:h="16840"/>
          <w:pgMar w:top="1985" w:right="1418" w:bottom="1418" w:left="1418" w:header="709" w:footer="284" w:gutter="0"/>
          <w:pgNumType w:start="1"/>
          <w:cols w:space="708"/>
          <w:docGrid w:linePitch="360"/>
        </w:sectPr>
      </w:pPr>
    </w:p>
    <w:p w14:paraId="0C42691F" w14:textId="77777777" w:rsidR="00C87C4C" w:rsidRDefault="00C87C4C" w:rsidP="00962EFF">
      <w:pPr>
        <w:rPr>
          <w:rFonts w:ascii="Work Sans" w:hAnsi="Work Sans"/>
        </w:rPr>
      </w:pPr>
    </w:p>
    <w:p w14:paraId="04857270" w14:textId="77777777" w:rsidR="00C87C4C" w:rsidRDefault="00C87C4C" w:rsidP="00962EFF">
      <w:pPr>
        <w:rPr>
          <w:rFonts w:ascii="Work Sans" w:hAnsi="Work Sans"/>
        </w:rPr>
      </w:pPr>
    </w:p>
    <w:p w14:paraId="731C4235" w14:textId="5AE3E4D8" w:rsidR="00C87C4C" w:rsidRDefault="00C87C4C" w:rsidP="00962EFF">
      <w:pPr>
        <w:rPr>
          <w:rFonts w:ascii="Work Sans" w:hAnsi="Work Sans"/>
        </w:rPr>
      </w:pPr>
    </w:p>
    <w:p w14:paraId="73CF16B8" w14:textId="6AA79264" w:rsidR="00C87C4C" w:rsidRDefault="00C87C4C" w:rsidP="00962EFF">
      <w:pPr>
        <w:rPr>
          <w:rFonts w:ascii="Work Sans" w:hAnsi="Work Sans"/>
        </w:rPr>
      </w:pPr>
    </w:p>
    <w:p w14:paraId="39A808C7" w14:textId="7E659D32" w:rsidR="00C87C4C" w:rsidRDefault="00C87C4C" w:rsidP="00962EFF">
      <w:pPr>
        <w:rPr>
          <w:rFonts w:ascii="Work Sans" w:hAnsi="Work Sans"/>
        </w:rPr>
      </w:pPr>
    </w:p>
    <w:p w14:paraId="1B4C7E61" w14:textId="6099026A" w:rsidR="00C87C4C" w:rsidRDefault="00C87C4C" w:rsidP="00962EFF">
      <w:pPr>
        <w:rPr>
          <w:rFonts w:ascii="Work Sans" w:hAnsi="Work Sans"/>
        </w:rPr>
      </w:pPr>
    </w:p>
    <w:p w14:paraId="68FE78AB" w14:textId="05682200" w:rsidR="00C87C4C" w:rsidRDefault="00C87C4C" w:rsidP="00962EFF">
      <w:pPr>
        <w:rPr>
          <w:rFonts w:ascii="Work Sans" w:hAnsi="Work Sans"/>
        </w:rPr>
      </w:pPr>
    </w:p>
    <w:p w14:paraId="06ED005E" w14:textId="4D33C9A0" w:rsidR="00C87C4C" w:rsidRDefault="00C87C4C" w:rsidP="00962EFF">
      <w:pPr>
        <w:rPr>
          <w:rFonts w:ascii="Work Sans" w:hAnsi="Work Sans"/>
        </w:rPr>
      </w:pPr>
    </w:p>
    <w:p w14:paraId="56CAD0CC" w14:textId="3DB8FB80" w:rsidR="00C87C4C" w:rsidRDefault="00C87C4C" w:rsidP="00962EFF">
      <w:pPr>
        <w:rPr>
          <w:rFonts w:ascii="Work Sans" w:hAnsi="Work Sans"/>
        </w:rPr>
      </w:pPr>
    </w:p>
    <w:p w14:paraId="7C952BB9" w14:textId="01BB4A54" w:rsidR="00C87C4C" w:rsidRDefault="00C87C4C" w:rsidP="00962EFF">
      <w:pPr>
        <w:rPr>
          <w:rFonts w:ascii="Work Sans" w:hAnsi="Work Sans"/>
        </w:rPr>
      </w:pPr>
    </w:p>
    <w:p w14:paraId="08AE986B" w14:textId="77777777" w:rsidR="00C87C4C" w:rsidRDefault="00C87C4C" w:rsidP="00962EFF">
      <w:pPr>
        <w:rPr>
          <w:rFonts w:ascii="Work Sans" w:hAnsi="Work Sans"/>
        </w:rPr>
      </w:pPr>
    </w:p>
    <w:p w14:paraId="6EC995FC" w14:textId="77777777" w:rsidR="00C87C4C" w:rsidRPr="00C3472D" w:rsidRDefault="00C87C4C" w:rsidP="00C87C4C">
      <w:pPr>
        <w:pStyle w:val="NormalWeb"/>
        <w:rPr>
          <w:rFonts w:ascii="Work Sans" w:hAnsi="Work Sans"/>
          <w:b/>
          <w:bCs/>
          <w:color w:val="000000"/>
        </w:rPr>
      </w:pPr>
      <w:r w:rsidRPr="00C3472D">
        <w:rPr>
          <w:rFonts w:ascii="Work Sans" w:hAnsi="Work Sans"/>
          <w:b/>
          <w:bCs/>
          <w:color w:val="000000"/>
        </w:rPr>
        <w:t>Copyright</w:t>
      </w:r>
    </w:p>
    <w:p w14:paraId="468BC774" w14:textId="36C93E82" w:rsidR="00C87C4C" w:rsidRPr="00C3472D" w:rsidRDefault="00C87C4C" w:rsidP="00C87C4C">
      <w:pPr>
        <w:pStyle w:val="NormalWeb"/>
        <w:rPr>
          <w:rFonts w:ascii="Work Sans" w:hAnsi="Work Sans"/>
          <w:color w:val="000000"/>
        </w:rPr>
      </w:pPr>
      <w:r w:rsidRPr="00C3472D">
        <w:rPr>
          <w:rFonts w:ascii="Work Sans" w:hAnsi="Work Sans"/>
          <w:color w:val="000000"/>
        </w:rPr>
        <w:t>© Commonwealth of Australia 202</w:t>
      </w:r>
      <w:r w:rsidR="003322F9">
        <w:rPr>
          <w:rFonts w:ascii="Work Sans" w:hAnsi="Work Sans"/>
          <w:color w:val="000000"/>
        </w:rPr>
        <w:t>1</w:t>
      </w:r>
    </w:p>
    <w:p w14:paraId="7B6F7DFC" w14:textId="77777777" w:rsidR="00C87C4C" w:rsidRDefault="00C87C4C" w:rsidP="00C87C4C">
      <w:pPr>
        <w:pStyle w:val="NormalWeb"/>
        <w:rPr>
          <w:rFonts w:ascii="Work Sans" w:hAnsi="Work Sans"/>
          <w:color w:val="000000"/>
        </w:rPr>
      </w:pPr>
      <w:proofErr w:type="gramStart"/>
      <w:r w:rsidRPr="00C3472D">
        <w:rPr>
          <w:rFonts w:ascii="Work Sans" w:hAnsi="Work Sans"/>
          <w:color w:val="000000"/>
        </w:rPr>
        <w:t>With the exception of</w:t>
      </w:r>
      <w:proofErr w:type="gramEnd"/>
      <w:r w:rsidRPr="00C3472D">
        <w:rPr>
          <w:rFonts w:ascii="Work Sans" w:hAnsi="Work Sans"/>
          <w:color w:val="000000"/>
        </w:rPr>
        <w:t xml:space="preserve"> the Commonwealth Coat of Arms, all material presented in this document is provided under Creative Commons Attribution 4.0 (https://creativecommons.org/licenses/by/4.0/) licence. The details of the relevant licence conditions are available on the Creative Commons website as is the full legal code for CC BY 4.0 International (</w:t>
      </w:r>
      <w:hyperlink r:id="rId17" w:history="1">
        <w:r w:rsidRPr="00DC711F">
          <w:rPr>
            <w:rStyle w:val="Hyperlink"/>
            <w:rFonts w:ascii="Work Sans" w:hAnsi="Work Sans"/>
          </w:rPr>
          <w:t>https://creativecommons.org/licenses/by/4.0/legalcode</w:t>
        </w:r>
      </w:hyperlink>
      <w:r w:rsidRPr="00C3472D">
        <w:rPr>
          <w:rFonts w:ascii="Work Sans" w:hAnsi="Work Sans"/>
          <w:color w:val="000000"/>
        </w:rPr>
        <w:t>).</w:t>
      </w:r>
    </w:p>
    <w:p w14:paraId="7F412C5F" w14:textId="77777777" w:rsidR="00C87C4C" w:rsidRPr="00C3472D" w:rsidRDefault="00C87C4C" w:rsidP="00C87C4C">
      <w:pPr>
        <w:pStyle w:val="NormalWeb"/>
        <w:rPr>
          <w:rFonts w:ascii="Work Sans" w:hAnsi="Work Sans"/>
          <w:color w:val="000000"/>
        </w:rPr>
      </w:pPr>
      <w:r w:rsidRPr="000A2C87">
        <w:rPr>
          <w:noProof/>
          <w:sz w:val="20"/>
          <w:szCs w:val="20"/>
        </w:rPr>
        <w:drawing>
          <wp:inline distT="0" distB="0" distL="0" distR="0" wp14:anchorId="42DDAA01" wp14:editId="4CCFCC78">
            <wp:extent cx="828675" cy="295275"/>
            <wp:effectExtent l="19050" t="0" r="9525" b="0"/>
            <wp:docPr id="1" name="Picture 1" descr="Creative Commons -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8" cstate="print"/>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14:paraId="02503439" w14:textId="77777777" w:rsidR="00C87C4C" w:rsidRPr="00C3472D" w:rsidRDefault="00C87C4C" w:rsidP="00C87C4C">
      <w:pPr>
        <w:pStyle w:val="NormalWeb"/>
        <w:rPr>
          <w:rFonts w:ascii="Work Sans" w:hAnsi="Work Sans"/>
          <w:b/>
          <w:bCs/>
          <w:color w:val="000000"/>
        </w:rPr>
      </w:pPr>
      <w:r w:rsidRPr="00C3472D">
        <w:rPr>
          <w:rFonts w:ascii="Work Sans" w:hAnsi="Work Sans"/>
          <w:b/>
          <w:bCs/>
          <w:color w:val="000000"/>
        </w:rPr>
        <w:t>Attribution</w:t>
      </w:r>
    </w:p>
    <w:p w14:paraId="59F01DFC" w14:textId="7D637941" w:rsidR="00C87C4C" w:rsidRPr="00C3472D" w:rsidRDefault="00C87C4C" w:rsidP="00C87C4C">
      <w:pPr>
        <w:pStyle w:val="NormalWeb"/>
        <w:rPr>
          <w:rFonts w:ascii="Work Sans" w:hAnsi="Work Sans"/>
          <w:color w:val="000000"/>
        </w:rPr>
      </w:pPr>
      <w:r w:rsidRPr="00C3472D">
        <w:rPr>
          <w:rFonts w:ascii="Work Sans" w:hAnsi="Work Sans"/>
          <w:color w:val="000000"/>
        </w:rPr>
        <w:t xml:space="preserve">The recommended attribution for this document is Commonwealth Grants Commission, Occasional Paper </w:t>
      </w:r>
      <w:r w:rsidRPr="00B37111">
        <w:rPr>
          <w:rFonts w:ascii="Work Sans" w:hAnsi="Work Sans"/>
          <w:color w:val="000000"/>
        </w:rPr>
        <w:t xml:space="preserve">No. </w:t>
      </w:r>
      <w:r w:rsidR="003322F9" w:rsidRPr="00B37111">
        <w:rPr>
          <w:rFonts w:ascii="Work Sans" w:hAnsi="Work Sans"/>
          <w:color w:val="000000"/>
        </w:rPr>
        <w:t>2</w:t>
      </w:r>
      <w:r w:rsidRPr="00B37111">
        <w:rPr>
          <w:rFonts w:ascii="Work Sans" w:hAnsi="Work Sans"/>
          <w:color w:val="000000"/>
        </w:rPr>
        <w:t xml:space="preserve">: GST distribution </w:t>
      </w:r>
      <w:r w:rsidR="00D669DC" w:rsidRPr="00B37111">
        <w:rPr>
          <w:rFonts w:ascii="Work Sans" w:hAnsi="Work Sans"/>
          <w:color w:val="000000"/>
        </w:rPr>
        <w:t>and</w:t>
      </w:r>
      <w:r w:rsidRPr="00B37111">
        <w:rPr>
          <w:rFonts w:ascii="Work Sans" w:hAnsi="Work Sans"/>
          <w:color w:val="000000"/>
        </w:rPr>
        <w:t xml:space="preserve"> state</w:t>
      </w:r>
      <w:r w:rsidR="00D669DC" w:rsidRPr="00B37111">
        <w:rPr>
          <w:rFonts w:ascii="Work Sans" w:hAnsi="Work Sans"/>
          <w:color w:val="000000"/>
        </w:rPr>
        <w:t xml:space="preserve"> tax reform</w:t>
      </w:r>
      <w:r w:rsidRPr="00B37111">
        <w:rPr>
          <w:rFonts w:ascii="Work Sans" w:hAnsi="Work Sans"/>
          <w:color w:val="000000"/>
        </w:rPr>
        <w:t>.</w:t>
      </w:r>
    </w:p>
    <w:p w14:paraId="6BBB3DFD" w14:textId="77777777" w:rsidR="00C87C4C" w:rsidRDefault="00C87C4C" w:rsidP="00C87C4C">
      <w:pPr>
        <w:pStyle w:val="NormalWeb"/>
        <w:rPr>
          <w:rFonts w:ascii="Work Sans" w:hAnsi="Work Sans"/>
          <w:color w:val="000000"/>
        </w:rPr>
      </w:pPr>
      <w:r w:rsidRPr="00C3472D">
        <w:rPr>
          <w:rFonts w:ascii="Work Sans" w:hAnsi="Work Sans"/>
          <w:b/>
          <w:bCs/>
          <w:color w:val="000000"/>
        </w:rPr>
        <w:t>Contact us</w:t>
      </w:r>
      <w:r w:rsidRPr="00C3472D">
        <w:rPr>
          <w:rFonts w:ascii="Work Sans" w:hAnsi="Work Sans"/>
          <w:color w:val="000000"/>
        </w:rPr>
        <w:t xml:space="preserve"> </w:t>
      </w:r>
    </w:p>
    <w:p w14:paraId="094603E8" w14:textId="77777777" w:rsidR="00C87C4C" w:rsidRPr="00C3472D" w:rsidRDefault="00C87C4C" w:rsidP="00C87C4C">
      <w:pPr>
        <w:pStyle w:val="NormalWeb"/>
        <w:rPr>
          <w:rFonts w:ascii="Work Sans" w:hAnsi="Work Sans"/>
          <w:color w:val="000000"/>
        </w:rPr>
      </w:pPr>
      <w:r w:rsidRPr="00C3472D">
        <w:rPr>
          <w:rFonts w:ascii="Work Sans" w:hAnsi="Work Sans"/>
          <w:color w:val="000000"/>
        </w:rPr>
        <w:t>Inquiries regarding the use of this document should be directed to secretary@cgc.gov.au.</w:t>
      </w:r>
    </w:p>
    <w:p w14:paraId="5E108B75" w14:textId="77777777" w:rsidR="00C87C4C" w:rsidRPr="00D627B5" w:rsidRDefault="00C87C4C" w:rsidP="00C87C4C">
      <w:pPr>
        <w:pStyle w:val="NormalWeb"/>
        <w:rPr>
          <w:rFonts w:ascii="Work Sans" w:hAnsi="Work Sans"/>
          <w:b/>
          <w:bCs/>
          <w:color w:val="000000"/>
        </w:rPr>
      </w:pPr>
      <w:r w:rsidRPr="00D627B5">
        <w:rPr>
          <w:rFonts w:ascii="Work Sans" w:hAnsi="Work Sans"/>
          <w:b/>
          <w:bCs/>
          <w:color w:val="000000"/>
        </w:rPr>
        <w:t xml:space="preserve">Internet </w:t>
      </w:r>
    </w:p>
    <w:p w14:paraId="05872600" w14:textId="2D19FE91" w:rsidR="00C87C4C" w:rsidRPr="00C87C4C" w:rsidRDefault="00C87C4C" w:rsidP="00C87C4C">
      <w:pPr>
        <w:pStyle w:val="NormalWeb"/>
        <w:rPr>
          <w:rFonts w:ascii="Work Sans" w:hAnsi="Work Sans"/>
          <w:color w:val="000000"/>
        </w:rPr>
      </w:pPr>
      <w:r w:rsidRPr="00C3472D">
        <w:rPr>
          <w:rFonts w:ascii="Work Sans" w:hAnsi="Work Sans"/>
          <w:color w:val="000000"/>
        </w:rPr>
        <w:t>A copy of this paper is available on the Commission’s website (http://www.cgc.gov.au).</w:t>
      </w:r>
    </w:p>
    <w:p w14:paraId="4B6A409E" w14:textId="77777777" w:rsidR="00C87C4C" w:rsidRDefault="00C87C4C" w:rsidP="00962EFF">
      <w:pPr>
        <w:rPr>
          <w:rFonts w:ascii="Work Sans" w:hAnsi="Work Sans"/>
        </w:rPr>
      </w:pPr>
    </w:p>
    <w:p w14:paraId="0E084A80" w14:textId="2CC98E71" w:rsidR="00C87C4C" w:rsidRDefault="00C87C4C" w:rsidP="00962EFF">
      <w:pPr>
        <w:rPr>
          <w:rFonts w:ascii="Work Sans" w:hAnsi="Work Sans"/>
        </w:rPr>
        <w:sectPr w:rsidR="00C87C4C" w:rsidSect="004C78B6">
          <w:pgSz w:w="11900" w:h="16840"/>
          <w:pgMar w:top="1985" w:right="1418" w:bottom="1418" w:left="1418" w:header="709" w:footer="284" w:gutter="0"/>
          <w:pgNumType w:start="1"/>
          <w:cols w:space="708"/>
          <w:docGrid w:linePitch="360"/>
        </w:sectPr>
      </w:pPr>
    </w:p>
    <w:p w14:paraId="4BDF58F5" w14:textId="77777777" w:rsidR="00916CC2" w:rsidRPr="00916CC2" w:rsidRDefault="00916CC2" w:rsidP="0045179C">
      <w:pPr>
        <w:pStyle w:val="Heading2"/>
      </w:pPr>
      <w:r w:rsidRPr="00916CC2">
        <w:rPr>
          <w:noProof/>
        </w:rPr>
        <w:lastRenderedPageBreak/>
        <mc:AlternateContent>
          <mc:Choice Requires="wps">
            <w:drawing>
              <wp:anchor distT="0" distB="0" distL="114300" distR="114300" simplePos="0" relativeHeight="251658244" behindDoc="1" locked="0" layoutInCell="1" allowOverlap="1" wp14:anchorId="6359FD45" wp14:editId="30F830D0">
                <wp:simplePos x="0" y="0"/>
                <wp:positionH relativeFrom="margin">
                  <wp:posOffset>-43180</wp:posOffset>
                </wp:positionH>
                <wp:positionV relativeFrom="paragraph">
                  <wp:posOffset>-5715</wp:posOffset>
                </wp:positionV>
                <wp:extent cx="5850000" cy="8201025"/>
                <wp:effectExtent l="0" t="0" r="0" b="952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0000" cy="8201025"/>
                        </a:xfrm>
                        <a:prstGeom prst="rect">
                          <a:avLst/>
                        </a:prstGeom>
                        <a:solidFill>
                          <a:srgbClr val="E5F8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8DB0E" id="Rectangle 10" o:spid="_x0000_s1026" alt="&quot;&quot;" style="position:absolute;margin-left:-3.4pt;margin-top:-.45pt;width:460.65pt;height:645.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" fillcolor="#e5f8ff" stroked="f" strokeweight="2pt">
                <w10:wrap anchorx="margin"/>
              </v:rect>
            </w:pict>
          </mc:Fallback>
        </mc:AlternateContent>
      </w:r>
      <w:r w:rsidRPr="00916CC2">
        <w:t>Summary</w:t>
      </w:r>
    </w:p>
    <w:p w14:paraId="52647A15" w14:textId="73291D16"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 xml:space="preserve">State tax reform has the potential to unlock economic and social benefits and achieve more predictable revenue flows. But changes in the tax mix as part of such reforms can also potentially impact on GST distribution aimed at achieving fiscal equalisation among the </w:t>
      </w:r>
      <w:r w:rsidR="001938B1">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tates.  </w:t>
      </w:r>
    </w:p>
    <w:p w14:paraId="73AC519D" w14:textId="41FEC7AC"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 xml:space="preserve">There is no agreement or definitive evidence that the potential impact on GST distributions is a deterrent to </w:t>
      </w:r>
      <w:r w:rsidR="001938B1">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tate tax reform. A main consideration in whether to undertake reform is likely to be the extent of the consequent efficiency and equity gains.</w:t>
      </w:r>
    </w:p>
    <w:p w14:paraId="34C3FA02" w14:textId="315CC873"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 xml:space="preserve">The potential GST effects from </w:t>
      </w:r>
      <w:r w:rsidR="001938B1">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tax reform depend on the extent to which changes in tax rates result in changes to tax bases, for example, the extent to which a reduction in stamp duty increases property sales. This is the elasticity effect. To the extent that tax reform increases a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tate’s tax base, it would be assessed to have a stronger fiscal capacity. In the absence of steps to mitigate the impact of the reform on GST distributions, the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would be assessed to have a lower GST requirement. Elasticity effects can result in larger GST effects where a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unilaterally pursues reform, since that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is the only one diverging from the average. The impact on the GST distribution will be smaller if all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tates implement a similar tax reform.</w:t>
      </w:r>
    </w:p>
    <w:p w14:paraId="5D5AEFDF" w14:textId="77777777"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The elasticity effects are generally larger for inefficient taxes (such as stamp duty on conveyances) and smaller for efficient taxes (such as land tax). This means a switch from stamp duty to land tax could have a large elasticity effect. The extent to which this affects the GST distribution depends on whether steps are taken to mitigate the impact of the reform on such distributions. However, the efficiency and welfare gains from the reform would also be large.</w:t>
      </w:r>
    </w:p>
    <w:p w14:paraId="04B1335A" w14:textId="6DECC2EC"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 xml:space="preserve">Any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tate tax reform is likely to be implemented over an extended period, which means any GST impact would also be spread over several years. The timing of any impact on GST distributions would also be tempered by the Commonwealth Grants Commission’s (the Commission) three</w:t>
      </w:r>
      <w:r w:rsidRPr="00916CC2">
        <w:rPr>
          <w:rFonts w:ascii="Work Sans" w:eastAsia="Calibri" w:hAnsi="Work Sans" w:cs="Times New Roman"/>
          <w:spacing w:val="-10"/>
          <w:sz w:val="24"/>
          <w:szCs w:val="24"/>
        </w:rPr>
        <w:noBreakHyphen/>
        <w:t xml:space="preserve">year averaging approach to assessing </w:t>
      </w:r>
      <w:r w:rsidR="00BD6764">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tate fiscal capacities.</w:t>
      </w:r>
    </w:p>
    <w:p w14:paraId="1D0BC868" w14:textId="3388B0A3"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 xml:space="preserve">In keeping with the Commission’s principle that individual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policy choices should not unduly influence that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tate’s GST share (the policy neutrality principle), the Commission could seek to identify and mitigate any material observed impact of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tax reform on the GST distribution. This would likely involve an element of judgement. </w:t>
      </w:r>
    </w:p>
    <w:p w14:paraId="681406E9" w14:textId="461BCF0F" w:rsidR="00916CC2" w:rsidRPr="00916CC2" w:rsidRDefault="00916CC2" w:rsidP="00916CC2">
      <w:pPr>
        <w:spacing w:before="0" w:after="120" w:line="240" w:lineRule="auto"/>
        <w:jc w:val="both"/>
        <w:rPr>
          <w:rFonts w:ascii="Work Sans" w:eastAsia="Calibri" w:hAnsi="Work Sans" w:cs="Times New Roman"/>
          <w:spacing w:val="-10"/>
          <w:sz w:val="24"/>
          <w:szCs w:val="24"/>
        </w:rPr>
      </w:pPr>
      <w:r w:rsidRPr="00916CC2">
        <w:rPr>
          <w:rFonts w:ascii="Work Sans" w:eastAsia="Calibri" w:hAnsi="Work Sans" w:cs="Times New Roman"/>
          <w:spacing w:val="-10"/>
          <w:sz w:val="24"/>
          <w:szCs w:val="24"/>
        </w:rPr>
        <w:t xml:space="preserve">The terms of reference for an update (or review) of the GST distribution by the Commission would need to allow for measures to mitigate the impact of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 xml:space="preserve">tate tax reform, and the approach chosen would be determined in consultation with the Commonwealth and the </w:t>
      </w:r>
      <w:r w:rsidR="00DE7562">
        <w:rPr>
          <w:rFonts w:ascii="Work Sans" w:eastAsia="Calibri" w:hAnsi="Work Sans" w:cs="Times New Roman"/>
          <w:spacing w:val="-10"/>
          <w:sz w:val="24"/>
          <w:szCs w:val="24"/>
        </w:rPr>
        <w:t>s</w:t>
      </w:r>
      <w:r w:rsidRPr="00916CC2">
        <w:rPr>
          <w:rFonts w:ascii="Work Sans" w:eastAsia="Calibri" w:hAnsi="Work Sans" w:cs="Times New Roman"/>
          <w:spacing w:val="-10"/>
          <w:sz w:val="24"/>
          <w:szCs w:val="24"/>
        </w:rPr>
        <w:t>tates.</w:t>
      </w:r>
    </w:p>
    <w:p w14:paraId="5B913841" w14:textId="77777777" w:rsidR="00701F04" w:rsidRDefault="00701F04" w:rsidP="00F8305F">
      <w:pPr>
        <w:pStyle w:val="Heading1"/>
      </w:pPr>
      <w:r>
        <w:br w:type="page"/>
      </w:r>
    </w:p>
    <w:p w14:paraId="29B179DB" w14:textId="0ABBE74B" w:rsidR="00AD53D2" w:rsidRDefault="006E3A99" w:rsidP="00F8305F">
      <w:pPr>
        <w:pStyle w:val="Heading1"/>
      </w:pPr>
      <w:r>
        <w:lastRenderedPageBreak/>
        <w:t>Introduction</w:t>
      </w:r>
    </w:p>
    <w:p w14:paraId="6F0FADC8" w14:textId="34F74647" w:rsidR="0091458D" w:rsidRPr="0091458D" w:rsidRDefault="0091458D" w:rsidP="0091458D">
      <w:pPr>
        <w:rPr>
          <w:rFonts w:ascii="Work Sans" w:hAnsi="Work Sans"/>
          <w:sz w:val="24"/>
          <w:szCs w:val="24"/>
        </w:rPr>
      </w:pPr>
      <w:r w:rsidRPr="0091458D">
        <w:rPr>
          <w:rFonts w:ascii="Work Sans" w:hAnsi="Work Sans"/>
          <w:sz w:val="24"/>
          <w:szCs w:val="24"/>
        </w:rPr>
        <w:t xml:space="preserve">This paper canvasses whether the distribution of GST revenue among the </w:t>
      </w:r>
      <w:r w:rsidR="00530885">
        <w:rPr>
          <w:rFonts w:ascii="Work Sans" w:hAnsi="Work Sans"/>
          <w:sz w:val="24"/>
          <w:szCs w:val="24"/>
        </w:rPr>
        <w:t>s</w:t>
      </w:r>
      <w:r w:rsidRPr="0091458D">
        <w:rPr>
          <w:rFonts w:ascii="Work Sans" w:hAnsi="Work Sans"/>
          <w:sz w:val="24"/>
          <w:szCs w:val="24"/>
        </w:rPr>
        <w:t xml:space="preserve">tates, which is based on the principle of horizontal fiscal equalisation, may be an impediment to </w:t>
      </w:r>
      <w:r w:rsidR="00530885">
        <w:rPr>
          <w:rFonts w:ascii="Work Sans" w:hAnsi="Work Sans"/>
          <w:sz w:val="24"/>
          <w:szCs w:val="24"/>
        </w:rPr>
        <w:t>s</w:t>
      </w:r>
      <w:r w:rsidRPr="0091458D">
        <w:rPr>
          <w:rFonts w:ascii="Work Sans" w:hAnsi="Work Sans"/>
          <w:sz w:val="24"/>
          <w:szCs w:val="24"/>
        </w:rPr>
        <w:t xml:space="preserve">tate tax reform. Concern has been expressed that the Commission’s approach to assessing GST shares could result in a </w:t>
      </w:r>
      <w:r w:rsidR="00530885">
        <w:rPr>
          <w:rFonts w:ascii="Work Sans" w:hAnsi="Work Sans"/>
          <w:sz w:val="24"/>
          <w:szCs w:val="24"/>
        </w:rPr>
        <w:t>s</w:t>
      </w:r>
      <w:r w:rsidRPr="0091458D">
        <w:rPr>
          <w:rFonts w:ascii="Work Sans" w:hAnsi="Work Sans"/>
          <w:sz w:val="24"/>
          <w:szCs w:val="24"/>
        </w:rPr>
        <w:t>tate losing GST revenues when it undertakes productivity enhancing reforms, such as replacing stamp duty on conveyances with land tax.</w:t>
      </w:r>
      <w:r w:rsidRPr="0091458D">
        <w:rPr>
          <w:rFonts w:ascii="Work Sans" w:hAnsi="Work Sans"/>
          <w:sz w:val="24"/>
          <w:szCs w:val="24"/>
          <w:vertAlign w:val="superscript"/>
        </w:rPr>
        <w:footnoteReference w:id="2"/>
      </w:r>
    </w:p>
    <w:p w14:paraId="478AC8B8" w14:textId="00356678" w:rsidR="0091458D" w:rsidRPr="0091458D" w:rsidRDefault="0091458D" w:rsidP="0091458D">
      <w:pPr>
        <w:rPr>
          <w:rFonts w:ascii="Work Sans" w:hAnsi="Work Sans"/>
          <w:sz w:val="24"/>
          <w:szCs w:val="24"/>
        </w:rPr>
      </w:pPr>
      <w:r w:rsidRPr="0091458D">
        <w:rPr>
          <w:rFonts w:ascii="Work Sans" w:hAnsi="Work Sans"/>
          <w:sz w:val="24"/>
          <w:szCs w:val="24"/>
        </w:rPr>
        <w:t xml:space="preserve">The paper outlines the objectives of fiscal equalisation and the role of the Commission, how the Commission assesses </w:t>
      </w:r>
      <w:r w:rsidR="00530885">
        <w:rPr>
          <w:rFonts w:ascii="Work Sans" w:hAnsi="Work Sans"/>
          <w:sz w:val="24"/>
          <w:szCs w:val="24"/>
        </w:rPr>
        <w:t>s</w:t>
      </w:r>
      <w:r w:rsidRPr="0091458D">
        <w:rPr>
          <w:rFonts w:ascii="Work Sans" w:hAnsi="Work Sans"/>
          <w:sz w:val="24"/>
          <w:szCs w:val="24"/>
        </w:rPr>
        <w:t xml:space="preserve">tates’ revenue raising capacity, the possible impact of </w:t>
      </w:r>
      <w:r w:rsidR="00530885">
        <w:rPr>
          <w:rFonts w:ascii="Work Sans" w:hAnsi="Work Sans"/>
          <w:sz w:val="24"/>
          <w:szCs w:val="24"/>
        </w:rPr>
        <w:t>s</w:t>
      </w:r>
      <w:r w:rsidRPr="0091458D">
        <w:rPr>
          <w:rFonts w:ascii="Work Sans" w:hAnsi="Work Sans"/>
          <w:sz w:val="24"/>
          <w:szCs w:val="24"/>
        </w:rPr>
        <w:t xml:space="preserve">tate tax reform on such assessments, and implications for the distribution of GST. Finally, the paper considers how the Commission might respond to </w:t>
      </w:r>
      <w:r w:rsidR="00530885">
        <w:rPr>
          <w:rFonts w:ascii="Work Sans" w:hAnsi="Work Sans"/>
          <w:sz w:val="24"/>
          <w:szCs w:val="24"/>
        </w:rPr>
        <w:t>s</w:t>
      </w:r>
      <w:r w:rsidRPr="0091458D">
        <w:rPr>
          <w:rFonts w:ascii="Work Sans" w:hAnsi="Work Sans"/>
          <w:sz w:val="24"/>
          <w:szCs w:val="24"/>
        </w:rPr>
        <w:t xml:space="preserve">tate tax reform initiatives given the principle that the distribution of GST should not be affected by, or influence, individual </w:t>
      </w:r>
      <w:r w:rsidR="00530885">
        <w:rPr>
          <w:rFonts w:ascii="Work Sans" w:hAnsi="Work Sans"/>
          <w:sz w:val="24"/>
          <w:szCs w:val="24"/>
        </w:rPr>
        <w:t>s</w:t>
      </w:r>
      <w:r w:rsidRPr="0091458D">
        <w:rPr>
          <w:rFonts w:ascii="Work Sans" w:hAnsi="Work Sans"/>
          <w:sz w:val="24"/>
          <w:szCs w:val="24"/>
        </w:rPr>
        <w:t>tate policy choices.</w:t>
      </w:r>
    </w:p>
    <w:p w14:paraId="65A4E4B6" w14:textId="67965042" w:rsidR="006E3A99" w:rsidRDefault="00450068" w:rsidP="00450068">
      <w:pPr>
        <w:pStyle w:val="Heading1"/>
      </w:pPr>
      <w:r w:rsidRPr="001624CD">
        <w:t>Objective of fiscal equalisation and role of the Commission</w:t>
      </w:r>
    </w:p>
    <w:p w14:paraId="3F0E0836" w14:textId="7A2DDE63" w:rsidR="002D77E0" w:rsidRPr="002D77E0" w:rsidRDefault="002D77E0" w:rsidP="002D77E0">
      <w:pPr>
        <w:rPr>
          <w:rFonts w:ascii="Work Sans" w:hAnsi="Work Sans"/>
          <w:sz w:val="24"/>
          <w:szCs w:val="24"/>
        </w:rPr>
      </w:pPr>
      <w:r w:rsidRPr="002D77E0">
        <w:rPr>
          <w:rFonts w:ascii="Work Sans" w:hAnsi="Work Sans"/>
          <w:sz w:val="24"/>
          <w:szCs w:val="24"/>
        </w:rPr>
        <w:t xml:space="preserve">The Commission provides recommendations to the Commonwealth Treasurer for the distribution of GST revenue among the </w:t>
      </w:r>
      <w:r w:rsidR="00530885">
        <w:rPr>
          <w:rFonts w:ascii="Work Sans" w:hAnsi="Work Sans"/>
          <w:sz w:val="24"/>
          <w:szCs w:val="24"/>
        </w:rPr>
        <w:t>s</w:t>
      </w:r>
      <w:r w:rsidRPr="002D77E0">
        <w:rPr>
          <w:rFonts w:ascii="Work Sans" w:hAnsi="Work Sans"/>
          <w:sz w:val="24"/>
          <w:szCs w:val="24"/>
        </w:rPr>
        <w:t>tates based on the objective of achieving fiscal equalisation.</w:t>
      </w:r>
    </w:p>
    <w:p w14:paraId="185DDDE1" w14:textId="30706F7C" w:rsidR="002D77E0" w:rsidRPr="002D77E0" w:rsidRDefault="002D77E0" w:rsidP="002D77E0">
      <w:pPr>
        <w:rPr>
          <w:rFonts w:ascii="Work Sans" w:hAnsi="Work Sans"/>
          <w:sz w:val="24"/>
          <w:szCs w:val="24"/>
        </w:rPr>
      </w:pPr>
      <w:r w:rsidRPr="002D77E0">
        <w:rPr>
          <w:rFonts w:ascii="Work Sans" w:hAnsi="Work Sans"/>
          <w:sz w:val="24"/>
          <w:szCs w:val="24"/>
        </w:rPr>
        <w:t xml:space="preserve">Fiscal equalisation is based on the view that all Australians should have the potential to access a similar standard of </w:t>
      </w:r>
      <w:r w:rsidR="00530885">
        <w:rPr>
          <w:rFonts w:ascii="Work Sans" w:hAnsi="Work Sans"/>
          <w:sz w:val="24"/>
          <w:szCs w:val="24"/>
        </w:rPr>
        <w:t>s</w:t>
      </w:r>
      <w:r w:rsidRPr="002D77E0">
        <w:rPr>
          <w:rFonts w:ascii="Work Sans" w:hAnsi="Work Sans"/>
          <w:sz w:val="24"/>
          <w:szCs w:val="24"/>
        </w:rPr>
        <w:t xml:space="preserve">tate services. </w:t>
      </w:r>
    </w:p>
    <w:p w14:paraId="6415C78B" w14:textId="7EE31365" w:rsidR="002D77E0" w:rsidRPr="002D77E0" w:rsidRDefault="002D77E0" w:rsidP="002D77E0">
      <w:pPr>
        <w:rPr>
          <w:rFonts w:ascii="Work Sans" w:hAnsi="Work Sans"/>
          <w:sz w:val="24"/>
          <w:szCs w:val="24"/>
        </w:rPr>
      </w:pPr>
      <w:r w:rsidRPr="002D77E0">
        <w:rPr>
          <w:rFonts w:ascii="Work Sans" w:hAnsi="Work Sans"/>
          <w:sz w:val="24"/>
          <w:szCs w:val="24"/>
        </w:rPr>
        <w:t xml:space="preserve">The Commission assesses the fiscal capacities of each </w:t>
      </w:r>
      <w:r w:rsidR="00530885">
        <w:rPr>
          <w:rFonts w:ascii="Work Sans" w:hAnsi="Work Sans"/>
          <w:sz w:val="24"/>
          <w:szCs w:val="24"/>
        </w:rPr>
        <w:t>s</w:t>
      </w:r>
      <w:r w:rsidRPr="002D77E0">
        <w:rPr>
          <w:rFonts w:ascii="Work Sans" w:hAnsi="Work Sans"/>
          <w:sz w:val="24"/>
          <w:szCs w:val="24"/>
        </w:rPr>
        <w:t xml:space="preserve">tate based on the average spending and revenue effort of all </w:t>
      </w:r>
      <w:r w:rsidR="002D7BC8">
        <w:rPr>
          <w:rFonts w:ascii="Work Sans" w:hAnsi="Work Sans"/>
          <w:sz w:val="24"/>
          <w:szCs w:val="24"/>
        </w:rPr>
        <w:t>s</w:t>
      </w:r>
      <w:r w:rsidRPr="002D77E0">
        <w:rPr>
          <w:rFonts w:ascii="Work Sans" w:hAnsi="Work Sans"/>
          <w:sz w:val="24"/>
          <w:szCs w:val="24"/>
        </w:rPr>
        <w:t xml:space="preserve">tates. It assesses the extent to which there are circumstances outside the control of a </w:t>
      </w:r>
      <w:r w:rsidR="002D7BC8">
        <w:rPr>
          <w:rFonts w:ascii="Work Sans" w:hAnsi="Work Sans"/>
          <w:sz w:val="24"/>
          <w:szCs w:val="24"/>
        </w:rPr>
        <w:t>s</w:t>
      </w:r>
      <w:r w:rsidRPr="002D77E0">
        <w:rPr>
          <w:rFonts w:ascii="Work Sans" w:hAnsi="Work Sans"/>
          <w:sz w:val="24"/>
          <w:szCs w:val="24"/>
        </w:rPr>
        <w:t xml:space="preserve">tate that affect its capacity to raise revenue or the cost of providing services. Based on these assessments, the recommended distribution of GST revenue seeks to equalise the fiscal capacity of the </w:t>
      </w:r>
      <w:r w:rsidR="00530885">
        <w:rPr>
          <w:rFonts w:ascii="Work Sans" w:hAnsi="Work Sans"/>
          <w:sz w:val="24"/>
          <w:szCs w:val="24"/>
        </w:rPr>
        <w:t>s</w:t>
      </w:r>
      <w:r w:rsidRPr="002D77E0">
        <w:rPr>
          <w:rFonts w:ascii="Work Sans" w:hAnsi="Work Sans"/>
          <w:sz w:val="24"/>
          <w:szCs w:val="24"/>
        </w:rPr>
        <w:t>tates.</w:t>
      </w:r>
    </w:p>
    <w:p w14:paraId="3295124A" w14:textId="402D6E33" w:rsidR="002D77E0" w:rsidRPr="002D77E0" w:rsidRDefault="002D77E0" w:rsidP="002D77E0">
      <w:pPr>
        <w:rPr>
          <w:rFonts w:ascii="Work Sans" w:hAnsi="Work Sans"/>
          <w:sz w:val="24"/>
          <w:szCs w:val="24"/>
        </w:rPr>
      </w:pPr>
      <w:r w:rsidRPr="002D77E0">
        <w:rPr>
          <w:rFonts w:ascii="Work Sans" w:hAnsi="Work Sans"/>
          <w:sz w:val="24"/>
          <w:szCs w:val="24"/>
        </w:rPr>
        <w:t xml:space="preserve">Underlying the Commission’s approach is the principle of ‘policy neutrality’, which aims to ensure that the assessment of a </w:t>
      </w:r>
      <w:r w:rsidR="002D7BC8">
        <w:rPr>
          <w:rFonts w:ascii="Work Sans" w:hAnsi="Work Sans"/>
          <w:sz w:val="24"/>
          <w:szCs w:val="24"/>
        </w:rPr>
        <w:t>s</w:t>
      </w:r>
      <w:r w:rsidRPr="002D77E0">
        <w:rPr>
          <w:rFonts w:ascii="Work Sans" w:hAnsi="Work Sans"/>
          <w:sz w:val="24"/>
          <w:szCs w:val="24"/>
        </w:rPr>
        <w:t xml:space="preserve">tate’s GST requirement is not affected by, and does not influence, individual </w:t>
      </w:r>
      <w:r w:rsidR="002D7BC8">
        <w:rPr>
          <w:rFonts w:ascii="Work Sans" w:hAnsi="Work Sans"/>
          <w:sz w:val="24"/>
          <w:szCs w:val="24"/>
        </w:rPr>
        <w:t>s</w:t>
      </w:r>
      <w:r w:rsidRPr="002D77E0">
        <w:rPr>
          <w:rFonts w:ascii="Work Sans" w:hAnsi="Work Sans"/>
          <w:sz w:val="24"/>
          <w:szCs w:val="24"/>
        </w:rPr>
        <w:t>tate policy choices, such as changes to its tax mix</w:t>
      </w:r>
      <w:bookmarkStart w:id="0" w:name="_Toc53510016"/>
      <w:bookmarkStart w:id="1" w:name="_Toc106707728"/>
      <w:bookmarkStart w:id="2" w:name="_Toc155675938"/>
      <w:bookmarkStart w:id="3" w:name="_Toc174415773"/>
      <w:bookmarkStart w:id="4" w:name="_Toc174415847"/>
      <w:bookmarkStart w:id="5" w:name="_Toc174415938"/>
      <w:bookmarkStart w:id="6" w:name="_Toc174416623"/>
      <w:bookmarkStart w:id="7" w:name="_Toc174416665"/>
      <w:bookmarkStart w:id="8" w:name="_Toc174416678"/>
      <w:bookmarkStart w:id="9" w:name="_Toc65572120"/>
      <w:bookmarkStart w:id="10" w:name="_Toc65656958"/>
      <w:r w:rsidRPr="002D77E0">
        <w:rPr>
          <w:rFonts w:ascii="Work Sans" w:hAnsi="Work Sans"/>
          <w:sz w:val="24"/>
          <w:szCs w:val="24"/>
        </w:rPr>
        <w:t xml:space="preserve">. </w:t>
      </w:r>
      <w:bookmarkEnd w:id="0"/>
      <w:bookmarkEnd w:id="1"/>
      <w:bookmarkEnd w:id="2"/>
      <w:bookmarkEnd w:id="3"/>
      <w:bookmarkEnd w:id="4"/>
      <w:bookmarkEnd w:id="5"/>
      <w:bookmarkEnd w:id="6"/>
      <w:bookmarkEnd w:id="7"/>
      <w:bookmarkEnd w:id="8"/>
      <w:bookmarkEnd w:id="9"/>
      <w:bookmarkEnd w:id="10"/>
      <w:r w:rsidRPr="002D77E0">
        <w:rPr>
          <w:rFonts w:ascii="Work Sans" w:hAnsi="Work Sans"/>
          <w:sz w:val="24"/>
          <w:szCs w:val="24"/>
        </w:rPr>
        <w:t xml:space="preserve"> </w:t>
      </w:r>
    </w:p>
    <w:p w14:paraId="0B6CBD4C" w14:textId="07A329A9" w:rsidR="007C094E" w:rsidRDefault="007C094E" w:rsidP="001938B1">
      <w:pPr>
        <w:pStyle w:val="Heading2"/>
        <w:keepNext/>
      </w:pPr>
      <w:r w:rsidRPr="00D903FE">
        <w:lastRenderedPageBreak/>
        <w:t xml:space="preserve">How the Commission assesses </w:t>
      </w:r>
      <w:r w:rsidR="00021947">
        <w:t>s</w:t>
      </w:r>
      <w:r w:rsidRPr="00D903FE">
        <w:t>tate revenue capacity</w:t>
      </w:r>
    </w:p>
    <w:p w14:paraId="14A39575" w14:textId="5085E6AB" w:rsidR="00035FB4" w:rsidRPr="00035FB4" w:rsidRDefault="00035FB4" w:rsidP="00035FB4">
      <w:pPr>
        <w:rPr>
          <w:rFonts w:ascii="Work Sans" w:hAnsi="Work Sans"/>
          <w:sz w:val="24"/>
          <w:szCs w:val="24"/>
        </w:rPr>
      </w:pPr>
      <w:r w:rsidRPr="00035FB4">
        <w:rPr>
          <w:rFonts w:ascii="Work Sans" w:hAnsi="Work Sans"/>
          <w:sz w:val="24"/>
          <w:szCs w:val="24"/>
        </w:rPr>
        <w:t xml:space="preserve">In assessing </w:t>
      </w:r>
      <w:r w:rsidR="002D7BC8">
        <w:rPr>
          <w:rFonts w:ascii="Work Sans" w:hAnsi="Work Sans"/>
          <w:sz w:val="24"/>
          <w:szCs w:val="24"/>
        </w:rPr>
        <w:t>s</w:t>
      </w:r>
      <w:r w:rsidRPr="00035FB4">
        <w:rPr>
          <w:rFonts w:ascii="Work Sans" w:hAnsi="Work Sans"/>
          <w:sz w:val="24"/>
          <w:szCs w:val="24"/>
        </w:rPr>
        <w:t xml:space="preserve">tate revenue raising capacity, the Commission calculates the amount of revenue each </w:t>
      </w:r>
      <w:r w:rsidR="002D7BC8">
        <w:rPr>
          <w:rFonts w:ascii="Work Sans" w:hAnsi="Work Sans"/>
          <w:sz w:val="24"/>
          <w:szCs w:val="24"/>
        </w:rPr>
        <w:t>s</w:t>
      </w:r>
      <w:r w:rsidRPr="00035FB4">
        <w:rPr>
          <w:rFonts w:ascii="Work Sans" w:hAnsi="Work Sans"/>
          <w:sz w:val="24"/>
          <w:szCs w:val="24"/>
        </w:rPr>
        <w:t xml:space="preserve">tate would collect if it were to apply the average tax rate of all </w:t>
      </w:r>
      <w:r w:rsidR="002D7BC8">
        <w:rPr>
          <w:rFonts w:ascii="Work Sans" w:hAnsi="Work Sans"/>
          <w:sz w:val="24"/>
          <w:szCs w:val="24"/>
        </w:rPr>
        <w:t>s</w:t>
      </w:r>
      <w:r w:rsidRPr="00035FB4">
        <w:rPr>
          <w:rFonts w:ascii="Work Sans" w:hAnsi="Work Sans"/>
          <w:sz w:val="24"/>
          <w:szCs w:val="24"/>
        </w:rPr>
        <w:t>tates to the major tax bases (after adjustments to improve comparability).</w:t>
      </w:r>
      <w:r w:rsidRPr="00035FB4">
        <w:rPr>
          <w:rFonts w:ascii="Work Sans" w:hAnsi="Work Sans"/>
          <w:sz w:val="24"/>
          <w:szCs w:val="24"/>
          <w:vertAlign w:val="superscript"/>
        </w:rPr>
        <w:footnoteReference w:id="3"/>
      </w:r>
      <w:r w:rsidRPr="00035FB4">
        <w:rPr>
          <w:rFonts w:ascii="Work Sans" w:hAnsi="Work Sans"/>
          <w:sz w:val="24"/>
          <w:szCs w:val="24"/>
        </w:rPr>
        <w:t xml:space="preserve">  </w:t>
      </w:r>
    </w:p>
    <w:p w14:paraId="62A96778" w14:textId="5AA42A76" w:rsidR="00035FB4" w:rsidRPr="00035FB4" w:rsidRDefault="00035FB4" w:rsidP="00035FB4">
      <w:pPr>
        <w:rPr>
          <w:rFonts w:ascii="Work Sans" w:hAnsi="Work Sans"/>
          <w:sz w:val="24"/>
          <w:szCs w:val="24"/>
        </w:rPr>
      </w:pPr>
      <w:r w:rsidRPr="00035FB4">
        <w:rPr>
          <w:rFonts w:ascii="Work Sans" w:hAnsi="Work Sans"/>
          <w:sz w:val="24"/>
          <w:szCs w:val="24"/>
        </w:rPr>
        <w:t>For example, in the case of stamp duty on conveyances, the tax base assessed by the Commission is the value of property sales. After adjustments for comparability</w:t>
      </w:r>
      <w:r w:rsidRPr="00035FB4">
        <w:rPr>
          <w:rFonts w:ascii="Work Sans" w:hAnsi="Work Sans"/>
          <w:sz w:val="24"/>
          <w:szCs w:val="24"/>
          <w:vertAlign w:val="superscript"/>
        </w:rPr>
        <w:footnoteReference w:id="4"/>
      </w:r>
      <w:r w:rsidRPr="00035FB4">
        <w:rPr>
          <w:rFonts w:ascii="Work Sans" w:hAnsi="Work Sans"/>
          <w:sz w:val="24"/>
          <w:szCs w:val="24"/>
        </w:rPr>
        <w:t xml:space="preserve">, the average tax rate (calculated as national stamp duty revenue divided by the national value of property sales) is applied to each </w:t>
      </w:r>
      <w:r w:rsidR="002D7BC8">
        <w:rPr>
          <w:rFonts w:ascii="Work Sans" w:hAnsi="Work Sans"/>
          <w:sz w:val="24"/>
          <w:szCs w:val="24"/>
        </w:rPr>
        <w:t>s</w:t>
      </w:r>
      <w:r w:rsidRPr="00035FB4">
        <w:rPr>
          <w:rFonts w:ascii="Work Sans" w:hAnsi="Work Sans"/>
          <w:sz w:val="24"/>
          <w:szCs w:val="24"/>
        </w:rPr>
        <w:t>tate’s value of property sales to assess its revenue raising capacity for that tax.</w:t>
      </w:r>
      <w:r w:rsidRPr="00035FB4">
        <w:rPr>
          <w:rFonts w:ascii="Work Sans" w:hAnsi="Work Sans"/>
          <w:sz w:val="24"/>
          <w:szCs w:val="24"/>
          <w:vertAlign w:val="superscript"/>
        </w:rPr>
        <w:footnoteReference w:id="5"/>
      </w:r>
      <w:r w:rsidRPr="00035FB4">
        <w:rPr>
          <w:rFonts w:ascii="Work Sans" w:hAnsi="Work Sans"/>
          <w:sz w:val="24"/>
          <w:szCs w:val="24"/>
        </w:rPr>
        <w:t xml:space="preserve"> </w:t>
      </w:r>
    </w:p>
    <w:p w14:paraId="17F348C1" w14:textId="57F7CAA1" w:rsidR="00035FB4" w:rsidRPr="00035FB4" w:rsidRDefault="00035FB4" w:rsidP="00035FB4">
      <w:pPr>
        <w:rPr>
          <w:rFonts w:ascii="Work Sans" w:hAnsi="Work Sans"/>
          <w:sz w:val="24"/>
          <w:szCs w:val="24"/>
        </w:rPr>
      </w:pPr>
      <w:r w:rsidRPr="00035FB4">
        <w:rPr>
          <w:rFonts w:ascii="Work Sans" w:hAnsi="Work Sans"/>
          <w:sz w:val="24"/>
          <w:szCs w:val="24"/>
        </w:rPr>
        <w:t xml:space="preserve">The Commission’s approach to assessing the revenue raising capacity of a </w:t>
      </w:r>
      <w:r w:rsidR="002D7BC8">
        <w:rPr>
          <w:rFonts w:ascii="Work Sans" w:hAnsi="Work Sans"/>
          <w:sz w:val="24"/>
          <w:szCs w:val="24"/>
        </w:rPr>
        <w:t>s</w:t>
      </w:r>
      <w:r w:rsidRPr="00035FB4">
        <w:rPr>
          <w:rFonts w:ascii="Work Sans" w:hAnsi="Work Sans"/>
          <w:sz w:val="24"/>
          <w:szCs w:val="24"/>
        </w:rPr>
        <w:t xml:space="preserve">tate does not make allowance for how a </w:t>
      </w:r>
      <w:r w:rsidR="002D7BC8">
        <w:rPr>
          <w:rFonts w:ascii="Work Sans" w:hAnsi="Work Sans"/>
          <w:sz w:val="24"/>
          <w:szCs w:val="24"/>
        </w:rPr>
        <w:t>s</w:t>
      </w:r>
      <w:r w:rsidRPr="00035FB4">
        <w:rPr>
          <w:rFonts w:ascii="Work Sans" w:hAnsi="Work Sans"/>
          <w:sz w:val="24"/>
          <w:szCs w:val="24"/>
        </w:rPr>
        <w:t>tate’s tax base may change if it were to apply a different tax rate — such as the average tax rate. This is the elasticity effect — the extent to which changes in tax rates affect economic activity and, in turn, tax bases. For instance, a reduction in stamp duty on conveyances could result in an increase in property sales.</w:t>
      </w:r>
    </w:p>
    <w:p w14:paraId="6B3AC5A3" w14:textId="77777777" w:rsidR="00035FB4" w:rsidRPr="00035FB4" w:rsidDel="0076741C" w:rsidRDefault="00035FB4" w:rsidP="00035FB4">
      <w:pPr>
        <w:rPr>
          <w:rFonts w:ascii="Work Sans" w:hAnsi="Work Sans"/>
          <w:sz w:val="24"/>
          <w:szCs w:val="24"/>
        </w:rPr>
      </w:pPr>
      <w:r w:rsidRPr="00035FB4">
        <w:rPr>
          <w:rFonts w:ascii="Work Sans" w:hAnsi="Work Sans"/>
          <w:sz w:val="24"/>
          <w:szCs w:val="24"/>
        </w:rPr>
        <w:t>In 2018, t</w:t>
      </w:r>
      <w:r w:rsidRPr="00035FB4" w:rsidDel="0076741C">
        <w:rPr>
          <w:rFonts w:ascii="Work Sans" w:hAnsi="Work Sans"/>
          <w:sz w:val="24"/>
          <w:szCs w:val="24"/>
        </w:rPr>
        <w:t xml:space="preserve">he Commission engaged consultants to provide estimates of the size of elasticity effects for each revenue base </w:t>
      </w:r>
      <w:r w:rsidRPr="00035FB4">
        <w:rPr>
          <w:rFonts w:ascii="Work Sans" w:hAnsi="Work Sans"/>
          <w:sz w:val="24"/>
          <w:szCs w:val="24"/>
        </w:rPr>
        <w:t xml:space="preserve">it </w:t>
      </w:r>
      <w:r w:rsidRPr="00035FB4" w:rsidDel="0076741C">
        <w:rPr>
          <w:rFonts w:ascii="Work Sans" w:hAnsi="Work Sans"/>
          <w:sz w:val="24"/>
          <w:szCs w:val="24"/>
        </w:rPr>
        <w:t>assesse</w:t>
      </w:r>
      <w:r w:rsidRPr="00035FB4">
        <w:rPr>
          <w:rFonts w:ascii="Work Sans" w:hAnsi="Work Sans"/>
          <w:sz w:val="24"/>
          <w:szCs w:val="24"/>
        </w:rPr>
        <w:t>s</w:t>
      </w:r>
      <w:r w:rsidRPr="00035FB4" w:rsidDel="0076741C">
        <w:rPr>
          <w:rFonts w:ascii="Work Sans" w:hAnsi="Work Sans"/>
          <w:sz w:val="24"/>
          <w:szCs w:val="24"/>
        </w:rPr>
        <w:t xml:space="preserve">. The </w:t>
      </w:r>
      <w:r w:rsidRPr="00035FB4">
        <w:rPr>
          <w:rFonts w:ascii="Work Sans" w:hAnsi="Work Sans"/>
          <w:sz w:val="24"/>
          <w:szCs w:val="24"/>
        </w:rPr>
        <w:t>result of this research</w:t>
      </w:r>
      <w:r w:rsidRPr="00035FB4" w:rsidDel="0076741C">
        <w:rPr>
          <w:rFonts w:ascii="Work Sans" w:hAnsi="Work Sans"/>
          <w:sz w:val="24"/>
          <w:szCs w:val="24"/>
        </w:rPr>
        <w:t xml:space="preserve"> suggested elasticity effects were very small for all but one tax base (stamp dut</w:t>
      </w:r>
      <w:r w:rsidRPr="00035FB4">
        <w:rPr>
          <w:rFonts w:ascii="Work Sans" w:hAnsi="Work Sans"/>
          <w:sz w:val="24"/>
          <w:szCs w:val="24"/>
        </w:rPr>
        <w:t>y</w:t>
      </w:r>
      <w:r w:rsidRPr="00035FB4" w:rsidDel="0076741C">
        <w:rPr>
          <w:rFonts w:ascii="Work Sans" w:hAnsi="Work Sans"/>
          <w:sz w:val="24"/>
          <w:szCs w:val="24"/>
        </w:rPr>
        <w:t xml:space="preserve"> on conveyances). Even in this case the effects </w:t>
      </w:r>
      <w:r w:rsidRPr="00035FB4">
        <w:rPr>
          <w:rFonts w:ascii="Work Sans" w:hAnsi="Work Sans"/>
          <w:sz w:val="24"/>
          <w:szCs w:val="24"/>
        </w:rPr>
        <w:t xml:space="preserve">were difficult to estimate reliably. </w:t>
      </w:r>
      <w:r w:rsidRPr="00035FB4" w:rsidDel="0076741C">
        <w:rPr>
          <w:rFonts w:ascii="Work Sans" w:hAnsi="Work Sans"/>
          <w:sz w:val="24"/>
          <w:szCs w:val="24"/>
        </w:rPr>
        <w:t xml:space="preserve">Largely on this basis, the Commission </w:t>
      </w:r>
      <w:r w:rsidRPr="00035FB4">
        <w:rPr>
          <w:rFonts w:ascii="Work Sans" w:hAnsi="Work Sans"/>
          <w:sz w:val="24"/>
          <w:szCs w:val="24"/>
        </w:rPr>
        <w:t xml:space="preserve">has </w:t>
      </w:r>
      <w:r w:rsidRPr="00035FB4" w:rsidDel="0076741C">
        <w:rPr>
          <w:rFonts w:ascii="Work Sans" w:hAnsi="Work Sans"/>
          <w:sz w:val="24"/>
          <w:szCs w:val="24"/>
        </w:rPr>
        <w:t xml:space="preserve">not </w:t>
      </w:r>
      <w:r w:rsidRPr="00035FB4">
        <w:rPr>
          <w:rFonts w:ascii="Work Sans" w:hAnsi="Work Sans"/>
          <w:sz w:val="24"/>
          <w:szCs w:val="24"/>
        </w:rPr>
        <w:t xml:space="preserve">incorporated </w:t>
      </w:r>
      <w:r w:rsidRPr="00035FB4" w:rsidDel="0076741C">
        <w:rPr>
          <w:rFonts w:ascii="Work Sans" w:hAnsi="Work Sans"/>
          <w:sz w:val="24"/>
          <w:szCs w:val="24"/>
        </w:rPr>
        <w:t>elasticity adjustments</w:t>
      </w:r>
      <w:r w:rsidRPr="00035FB4">
        <w:rPr>
          <w:rFonts w:ascii="Work Sans" w:hAnsi="Work Sans"/>
          <w:sz w:val="24"/>
          <w:szCs w:val="24"/>
        </w:rPr>
        <w:t xml:space="preserve"> in its revenue assessments</w:t>
      </w:r>
      <w:r w:rsidRPr="00035FB4" w:rsidDel="0076741C">
        <w:rPr>
          <w:rFonts w:ascii="Work Sans" w:hAnsi="Work Sans"/>
          <w:sz w:val="24"/>
          <w:szCs w:val="24"/>
        </w:rPr>
        <w:t>.</w:t>
      </w:r>
    </w:p>
    <w:p w14:paraId="273C1644" w14:textId="7CB3AE6C" w:rsidR="007B6002" w:rsidRDefault="007B6002" w:rsidP="007B6002">
      <w:pPr>
        <w:pStyle w:val="Heading2"/>
      </w:pPr>
      <w:r w:rsidRPr="00E02D92">
        <w:t xml:space="preserve">Interaction between </w:t>
      </w:r>
      <w:r w:rsidR="00D92B20">
        <w:t>s</w:t>
      </w:r>
      <w:r w:rsidRPr="00E02D92">
        <w:t>tate tax reform and GST distribution</w:t>
      </w:r>
    </w:p>
    <w:p w14:paraId="4CDDE7FD" w14:textId="2960FE02" w:rsidR="00E2763F" w:rsidRPr="00E2763F" w:rsidRDefault="00E2763F" w:rsidP="00E2763F">
      <w:pPr>
        <w:rPr>
          <w:rFonts w:ascii="Work Sans" w:hAnsi="Work Sans"/>
          <w:sz w:val="24"/>
          <w:szCs w:val="24"/>
        </w:rPr>
      </w:pPr>
      <w:r w:rsidRPr="00E2763F">
        <w:rPr>
          <w:rFonts w:ascii="Work Sans" w:hAnsi="Work Sans"/>
          <w:sz w:val="24"/>
          <w:szCs w:val="24"/>
        </w:rPr>
        <w:t xml:space="preserve">State tax reforms often involve changes to the overall </w:t>
      </w:r>
      <w:r w:rsidR="00D92B20">
        <w:rPr>
          <w:rFonts w:ascii="Work Sans" w:hAnsi="Work Sans"/>
          <w:sz w:val="24"/>
          <w:szCs w:val="24"/>
        </w:rPr>
        <w:t>s</w:t>
      </w:r>
      <w:r w:rsidRPr="00E2763F">
        <w:rPr>
          <w:rFonts w:ascii="Work Sans" w:hAnsi="Work Sans"/>
          <w:sz w:val="24"/>
          <w:szCs w:val="24"/>
        </w:rPr>
        <w:t xml:space="preserve">tate tax mix (that is, the relative importance of each tax base). Changes to the tax mix will affect GST distribution to some degree. Tax rate changes by themselves generally have small GST effects. </w:t>
      </w:r>
    </w:p>
    <w:p w14:paraId="7819A5C1" w14:textId="32A86F59" w:rsidR="00E2763F" w:rsidRPr="00E2763F" w:rsidRDefault="00E2763F" w:rsidP="00E2763F">
      <w:pPr>
        <w:rPr>
          <w:rFonts w:ascii="Work Sans" w:hAnsi="Work Sans"/>
          <w:sz w:val="24"/>
          <w:szCs w:val="24"/>
        </w:rPr>
      </w:pPr>
      <w:r w:rsidRPr="00E2763F">
        <w:rPr>
          <w:rFonts w:ascii="Work Sans" w:hAnsi="Work Sans"/>
          <w:sz w:val="24"/>
          <w:szCs w:val="24"/>
        </w:rPr>
        <w:lastRenderedPageBreak/>
        <w:t xml:space="preserve">The effects can be positive for some </w:t>
      </w:r>
      <w:r w:rsidR="007C7618">
        <w:rPr>
          <w:rFonts w:ascii="Work Sans" w:hAnsi="Work Sans"/>
          <w:sz w:val="24"/>
          <w:szCs w:val="24"/>
        </w:rPr>
        <w:t>s</w:t>
      </w:r>
      <w:r w:rsidRPr="00E2763F">
        <w:rPr>
          <w:rFonts w:ascii="Work Sans" w:hAnsi="Work Sans"/>
          <w:sz w:val="24"/>
          <w:szCs w:val="24"/>
        </w:rPr>
        <w:t xml:space="preserve">tates and negative for others, depending on each </w:t>
      </w:r>
      <w:r w:rsidR="009C308D">
        <w:rPr>
          <w:rFonts w:ascii="Work Sans" w:hAnsi="Work Sans"/>
          <w:sz w:val="24"/>
          <w:szCs w:val="24"/>
        </w:rPr>
        <w:t>s</w:t>
      </w:r>
      <w:r w:rsidRPr="00E2763F">
        <w:rPr>
          <w:rFonts w:ascii="Work Sans" w:hAnsi="Work Sans"/>
          <w:sz w:val="24"/>
          <w:szCs w:val="24"/>
        </w:rPr>
        <w:t xml:space="preserve">tate’s share of the corresponding national tax base. The largest effects are likely to arise from changes to tax bases in response to changes in tax rates, that is from the elasticity effects.  </w:t>
      </w:r>
    </w:p>
    <w:p w14:paraId="5E30E6C4" w14:textId="77777777" w:rsidR="00ED34B0" w:rsidRPr="002A049F" w:rsidRDefault="00ED34B0" w:rsidP="00ED34B0">
      <w:pPr>
        <w:pStyle w:val="Heading3"/>
      </w:pPr>
      <w:r w:rsidRPr="002A049F">
        <w:t>Tax rate effects</w:t>
      </w:r>
    </w:p>
    <w:p w14:paraId="1511E850" w14:textId="55A73D2A" w:rsidR="00ED34B0" w:rsidRPr="00ED34B0" w:rsidRDefault="00ED34B0" w:rsidP="00ED34B0">
      <w:pPr>
        <w:rPr>
          <w:rFonts w:ascii="Work Sans" w:hAnsi="Work Sans"/>
          <w:sz w:val="24"/>
          <w:szCs w:val="24"/>
        </w:rPr>
      </w:pPr>
      <w:r w:rsidRPr="00ED34B0">
        <w:rPr>
          <w:rFonts w:ascii="Work Sans" w:hAnsi="Work Sans"/>
          <w:sz w:val="24"/>
          <w:szCs w:val="24"/>
        </w:rPr>
        <w:t xml:space="preserve">A policy change that changes a </w:t>
      </w:r>
      <w:r w:rsidR="007C7618">
        <w:rPr>
          <w:rFonts w:ascii="Work Sans" w:hAnsi="Work Sans"/>
          <w:sz w:val="24"/>
          <w:szCs w:val="24"/>
        </w:rPr>
        <w:t>s</w:t>
      </w:r>
      <w:r w:rsidRPr="00ED34B0">
        <w:rPr>
          <w:rFonts w:ascii="Work Sans" w:hAnsi="Work Sans"/>
          <w:sz w:val="24"/>
          <w:szCs w:val="24"/>
        </w:rPr>
        <w:t xml:space="preserve">tate’s tax rate affects the assessment of the </w:t>
      </w:r>
      <w:r w:rsidR="00F7169B">
        <w:rPr>
          <w:rFonts w:ascii="Work Sans" w:hAnsi="Work Sans"/>
          <w:sz w:val="24"/>
          <w:szCs w:val="24"/>
        </w:rPr>
        <w:t>s</w:t>
      </w:r>
      <w:r w:rsidRPr="00ED34B0">
        <w:rPr>
          <w:rFonts w:ascii="Work Sans" w:hAnsi="Work Sans"/>
          <w:sz w:val="24"/>
          <w:szCs w:val="24"/>
        </w:rPr>
        <w:t xml:space="preserve">tate’s revenue capacity by changing the national average rate. </w:t>
      </w:r>
    </w:p>
    <w:p w14:paraId="6B0A093F" w14:textId="0C9B2A75" w:rsidR="00ED34B0" w:rsidRPr="00ED34B0" w:rsidRDefault="00ED34B0" w:rsidP="00ED34B0">
      <w:pPr>
        <w:rPr>
          <w:rFonts w:ascii="Work Sans" w:hAnsi="Work Sans"/>
          <w:sz w:val="24"/>
          <w:szCs w:val="24"/>
        </w:rPr>
      </w:pPr>
      <w:r w:rsidRPr="00ED34B0">
        <w:rPr>
          <w:rFonts w:ascii="Work Sans" w:hAnsi="Work Sans"/>
          <w:sz w:val="24"/>
          <w:szCs w:val="24"/>
        </w:rPr>
        <w:t xml:space="preserve">If a </w:t>
      </w:r>
      <w:r w:rsidR="007C7618">
        <w:rPr>
          <w:rFonts w:ascii="Work Sans" w:hAnsi="Work Sans"/>
          <w:sz w:val="24"/>
          <w:szCs w:val="24"/>
        </w:rPr>
        <w:t>s</w:t>
      </w:r>
      <w:r w:rsidRPr="00ED34B0">
        <w:rPr>
          <w:rFonts w:ascii="Work Sans" w:hAnsi="Work Sans"/>
          <w:sz w:val="24"/>
          <w:szCs w:val="24"/>
        </w:rPr>
        <w:t xml:space="preserve">tate increases its tax rate, it will increase the national average rate, increasing the assessed revenue raising capacity of </w:t>
      </w:r>
      <w:r w:rsidR="007C7618">
        <w:rPr>
          <w:rFonts w:ascii="Work Sans" w:hAnsi="Work Sans"/>
          <w:sz w:val="24"/>
          <w:szCs w:val="24"/>
        </w:rPr>
        <w:t>s</w:t>
      </w:r>
      <w:r w:rsidRPr="00ED34B0">
        <w:rPr>
          <w:rFonts w:ascii="Work Sans" w:hAnsi="Work Sans"/>
          <w:sz w:val="24"/>
          <w:szCs w:val="24"/>
        </w:rPr>
        <w:t xml:space="preserve">tates with a relatively large share of the tax base and reducing their assessed GST requirement. Conversely, this reduces the revenue raising capacity of </w:t>
      </w:r>
      <w:r w:rsidR="007C7618">
        <w:rPr>
          <w:rFonts w:ascii="Work Sans" w:hAnsi="Work Sans"/>
          <w:sz w:val="24"/>
          <w:szCs w:val="24"/>
        </w:rPr>
        <w:t>s</w:t>
      </w:r>
      <w:r w:rsidRPr="00ED34B0">
        <w:rPr>
          <w:rFonts w:ascii="Work Sans" w:hAnsi="Work Sans"/>
          <w:sz w:val="24"/>
          <w:szCs w:val="24"/>
        </w:rPr>
        <w:t xml:space="preserve">tates with a relatively low share of the tax base and increases their assessed GST requirements. There are opposite effects if a </w:t>
      </w:r>
      <w:r w:rsidR="006B3DF2">
        <w:rPr>
          <w:rFonts w:ascii="Work Sans" w:hAnsi="Work Sans"/>
          <w:sz w:val="24"/>
          <w:szCs w:val="24"/>
        </w:rPr>
        <w:t>s</w:t>
      </w:r>
      <w:r w:rsidRPr="00ED34B0">
        <w:rPr>
          <w:rFonts w:ascii="Work Sans" w:hAnsi="Work Sans"/>
          <w:sz w:val="24"/>
          <w:szCs w:val="24"/>
        </w:rPr>
        <w:t>tate decreases its tax rate.</w:t>
      </w:r>
    </w:p>
    <w:p w14:paraId="7B119AF6" w14:textId="1905088A" w:rsidR="00ED34B0" w:rsidRPr="00ED34B0" w:rsidRDefault="00ED34B0" w:rsidP="00ED34B0">
      <w:pPr>
        <w:rPr>
          <w:rFonts w:ascii="Work Sans" w:hAnsi="Work Sans"/>
          <w:sz w:val="24"/>
          <w:szCs w:val="24"/>
        </w:rPr>
      </w:pPr>
      <w:r w:rsidRPr="00ED34B0">
        <w:rPr>
          <w:rFonts w:ascii="Work Sans" w:hAnsi="Work Sans"/>
          <w:sz w:val="24"/>
          <w:szCs w:val="24"/>
        </w:rPr>
        <w:t xml:space="preserve">Except for mining royalties (especially iron ore), the effect of tax rate changes by themselves on GST distributions is relatively small, as no </w:t>
      </w:r>
      <w:r w:rsidR="007134CB">
        <w:rPr>
          <w:rFonts w:ascii="Work Sans" w:hAnsi="Work Sans"/>
          <w:sz w:val="24"/>
          <w:szCs w:val="24"/>
        </w:rPr>
        <w:t>s</w:t>
      </w:r>
      <w:r w:rsidRPr="00ED34B0">
        <w:rPr>
          <w:rFonts w:ascii="Work Sans" w:hAnsi="Work Sans"/>
          <w:sz w:val="24"/>
          <w:szCs w:val="24"/>
        </w:rPr>
        <w:t xml:space="preserve">tate is dominant in any given tax base. </w:t>
      </w:r>
    </w:p>
    <w:p w14:paraId="6D72D0EA" w14:textId="27F1B427" w:rsidR="00ED34B0" w:rsidRPr="00ED34B0" w:rsidRDefault="00ED34B0" w:rsidP="00ED34B0">
      <w:pPr>
        <w:rPr>
          <w:rFonts w:ascii="Work Sans" w:hAnsi="Work Sans"/>
          <w:sz w:val="24"/>
          <w:szCs w:val="24"/>
        </w:rPr>
      </w:pPr>
      <w:r w:rsidRPr="00ED34B0">
        <w:rPr>
          <w:rFonts w:ascii="Work Sans" w:hAnsi="Work Sans"/>
          <w:sz w:val="24"/>
          <w:szCs w:val="24"/>
        </w:rPr>
        <w:t xml:space="preserve">Mining royalties differ from other </w:t>
      </w:r>
      <w:r w:rsidR="007C7618">
        <w:rPr>
          <w:rFonts w:ascii="Work Sans" w:hAnsi="Work Sans"/>
          <w:sz w:val="24"/>
          <w:szCs w:val="24"/>
        </w:rPr>
        <w:t>s</w:t>
      </w:r>
      <w:r w:rsidRPr="00ED34B0">
        <w:rPr>
          <w:rFonts w:ascii="Work Sans" w:hAnsi="Work Sans"/>
          <w:sz w:val="24"/>
          <w:szCs w:val="24"/>
        </w:rPr>
        <w:t xml:space="preserve">tate taxes because the distribution of mineral resources (and therefore a </w:t>
      </w:r>
      <w:r w:rsidR="007C7618">
        <w:rPr>
          <w:rFonts w:ascii="Work Sans" w:hAnsi="Work Sans"/>
          <w:sz w:val="24"/>
          <w:szCs w:val="24"/>
        </w:rPr>
        <w:t>s</w:t>
      </w:r>
      <w:r w:rsidRPr="00ED34B0">
        <w:rPr>
          <w:rFonts w:ascii="Work Sans" w:hAnsi="Work Sans"/>
          <w:sz w:val="24"/>
          <w:szCs w:val="24"/>
        </w:rPr>
        <w:t xml:space="preserve">tate’s share of the revenue base) is highly unequal across </w:t>
      </w:r>
      <w:r w:rsidR="00251EA1">
        <w:rPr>
          <w:rFonts w:ascii="Work Sans" w:hAnsi="Work Sans"/>
          <w:sz w:val="24"/>
          <w:szCs w:val="24"/>
        </w:rPr>
        <w:t>s</w:t>
      </w:r>
      <w:r w:rsidRPr="00ED34B0">
        <w:rPr>
          <w:rFonts w:ascii="Work Sans" w:hAnsi="Work Sans"/>
          <w:sz w:val="24"/>
          <w:szCs w:val="24"/>
        </w:rPr>
        <w:t>tates and each mineral product has a different effective tax (royalty) rate as they are assessed separately.</w:t>
      </w:r>
    </w:p>
    <w:p w14:paraId="68C5A375" w14:textId="77777777" w:rsidR="00ED34B0" w:rsidRPr="00850E6C" w:rsidRDefault="00ED34B0" w:rsidP="00ED34B0">
      <w:pPr>
        <w:pStyle w:val="Heading3"/>
      </w:pPr>
      <w:r w:rsidRPr="00850E6C">
        <w:t>Tax base effects</w:t>
      </w:r>
    </w:p>
    <w:p w14:paraId="011CA27D" w14:textId="33366970" w:rsidR="00ED34B0" w:rsidRPr="008D1F4D" w:rsidRDefault="00ED34B0" w:rsidP="00ED34B0">
      <w:pPr>
        <w:rPr>
          <w:rFonts w:ascii="Work Sans" w:hAnsi="Work Sans"/>
          <w:sz w:val="24"/>
          <w:szCs w:val="24"/>
        </w:rPr>
      </w:pPr>
      <w:r w:rsidRPr="008D1F4D">
        <w:rPr>
          <w:rFonts w:ascii="Work Sans" w:hAnsi="Work Sans"/>
          <w:sz w:val="24"/>
          <w:szCs w:val="24"/>
        </w:rPr>
        <w:t xml:space="preserve">GST effects can also arise when a policy change affects a </w:t>
      </w:r>
      <w:r w:rsidR="007C7618">
        <w:rPr>
          <w:rFonts w:ascii="Work Sans" w:hAnsi="Work Sans"/>
          <w:sz w:val="24"/>
          <w:szCs w:val="24"/>
        </w:rPr>
        <w:t>s</w:t>
      </w:r>
      <w:r w:rsidRPr="008D1F4D">
        <w:rPr>
          <w:rFonts w:ascii="Work Sans" w:hAnsi="Work Sans"/>
          <w:sz w:val="24"/>
          <w:szCs w:val="24"/>
        </w:rPr>
        <w:t xml:space="preserve">tate’s tax base. These changes may be direct (such as increasing compliance for an existing tax base) or indirect (where the tax base responds to changes in the tax rate — the elasticity effect). </w:t>
      </w:r>
    </w:p>
    <w:p w14:paraId="429246DD" w14:textId="4FD1B4B6" w:rsidR="00ED34B0" w:rsidRPr="008D1F4D" w:rsidRDefault="00ED34B0" w:rsidP="00ED34B0">
      <w:pPr>
        <w:rPr>
          <w:rFonts w:ascii="Work Sans" w:hAnsi="Work Sans"/>
          <w:sz w:val="24"/>
          <w:szCs w:val="24"/>
        </w:rPr>
      </w:pPr>
      <w:r w:rsidRPr="008D1F4D">
        <w:rPr>
          <w:rFonts w:ascii="Work Sans" w:hAnsi="Work Sans"/>
          <w:sz w:val="24"/>
          <w:szCs w:val="24"/>
        </w:rPr>
        <w:t xml:space="preserve">For example, a reduction in the rate of stamp duty on conveyances could see the observed tax base rise through an increase in property sales. Any increase in a </w:t>
      </w:r>
      <w:r w:rsidR="007C7618">
        <w:rPr>
          <w:rFonts w:ascii="Work Sans" w:hAnsi="Work Sans"/>
          <w:sz w:val="24"/>
          <w:szCs w:val="24"/>
        </w:rPr>
        <w:t>s</w:t>
      </w:r>
      <w:r w:rsidRPr="008D1F4D">
        <w:rPr>
          <w:rFonts w:ascii="Work Sans" w:hAnsi="Work Sans"/>
          <w:sz w:val="24"/>
          <w:szCs w:val="24"/>
        </w:rPr>
        <w:t xml:space="preserve">tate’s tax base increases its assessed revenue raising capacity relative to other </w:t>
      </w:r>
      <w:r w:rsidR="00251EA1">
        <w:rPr>
          <w:rFonts w:ascii="Work Sans" w:hAnsi="Work Sans"/>
          <w:sz w:val="24"/>
          <w:szCs w:val="24"/>
        </w:rPr>
        <w:t>s</w:t>
      </w:r>
      <w:r w:rsidRPr="008D1F4D">
        <w:rPr>
          <w:rFonts w:ascii="Work Sans" w:hAnsi="Work Sans"/>
          <w:sz w:val="24"/>
          <w:szCs w:val="24"/>
        </w:rPr>
        <w:t>tates, which will in turn reduce the assessment of its relative GST requirement.</w:t>
      </w:r>
    </w:p>
    <w:p w14:paraId="00B561A2" w14:textId="7CC43C44" w:rsidR="00ED34B0" w:rsidRPr="008D1F4D" w:rsidRDefault="00ED34B0" w:rsidP="00ED34B0">
      <w:pPr>
        <w:rPr>
          <w:rFonts w:ascii="Work Sans" w:hAnsi="Work Sans"/>
          <w:sz w:val="24"/>
          <w:szCs w:val="24"/>
        </w:rPr>
      </w:pPr>
      <w:r w:rsidRPr="008D1F4D">
        <w:rPr>
          <w:rFonts w:ascii="Work Sans" w:hAnsi="Work Sans"/>
          <w:sz w:val="24"/>
          <w:szCs w:val="24"/>
        </w:rPr>
        <w:t xml:space="preserve">The number of </w:t>
      </w:r>
      <w:r w:rsidR="007C7618">
        <w:rPr>
          <w:rFonts w:ascii="Work Sans" w:hAnsi="Work Sans"/>
          <w:sz w:val="24"/>
          <w:szCs w:val="24"/>
        </w:rPr>
        <w:t>s</w:t>
      </w:r>
      <w:r w:rsidRPr="008D1F4D">
        <w:rPr>
          <w:rFonts w:ascii="Work Sans" w:hAnsi="Work Sans"/>
          <w:sz w:val="24"/>
          <w:szCs w:val="24"/>
        </w:rPr>
        <w:t xml:space="preserve">tates engaged in changing their tax mix will affect the size of the GST impact for each </w:t>
      </w:r>
      <w:r w:rsidR="007C7618">
        <w:rPr>
          <w:rFonts w:ascii="Work Sans" w:hAnsi="Work Sans"/>
          <w:sz w:val="24"/>
          <w:szCs w:val="24"/>
        </w:rPr>
        <w:t>s</w:t>
      </w:r>
      <w:r w:rsidRPr="008D1F4D">
        <w:rPr>
          <w:rFonts w:ascii="Work Sans" w:hAnsi="Work Sans"/>
          <w:sz w:val="24"/>
          <w:szCs w:val="24"/>
        </w:rPr>
        <w:t xml:space="preserve">tate. GST effects are larger when a </w:t>
      </w:r>
      <w:r w:rsidR="007C7618">
        <w:rPr>
          <w:rFonts w:ascii="Work Sans" w:hAnsi="Work Sans"/>
          <w:sz w:val="24"/>
          <w:szCs w:val="24"/>
        </w:rPr>
        <w:t>s</w:t>
      </w:r>
      <w:r w:rsidRPr="008D1F4D">
        <w:rPr>
          <w:rFonts w:ascii="Work Sans" w:hAnsi="Work Sans"/>
          <w:sz w:val="24"/>
          <w:szCs w:val="24"/>
        </w:rPr>
        <w:t xml:space="preserve">tate adopts a tax mix change unilaterally than when several </w:t>
      </w:r>
      <w:r w:rsidR="00215FAE">
        <w:rPr>
          <w:rFonts w:ascii="Work Sans" w:hAnsi="Work Sans"/>
          <w:sz w:val="24"/>
          <w:szCs w:val="24"/>
        </w:rPr>
        <w:t>s</w:t>
      </w:r>
      <w:r w:rsidRPr="008D1F4D">
        <w:rPr>
          <w:rFonts w:ascii="Work Sans" w:hAnsi="Work Sans"/>
          <w:sz w:val="24"/>
          <w:szCs w:val="24"/>
        </w:rPr>
        <w:t xml:space="preserve">tates undertake a similar change. </w:t>
      </w:r>
    </w:p>
    <w:p w14:paraId="31A5E601" w14:textId="7E47AC05" w:rsidR="00AE144E" w:rsidRPr="00AE144E" w:rsidRDefault="00AE144E" w:rsidP="00AE144E">
      <w:pPr>
        <w:rPr>
          <w:rFonts w:ascii="Work Sans" w:hAnsi="Work Sans"/>
          <w:sz w:val="24"/>
          <w:szCs w:val="24"/>
        </w:rPr>
      </w:pPr>
      <w:r w:rsidRPr="00AE144E">
        <w:rPr>
          <w:rFonts w:ascii="Work Sans" w:hAnsi="Work Sans"/>
          <w:sz w:val="24"/>
          <w:szCs w:val="24"/>
        </w:rPr>
        <w:t xml:space="preserve">In the case of a unilateral change, the elasticity effects are concentrated in one </w:t>
      </w:r>
      <w:r w:rsidR="007C7618">
        <w:rPr>
          <w:rFonts w:ascii="Work Sans" w:hAnsi="Work Sans"/>
          <w:sz w:val="24"/>
          <w:szCs w:val="24"/>
        </w:rPr>
        <w:t>s</w:t>
      </w:r>
      <w:r w:rsidRPr="00AE144E">
        <w:rPr>
          <w:rFonts w:ascii="Work Sans" w:hAnsi="Work Sans"/>
          <w:sz w:val="24"/>
          <w:szCs w:val="24"/>
        </w:rPr>
        <w:t xml:space="preserve">tate and that </w:t>
      </w:r>
      <w:r w:rsidR="000E308A">
        <w:rPr>
          <w:rFonts w:ascii="Work Sans" w:hAnsi="Work Sans"/>
          <w:sz w:val="24"/>
          <w:szCs w:val="24"/>
        </w:rPr>
        <w:t>s</w:t>
      </w:r>
      <w:r w:rsidRPr="00AE144E">
        <w:rPr>
          <w:rFonts w:ascii="Work Sans" w:hAnsi="Work Sans"/>
          <w:sz w:val="24"/>
          <w:szCs w:val="24"/>
        </w:rPr>
        <w:t xml:space="preserve">tate is the only one diverging from the average. The GST effects are smaller when several </w:t>
      </w:r>
      <w:r w:rsidR="007C7618">
        <w:rPr>
          <w:rFonts w:ascii="Work Sans" w:hAnsi="Work Sans"/>
          <w:sz w:val="24"/>
          <w:szCs w:val="24"/>
        </w:rPr>
        <w:t>s</w:t>
      </w:r>
      <w:r w:rsidRPr="00AE144E">
        <w:rPr>
          <w:rFonts w:ascii="Work Sans" w:hAnsi="Work Sans"/>
          <w:sz w:val="24"/>
          <w:szCs w:val="24"/>
        </w:rPr>
        <w:t xml:space="preserve">tates undertake similar changes in their tax mix since there is less divergence between them.   </w:t>
      </w:r>
    </w:p>
    <w:p w14:paraId="44759552" w14:textId="1DD07AE1" w:rsidR="00AE144E" w:rsidRPr="009769D1" w:rsidRDefault="00AE144E" w:rsidP="00AE144E">
      <w:pPr>
        <w:pStyle w:val="Heading3"/>
      </w:pPr>
      <w:r w:rsidRPr="009769D1">
        <w:lastRenderedPageBreak/>
        <w:t xml:space="preserve">Quantifying the impact of </w:t>
      </w:r>
      <w:r w:rsidR="001F5D95">
        <w:t>s</w:t>
      </w:r>
      <w:r w:rsidRPr="009769D1">
        <w:t xml:space="preserve">tate tax reform on GST distribution </w:t>
      </w:r>
    </w:p>
    <w:p w14:paraId="6DEE4646" w14:textId="3C332380" w:rsidR="00AE144E" w:rsidRPr="00AE144E" w:rsidRDefault="00AE144E" w:rsidP="00AE144E">
      <w:pPr>
        <w:rPr>
          <w:rFonts w:ascii="Work Sans" w:hAnsi="Work Sans"/>
          <w:sz w:val="24"/>
          <w:szCs w:val="24"/>
        </w:rPr>
      </w:pPr>
      <w:r w:rsidRPr="00AE144E">
        <w:rPr>
          <w:rFonts w:ascii="Work Sans" w:hAnsi="Work Sans"/>
          <w:sz w:val="24"/>
          <w:szCs w:val="24"/>
        </w:rPr>
        <w:t xml:space="preserve">The GST consequences of </w:t>
      </w:r>
      <w:r w:rsidR="001F5D95">
        <w:rPr>
          <w:rFonts w:ascii="Work Sans" w:hAnsi="Work Sans"/>
          <w:sz w:val="24"/>
          <w:szCs w:val="24"/>
        </w:rPr>
        <w:t>s</w:t>
      </w:r>
      <w:r w:rsidRPr="00AE144E">
        <w:rPr>
          <w:rFonts w:ascii="Work Sans" w:hAnsi="Work Sans"/>
          <w:sz w:val="24"/>
          <w:szCs w:val="24"/>
        </w:rPr>
        <w:t>tate tax reform are difficult to quantify as they primarily depend on the extent to which tax bases change in response to changes in tax rates — and this is hard to reliably estimate. Modelled results of the impact of future tax reform on GST distribution are not definitive. As they depend on strong underlying assumptions, these estimates have many limitations.</w:t>
      </w:r>
    </w:p>
    <w:p w14:paraId="690AE350" w14:textId="5F1CEF78" w:rsidR="00AE144E" w:rsidRPr="00AE144E" w:rsidRDefault="00AE144E" w:rsidP="00AE144E">
      <w:pPr>
        <w:rPr>
          <w:rFonts w:ascii="Work Sans" w:hAnsi="Work Sans"/>
          <w:sz w:val="24"/>
          <w:szCs w:val="24"/>
        </w:rPr>
      </w:pPr>
      <w:r w:rsidRPr="00AE144E">
        <w:rPr>
          <w:rFonts w:ascii="Work Sans" w:hAnsi="Work Sans"/>
          <w:sz w:val="24"/>
          <w:szCs w:val="24"/>
        </w:rPr>
        <w:t xml:space="preserve">The actual impact of </w:t>
      </w:r>
      <w:r w:rsidR="001F5D95">
        <w:rPr>
          <w:rFonts w:ascii="Work Sans" w:hAnsi="Work Sans"/>
          <w:sz w:val="24"/>
          <w:szCs w:val="24"/>
        </w:rPr>
        <w:t>s</w:t>
      </w:r>
      <w:r w:rsidRPr="00AE144E">
        <w:rPr>
          <w:rFonts w:ascii="Work Sans" w:hAnsi="Work Sans"/>
          <w:sz w:val="24"/>
          <w:szCs w:val="24"/>
        </w:rPr>
        <w:t xml:space="preserve">tate tax reform will depend on many factors, including the design of the policy, the transition path and the timeline for the implementation of reforms. How businesses and households respond to the reform and how other </w:t>
      </w:r>
      <w:r w:rsidR="001F5D95">
        <w:rPr>
          <w:rFonts w:ascii="Work Sans" w:hAnsi="Work Sans"/>
          <w:sz w:val="24"/>
          <w:szCs w:val="24"/>
        </w:rPr>
        <w:t>s</w:t>
      </w:r>
      <w:r w:rsidRPr="00AE144E">
        <w:rPr>
          <w:rFonts w:ascii="Work Sans" w:hAnsi="Work Sans"/>
          <w:sz w:val="24"/>
          <w:szCs w:val="24"/>
        </w:rPr>
        <w:t xml:space="preserve">tates respond are also important. </w:t>
      </w:r>
    </w:p>
    <w:p w14:paraId="61BF65E0" w14:textId="77777777" w:rsidR="00AE144E" w:rsidRPr="00AE144E" w:rsidRDefault="00AE144E" w:rsidP="00AE144E">
      <w:pPr>
        <w:rPr>
          <w:rFonts w:ascii="Work Sans" w:hAnsi="Work Sans"/>
          <w:sz w:val="24"/>
          <w:szCs w:val="24"/>
        </w:rPr>
      </w:pPr>
      <w:r w:rsidRPr="00AE144E">
        <w:rPr>
          <w:rFonts w:ascii="Work Sans" w:hAnsi="Work Sans"/>
          <w:sz w:val="24"/>
          <w:szCs w:val="24"/>
        </w:rPr>
        <w:t>In addition, there is the challenge of distinguishing the reform’s impact on the tax base from other factors influencing the tax base.</w:t>
      </w:r>
    </w:p>
    <w:p w14:paraId="06B43F36" w14:textId="5AC5F7DB" w:rsidR="00AE144E" w:rsidRPr="00AE144E" w:rsidRDefault="00AE144E" w:rsidP="00AE144E">
      <w:pPr>
        <w:rPr>
          <w:rFonts w:ascii="Work Sans" w:hAnsi="Work Sans"/>
          <w:sz w:val="24"/>
          <w:szCs w:val="24"/>
        </w:rPr>
      </w:pPr>
      <w:r w:rsidRPr="00AE144E">
        <w:rPr>
          <w:rFonts w:ascii="Work Sans" w:hAnsi="Work Sans"/>
          <w:sz w:val="24"/>
          <w:szCs w:val="24"/>
        </w:rPr>
        <w:t xml:space="preserve">The Productivity Commission’s 2018 report on Horizontal Fiscal Equalisation included several scenarios estimating the impact on GST payments from </w:t>
      </w:r>
      <w:r w:rsidR="0090290D">
        <w:rPr>
          <w:rFonts w:ascii="Work Sans" w:hAnsi="Work Sans"/>
          <w:sz w:val="24"/>
          <w:szCs w:val="24"/>
        </w:rPr>
        <w:t>s</w:t>
      </w:r>
      <w:r w:rsidRPr="00AE144E">
        <w:rPr>
          <w:rFonts w:ascii="Work Sans" w:hAnsi="Work Sans"/>
          <w:sz w:val="24"/>
          <w:szCs w:val="24"/>
        </w:rPr>
        <w:t xml:space="preserve">tate tax reforms. </w:t>
      </w:r>
    </w:p>
    <w:p w14:paraId="4BE99F42" w14:textId="658F2B2F" w:rsidR="00AE144E" w:rsidRPr="00AE144E" w:rsidRDefault="00AE144E" w:rsidP="00AE144E">
      <w:pPr>
        <w:rPr>
          <w:rFonts w:ascii="Work Sans" w:hAnsi="Work Sans"/>
          <w:sz w:val="24"/>
          <w:szCs w:val="24"/>
        </w:rPr>
      </w:pPr>
      <w:r w:rsidRPr="00AE144E">
        <w:rPr>
          <w:rFonts w:ascii="Work Sans" w:hAnsi="Work Sans"/>
          <w:sz w:val="24"/>
          <w:szCs w:val="24"/>
        </w:rPr>
        <w:t xml:space="preserve">One scenario involved a </w:t>
      </w:r>
      <w:r w:rsidR="001F5D95">
        <w:rPr>
          <w:rFonts w:ascii="Work Sans" w:hAnsi="Work Sans"/>
          <w:sz w:val="24"/>
          <w:szCs w:val="24"/>
        </w:rPr>
        <w:t>s</w:t>
      </w:r>
      <w:r w:rsidRPr="00AE144E">
        <w:rPr>
          <w:rFonts w:ascii="Work Sans" w:hAnsi="Work Sans"/>
          <w:sz w:val="24"/>
          <w:szCs w:val="24"/>
        </w:rPr>
        <w:t xml:space="preserve">tate halving in one year its stamp duty on property and replacing the lost revenue in the same year with a new land tax. </w:t>
      </w:r>
    </w:p>
    <w:p w14:paraId="5C8F79FF" w14:textId="77777777" w:rsidR="00AE144E" w:rsidRPr="00AE144E" w:rsidRDefault="00AE144E" w:rsidP="00AE144E">
      <w:pPr>
        <w:rPr>
          <w:rFonts w:ascii="Work Sans" w:hAnsi="Work Sans"/>
          <w:sz w:val="24"/>
          <w:szCs w:val="24"/>
        </w:rPr>
      </w:pPr>
      <w:r w:rsidRPr="00AE144E">
        <w:rPr>
          <w:rFonts w:ascii="Work Sans" w:hAnsi="Work Sans"/>
          <w:sz w:val="24"/>
          <w:szCs w:val="24"/>
        </w:rPr>
        <w:t>As an example of this analysis, the Productivity Commission assessed that such unilateral tax reform by New South Wales would reduce its GST distribution by between $337 million and $1,281 million. This range reflected the variation in estimates of the possible elasticity effect from the reform.</w:t>
      </w:r>
    </w:p>
    <w:p w14:paraId="5CBFDD6E" w14:textId="77777777" w:rsidR="00307C95" w:rsidRPr="00307C95" w:rsidRDefault="00307C95" w:rsidP="00307C95">
      <w:pPr>
        <w:keepNext/>
        <w:keepLines/>
        <w:rPr>
          <w:rFonts w:ascii="Work Sans" w:hAnsi="Work Sans"/>
          <w:sz w:val="24"/>
          <w:szCs w:val="24"/>
        </w:rPr>
      </w:pPr>
      <w:r w:rsidRPr="00307C95">
        <w:rPr>
          <w:rFonts w:ascii="Work Sans" w:hAnsi="Work Sans"/>
          <w:sz w:val="24"/>
          <w:szCs w:val="24"/>
        </w:rPr>
        <w:t xml:space="preserve">Importantly, the Productivity Commission’s estimates assumed that the full impact on GST distributions would occur in the year the reform was implemented. </w:t>
      </w:r>
    </w:p>
    <w:p w14:paraId="479EB594" w14:textId="77777777" w:rsidR="00307C95" w:rsidRPr="00307C95" w:rsidRDefault="00307C95" w:rsidP="00307C95">
      <w:pPr>
        <w:rPr>
          <w:rFonts w:ascii="Work Sans" w:hAnsi="Work Sans"/>
          <w:sz w:val="24"/>
          <w:szCs w:val="24"/>
        </w:rPr>
      </w:pPr>
      <w:r w:rsidRPr="00307C95">
        <w:rPr>
          <w:rFonts w:ascii="Work Sans" w:hAnsi="Work Sans"/>
          <w:sz w:val="24"/>
          <w:szCs w:val="24"/>
        </w:rPr>
        <w:t>It is more likely that such tax reform would be phased in over an extended period, as would any impact on GST distribution. For example, the ACT is currently implementing a similar reform program over 20 years.</w:t>
      </w:r>
    </w:p>
    <w:p w14:paraId="2EA8C8D5" w14:textId="77777777" w:rsidR="00307C95" w:rsidRPr="00307C95" w:rsidRDefault="00307C95" w:rsidP="00307C95">
      <w:pPr>
        <w:rPr>
          <w:rFonts w:ascii="Work Sans" w:hAnsi="Work Sans"/>
          <w:sz w:val="24"/>
          <w:szCs w:val="24"/>
        </w:rPr>
      </w:pPr>
      <w:r w:rsidRPr="00307C95">
        <w:rPr>
          <w:rFonts w:ascii="Work Sans" w:hAnsi="Work Sans"/>
          <w:sz w:val="24"/>
          <w:szCs w:val="24"/>
        </w:rPr>
        <w:t xml:space="preserve">New South Wales is currently consulting on a tax reform proposal that involves gradually replacing land tax and conveyance duty with an annual property tax. Under the reform, buyers would be given a choice at the time of purchase between paying stamp duty and land tax or the new property tax. The proposed reform is gradual, taking decades to complete. </w:t>
      </w:r>
    </w:p>
    <w:p w14:paraId="1C2D5398" w14:textId="77777777" w:rsidR="00307C95" w:rsidRPr="00307C95" w:rsidRDefault="00307C95" w:rsidP="00307C95">
      <w:pPr>
        <w:rPr>
          <w:rFonts w:ascii="Work Sans" w:hAnsi="Work Sans"/>
          <w:sz w:val="24"/>
          <w:szCs w:val="24"/>
        </w:rPr>
      </w:pPr>
      <w:r w:rsidRPr="00307C95">
        <w:rPr>
          <w:rFonts w:ascii="Work Sans" w:hAnsi="Work Sans"/>
          <w:sz w:val="24"/>
          <w:szCs w:val="24"/>
        </w:rPr>
        <w:t>The consultation paper released by the New South Wales Government states that after 20 years the option to pay stamp duty would likely remain for more than half of all properties. This suggests the potential impact on GST distribution is likely to be gradual.</w:t>
      </w:r>
    </w:p>
    <w:p w14:paraId="11ECBB40" w14:textId="2255048D" w:rsidR="00307C95" w:rsidRPr="00307C95" w:rsidRDefault="00307C95" w:rsidP="00307C95">
      <w:pPr>
        <w:rPr>
          <w:rFonts w:ascii="Work Sans" w:hAnsi="Work Sans"/>
          <w:sz w:val="24"/>
          <w:szCs w:val="24"/>
        </w:rPr>
      </w:pPr>
      <w:r w:rsidRPr="00307C95">
        <w:rPr>
          <w:rFonts w:ascii="Work Sans" w:hAnsi="Work Sans"/>
          <w:sz w:val="24"/>
          <w:szCs w:val="24"/>
        </w:rPr>
        <w:t xml:space="preserve">The timing of any effects on GST distribution would also be tempered by the Commission’s use of a 3-year moving average in estimating </w:t>
      </w:r>
      <w:r w:rsidR="006D0EE5">
        <w:rPr>
          <w:rFonts w:ascii="Work Sans" w:hAnsi="Work Sans"/>
          <w:sz w:val="24"/>
          <w:szCs w:val="24"/>
        </w:rPr>
        <w:t>s</w:t>
      </w:r>
      <w:r w:rsidRPr="00307C95">
        <w:rPr>
          <w:rFonts w:ascii="Work Sans" w:hAnsi="Work Sans"/>
          <w:sz w:val="24"/>
          <w:szCs w:val="24"/>
        </w:rPr>
        <w:t xml:space="preserve">tates’ fiscal </w:t>
      </w:r>
      <w:r w:rsidRPr="00307C95">
        <w:rPr>
          <w:rFonts w:ascii="Work Sans" w:hAnsi="Work Sans"/>
          <w:sz w:val="24"/>
          <w:szCs w:val="24"/>
        </w:rPr>
        <w:lastRenderedPageBreak/>
        <w:t xml:space="preserve">capacities. This means that any GST effects from the reform would be smoothed over successive years. </w:t>
      </w:r>
    </w:p>
    <w:p w14:paraId="41D82F3C" w14:textId="77777777" w:rsidR="00307C95" w:rsidRPr="00307C95" w:rsidRDefault="00307C95" w:rsidP="00307C95">
      <w:pPr>
        <w:rPr>
          <w:rFonts w:ascii="Work Sans" w:hAnsi="Work Sans"/>
          <w:sz w:val="24"/>
          <w:szCs w:val="24"/>
        </w:rPr>
      </w:pPr>
      <w:r w:rsidRPr="00307C95">
        <w:rPr>
          <w:rFonts w:ascii="Work Sans" w:hAnsi="Work Sans"/>
          <w:sz w:val="24"/>
          <w:szCs w:val="24"/>
        </w:rPr>
        <w:t>In addition, the use of lagged data means that any GST effects would not emerge until two years after the reform commences and the full effect would not be evident until five years after the introduction of the reform.</w:t>
      </w:r>
    </w:p>
    <w:p w14:paraId="4E836582" w14:textId="348BDF70" w:rsidR="0070574A" w:rsidRPr="00D65DD1" w:rsidRDefault="0070574A" w:rsidP="0070574A">
      <w:pPr>
        <w:pStyle w:val="Heading2"/>
        <w:keepNext/>
      </w:pPr>
      <w:r w:rsidRPr="00D65DD1">
        <w:t xml:space="preserve">Views on whether fiscal equalisation affects </w:t>
      </w:r>
      <w:r w:rsidR="006D0EE5">
        <w:t>s</w:t>
      </w:r>
      <w:r w:rsidRPr="00D65DD1">
        <w:t>tate incentives for tax reform</w:t>
      </w:r>
    </w:p>
    <w:p w14:paraId="451EC0BA" w14:textId="77777777" w:rsidR="0070574A" w:rsidRPr="0070574A" w:rsidRDefault="0070574A" w:rsidP="0070574A">
      <w:pPr>
        <w:rPr>
          <w:rFonts w:ascii="Work Sans" w:hAnsi="Work Sans"/>
          <w:sz w:val="24"/>
          <w:szCs w:val="24"/>
        </w:rPr>
      </w:pPr>
      <w:r w:rsidRPr="0070574A">
        <w:rPr>
          <w:rFonts w:ascii="Work Sans" w:hAnsi="Work Sans"/>
          <w:sz w:val="24"/>
          <w:szCs w:val="24"/>
        </w:rPr>
        <w:t>This issue has been the subject of several inquiries over the past decade, including the GST Distribution Review in 2012</w:t>
      </w:r>
      <w:r w:rsidRPr="0070574A">
        <w:rPr>
          <w:rFonts w:ascii="Work Sans" w:hAnsi="Work Sans"/>
          <w:sz w:val="24"/>
          <w:szCs w:val="24"/>
          <w:vertAlign w:val="superscript"/>
        </w:rPr>
        <w:footnoteReference w:id="6"/>
      </w:r>
      <w:r w:rsidRPr="0070574A">
        <w:rPr>
          <w:rFonts w:ascii="Work Sans" w:hAnsi="Work Sans"/>
          <w:sz w:val="24"/>
          <w:szCs w:val="24"/>
        </w:rPr>
        <w:t xml:space="preserve"> and the Productivity Commission’s 2018 Inquiry on Horizontal Fiscal Equalisation.</w:t>
      </w:r>
      <w:r w:rsidRPr="0070574A">
        <w:rPr>
          <w:rFonts w:ascii="Work Sans" w:hAnsi="Work Sans"/>
          <w:sz w:val="24"/>
          <w:szCs w:val="24"/>
          <w:vertAlign w:val="superscript"/>
        </w:rPr>
        <w:footnoteReference w:id="7"/>
      </w:r>
      <w:r w:rsidRPr="0070574A">
        <w:rPr>
          <w:rFonts w:ascii="Work Sans" w:hAnsi="Work Sans"/>
          <w:sz w:val="24"/>
          <w:szCs w:val="24"/>
        </w:rPr>
        <w:t xml:space="preserve"> </w:t>
      </w:r>
    </w:p>
    <w:p w14:paraId="47D46FD2" w14:textId="3DE52611" w:rsidR="0070574A" w:rsidRPr="0070574A" w:rsidRDefault="0070574A" w:rsidP="0070574A">
      <w:pPr>
        <w:rPr>
          <w:rFonts w:ascii="Work Sans" w:hAnsi="Work Sans"/>
          <w:sz w:val="24"/>
          <w:szCs w:val="24"/>
        </w:rPr>
      </w:pPr>
      <w:r w:rsidRPr="0070574A">
        <w:rPr>
          <w:rFonts w:ascii="Work Sans" w:hAnsi="Work Sans"/>
          <w:sz w:val="24"/>
          <w:szCs w:val="24"/>
        </w:rPr>
        <w:t xml:space="preserve">There was no agreement on whether fiscal equalisation is a disincentive to </w:t>
      </w:r>
      <w:r w:rsidR="006D0EE5">
        <w:rPr>
          <w:rFonts w:ascii="Work Sans" w:hAnsi="Work Sans"/>
          <w:sz w:val="24"/>
          <w:szCs w:val="24"/>
        </w:rPr>
        <w:t>s</w:t>
      </w:r>
      <w:r w:rsidRPr="0070574A">
        <w:rPr>
          <w:rFonts w:ascii="Work Sans" w:hAnsi="Work Sans"/>
          <w:sz w:val="24"/>
          <w:szCs w:val="24"/>
        </w:rPr>
        <w:t>tate tax reform. The GST Distribution Review concluded that while the equalisation process creates perverse theoretical incentives in some instances, there is little evidence they have any effect in the real world.</w:t>
      </w:r>
    </w:p>
    <w:p w14:paraId="3BD2935F" w14:textId="771BB185" w:rsidR="0070574A" w:rsidRPr="0070574A" w:rsidRDefault="0070574A" w:rsidP="0070574A">
      <w:pPr>
        <w:rPr>
          <w:rFonts w:ascii="Work Sans" w:hAnsi="Work Sans"/>
          <w:sz w:val="24"/>
          <w:szCs w:val="24"/>
        </w:rPr>
      </w:pPr>
      <w:r w:rsidRPr="0070574A">
        <w:rPr>
          <w:rFonts w:ascii="Work Sans" w:hAnsi="Work Sans"/>
          <w:sz w:val="24"/>
          <w:szCs w:val="24"/>
        </w:rPr>
        <w:t>The Productivity Commission noted that there is</w:t>
      </w:r>
      <w:r w:rsidRPr="0070574A" w:rsidDel="00B54570">
        <w:rPr>
          <w:rFonts w:ascii="Work Sans" w:hAnsi="Work Sans"/>
          <w:sz w:val="24"/>
          <w:szCs w:val="24"/>
        </w:rPr>
        <w:t xml:space="preserve"> </w:t>
      </w:r>
      <w:r w:rsidRPr="0070574A">
        <w:rPr>
          <w:rFonts w:ascii="Work Sans" w:hAnsi="Work Sans"/>
          <w:sz w:val="24"/>
          <w:szCs w:val="24"/>
        </w:rPr>
        <w:t xml:space="preserve">widespread disagreement on the occurrence and magnitude of disincentive effects and that, unsurprisingly, conclusive evidence is scarce. Some of the </w:t>
      </w:r>
      <w:r w:rsidR="0090290D">
        <w:rPr>
          <w:rFonts w:ascii="Work Sans" w:hAnsi="Work Sans"/>
          <w:sz w:val="24"/>
          <w:szCs w:val="24"/>
        </w:rPr>
        <w:t>s</w:t>
      </w:r>
      <w:r w:rsidRPr="0070574A">
        <w:rPr>
          <w:rFonts w:ascii="Work Sans" w:hAnsi="Work Sans"/>
          <w:sz w:val="24"/>
          <w:szCs w:val="24"/>
        </w:rPr>
        <w:t xml:space="preserve">tate submissions to the Productivity Commission’s inquiry argued that the GST effects of tax reform have no influence on </w:t>
      </w:r>
      <w:r w:rsidR="006D0EE5">
        <w:rPr>
          <w:rFonts w:ascii="Work Sans" w:hAnsi="Work Sans"/>
          <w:sz w:val="24"/>
          <w:szCs w:val="24"/>
        </w:rPr>
        <w:t>s</w:t>
      </w:r>
      <w:r w:rsidRPr="0070574A">
        <w:rPr>
          <w:rFonts w:ascii="Work Sans" w:hAnsi="Work Sans"/>
          <w:sz w:val="24"/>
          <w:szCs w:val="24"/>
        </w:rPr>
        <w:t xml:space="preserve">tate behaviour, which is primarily influenced by a wide range of other considerations, including community support, social impacts and economic factors. Other </w:t>
      </w:r>
      <w:r w:rsidR="006D0EE5">
        <w:rPr>
          <w:rFonts w:ascii="Work Sans" w:hAnsi="Work Sans"/>
          <w:sz w:val="24"/>
          <w:szCs w:val="24"/>
        </w:rPr>
        <w:t>s</w:t>
      </w:r>
      <w:r w:rsidRPr="0070574A">
        <w:rPr>
          <w:rFonts w:ascii="Work Sans" w:hAnsi="Work Sans"/>
          <w:sz w:val="24"/>
          <w:szCs w:val="24"/>
        </w:rPr>
        <w:t>tates suggested the effects can be pervasive and accumulate over time.</w:t>
      </w:r>
    </w:p>
    <w:p w14:paraId="5B4D88F0" w14:textId="47D73049" w:rsidR="004211AE" w:rsidRDefault="004211AE" w:rsidP="004211AE">
      <w:pPr>
        <w:pStyle w:val="Heading2"/>
      </w:pPr>
      <w:r w:rsidRPr="002749C2">
        <w:t xml:space="preserve">How the Commission </w:t>
      </w:r>
      <w:r>
        <w:t>c</w:t>
      </w:r>
      <w:r w:rsidRPr="002749C2">
        <w:t xml:space="preserve">ould respond if </w:t>
      </w:r>
      <w:r w:rsidR="006D0EE5">
        <w:t>s</w:t>
      </w:r>
      <w:r w:rsidRPr="002749C2">
        <w:t>tate tax reform had a material impact on GST distribution</w:t>
      </w:r>
    </w:p>
    <w:p w14:paraId="719EF25F" w14:textId="571E53C8" w:rsidR="004211AE" w:rsidRPr="004211AE" w:rsidRDefault="004211AE" w:rsidP="004211AE">
      <w:pPr>
        <w:rPr>
          <w:rFonts w:ascii="Work Sans" w:hAnsi="Work Sans"/>
          <w:sz w:val="24"/>
          <w:szCs w:val="24"/>
        </w:rPr>
      </w:pPr>
      <w:r w:rsidRPr="004211AE">
        <w:rPr>
          <w:rFonts w:ascii="Work Sans" w:hAnsi="Work Sans"/>
          <w:sz w:val="24"/>
          <w:szCs w:val="24"/>
        </w:rPr>
        <w:t xml:space="preserve">The Commission’s policy neutrality principle seeks to ensure </w:t>
      </w:r>
      <w:r w:rsidR="006D0EE5">
        <w:rPr>
          <w:rFonts w:ascii="Work Sans" w:hAnsi="Work Sans"/>
          <w:sz w:val="24"/>
          <w:szCs w:val="24"/>
        </w:rPr>
        <w:t>s</w:t>
      </w:r>
      <w:r w:rsidRPr="004211AE">
        <w:rPr>
          <w:rFonts w:ascii="Work Sans" w:hAnsi="Work Sans"/>
          <w:sz w:val="24"/>
          <w:szCs w:val="24"/>
        </w:rPr>
        <w:t xml:space="preserve">tate policy choices have minimal effect on its assessments and, in turn, the assessments have minimal impact on </w:t>
      </w:r>
      <w:r w:rsidR="004570BD">
        <w:rPr>
          <w:rFonts w:ascii="Work Sans" w:hAnsi="Work Sans"/>
          <w:sz w:val="24"/>
          <w:szCs w:val="24"/>
        </w:rPr>
        <w:t>s</w:t>
      </w:r>
      <w:r w:rsidRPr="004211AE">
        <w:rPr>
          <w:rFonts w:ascii="Work Sans" w:hAnsi="Work Sans"/>
          <w:sz w:val="24"/>
          <w:szCs w:val="24"/>
        </w:rPr>
        <w:t xml:space="preserve">tate policy choices. </w:t>
      </w:r>
    </w:p>
    <w:p w14:paraId="79C51E78" w14:textId="02AB733C" w:rsidR="004211AE" w:rsidRPr="004211AE" w:rsidRDefault="004211AE" w:rsidP="004211AE">
      <w:pPr>
        <w:rPr>
          <w:rFonts w:ascii="Work Sans" w:hAnsi="Work Sans"/>
          <w:sz w:val="24"/>
          <w:szCs w:val="24"/>
        </w:rPr>
      </w:pPr>
      <w:r w:rsidRPr="004211AE">
        <w:rPr>
          <w:rFonts w:ascii="Work Sans" w:hAnsi="Work Sans"/>
          <w:sz w:val="24"/>
          <w:szCs w:val="24"/>
        </w:rPr>
        <w:t xml:space="preserve">If the reform policies of an individual </w:t>
      </w:r>
      <w:r w:rsidR="006D0EE5">
        <w:rPr>
          <w:rFonts w:ascii="Work Sans" w:hAnsi="Work Sans"/>
          <w:sz w:val="24"/>
          <w:szCs w:val="24"/>
        </w:rPr>
        <w:t>s</w:t>
      </w:r>
      <w:r w:rsidRPr="004211AE">
        <w:rPr>
          <w:rFonts w:ascii="Work Sans" w:hAnsi="Work Sans"/>
          <w:sz w:val="24"/>
          <w:szCs w:val="24"/>
        </w:rPr>
        <w:t xml:space="preserve">tate were having a material effect on its GST share then, under its policy neutrality principle, the Commission could seek to mitigate such effects. </w:t>
      </w:r>
    </w:p>
    <w:p w14:paraId="167CEBAA" w14:textId="7A806B9D" w:rsidR="00F87EFE" w:rsidRPr="00F87EFE" w:rsidRDefault="00F87EFE" w:rsidP="00F87EFE">
      <w:pPr>
        <w:rPr>
          <w:rFonts w:ascii="Work Sans" w:hAnsi="Work Sans"/>
          <w:sz w:val="24"/>
          <w:szCs w:val="24"/>
        </w:rPr>
      </w:pPr>
      <w:r w:rsidRPr="00F87EFE">
        <w:rPr>
          <w:rFonts w:ascii="Work Sans" w:hAnsi="Work Sans"/>
          <w:sz w:val="24"/>
          <w:szCs w:val="24"/>
        </w:rPr>
        <w:t xml:space="preserve">Whether and how the Commission could intervene would depend on several factors including the nature of the reform, the size of its effects and the number of </w:t>
      </w:r>
      <w:r w:rsidR="00215FAE">
        <w:rPr>
          <w:rFonts w:ascii="Work Sans" w:hAnsi="Work Sans"/>
          <w:sz w:val="24"/>
          <w:szCs w:val="24"/>
        </w:rPr>
        <w:t>s</w:t>
      </w:r>
      <w:r w:rsidRPr="00F87EFE">
        <w:rPr>
          <w:rFonts w:ascii="Work Sans" w:hAnsi="Work Sans"/>
          <w:sz w:val="24"/>
          <w:szCs w:val="24"/>
        </w:rPr>
        <w:t xml:space="preserve">tates engaging in the reform. </w:t>
      </w:r>
    </w:p>
    <w:p w14:paraId="5169A1AA" w14:textId="77777777" w:rsidR="00F87EFE" w:rsidRPr="00F87EFE" w:rsidRDefault="00F87EFE" w:rsidP="00F87EFE">
      <w:pPr>
        <w:rPr>
          <w:rFonts w:ascii="Work Sans" w:hAnsi="Work Sans"/>
          <w:sz w:val="24"/>
          <w:szCs w:val="24"/>
        </w:rPr>
      </w:pPr>
      <w:r w:rsidRPr="00F87EFE">
        <w:rPr>
          <w:rFonts w:ascii="Work Sans" w:hAnsi="Work Sans"/>
          <w:sz w:val="24"/>
          <w:szCs w:val="24"/>
        </w:rPr>
        <w:lastRenderedPageBreak/>
        <w:t xml:space="preserve">If the reform was spread over a long period, the annual changes may be incremental, and GST effects may not be material for several years. </w:t>
      </w:r>
    </w:p>
    <w:p w14:paraId="5C6BC67B" w14:textId="77777777" w:rsidR="00F87EFE" w:rsidRPr="00F87EFE" w:rsidRDefault="00F87EFE" w:rsidP="00F87EFE">
      <w:pPr>
        <w:rPr>
          <w:rFonts w:ascii="Work Sans" w:hAnsi="Work Sans"/>
          <w:sz w:val="24"/>
          <w:szCs w:val="24"/>
        </w:rPr>
      </w:pPr>
      <w:r w:rsidRPr="00F87EFE">
        <w:rPr>
          <w:rFonts w:ascii="Work Sans" w:hAnsi="Work Sans"/>
          <w:sz w:val="24"/>
          <w:szCs w:val="24"/>
        </w:rPr>
        <w:t>Should the impact of the reform on GST distribution be material, the Commission could seek to identify and remove</w:t>
      </w:r>
      <w:r w:rsidRPr="00F87EFE" w:rsidDel="00C830BE">
        <w:rPr>
          <w:rFonts w:ascii="Work Sans" w:hAnsi="Work Sans"/>
          <w:sz w:val="24"/>
          <w:szCs w:val="24"/>
        </w:rPr>
        <w:t xml:space="preserve"> </w:t>
      </w:r>
      <w:r w:rsidRPr="00F87EFE">
        <w:rPr>
          <w:rFonts w:ascii="Work Sans" w:hAnsi="Work Sans"/>
          <w:sz w:val="24"/>
          <w:szCs w:val="24"/>
        </w:rPr>
        <w:t xml:space="preserve">the impact. </w:t>
      </w:r>
    </w:p>
    <w:p w14:paraId="2DAA40B7" w14:textId="0C4F2A8B" w:rsidR="00F87EFE" w:rsidRPr="00F87EFE" w:rsidRDefault="00F87EFE" w:rsidP="00F87EFE">
      <w:pPr>
        <w:rPr>
          <w:rFonts w:ascii="Work Sans" w:hAnsi="Work Sans"/>
          <w:sz w:val="24"/>
          <w:szCs w:val="24"/>
        </w:rPr>
      </w:pPr>
      <w:r w:rsidRPr="00F87EFE">
        <w:rPr>
          <w:rFonts w:ascii="Work Sans" w:hAnsi="Work Sans"/>
          <w:sz w:val="24"/>
          <w:szCs w:val="24"/>
        </w:rPr>
        <w:t xml:space="preserve">This would involve seeking to identify separately the impact of the reform from other influences, such as economic conditions or the stage of the </w:t>
      </w:r>
      <w:r w:rsidR="004570BD">
        <w:rPr>
          <w:rFonts w:ascii="Work Sans" w:hAnsi="Work Sans"/>
          <w:sz w:val="24"/>
          <w:szCs w:val="24"/>
        </w:rPr>
        <w:t>s</w:t>
      </w:r>
      <w:r w:rsidRPr="00F87EFE">
        <w:rPr>
          <w:rFonts w:ascii="Work Sans" w:hAnsi="Work Sans"/>
          <w:sz w:val="24"/>
          <w:szCs w:val="24"/>
        </w:rPr>
        <w:t xml:space="preserve">tate-specific property cycle (in the case of any change to conveyancing duties). </w:t>
      </w:r>
    </w:p>
    <w:p w14:paraId="778172C3" w14:textId="3543AEFA" w:rsidR="00F87EFE" w:rsidRPr="00F87EFE" w:rsidRDefault="00F87EFE" w:rsidP="00F87EFE">
      <w:pPr>
        <w:rPr>
          <w:rFonts w:ascii="Work Sans" w:hAnsi="Work Sans"/>
          <w:sz w:val="24"/>
          <w:szCs w:val="24"/>
        </w:rPr>
      </w:pPr>
      <w:r w:rsidRPr="00F87EFE">
        <w:rPr>
          <w:rFonts w:ascii="Work Sans" w:hAnsi="Work Sans"/>
          <w:sz w:val="24"/>
          <w:szCs w:val="24"/>
        </w:rPr>
        <w:t xml:space="preserve">Any response by the Commission to mitigate the impact of </w:t>
      </w:r>
      <w:r w:rsidR="005C7470">
        <w:rPr>
          <w:rFonts w:ascii="Work Sans" w:hAnsi="Work Sans"/>
          <w:sz w:val="24"/>
          <w:szCs w:val="24"/>
        </w:rPr>
        <w:t>s</w:t>
      </w:r>
      <w:r w:rsidRPr="00F87EFE">
        <w:rPr>
          <w:rFonts w:ascii="Work Sans" w:hAnsi="Work Sans"/>
          <w:sz w:val="24"/>
          <w:szCs w:val="24"/>
        </w:rPr>
        <w:t xml:space="preserve">tate tax reform would have to be permitted under the terms of reference issued for an update (or review) of the GST distribution, and the approach chosen would be determined in consultation with the Commonwealth and the </w:t>
      </w:r>
      <w:r w:rsidR="00215FAE">
        <w:rPr>
          <w:rFonts w:ascii="Work Sans" w:hAnsi="Work Sans"/>
          <w:sz w:val="24"/>
          <w:szCs w:val="24"/>
        </w:rPr>
        <w:t>s</w:t>
      </w:r>
      <w:r w:rsidRPr="00F87EFE">
        <w:rPr>
          <w:rFonts w:ascii="Work Sans" w:hAnsi="Work Sans"/>
          <w:sz w:val="24"/>
          <w:szCs w:val="24"/>
        </w:rPr>
        <w:t xml:space="preserve">tates. </w:t>
      </w:r>
    </w:p>
    <w:p w14:paraId="3C1C8B37" w14:textId="77777777" w:rsidR="00F87EFE" w:rsidRPr="00F87EFE" w:rsidRDefault="00F87EFE" w:rsidP="00F87EFE">
      <w:pPr>
        <w:rPr>
          <w:rFonts w:ascii="Work Sans" w:hAnsi="Work Sans"/>
          <w:sz w:val="24"/>
          <w:szCs w:val="24"/>
        </w:rPr>
      </w:pPr>
      <w:r w:rsidRPr="00F87EFE">
        <w:rPr>
          <w:rFonts w:ascii="Work Sans" w:hAnsi="Work Sans"/>
          <w:sz w:val="24"/>
          <w:szCs w:val="24"/>
        </w:rPr>
        <w:t>It is likely that a degree of judgement would be required, including the practicality of making such an adjustment.</w:t>
      </w:r>
    </w:p>
    <w:p w14:paraId="301BCA89" w14:textId="77777777" w:rsidR="007D4A44" w:rsidRPr="006016CB" w:rsidRDefault="007D4A44" w:rsidP="007D4A44">
      <w:pPr>
        <w:pStyle w:val="Heading2"/>
      </w:pPr>
      <w:r w:rsidRPr="006016CB">
        <w:t>Conclusion</w:t>
      </w:r>
    </w:p>
    <w:p w14:paraId="6698F7A4" w14:textId="2CA19D8D" w:rsidR="007D4A44" w:rsidRPr="007D4A44" w:rsidRDefault="007D4A44" w:rsidP="007D4A44">
      <w:pPr>
        <w:rPr>
          <w:rFonts w:ascii="Work Sans" w:hAnsi="Work Sans"/>
          <w:sz w:val="24"/>
          <w:szCs w:val="24"/>
        </w:rPr>
      </w:pPr>
      <w:r w:rsidRPr="007D4A44">
        <w:rPr>
          <w:rFonts w:ascii="Work Sans" w:hAnsi="Work Sans"/>
          <w:sz w:val="24"/>
          <w:szCs w:val="24"/>
        </w:rPr>
        <w:t xml:space="preserve">Should </w:t>
      </w:r>
      <w:r w:rsidR="00F16FD0">
        <w:rPr>
          <w:rFonts w:ascii="Work Sans" w:hAnsi="Work Sans"/>
          <w:sz w:val="24"/>
          <w:szCs w:val="24"/>
        </w:rPr>
        <w:t>s</w:t>
      </w:r>
      <w:r w:rsidRPr="007D4A44">
        <w:rPr>
          <w:rFonts w:ascii="Work Sans" w:hAnsi="Work Sans"/>
          <w:sz w:val="24"/>
          <w:szCs w:val="24"/>
        </w:rPr>
        <w:t xml:space="preserve">tate tax reform have a material impact on GST distributions, the Commission could be asked to seek to identify and mitigate this impact. This will have its challenges. The larger the difference in elasticity effects between the taxes subject to tax reform, the larger the likely social welfare gain, but also the potential GST effects if a </w:t>
      </w:r>
      <w:r w:rsidR="005C7470">
        <w:rPr>
          <w:rFonts w:ascii="Work Sans" w:hAnsi="Work Sans"/>
          <w:sz w:val="24"/>
          <w:szCs w:val="24"/>
        </w:rPr>
        <w:t>s</w:t>
      </w:r>
      <w:r w:rsidRPr="007D4A44">
        <w:rPr>
          <w:rFonts w:ascii="Work Sans" w:hAnsi="Work Sans"/>
          <w:sz w:val="24"/>
          <w:szCs w:val="24"/>
        </w:rPr>
        <w:t xml:space="preserve">tate undertakes unilateral reform. </w:t>
      </w:r>
    </w:p>
    <w:p w14:paraId="413F210F" w14:textId="46F23977" w:rsidR="007B6002" w:rsidRPr="00307C95" w:rsidRDefault="007D4A44" w:rsidP="007B6002">
      <w:pPr>
        <w:rPr>
          <w:rFonts w:ascii="Work Sans" w:hAnsi="Work Sans"/>
          <w:sz w:val="24"/>
          <w:szCs w:val="24"/>
        </w:rPr>
      </w:pPr>
      <w:r w:rsidRPr="007D4A44">
        <w:rPr>
          <w:rFonts w:ascii="Work Sans" w:hAnsi="Work Sans"/>
          <w:sz w:val="24"/>
          <w:szCs w:val="24"/>
        </w:rPr>
        <w:t>And the overriding consideration of tax reform should be the long-term benefits coming from the reforms, such as the efficiency gains and social welfare gains, as well as the benefits of less volatile tax bases.</w:t>
      </w:r>
    </w:p>
    <w:sectPr w:rsidR="007B6002" w:rsidRPr="00307C95" w:rsidSect="004C78B6">
      <w:pgSz w:w="11900" w:h="16840"/>
      <w:pgMar w:top="1985" w:right="1418" w:bottom="1418" w:left="1418"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1425" w14:textId="77777777" w:rsidR="00D51135" w:rsidRDefault="00D51135" w:rsidP="005C0550">
      <w:pPr>
        <w:spacing w:before="0" w:line="240" w:lineRule="auto"/>
      </w:pPr>
      <w:r>
        <w:separator/>
      </w:r>
    </w:p>
  </w:endnote>
  <w:endnote w:type="continuationSeparator" w:id="0">
    <w:p w14:paraId="098C9E51" w14:textId="77777777" w:rsidR="00D51135" w:rsidRDefault="00D51135" w:rsidP="005C0550">
      <w:pPr>
        <w:spacing w:before="0" w:line="240" w:lineRule="auto"/>
      </w:pPr>
      <w:r>
        <w:continuationSeparator/>
      </w:r>
    </w:p>
  </w:endnote>
  <w:endnote w:type="continuationNotice" w:id="1">
    <w:p w14:paraId="57CA5BC6" w14:textId="77777777" w:rsidR="00715AB4" w:rsidRDefault="00715A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Work Sans">
    <w:charset w:val="00"/>
    <w:family w:val="auto"/>
    <w:pitch w:val="variable"/>
    <w:sig w:usb0="A00000FF" w:usb1="5000E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5555125"/>
      <w:docPartObj>
        <w:docPartGallery w:val="Page Numbers (Bottom of Page)"/>
        <w:docPartUnique/>
      </w:docPartObj>
    </w:sdtPr>
    <w:sdtEndPr>
      <w:rPr>
        <w:rStyle w:val="PageNumber"/>
      </w:rPr>
    </w:sdtEndPr>
    <w:sdtContent>
      <w:p w14:paraId="74BA921F" w14:textId="6126DBBB" w:rsidR="008B3F9B" w:rsidRDefault="008B3F9B" w:rsidP="00C236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03134E" w14:textId="77777777" w:rsidR="008B3F9B" w:rsidRDefault="008B3F9B" w:rsidP="008B3F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040595"/>
      <w:docPartObj>
        <w:docPartGallery w:val="Page Numbers (Bottom of Page)"/>
        <w:docPartUnique/>
      </w:docPartObj>
    </w:sdtPr>
    <w:sdtEndPr>
      <w:rPr>
        <w:noProof/>
      </w:rPr>
    </w:sdtEndPr>
    <w:sdtContent>
      <w:p w14:paraId="00BDE725" w14:textId="4542C9B8" w:rsidR="00855A3E" w:rsidRDefault="00855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55381" w14:textId="7B076C3B" w:rsidR="008B3F9B" w:rsidRPr="008B3F9B" w:rsidRDefault="00D460F7" w:rsidP="008B3F9B">
    <w:pPr>
      <w:pStyle w:val="Footer"/>
      <w:ind w:right="360"/>
      <w:rPr>
        <w:rFonts w:ascii="Open Sans" w:hAnsi="Open Sans" w:cs="Open Sans"/>
      </w:rPr>
    </w:pPr>
    <w:hyperlink r:id="rId1" w:history="1">
      <w:r w:rsidR="00D91674" w:rsidRPr="00B21FC0">
        <w:rPr>
          <w:rStyle w:val="Hyperlink"/>
          <w:rFonts w:ascii="Open Sans" w:hAnsi="Open Sans" w:cs="Open Sans"/>
        </w:rPr>
        <w:t>www.cgc.gov.au</w:t>
      </w:r>
    </w:hyperlink>
    <w:r w:rsidR="00D91674">
      <w:rPr>
        <w:rFonts w:ascii="Open Sans" w:hAnsi="Open Sans" w:cs="Open Sans"/>
      </w:rPr>
      <w:tab/>
      <w:t>Occasional Paper Series</w:t>
    </w:r>
    <w:r w:rsidR="00D91674">
      <w:rPr>
        <w:rFonts w:ascii="Open Sans" w:hAnsi="Open Sans" w:cs="Open Sans"/>
      </w:rPr>
      <w:tab/>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7E15" w14:textId="77777777" w:rsidR="00D51135" w:rsidRDefault="00D51135" w:rsidP="005C0550">
      <w:pPr>
        <w:spacing w:before="0" w:line="240" w:lineRule="auto"/>
      </w:pPr>
      <w:r>
        <w:separator/>
      </w:r>
    </w:p>
  </w:footnote>
  <w:footnote w:type="continuationSeparator" w:id="0">
    <w:p w14:paraId="39CF72F5" w14:textId="77777777" w:rsidR="00D51135" w:rsidRDefault="00D51135" w:rsidP="005C0550">
      <w:pPr>
        <w:spacing w:before="0" w:line="240" w:lineRule="auto"/>
      </w:pPr>
      <w:r>
        <w:continuationSeparator/>
      </w:r>
    </w:p>
  </w:footnote>
  <w:footnote w:type="continuationNotice" w:id="1">
    <w:p w14:paraId="719BB680" w14:textId="77777777" w:rsidR="00715AB4" w:rsidRDefault="00715AB4">
      <w:pPr>
        <w:spacing w:before="0" w:line="240" w:lineRule="auto"/>
      </w:pPr>
    </w:p>
  </w:footnote>
  <w:footnote w:id="2">
    <w:p w14:paraId="32430673" w14:textId="77777777" w:rsidR="0091458D" w:rsidRPr="005E5E7E" w:rsidRDefault="0091458D" w:rsidP="0091458D">
      <w:pPr>
        <w:pStyle w:val="FootnoteText"/>
        <w:rPr>
          <w:rStyle w:val="FootnoteReference"/>
          <w:rFonts w:ascii="Work Sans" w:hAnsi="Work Sans"/>
          <w:sz w:val="24"/>
          <w:szCs w:val="24"/>
        </w:rPr>
      </w:pPr>
      <w:r w:rsidRPr="005E5E7E">
        <w:rPr>
          <w:rStyle w:val="FootnoteReference"/>
          <w:rFonts w:ascii="Work Sans" w:hAnsi="Work Sans"/>
          <w:sz w:val="24"/>
          <w:szCs w:val="24"/>
        </w:rPr>
        <w:footnoteRef/>
      </w:r>
      <w:r w:rsidRPr="005E5E7E">
        <w:rPr>
          <w:rStyle w:val="FootnoteReference"/>
          <w:rFonts w:ascii="Work Sans" w:hAnsi="Work Sans"/>
          <w:sz w:val="24"/>
          <w:szCs w:val="24"/>
        </w:rPr>
        <w:tab/>
        <w:t>NSW Review of Federal Financial Relations, Final Report August 2020.</w:t>
      </w:r>
    </w:p>
  </w:footnote>
  <w:footnote w:id="3">
    <w:p w14:paraId="48BD00E4" w14:textId="02236917" w:rsidR="00035FB4" w:rsidRPr="00446CF8" w:rsidRDefault="00035FB4" w:rsidP="00035FB4">
      <w:pPr>
        <w:pStyle w:val="FootnoteText"/>
        <w:rPr>
          <w:rStyle w:val="FootnoteReference"/>
          <w:rFonts w:ascii="Work Sans" w:hAnsi="Work Sans"/>
          <w:sz w:val="24"/>
          <w:szCs w:val="24"/>
        </w:rPr>
      </w:pPr>
      <w:r w:rsidRPr="00446CF8">
        <w:rPr>
          <w:rStyle w:val="FootnoteReference"/>
          <w:rFonts w:ascii="Work Sans" w:hAnsi="Work Sans"/>
          <w:sz w:val="24"/>
          <w:szCs w:val="24"/>
        </w:rPr>
        <w:footnoteRef/>
      </w:r>
      <w:r w:rsidRPr="00446CF8">
        <w:rPr>
          <w:rStyle w:val="FootnoteReference"/>
          <w:rFonts w:ascii="Work Sans" w:hAnsi="Work Sans"/>
          <w:sz w:val="24"/>
          <w:szCs w:val="24"/>
        </w:rPr>
        <w:tab/>
        <w:t xml:space="preserve">The Commission uses weighted average tax rates which means that </w:t>
      </w:r>
      <w:r w:rsidR="00124CC9" w:rsidRPr="00446CF8">
        <w:rPr>
          <w:rStyle w:val="FootnoteReference"/>
          <w:rFonts w:ascii="Work Sans" w:hAnsi="Work Sans"/>
          <w:sz w:val="24"/>
          <w:szCs w:val="24"/>
        </w:rPr>
        <w:t>s</w:t>
      </w:r>
      <w:r w:rsidRPr="00446CF8">
        <w:rPr>
          <w:rStyle w:val="FootnoteReference"/>
          <w:rFonts w:ascii="Work Sans" w:hAnsi="Work Sans"/>
          <w:sz w:val="24"/>
          <w:szCs w:val="24"/>
        </w:rPr>
        <w:t xml:space="preserve">tates with larger shares of a tax base have a bigger influence on the average rate for that tax. In addition to mining royalty revenue, the major </w:t>
      </w:r>
      <w:r w:rsidR="00446CF8" w:rsidRPr="00446CF8">
        <w:rPr>
          <w:rStyle w:val="FootnoteReference"/>
          <w:rFonts w:ascii="Work Sans" w:hAnsi="Work Sans"/>
          <w:sz w:val="24"/>
          <w:szCs w:val="24"/>
        </w:rPr>
        <w:t>s</w:t>
      </w:r>
      <w:r w:rsidRPr="00446CF8">
        <w:rPr>
          <w:rStyle w:val="FootnoteReference"/>
          <w:rFonts w:ascii="Work Sans" w:hAnsi="Work Sans"/>
          <w:sz w:val="24"/>
          <w:szCs w:val="24"/>
        </w:rPr>
        <w:t>tate taxes are payroll tax, land tax, stamp duty on conveyances, insurance tax, and motor taxes.</w:t>
      </w:r>
    </w:p>
  </w:footnote>
  <w:footnote w:id="4">
    <w:p w14:paraId="15D7FC47" w14:textId="06E53468" w:rsidR="00035FB4" w:rsidRPr="00ED34B0" w:rsidRDefault="00035FB4" w:rsidP="00035FB4">
      <w:pPr>
        <w:pStyle w:val="FootnoteText"/>
        <w:rPr>
          <w:rStyle w:val="FootnoteReference"/>
          <w:rFonts w:ascii="Work Sans" w:hAnsi="Work Sans"/>
          <w:sz w:val="24"/>
          <w:szCs w:val="24"/>
        </w:rPr>
      </w:pPr>
      <w:r w:rsidRPr="00ED34B0">
        <w:rPr>
          <w:rStyle w:val="FootnoteReference"/>
          <w:rFonts w:ascii="Work Sans" w:hAnsi="Work Sans"/>
          <w:sz w:val="24"/>
          <w:szCs w:val="24"/>
        </w:rPr>
        <w:footnoteRef/>
      </w:r>
      <w:r w:rsidRPr="00ED34B0">
        <w:rPr>
          <w:rStyle w:val="FootnoteReference"/>
          <w:rFonts w:ascii="Work Sans" w:hAnsi="Work Sans"/>
          <w:sz w:val="24"/>
          <w:szCs w:val="24"/>
        </w:rPr>
        <w:tab/>
        <w:t xml:space="preserve">The Commission makes one adjustment for comparability, it applies a lower rate of duty to land rich transactions by listed corporations to reflect the lower rate of duty </w:t>
      </w:r>
      <w:r w:rsidR="00F1020B" w:rsidRPr="00ED34B0">
        <w:rPr>
          <w:rStyle w:val="FootnoteReference"/>
          <w:rFonts w:ascii="Work Sans" w:hAnsi="Work Sans"/>
          <w:sz w:val="24"/>
          <w:szCs w:val="24"/>
        </w:rPr>
        <w:t>s</w:t>
      </w:r>
      <w:r w:rsidRPr="00ED34B0">
        <w:rPr>
          <w:rStyle w:val="FootnoteReference"/>
          <w:rFonts w:ascii="Work Sans" w:hAnsi="Work Sans"/>
          <w:sz w:val="24"/>
          <w:szCs w:val="24"/>
        </w:rPr>
        <w:t>tates impose on this class of transactions.</w:t>
      </w:r>
    </w:p>
  </w:footnote>
  <w:footnote w:id="5">
    <w:p w14:paraId="19F5F448" w14:textId="02CD24B7" w:rsidR="00035FB4" w:rsidRPr="00446CF8" w:rsidRDefault="00035FB4" w:rsidP="00035FB4">
      <w:pPr>
        <w:pStyle w:val="FootnoteText"/>
        <w:rPr>
          <w:rStyle w:val="FootnoteReference"/>
          <w:rFonts w:ascii="Work Sans" w:hAnsi="Work Sans"/>
          <w:sz w:val="24"/>
          <w:szCs w:val="24"/>
        </w:rPr>
      </w:pPr>
      <w:r w:rsidRPr="00446CF8">
        <w:rPr>
          <w:rStyle w:val="FootnoteReference"/>
          <w:rFonts w:ascii="Work Sans" w:hAnsi="Work Sans"/>
          <w:sz w:val="24"/>
          <w:szCs w:val="24"/>
        </w:rPr>
        <w:footnoteRef/>
      </w:r>
      <w:r w:rsidRPr="00446CF8">
        <w:rPr>
          <w:rStyle w:val="FootnoteReference"/>
          <w:rFonts w:ascii="Work Sans" w:hAnsi="Work Sans"/>
          <w:sz w:val="24"/>
          <w:szCs w:val="24"/>
        </w:rPr>
        <w:tab/>
        <w:t xml:space="preserve">The same result is achieved if the national conveyance revenues are apportioned based on </w:t>
      </w:r>
      <w:r w:rsidR="00446CF8" w:rsidRPr="00446CF8">
        <w:rPr>
          <w:rStyle w:val="FootnoteReference"/>
          <w:rFonts w:ascii="Work Sans" w:hAnsi="Work Sans"/>
          <w:sz w:val="24"/>
          <w:szCs w:val="24"/>
        </w:rPr>
        <w:t>s</w:t>
      </w:r>
      <w:r w:rsidRPr="00446CF8">
        <w:rPr>
          <w:rStyle w:val="FootnoteReference"/>
          <w:rFonts w:ascii="Work Sans" w:hAnsi="Work Sans"/>
          <w:sz w:val="24"/>
          <w:szCs w:val="24"/>
        </w:rPr>
        <w:t>tate shares of the national tax base.</w:t>
      </w:r>
    </w:p>
  </w:footnote>
  <w:footnote w:id="6">
    <w:p w14:paraId="186C7350" w14:textId="77777777" w:rsidR="0070574A" w:rsidRPr="0070574A" w:rsidRDefault="0070574A" w:rsidP="0070574A">
      <w:pPr>
        <w:pStyle w:val="FootnoteText"/>
        <w:rPr>
          <w:rStyle w:val="FootnoteReference"/>
          <w:rFonts w:ascii="Work Sans" w:hAnsi="Work Sans"/>
          <w:sz w:val="24"/>
          <w:szCs w:val="24"/>
        </w:rPr>
      </w:pPr>
      <w:r w:rsidRPr="0070574A">
        <w:rPr>
          <w:rStyle w:val="FootnoteReference"/>
          <w:rFonts w:ascii="Work Sans" w:hAnsi="Work Sans"/>
          <w:sz w:val="24"/>
          <w:szCs w:val="24"/>
        </w:rPr>
        <w:footnoteRef/>
      </w:r>
      <w:r w:rsidRPr="0070574A">
        <w:rPr>
          <w:rStyle w:val="FootnoteReference"/>
          <w:rFonts w:ascii="Work Sans" w:hAnsi="Work Sans"/>
          <w:sz w:val="24"/>
          <w:szCs w:val="24"/>
        </w:rPr>
        <w:tab/>
        <w:t>The Australian Government, GST Distribution Review, Final Report, October 2012.</w:t>
      </w:r>
    </w:p>
  </w:footnote>
  <w:footnote w:id="7">
    <w:p w14:paraId="139088B3" w14:textId="77777777" w:rsidR="0070574A" w:rsidRPr="0070574A" w:rsidRDefault="0070574A" w:rsidP="0070574A">
      <w:pPr>
        <w:pStyle w:val="FootnoteText"/>
        <w:rPr>
          <w:rStyle w:val="FootnoteReference"/>
          <w:rFonts w:ascii="Work Sans" w:hAnsi="Work Sans"/>
          <w:sz w:val="24"/>
          <w:szCs w:val="24"/>
        </w:rPr>
      </w:pPr>
      <w:r w:rsidRPr="0070574A">
        <w:rPr>
          <w:rStyle w:val="FootnoteReference"/>
          <w:rFonts w:ascii="Work Sans" w:hAnsi="Work Sans"/>
          <w:sz w:val="24"/>
          <w:szCs w:val="24"/>
        </w:rPr>
        <w:footnoteRef/>
      </w:r>
      <w:r w:rsidRPr="0070574A">
        <w:rPr>
          <w:rStyle w:val="FootnoteReference"/>
          <w:rFonts w:ascii="Work Sans" w:hAnsi="Work Sans"/>
          <w:sz w:val="24"/>
          <w:szCs w:val="24"/>
        </w:rPr>
        <w:tab/>
        <w:t>Productivity Commission, Report 88, Horizontal Fiscal Equalisation, Canberra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FA85" w14:textId="2D57CF36" w:rsidR="00C87C4C" w:rsidRDefault="00C87C4C">
    <w:pPr>
      <w:pStyle w:val="Header"/>
    </w:pPr>
    <w:r w:rsidRPr="009D2E84">
      <w:rPr>
        <w:rFonts w:ascii="Work Sans" w:hAnsi="Work Sans"/>
        <w:noProof/>
      </w:rPr>
      <w:drawing>
        <wp:anchor distT="0" distB="0" distL="114300" distR="114300" simplePos="0" relativeHeight="251658244" behindDoc="1" locked="1" layoutInCell="1" allowOverlap="1" wp14:anchorId="1CB5103A" wp14:editId="101E2240">
          <wp:simplePos x="0" y="0"/>
          <wp:positionH relativeFrom="page">
            <wp:align>left</wp:align>
          </wp:positionH>
          <wp:positionV relativeFrom="page">
            <wp:align>top</wp:align>
          </wp:positionV>
          <wp:extent cx="7563485" cy="10691495"/>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59C9" w14:textId="713926D7" w:rsidR="00C25219" w:rsidRDefault="00AB73C2">
    <w:pPr>
      <w:pStyle w:val="Header"/>
    </w:pPr>
    <w:r>
      <w:rPr>
        <w:noProof/>
      </w:rPr>
      <w:drawing>
        <wp:anchor distT="0" distB="0" distL="114300" distR="114300" simplePos="0" relativeHeight="251658240" behindDoc="1" locked="0" layoutInCell="1" allowOverlap="1" wp14:anchorId="3D0DD578" wp14:editId="34A479C4">
          <wp:simplePos x="0" y="0"/>
          <wp:positionH relativeFrom="column">
            <wp:posOffset>-899907</wp:posOffset>
          </wp:positionH>
          <wp:positionV relativeFrom="paragraph">
            <wp:posOffset>-469723</wp:posOffset>
          </wp:positionV>
          <wp:extent cx="7562789" cy="10689589"/>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2789" cy="10689589"/>
                  </a:xfrm>
                  <a:prstGeom prst="rect">
                    <a:avLst/>
                  </a:prstGeom>
                </pic:spPr>
              </pic:pic>
            </a:graphicData>
          </a:graphic>
          <wp14:sizeRelH relativeFrom="margin">
            <wp14:pctWidth>0</wp14:pctWidth>
          </wp14:sizeRelH>
          <wp14:sizeRelV relativeFrom="margin">
            <wp14:pctHeight>0</wp14:pctHeight>
          </wp14:sizeRelV>
        </wp:anchor>
      </w:drawing>
    </w:r>
    <w:r w:rsidR="003759A1">
      <w:rPr>
        <w:noProof/>
      </w:rPr>
      <w:drawing>
        <wp:anchor distT="0" distB="0" distL="114300" distR="114300" simplePos="0" relativeHeight="251658243" behindDoc="1" locked="0" layoutInCell="1" allowOverlap="1" wp14:anchorId="5E0448FF" wp14:editId="3893EFC1">
          <wp:simplePos x="0" y="0"/>
          <wp:positionH relativeFrom="column">
            <wp:posOffset>-923290</wp:posOffset>
          </wp:positionH>
          <wp:positionV relativeFrom="paragraph">
            <wp:posOffset>10351135</wp:posOffset>
          </wp:positionV>
          <wp:extent cx="7580630" cy="1069149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7580630" cy="10691495"/>
                  </a:xfrm>
                  <a:prstGeom prst="rect">
                    <a:avLst/>
                  </a:prstGeom>
                </pic:spPr>
              </pic:pic>
            </a:graphicData>
          </a:graphic>
          <wp14:sizeRelH relativeFrom="margin">
            <wp14:pctWidth>0</wp14:pctWidth>
          </wp14:sizeRelH>
          <wp14:sizeRelV relativeFrom="margin">
            <wp14:pctHeight>0</wp14:pctHeight>
          </wp14:sizeRelV>
        </wp:anchor>
      </w:drawing>
    </w:r>
    <w:r w:rsidR="00A345CD">
      <w:rPr>
        <w:noProof/>
      </w:rPr>
      <w:drawing>
        <wp:anchor distT="0" distB="0" distL="114300" distR="114300" simplePos="0" relativeHeight="251658242" behindDoc="1" locked="0" layoutInCell="1" allowOverlap="1" wp14:anchorId="2CFE1E5C" wp14:editId="795823A5">
          <wp:simplePos x="0" y="0"/>
          <wp:positionH relativeFrom="column">
            <wp:posOffset>-900430</wp:posOffset>
          </wp:positionH>
          <wp:positionV relativeFrom="paragraph">
            <wp:posOffset>10362565</wp:posOffset>
          </wp:positionV>
          <wp:extent cx="7580630" cy="10691495"/>
          <wp:effectExtent l="0" t="0" r="127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
                    <a:extLst>
                      <a:ext uri="{28A0092B-C50C-407E-A947-70E740481C1C}">
                        <a14:useLocalDpi xmlns:a14="http://schemas.microsoft.com/office/drawing/2010/main" val="0"/>
                      </a:ext>
                    </a:extLst>
                  </a:blip>
                  <a:stretch>
                    <a:fillRect/>
                  </a:stretch>
                </pic:blipFill>
                <pic:spPr>
                  <a:xfrm>
                    <a:off x="0" y="0"/>
                    <a:ext cx="7580630" cy="10691495"/>
                  </a:xfrm>
                  <a:prstGeom prst="rect">
                    <a:avLst/>
                  </a:prstGeom>
                </pic:spPr>
              </pic:pic>
            </a:graphicData>
          </a:graphic>
          <wp14:sizeRelH relativeFrom="margin">
            <wp14:pctWidth>0</wp14:pctWidth>
          </wp14:sizeRelH>
          <wp14:sizeRelV relativeFrom="margin">
            <wp14:pctHeight>0</wp14:pctHeight>
          </wp14:sizeRelV>
        </wp:anchor>
      </w:drawing>
    </w:r>
    <w:r w:rsidR="00C25219" w:rsidRPr="00410188">
      <w:rPr>
        <w:rFonts w:ascii="Open Sans Semibold" w:hAnsi="Open Sans Semibold" w:cs="Open Sans Semibold"/>
        <w:bCs/>
        <w:noProof/>
        <w:sz w:val="40"/>
        <w:szCs w:val="40"/>
        <w:lang w:val="en-US"/>
      </w:rPr>
      <w:drawing>
        <wp:anchor distT="0" distB="0" distL="114300" distR="114300" simplePos="0" relativeHeight="251658241" behindDoc="1" locked="0" layoutInCell="1" allowOverlap="1" wp14:anchorId="355101D3" wp14:editId="6682A560">
          <wp:simplePos x="0" y="0"/>
          <wp:positionH relativeFrom="column">
            <wp:posOffset>-1037590</wp:posOffset>
          </wp:positionH>
          <wp:positionV relativeFrom="paragraph">
            <wp:posOffset>10328275</wp:posOffset>
          </wp:positionV>
          <wp:extent cx="7683500" cy="10836275"/>
          <wp:effectExtent l="38100" t="38100" r="63500" b="349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7683500" cy="10836275"/>
                  </a:xfrm>
                  <a:prstGeom prst="rect">
                    <a:avLst/>
                  </a:prstGeom>
                  <a:noFill/>
                  <a:ln w="88900" cap="sq">
                    <a:noFill/>
                    <a:miter lim="800000"/>
                  </a:ln>
                  <a:effectLst>
                    <a:outerShdw blurRad="55000" dist="18000" dir="5400000" algn="tl" rotWithShape="0">
                      <a:srgbClr val="000000">
                        <a:alpha val="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CFA"/>
    <w:multiLevelType w:val="hybridMultilevel"/>
    <w:tmpl w:val="BCC2C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50"/>
    <w:rsid w:val="00000BDE"/>
    <w:rsid w:val="000116C8"/>
    <w:rsid w:val="00015AA3"/>
    <w:rsid w:val="00021947"/>
    <w:rsid w:val="00035FB4"/>
    <w:rsid w:val="0004124A"/>
    <w:rsid w:val="00087905"/>
    <w:rsid w:val="000E308A"/>
    <w:rsid w:val="00124CC9"/>
    <w:rsid w:val="001938B1"/>
    <w:rsid w:val="001B7465"/>
    <w:rsid w:val="001D4EC5"/>
    <w:rsid w:val="001E7596"/>
    <w:rsid w:val="001F5D95"/>
    <w:rsid w:val="00215FAE"/>
    <w:rsid w:val="00216E54"/>
    <w:rsid w:val="00250980"/>
    <w:rsid w:val="00251EA1"/>
    <w:rsid w:val="002B21C5"/>
    <w:rsid w:val="002D77E0"/>
    <w:rsid w:val="002D7BC8"/>
    <w:rsid w:val="00307C95"/>
    <w:rsid w:val="003322F9"/>
    <w:rsid w:val="00341E89"/>
    <w:rsid w:val="003740A7"/>
    <w:rsid w:val="003759A1"/>
    <w:rsid w:val="003926FD"/>
    <w:rsid w:val="003A3A55"/>
    <w:rsid w:val="003D7B72"/>
    <w:rsid w:val="003E712E"/>
    <w:rsid w:val="00401316"/>
    <w:rsid w:val="004211AE"/>
    <w:rsid w:val="00440A17"/>
    <w:rsid w:val="00446CF8"/>
    <w:rsid w:val="00450068"/>
    <w:rsid w:val="0045179C"/>
    <w:rsid w:val="004570BD"/>
    <w:rsid w:val="004664DE"/>
    <w:rsid w:val="004C1015"/>
    <w:rsid w:val="004C78B6"/>
    <w:rsid w:val="004F085D"/>
    <w:rsid w:val="00515E0B"/>
    <w:rsid w:val="00523892"/>
    <w:rsid w:val="00530885"/>
    <w:rsid w:val="0056508B"/>
    <w:rsid w:val="0059532F"/>
    <w:rsid w:val="005B10C9"/>
    <w:rsid w:val="005C0550"/>
    <w:rsid w:val="005C7470"/>
    <w:rsid w:val="005D7039"/>
    <w:rsid w:val="005E5E7E"/>
    <w:rsid w:val="005F4638"/>
    <w:rsid w:val="005F726E"/>
    <w:rsid w:val="00622EFD"/>
    <w:rsid w:val="00656980"/>
    <w:rsid w:val="00667FA9"/>
    <w:rsid w:val="00670411"/>
    <w:rsid w:val="00684FA2"/>
    <w:rsid w:val="006A5C29"/>
    <w:rsid w:val="006B3DF2"/>
    <w:rsid w:val="006D0926"/>
    <w:rsid w:val="006D0EE5"/>
    <w:rsid w:val="006E34F1"/>
    <w:rsid w:val="006E3A99"/>
    <w:rsid w:val="006E6000"/>
    <w:rsid w:val="006F7B83"/>
    <w:rsid w:val="00701F04"/>
    <w:rsid w:val="0070574A"/>
    <w:rsid w:val="007134CB"/>
    <w:rsid w:val="00715AB4"/>
    <w:rsid w:val="00747B0A"/>
    <w:rsid w:val="00750796"/>
    <w:rsid w:val="007563EC"/>
    <w:rsid w:val="00767F93"/>
    <w:rsid w:val="0079243C"/>
    <w:rsid w:val="007A13A9"/>
    <w:rsid w:val="007A4A32"/>
    <w:rsid w:val="007B6002"/>
    <w:rsid w:val="007C094E"/>
    <w:rsid w:val="007C7618"/>
    <w:rsid w:val="007D4A44"/>
    <w:rsid w:val="0081796D"/>
    <w:rsid w:val="00831124"/>
    <w:rsid w:val="00855A3E"/>
    <w:rsid w:val="00876CC3"/>
    <w:rsid w:val="008B3F9B"/>
    <w:rsid w:val="008D1F4D"/>
    <w:rsid w:val="0090290D"/>
    <w:rsid w:val="00911412"/>
    <w:rsid w:val="0091458D"/>
    <w:rsid w:val="00916CC2"/>
    <w:rsid w:val="0093510B"/>
    <w:rsid w:val="00961B1B"/>
    <w:rsid w:val="00962EFF"/>
    <w:rsid w:val="009717B0"/>
    <w:rsid w:val="009851B4"/>
    <w:rsid w:val="0099154D"/>
    <w:rsid w:val="009C0009"/>
    <w:rsid w:val="009C0CEC"/>
    <w:rsid w:val="009C308D"/>
    <w:rsid w:val="009C33A4"/>
    <w:rsid w:val="009D2E84"/>
    <w:rsid w:val="00A345CD"/>
    <w:rsid w:val="00A3565C"/>
    <w:rsid w:val="00AA6E51"/>
    <w:rsid w:val="00AB73C2"/>
    <w:rsid w:val="00AD53D2"/>
    <w:rsid w:val="00AE144E"/>
    <w:rsid w:val="00B075B6"/>
    <w:rsid w:val="00B340D1"/>
    <w:rsid w:val="00B37111"/>
    <w:rsid w:val="00B417A0"/>
    <w:rsid w:val="00B63E92"/>
    <w:rsid w:val="00B76B58"/>
    <w:rsid w:val="00BD6764"/>
    <w:rsid w:val="00C25219"/>
    <w:rsid w:val="00C25C96"/>
    <w:rsid w:val="00C31054"/>
    <w:rsid w:val="00C60281"/>
    <w:rsid w:val="00C67275"/>
    <w:rsid w:val="00C7448A"/>
    <w:rsid w:val="00C87C4C"/>
    <w:rsid w:val="00C9327A"/>
    <w:rsid w:val="00C951E3"/>
    <w:rsid w:val="00CA4A07"/>
    <w:rsid w:val="00CF6965"/>
    <w:rsid w:val="00D1357D"/>
    <w:rsid w:val="00D13585"/>
    <w:rsid w:val="00D30BA4"/>
    <w:rsid w:val="00D460F7"/>
    <w:rsid w:val="00D51135"/>
    <w:rsid w:val="00D669DC"/>
    <w:rsid w:val="00D838D7"/>
    <w:rsid w:val="00D91674"/>
    <w:rsid w:val="00D92B20"/>
    <w:rsid w:val="00DB7DF9"/>
    <w:rsid w:val="00DE4B9A"/>
    <w:rsid w:val="00DE7562"/>
    <w:rsid w:val="00DE7B01"/>
    <w:rsid w:val="00DF6D26"/>
    <w:rsid w:val="00E2763F"/>
    <w:rsid w:val="00E32EEC"/>
    <w:rsid w:val="00E54A46"/>
    <w:rsid w:val="00E704ED"/>
    <w:rsid w:val="00E84ADE"/>
    <w:rsid w:val="00EA2DE7"/>
    <w:rsid w:val="00EA7ACB"/>
    <w:rsid w:val="00EB44D3"/>
    <w:rsid w:val="00EC0F01"/>
    <w:rsid w:val="00EC31DC"/>
    <w:rsid w:val="00ED34B0"/>
    <w:rsid w:val="00F1020B"/>
    <w:rsid w:val="00F16FD0"/>
    <w:rsid w:val="00F52EC6"/>
    <w:rsid w:val="00F543E5"/>
    <w:rsid w:val="00F55CCD"/>
    <w:rsid w:val="00F66DED"/>
    <w:rsid w:val="00F7169B"/>
    <w:rsid w:val="00F7543A"/>
    <w:rsid w:val="00F75FB0"/>
    <w:rsid w:val="00F81249"/>
    <w:rsid w:val="00F8305F"/>
    <w:rsid w:val="00F87EFE"/>
    <w:rsid w:val="00FD0DCA"/>
    <w:rsid w:val="00FD4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6998"/>
  <w15:chartTrackingRefBased/>
  <w15:docId w15:val="{AC0D29EF-0AF7-41AE-8A12-6391765A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550"/>
    <w:pPr>
      <w:tabs>
        <w:tab w:val="left" w:pos="567"/>
      </w:tabs>
      <w:spacing w:before="120" w:line="254" w:lineRule="auto"/>
    </w:pPr>
    <w:rPr>
      <w:rFonts w:ascii="Open Sans Light" w:hAnsi="Open Sans Light"/>
      <w:sz w:val="20"/>
      <w:szCs w:val="22"/>
    </w:rPr>
  </w:style>
  <w:style w:type="paragraph" w:styleId="Heading1">
    <w:name w:val="heading 1"/>
    <w:basedOn w:val="CGCSubHead"/>
    <w:next w:val="Normal"/>
    <w:link w:val="Heading1Char"/>
    <w:uiPriority w:val="9"/>
    <w:qFormat/>
    <w:rsid w:val="00F8305F"/>
    <w:pPr>
      <w:spacing w:before="360"/>
      <w:outlineLvl w:val="0"/>
    </w:pPr>
    <w:rPr>
      <w:sz w:val="40"/>
      <w:szCs w:val="40"/>
    </w:rPr>
  </w:style>
  <w:style w:type="paragraph" w:styleId="Heading2">
    <w:name w:val="heading 2"/>
    <w:basedOn w:val="CGCSubHead"/>
    <w:next w:val="Normal"/>
    <w:link w:val="Heading2Char"/>
    <w:uiPriority w:val="9"/>
    <w:unhideWhenUsed/>
    <w:qFormat/>
    <w:rsid w:val="00F8305F"/>
    <w:pPr>
      <w:spacing w:before="360"/>
      <w:outlineLvl w:val="1"/>
    </w:pPr>
    <w:rPr>
      <w:sz w:val="36"/>
      <w:szCs w:val="36"/>
    </w:rPr>
  </w:style>
  <w:style w:type="paragraph" w:styleId="Heading3">
    <w:name w:val="heading 3"/>
    <w:basedOn w:val="CGCSubHead"/>
    <w:next w:val="Normal"/>
    <w:link w:val="Heading3Char"/>
    <w:uiPriority w:val="9"/>
    <w:unhideWhenUsed/>
    <w:qFormat/>
    <w:rsid w:val="00F8305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550"/>
    <w:pPr>
      <w:tabs>
        <w:tab w:val="center" w:pos="4513"/>
        <w:tab w:val="right" w:pos="9026"/>
      </w:tabs>
    </w:pPr>
  </w:style>
  <w:style w:type="character" w:customStyle="1" w:styleId="HeaderChar">
    <w:name w:val="Header Char"/>
    <w:basedOn w:val="DefaultParagraphFont"/>
    <w:link w:val="Header"/>
    <w:uiPriority w:val="99"/>
    <w:rsid w:val="005C0550"/>
  </w:style>
  <w:style w:type="paragraph" w:styleId="Footer">
    <w:name w:val="footer"/>
    <w:basedOn w:val="Normal"/>
    <w:link w:val="FooterChar"/>
    <w:uiPriority w:val="99"/>
    <w:unhideWhenUsed/>
    <w:rsid w:val="005C0550"/>
    <w:pPr>
      <w:tabs>
        <w:tab w:val="center" w:pos="4513"/>
        <w:tab w:val="right" w:pos="9026"/>
      </w:tabs>
    </w:pPr>
  </w:style>
  <w:style w:type="character" w:customStyle="1" w:styleId="FooterChar">
    <w:name w:val="Footer Char"/>
    <w:basedOn w:val="DefaultParagraphFont"/>
    <w:link w:val="Footer"/>
    <w:uiPriority w:val="99"/>
    <w:rsid w:val="005C0550"/>
  </w:style>
  <w:style w:type="paragraph" w:styleId="Caption">
    <w:name w:val="caption"/>
    <w:basedOn w:val="Normal"/>
    <w:next w:val="Normal"/>
    <w:link w:val="CaptionChar"/>
    <w:qFormat/>
    <w:rsid w:val="005C0550"/>
    <w:pPr>
      <w:keepNext/>
      <w:keepLines/>
      <w:tabs>
        <w:tab w:val="clear" w:pos="567"/>
        <w:tab w:val="left" w:pos="1134"/>
        <w:tab w:val="left" w:pos="1418"/>
      </w:tabs>
      <w:spacing w:before="240" w:after="120" w:line="240" w:lineRule="auto"/>
      <w:ind w:left="1134" w:hanging="1134"/>
    </w:pPr>
    <w:rPr>
      <w:b/>
      <w:bCs/>
      <w:szCs w:val="20"/>
    </w:rPr>
  </w:style>
  <w:style w:type="character" w:customStyle="1" w:styleId="CaptionChar">
    <w:name w:val="Caption Char"/>
    <w:basedOn w:val="DefaultParagraphFont"/>
    <w:link w:val="Caption"/>
    <w:rsid w:val="005C0550"/>
    <w:rPr>
      <w:rFonts w:ascii="Open Sans Light" w:hAnsi="Open Sans Light"/>
      <w:b/>
      <w:bCs/>
      <w:sz w:val="20"/>
      <w:szCs w:val="20"/>
    </w:rPr>
  </w:style>
  <w:style w:type="paragraph" w:customStyle="1" w:styleId="CGCTablenote">
    <w:name w:val="CGC Table note"/>
    <w:basedOn w:val="Normal"/>
    <w:next w:val="Normal"/>
    <w:qFormat/>
    <w:rsid w:val="005C0550"/>
    <w:pPr>
      <w:tabs>
        <w:tab w:val="left" w:pos="680"/>
      </w:tabs>
      <w:spacing w:before="40" w:line="240" w:lineRule="auto"/>
      <w:ind w:left="340" w:hanging="227"/>
    </w:pPr>
    <w:rPr>
      <w:sz w:val="14"/>
    </w:rPr>
  </w:style>
  <w:style w:type="paragraph" w:styleId="BodyText">
    <w:name w:val="Body Text"/>
    <w:link w:val="BodyTextChar"/>
    <w:qFormat/>
    <w:rsid w:val="005C0550"/>
    <w:pPr>
      <w:spacing w:before="240" w:line="300" w:lineRule="atLeast"/>
      <w:jc w:val="both"/>
    </w:pPr>
    <w:rPr>
      <w:rFonts w:ascii="Open Sans Light" w:eastAsia="Times New Roman" w:hAnsi="Open Sans Light" w:cs="Times New Roman"/>
      <w:szCs w:val="20"/>
      <w:lang w:eastAsia="en-AU"/>
    </w:rPr>
  </w:style>
  <w:style w:type="character" w:customStyle="1" w:styleId="BodyTextChar">
    <w:name w:val="Body Text Char"/>
    <w:basedOn w:val="DefaultParagraphFont"/>
    <w:link w:val="BodyText"/>
    <w:rsid w:val="005C0550"/>
    <w:rPr>
      <w:rFonts w:ascii="Open Sans Light" w:eastAsia="Times New Roman" w:hAnsi="Open Sans Light" w:cs="Times New Roman"/>
      <w:szCs w:val="20"/>
      <w:lang w:eastAsia="en-AU"/>
    </w:rPr>
  </w:style>
  <w:style w:type="character" w:customStyle="1" w:styleId="normaltextrun">
    <w:name w:val="normaltextrun"/>
    <w:basedOn w:val="DefaultParagraphFont"/>
    <w:rsid w:val="005C0550"/>
  </w:style>
  <w:style w:type="paragraph" w:customStyle="1" w:styleId="CGCBodyCopy">
    <w:name w:val="CGC Body Copy"/>
    <w:basedOn w:val="Normal"/>
    <w:autoRedefine/>
    <w:qFormat/>
    <w:rsid w:val="00C9327A"/>
    <w:pPr>
      <w:jc w:val="both"/>
    </w:pPr>
    <w:rPr>
      <w:rFonts w:cs="Cambria Math"/>
      <w:color w:val="000000"/>
      <w:sz w:val="24"/>
      <w:szCs w:val="21"/>
      <w:shd w:val="clear" w:color="auto" w:fill="FFFFFF"/>
    </w:rPr>
  </w:style>
  <w:style w:type="paragraph" w:customStyle="1" w:styleId="CGCSubHead">
    <w:name w:val="CGC Sub Head"/>
    <w:autoRedefine/>
    <w:qFormat/>
    <w:rsid w:val="00F8305F"/>
    <w:pPr>
      <w:spacing w:before="240" w:after="200" w:line="276" w:lineRule="auto"/>
    </w:pPr>
    <w:rPr>
      <w:rFonts w:ascii="Work Sans" w:eastAsiaTheme="majorEastAsia" w:hAnsi="Work Sans" w:cs="Open Sans"/>
      <w:b/>
      <w:bCs/>
      <w:color w:val="006991"/>
      <w:sz w:val="28"/>
      <w:szCs w:val="28"/>
    </w:rPr>
  </w:style>
  <w:style w:type="character" w:styleId="Hyperlink">
    <w:name w:val="Hyperlink"/>
    <w:basedOn w:val="DefaultParagraphFont"/>
    <w:uiPriority w:val="99"/>
    <w:unhideWhenUsed/>
    <w:rsid w:val="008B3F9B"/>
    <w:rPr>
      <w:color w:val="006991" w:themeColor="hyperlink"/>
      <w:u w:val="single"/>
    </w:rPr>
  </w:style>
  <w:style w:type="character" w:styleId="UnresolvedMention">
    <w:name w:val="Unresolved Mention"/>
    <w:basedOn w:val="DefaultParagraphFont"/>
    <w:uiPriority w:val="99"/>
    <w:semiHidden/>
    <w:unhideWhenUsed/>
    <w:rsid w:val="008B3F9B"/>
    <w:rPr>
      <w:color w:val="605E5C"/>
      <w:shd w:val="clear" w:color="auto" w:fill="E1DFDD"/>
    </w:rPr>
  </w:style>
  <w:style w:type="character" w:styleId="PageNumber">
    <w:name w:val="page number"/>
    <w:basedOn w:val="DefaultParagraphFont"/>
    <w:uiPriority w:val="99"/>
    <w:semiHidden/>
    <w:unhideWhenUsed/>
    <w:rsid w:val="008B3F9B"/>
  </w:style>
  <w:style w:type="character" w:customStyle="1" w:styleId="Heading1Char">
    <w:name w:val="Heading 1 Char"/>
    <w:basedOn w:val="DefaultParagraphFont"/>
    <w:link w:val="Heading1"/>
    <w:uiPriority w:val="9"/>
    <w:rsid w:val="00F8305F"/>
    <w:rPr>
      <w:rFonts w:ascii="Work Sans" w:eastAsiaTheme="majorEastAsia" w:hAnsi="Work Sans" w:cs="Open Sans"/>
      <w:b/>
      <w:bCs/>
      <w:color w:val="006991"/>
      <w:sz w:val="40"/>
      <w:szCs w:val="40"/>
    </w:rPr>
  </w:style>
  <w:style w:type="character" w:customStyle="1" w:styleId="Heading2Char">
    <w:name w:val="Heading 2 Char"/>
    <w:basedOn w:val="DefaultParagraphFont"/>
    <w:link w:val="Heading2"/>
    <w:uiPriority w:val="9"/>
    <w:rsid w:val="00F8305F"/>
    <w:rPr>
      <w:rFonts w:ascii="Work Sans" w:eastAsiaTheme="majorEastAsia" w:hAnsi="Work Sans" w:cs="Open Sans"/>
      <w:b/>
      <w:bCs/>
      <w:color w:val="006991"/>
      <w:sz w:val="36"/>
      <w:szCs w:val="36"/>
    </w:rPr>
  </w:style>
  <w:style w:type="character" w:customStyle="1" w:styleId="Heading3Char">
    <w:name w:val="Heading 3 Char"/>
    <w:basedOn w:val="DefaultParagraphFont"/>
    <w:link w:val="Heading3"/>
    <w:uiPriority w:val="9"/>
    <w:rsid w:val="00F8305F"/>
    <w:rPr>
      <w:rFonts w:ascii="Work Sans" w:eastAsiaTheme="majorEastAsia" w:hAnsi="Work Sans" w:cs="Open Sans"/>
      <w:b/>
      <w:bCs/>
      <w:color w:val="006991"/>
      <w:sz w:val="28"/>
      <w:szCs w:val="28"/>
    </w:rPr>
  </w:style>
  <w:style w:type="paragraph" w:styleId="NormalWeb">
    <w:name w:val="Normal (Web)"/>
    <w:basedOn w:val="Normal"/>
    <w:uiPriority w:val="99"/>
    <w:unhideWhenUsed/>
    <w:rsid w:val="00C87C4C"/>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qFormat/>
    <w:rsid w:val="0091458D"/>
    <w:rPr>
      <w:rFonts w:ascii="Open Sans Light" w:hAnsi="Open Sans Light"/>
      <w:vertAlign w:val="superscript"/>
    </w:rPr>
  </w:style>
  <w:style w:type="paragraph" w:styleId="FootnoteText">
    <w:name w:val="footnote text"/>
    <w:basedOn w:val="Normal"/>
    <w:link w:val="FootnoteTextChar"/>
    <w:qFormat/>
    <w:rsid w:val="0091458D"/>
    <w:pPr>
      <w:tabs>
        <w:tab w:val="clear" w:pos="567"/>
        <w:tab w:val="left" w:pos="680"/>
      </w:tabs>
      <w:spacing w:before="0" w:after="40" w:line="240" w:lineRule="auto"/>
      <w:ind w:left="113" w:hanging="113"/>
      <w:jc w:val="both"/>
    </w:pPr>
    <w:rPr>
      <w:spacing w:val="-10"/>
      <w:sz w:val="15"/>
      <w:szCs w:val="20"/>
    </w:rPr>
  </w:style>
  <w:style w:type="character" w:customStyle="1" w:styleId="FootnoteTextChar">
    <w:name w:val="Footnote Text Char"/>
    <w:basedOn w:val="DefaultParagraphFont"/>
    <w:link w:val="FootnoteText"/>
    <w:rsid w:val="0091458D"/>
    <w:rPr>
      <w:rFonts w:ascii="Open Sans Light" w:hAnsi="Open Sans Light"/>
      <w:spacing w:val="-10"/>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g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CGC Colour Themes">
      <a:dk1>
        <a:srgbClr val="004562"/>
      </a:dk1>
      <a:lt1>
        <a:srgbClr val="FFFFFF"/>
      </a:lt1>
      <a:dk2>
        <a:srgbClr val="004562"/>
      </a:dk2>
      <a:lt2>
        <a:srgbClr val="E7E6E6"/>
      </a:lt2>
      <a:accent1>
        <a:srgbClr val="004563"/>
      </a:accent1>
      <a:accent2>
        <a:srgbClr val="0092C8"/>
      </a:accent2>
      <a:accent3>
        <a:srgbClr val="CC5E12"/>
      </a:accent3>
      <a:accent4>
        <a:srgbClr val="EDAB16"/>
      </a:accent4>
      <a:accent5>
        <a:srgbClr val="008069"/>
      </a:accent5>
      <a:accent6>
        <a:srgbClr val="00CE87"/>
      </a:accent6>
      <a:hlink>
        <a:srgbClr val="006991"/>
      </a:hlink>
      <a:folHlink>
        <a:srgbClr val="93EA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9839F97DA84EAC43A7FB852BABF8" ma:contentTypeVersion="10" ma:contentTypeDescription="Create a new document." ma:contentTypeScope="" ma:versionID="5d39d10a32ccba9c96e4777a503aeead">
  <xsd:schema xmlns:xsd="http://www.w3.org/2001/XMLSchema" xmlns:xs="http://www.w3.org/2001/XMLSchema" xmlns:p="http://schemas.microsoft.com/office/2006/metadata/properties" xmlns:ns2="fddab0a8-5dcd-452e-8920-feabfc03300f" xmlns:ns3="3b147965-d003-4c9e-9913-90f0d9e77379" targetNamespace="http://schemas.microsoft.com/office/2006/metadata/properties" ma:root="true" ma:fieldsID="77dc74ff3cf2b8b3397f2f35b7aae2c9" ns2:_="" ns3:_="">
    <xsd:import namespace="fddab0a8-5dcd-452e-8920-feabfc03300f"/>
    <xsd:import namespace="3b147965-d003-4c9e-9913-90f0d9e773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b0a8-5dcd-452e-8920-feabfc033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47965-d003-4c9e-9913-90f0d9e773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2C549-57C7-43A0-B5D9-B1E48215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b0a8-5dcd-452e-8920-feabfc03300f"/>
    <ds:schemaRef ds:uri="3b147965-d003-4c9e-9913-90f0d9e77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FEE77-DB88-48B5-976E-1D87DFA759C3}">
  <ds:schemaRefs>
    <ds:schemaRef ds:uri="http://schemas.openxmlformats.org/officeDocument/2006/bibliography"/>
  </ds:schemaRefs>
</ds:datastoreItem>
</file>

<file path=customXml/itemProps3.xml><?xml version="1.0" encoding="utf-8"?>
<ds:datastoreItem xmlns:ds="http://schemas.openxmlformats.org/officeDocument/2006/customXml" ds:itemID="{52979382-591B-49F4-B835-508E57F947A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b147965-d003-4c9e-9913-90f0d9e77379"/>
    <ds:schemaRef ds:uri="fddab0a8-5dcd-452e-8920-feabfc03300f"/>
    <ds:schemaRef ds:uri="http://www.w3.org/XML/1998/namespace"/>
  </ds:schemaRefs>
</ds:datastoreItem>
</file>

<file path=customXml/itemProps4.xml><?xml version="1.0" encoding="utf-8"?>
<ds:datastoreItem xmlns:ds="http://schemas.openxmlformats.org/officeDocument/2006/customXml" ds:itemID="{49494F84-814F-4EE2-B308-02A3D0AE8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Links>
    <vt:vector size="12" baseType="variant">
      <vt:variant>
        <vt:i4>5373952</vt:i4>
      </vt:variant>
      <vt:variant>
        <vt:i4>0</vt:i4>
      </vt:variant>
      <vt:variant>
        <vt:i4>0</vt:i4>
      </vt:variant>
      <vt:variant>
        <vt:i4>5</vt:i4>
      </vt:variant>
      <vt:variant>
        <vt:lpwstr>https://creativecommons.org/licenses/by/4.0/legalcode</vt:lpwstr>
      </vt:variant>
      <vt:variant>
        <vt:lpwstr/>
      </vt:variant>
      <vt:variant>
        <vt:i4>7602221</vt:i4>
      </vt:variant>
      <vt:variant>
        <vt:i4>5</vt:i4>
      </vt:variant>
      <vt:variant>
        <vt:i4>0</vt:i4>
      </vt:variant>
      <vt:variant>
        <vt:i4>5</vt:i4>
      </vt:variant>
      <vt:variant>
        <vt:lpwstr>http://www.cgc.gov.au/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Warder</dc:creator>
  <cp:keywords/>
  <dc:description/>
  <cp:lastModifiedBy>Ben Crabb</cp:lastModifiedBy>
  <cp:revision>2</cp:revision>
  <cp:lastPrinted>2021-09-01T05:38:00Z</cp:lastPrinted>
  <dcterms:created xsi:type="dcterms:W3CDTF">2022-04-12T06:16:00Z</dcterms:created>
  <dcterms:modified xsi:type="dcterms:W3CDTF">2022-04-12T06:16:00Z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0x0101009AEA9839F97DA84EAC43A7FB852BABF8</vt:lpwstr>
  </property>
</Properties>
</file>