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5B4E8" w14:textId="77777777" w:rsidR="004C78B6" w:rsidRDefault="006E6000" w:rsidP="004C78B6">
      <w:r>
        <w:rPr>
          <w:noProof/>
        </w:rPr>
        <w:drawing>
          <wp:anchor distT="0" distB="0" distL="114300" distR="114300" simplePos="0" relativeHeight="251675648" behindDoc="1" locked="0" layoutInCell="1" allowOverlap="1" wp14:anchorId="3D64AA06" wp14:editId="59DB768E">
            <wp:simplePos x="0" y="0"/>
            <wp:positionH relativeFrom="column">
              <wp:posOffset>-901700</wp:posOffset>
            </wp:positionH>
            <wp:positionV relativeFrom="paragraph">
              <wp:posOffset>-1260475</wp:posOffset>
            </wp:positionV>
            <wp:extent cx="7725600" cy="10922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25600" cy="10922400"/>
                    </a:xfrm>
                    <a:prstGeom prst="rect">
                      <a:avLst/>
                    </a:prstGeom>
                  </pic:spPr>
                </pic:pic>
              </a:graphicData>
            </a:graphic>
            <wp14:sizeRelH relativeFrom="margin">
              <wp14:pctWidth>0</wp14:pctWidth>
            </wp14:sizeRelH>
            <wp14:sizeRelV relativeFrom="margin">
              <wp14:pctHeight>0</wp14:pctHeight>
            </wp14:sizeRelV>
          </wp:anchor>
        </w:drawing>
      </w:r>
      <w:r w:rsidR="004C78B6">
        <w:rPr>
          <w:noProof/>
        </w:rPr>
        <w:drawing>
          <wp:inline distT="0" distB="0" distL="0" distR="0" wp14:anchorId="535FFF46" wp14:editId="24D10A88">
            <wp:extent cx="2441749" cy="460926"/>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2597" cy="496952"/>
                    </a:xfrm>
                    <a:prstGeom prst="rect">
                      <a:avLst/>
                    </a:prstGeom>
                  </pic:spPr>
                </pic:pic>
              </a:graphicData>
            </a:graphic>
          </wp:inline>
        </w:drawing>
      </w:r>
    </w:p>
    <w:p w14:paraId="78D9F228" w14:textId="77777777" w:rsidR="004C78B6" w:rsidRPr="00962EFF" w:rsidRDefault="004C78B6" w:rsidP="00962EFF">
      <w:pPr>
        <w:rPr>
          <w:rFonts w:ascii="Work Sans" w:hAnsi="Work Sans"/>
        </w:rPr>
      </w:pPr>
    </w:p>
    <w:p w14:paraId="5C2BEC7B" w14:textId="77777777" w:rsidR="004C78B6" w:rsidRPr="00962EFF" w:rsidRDefault="004C78B6" w:rsidP="00962EFF">
      <w:pPr>
        <w:rPr>
          <w:rFonts w:ascii="Work Sans" w:hAnsi="Work Sans"/>
        </w:rPr>
      </w:pPr>
    </w:p>
    <w:p w14:paraId="1C1BFF94" w14:textId="77777777" w:rsidR="00D838D7" w:rsidRPr="00962EFF" w:rsidRDefault="00D838D7" w:rsidP="00962EFF">
      <w:pPr>
        <w:rPr>
          <w:rFonts w:ascii="Work Sans" w:hAnsi="Work Sans"/>
        </w:rPr>
      </w:pPr>
    </w:p>
    <w:p w14:paraId="7928A2E2" w14:textId="77777777" w:rsidR="00AD53D2" w:rsidRPr="00962EFF" w:rsidRDefault="00AD53D2" w:rsidP="00962EFF">
      <w:pPr>
        <w:rPr>
          <w:rFonts w:ascii="Work Sans" w:hAnsi="Work Sans"/>
        </w:rPr>
      </w:pPr>
    </w:p>
    <w:p w14:paraId="26FDBB4E" w14:textId="77777777" w:rsidR="00AD53D2" w:rsidRPr="00962EFF" w:rsidRDefault="00AD53D2" w:rsidP="00962EFF">
      <w:pPr>
        <w:rPr>
          <w:rFonts w:ascii="Work Sans" w:hAnsi="Work Sans"/>
        </w:rPr>
      </w:pPr>
    </w:p>
    <w:p w14:paraId="6F0754E8" w14:textId="77777777" w:rsidR="00AD53D2" w:rsidRPr="00962EFF" w:rsidRDefault="00AD53D2" w:rsidP="00962EFF">
      <w:pPr>
        <w:rPr>
          <w:rFonts w:ascii="Work Sans" w:hAnsi="Work Sans"/>
        </w:rPr>
      </w:pPr>
    </w:p>
    <w:p w14:paraId="0751439E" w14:textId="77777777" w:rsidR="00AD53D2" w:rsidRPr="00962EFF" w:rsidRDefault="00EC0F01"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77696" behindDoc="0" locked="0" layoutInCell="1" allowOverlap="1" wp14:anchorId="028DBEAE" wp14:editId="12D8C054">
                <wp:simplePos x="0" y="0"/>
                <wp:positionH relativeFrom="column">
                  <wp:posOffset>43658</wp:posOffset>
                </wp:positionH>
                <wp:positionV relativeFrom="paragraph">
                  <wp:posOffset>79260</wp:posOffset>
                </wp:positionV>
                <wp:extent cx="5183580" cy="894080"/>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5183580" cy="894080"/>
                        </a:xfrm>
                        <a:prstGeom prst="rect">
                          <a:avLst/>
                        </a:prstGeom>
                        <a:noFill/>
                        <a:ln w="6350">
                          <a:noFill/>
                        </a:ln>
                      </wps:spPr>
                      <wps:txbx>
                        <w:txbxContent>
                          <w:p w14:paraId="39D9A7F7" w14:textId="77777777" w:rsidR="00AD53D2" w:rsidRPr="00B417A0" w:rsidRDefault="00962EFF" w:rsidP="00AD53D2">
                            <w:pPr>
                              <w:rPr>
                                <w:rFonts w:ascii="Work Sans" w:hAnsi="Work Sans" w:cs="Open Sans"/>
                                <w:b/>
                                <w:bCs/>
                                <w:color w:val="FFFFFF"/>
                                <w:sz w:val="84"/>
                                <w:szCs w:val="84"/>
                              </w:rPr>
                            </w:pPr>
                            <w:r>
                              <w:rPr>
                                <w:rFonts w:ascii="Work Sans" w:hAnsi="Work Sans" w:cs="Open Sans"/>
                                <w:b/>
                                <w:bCs/>
                                <w:color w:val="FFFFFF"/>
                                <w:sz w:val="84"/>
                                <w:szCs w:val="84"/>
                              </w:rPr>
                              <w:t>Occasional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DBEAE" id="_x0000_t202" coordsize="21600,21600" o:spt="202" path="m,l,21600r21600,l21600,xe">
                <v:stroke joinstyle="miter"/>
                <v:path gradientshapeok="t" o:connecttype="rect"/>
              </v:shapetype>
              <v:shape id="Text Box 13" o:spid="_x0000_s1026" type="#_x0000_t202" style="position:absolute;margin-left:3.45pt;margin-top:6.25pt;width:408.15pt;height:7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" filled="f" stroked="f" strokeweight=".5pt">
                <v:textbox>
                  <w:txbxContent>
                    <w:p w14:paraId="39D9A7F7" w14:textId="77777777" w:rsidR="00AD53D2" w:rsidRPr="00B417A0" w:rsidRDefault="00962EFF" w:rsidP="00AD53D2">
                      <w:pPr>
                        <w:rPr>
                          <w:rFonts w:ascii="Work Sans" w:hAnsi="Work Sans" w:cs="Open Sans"/>
                          <w:b/>
                          <w:bCs/>
                          <w:color w:val="FFFFFF"/>
                          <w:sz w:val="84"/>
                          <w:szCs w:val="84"/>
                        </w:rPr>
                      </w:pPr>
                      <w:r>
                        <w:rPr>
                          <w:rFonts w:ascii="Work Sans" w:hAnsi="Work Sans" w:cs="Open Sans"/>
                          <w:b/>
                          <w:bCs/>
                          <w:color w:val="FFFFFF"/>
                          <w:sz w:val="84"/>
                          <w:szCs w:val="84"/>
                        </w:rPr>
                        <w:t>Occasional Paper</w:t>
                      </w:r>
                    </w:p>
                  </w:txbxContent>
                </v:textbox>
              </v:shape>
            </w:pict>
          </mc:Fallback>
        </mc:AlternateContent>
      </w:r>
    </w:p>
    <w:p w14:paraId="539BB746" w14:textId="77777777" w:rsidR="00AD53D2" w:rsidRPr="00962EFF" w:rsidRDefault="00AD53D2" w:rsidP="00962EFF">
      <w:pPr>
        <w:rPr>
          <w:rFonts w:ascii="Work Sans" w:hAnsi="Work Sans"/>
        </w:rPr>
      </w:pPr>
    </w:p>
    <w:p w14:paraId="17D2DF16" w14:textId="77777777" w:rsidR="00AD53D2" w:rsidRPr="00962EFF" w:rsidRDefault="00AD53D2" w:rsidP="00962EFF">
      <w:pPr>
        <w:rPr>
          <w:rFonts w:ascii="Work Sans" w:hAnsi="Work Sans"/>
        </w:rPr>
      </w:pPr>
    </w:p>
    <w:p w14:paraId="0FC4FCA0" w14:textId="77777777" w:rsidR="00AD53D2" w:rsidRDefault="00AD53D2" w:rsidP="00962EFF">
      <w:pPr>
        <w:rPr>
          <w:rFonts w:ascii="Work Sans" w:hAnsi="Work Sans"/>
        </w:rPr>
      </w:pPr>
    </w:p>
    <w:p w14:paraId="131C515B" w14:textId="77777777" w:rsidR="00962EFF" w:rsidRDefault="00962EFF" w:rsidP="00962EFF">
      <w:pPr>
        <w:rPr>
          <w:rFonts w:ascii="Work Sans" w:hAnsi="Work Sans"/>
        </w:rPr>
      </w:pPr>
    </w:p>
    <w:p w14:paraId="4069D19F" w14:textId="77777777" w:rsidR="00962EFF" w:rsidRPr="00962EFF" w:rsidRDefault="00962EFF" w:rsidP="00962EFF">
      <w:pPr>
        <w:rPr>
          <w:rFonts w:ascii="Work Sans" w:hAnsi="Work Sans"/>
        </w:rPr>
      </w:pPr>
    </w:p>
    <w:p w14:paraId="369B9821" w14:textId="77777777" w:rsidR="00AD53D2" w:rsidRPr="00962EFF" w:rsidRDefault="00EC0F01"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78720" behindDoc="0" locked="0" layoutInCell="1" allowOverlap="1" wp14:anchorId="205702F4" wp14:editId="45190A1B">
                <wp:simplePos x="0" y="0"/>
                <wp:positionH relativeFrom="margin">
                  <wp:align>left</wp:align>
                </wp:positionH>
                <wp:positionV relativeFrom="paragraph">
                  <wp:posOffset>13335</wp:posOffset>
                </wp:positionV>
                <wp:extent cx="4924425" cy="1157844"/>
                <wp:effectExtent l="0" t="0" r="0" b="4445"/>
                <wp:wrapNone/>
                <wp:docPr id="14" name="Text Box 14"/>
                <wp:cNvGraphicFramePr/>
                <a:graphic xmlns:a="http://schemas.openxmlformats.org/drawingml/2006/main">
                  <a:graphicData uri="http://schemas.microsoft.com/office/word/2010/wordprocessingShape">
                    <wps:wsp>
                      <wps:cNvSpPr txBox="1"/>
                      <wps:spPr>
                        <a:xfrm>
                          <a:off x="0" y="0"/>
                          <a:ext cx="4924425" cy="1157844"/>
                        </a:xfrm>
                        <a:prstGeom prst="rect">
                          <a:avLst/>
                        </a:prstGeom>
                        <a:noFill/>
                        <a:ln w="6350">
                          <a:noFill/>
                        </a:ln>
                      </wps:spPr>
                      <wps:txbx>
                        <w:txbxContent>
                          <w:p w14:paraId="191D67A1" w14:textId="77777777" w:rsidR="00AD53D2" w:rsidRPr="00B417A0" w:rsidRDefault="00962EFF" w:rsidP="00AD53D2">
                            <w:pPr>
                              <w:rPr>
                                <w:rFonts w:ascii="Work Sans" w:hAnsi="Work Sans" w:cs="Open Sans"/>
                                <w:color w:val="FFFFFF"/>
                                <w:sz w:val="48"/>
                                <w:szCs w:val="48"/>
                              </w:rPr>
                            </w:pPr>
                            <w:r>
                              <w:rPr>
                                <w:rFonts w:ascii="Work Sans" w:hAnsi="Work Sans" w:cs="Open Sans"/>
                                <w:color w:val="FFFFFF"/>
                                <w:sz w:val="48"/>
                                <w:szCs w:val="48"/>
                              </w:rPr>
                              <w:t>No</w:t>
                            </w:r>
                            <w:r w:rsidR="00C87C4C">
                              <w:rPr>
                                <w:rFonts w:ascii="Work Sans" w:hAnsi="Work Sans" w:cs="Open Sans"/>
                                <w:color w:val="FFFFFF"/>
                                <w:sz w:val="48"/>
                                <w:szCs w:val="48"/>
                              </w:rPr>
                              <w:t>.</w:t>
                            </w:r>
                            <w:r w:rsidR="009F6587">
                              <w:rPr>
                                <w:rFonts w:ascii="Work Sans" w:hAnsi="Work Sans" w:cs="Open Sans"/>
                                <w:color w:val="FFFFFF"/>
                                <w:sz w:val="48"/>
                                <w:szCs w:val="48"/>
                              </w:rPr>
                              <w:t>1</w:t>
                            </w:r>
                            <w:r w:rsidR="00C87C4C">
                              <w:rPr>
                                <w:rFonts w:ascii="Work Sans" w:hAnsi="Work Sans" w:cs="Open Sans"/>
                                <w:color w:val="FFFFFF"/>
                                <w:sz w:val="48"/>
                                <w:szCs w:val="48"/>
                              </w:rPr>
                              <w:t xml:space="preserve">: </w:t>
                            </w:r>
                            <w:r w:rsidR="00E64948">
                              <w:rPr>
                                <w:rFonts w:ascii="Work Sans" w:hAnsi="Work Sans" w:cs="Open Sans"/>
                                <w:color w:val="FFFFFF"/>
                                <w:sz w:val="48"/>
                                <w:szCs w:val="48"/>
                              </w:rPr>
                              <w:t>Impact of the COVID-19 pandemic on GST distribution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702F4" id="Text Box 14" o:spid="_x0000_s1027" type="#_x0000_t202" style="position:absolute;margin-left:0;margin-top:1.05pt;width:387.75pt;height:91.1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" filled="f" stroked="f" strokeweight=".5pt">
                <v:textbox>
                  <w:txbxContent>
                    <w:p w14:paraId="191D67A1" w14:textId="77777777" w:rsidR="00AD53D2" w:rsidRPr="00B417A0" w:rsidRDefault="00962EFF" w:rsidP="00AD53D2">
                      <w:pPr>
                        <w:rPr>
                          <w:rFonts w:ascii="Work Sans" w:hAnsi="Work Sans" w:cs="Open Sans"/>
                          <w:color w:val="FFFFFF"/>
                          <w:sz w:val="48"/>
                          <w:szCs w:val="48"/>
                        </w:rPr>
                      </w:pPr>
                      <w:r>
                        <w:rPr>
                          <w:rFonts w:ascii="Work Sans" w:hAnsi="Work Sans" w:cs="Open Sans"/>
                          <w:color w:val="FFFFFF"/>
                          <w:sz w:val="48"/>
                          <w:szCs w:val="48"/>
                        </w:rPr>
                        <w:t>No</w:t>
                      </w:r>
                      <w:r w:rsidR="00C87C4C">
                        <w:rPr>
                          <w:rFonts w:ascii="Work Sans" w:hAnsi="Work Sans" w:cs="Open Sans"/>
                          <w:color w:val="FFFFFF"/>
                          <w:sz w:val="48"/>
                          <w:szCs w:val="48"/>
                        </w:rPr>
                        <w:t>.</w:t>
                      </w:r>
                      <w:r w:rsidR="009F6587">
                        <w:rPr>
                          <w:rFonts w:ascii="Work Sans" w:hAnsi="Work Sans" w:cs="Open Sans"/>
                          <w:color w:val="FFFFFF"/>
                          <w:sz w:val="48"/>
                          <w:szCs w:val="48"/>
                        </w:rPr>
                        <w:t>1</w:t>
                      </w:r>
                      <w:r w:rsidR="00C87C4C">
                        <w:rPr>
                          <w:rFonts w:ascii="Work Sans" w:hAnsi="Work Sans" w:cs="Open Sans"/>
                          <w:color w:val="FFFFFF"/>
                          <w:sz w:val="48"/>
                          <w:szCs w:val="48"/>
                        </w:rPr>
                        <w:t xml:space="preserve">: </w:t>
                      </w:r>
                      <w:r w:rsidR="00E64948">
                        <w:rPr>
                          <w:rFonts w:ascii="Work Sans" w:hAnsi="Work Sans" w:cs="Open Sans"/>
                          <w:color w:val="FFFFFF"/>
                          <w:sz w:val="48"/>
                          <w:szCs w:val="48"/>
                        </w:rPr>
                        <w:t>Impact of the COVID-19 pandemic on GST distribution</w:t>
                      </w:r>
                    </w:p>
                  </w:txbxContent>
                </v:textbox>
                <w10:wrap anchorx="margin"/>
              </v:shape>
            </w:pict>
          </mc:Fallback>
        </mc:AlternateContent>
      </w:r>
    </w:p>
    <w:p w14:paraId="0A27FBE3" w14:textId="77777777" w:rsidR="00AD53D2" w:rsidRPr="00962EFF" w:rsidRDefault="00AD53D2" w:rsidP="00962EFF">
      <w:pPr>
        <w:rPr>
          <w:rFonts w:ascii="Work Sans" w:hAnsi="Work Sans"/>
        </w:rPr>
      </w:pPr>
    </w:p>
    <w:p w14:paraId="3AF6FB66" w14:textId="77777777" w:rsidR="00AD53D2" w:rsidRPr="00962EFF" w:rsidRDefault="00AD53D2" w:rsidP="00962EFF">
      <w:pPr>
        <w:rPr>
          <w:rFonts w:ascii="Work Sans" w:hAnsi="Work Sans"/>
        </w:rPr>
      </w:pPr>
    </w:p>
    <w:p w14:paraId="301739EB" w14:textId="77777777" w:rsidR="00AD53D2" w:rsidRPr="00962EFF" w:rsidRDefault="00AD53D2" w:rsidP="00962EFF">
      <w:pPr>
        <w:rPr>
          <w:rFonts w:ascii="Work Sans" w:hAnsi="Work Sans"/>
        </w:rPr>
      </w:pPr>
    </w:p>
    <w:p w14:paraId="0615B940" w14:textId="77777777" w:rsidR="00AD53D2" w:rsidRPr="00962EFF" w:rsidRDefault="00AD53D2" w:rsidP="00962EFF">
      <w:pPr>
        <w:rPr>
          <w:rFonts w:ascii="Work Sans" w:hAnsi="Work Sans"/>
        </w:rPr>
      </w:pPr>
    </w:p>
    <w:p w14:paraId="0A708DAA" w14:textId="77777777" w:rsidR="00C87C4C" w:rsidRDefault="00C87C4C" w:rsidP="00962EFF">
      <w:pPr>
        <w:rPr>
          <w:rFonts w:ascii="Work Sans" w:hAnsi="Work Sans"/>
        </w:rPr>
      </w:pPr>
    </w:p>
    <w:p w14:paraId="1AF77C31" w14:textId="77777777" w:rsidR="00C87C4C" w:rsidRDefault="00C87C4C" w:rsidP="00962EFF">
      <w:pPr>
        <w:rPr>
          <w:rFonts w:ascii="Work Sans" w:hAnsi="Work Sans"/>
        </w:rPr>
      </w:pPr>
    </w:p>
    <w:p w14:paraId="23641794" w14:textId="77777777" w:rsidR="00C87C4C" w:rsidRDefault="00C87C4C" w:rsidP="00962EFF">
      <w:pPr>
        <w:rPr>
          <w:rFonts w:ascii="Work Sans" w:hAnsi="Work Sans"/>
        </w:rPr>
      </w:pPr>
    </w:p>
    <w:p w14:paraId="51E94FF2" w14:textId="77777777" w:rsidR="00C87C4C" w:rsidRDefault="00C87C4C" w:rsidP="00962EFF">
      <w:pPr>
        <w:rPr>
          <w:rFonts w:ascii="Work Sans" w:hAnsi="Work Sans"/>
        </w:rPr>
      </w:pPr>
    </w:p>
    <w:p w14:paraId="7EACE62E" w14:textId="77777777" w:rsidR="00C87C4C" w:rsidRDefault="00C87C4C" w:rsidP="00962EFF">
      <w:pPr>
        <w:rPr>
          <w:rFonts w:ascii="Work Sans" w:hAnsi="Work Sans"/>
        </w:rPr>
      </w:pPr>
    </w:p>
    <w:p w14:paraId="4A0768CC" w14:textId="77777777" w:rsidR="00C87C4C" w:rsidRDefault="00C87C4C" w:rsidP="00962EFF">
      <w:pPr>
        <w:rPr>
          <w:rFonts w:ascii="Work Sans" w:hAnsi="Work Sans"/>
        </w:rPr>
      </w:pPr>
    </w:p>
    <w:p w14:paraId="194C3E24" w14:textId="77777777" w:rsidR="00C87C4C" w:rsidRDefault="00C87C4C" w:rsidP="00962EFF">
      <w:pPr>
        <w:rPr>
          <w:rFonts w:ascii="Work Sans" w:hAnsi="Work Sans"/>
        </w:rPr>
      </w:pPr>
    </w:p>
    <w:p w14:paraId="1CF8B15D" w14:textId="77777777" w:rsidR="00AD53D2" w:rsidRPr="00962EFF" w:rsidRDefault="00F8305F" w:rsidP="00962EFF">
      <w:pPr>
        <w:rPr>
          <w:rFonts w:ascii="Work Sans" w:hAnsi="Work Sans"/>
        </w:rPr>
      </w:pPr>
      <w:r w:rsidRPr="00962EFF">
        <w:rPr>
          <w:rFonts w:ascii="Work Sans" w:hAnsi="Work Sans"/>
          <w:noProof/>
        </w:rPr>
        <mc:AlternateContent>
          <mc:Choice Requires="wps">
            <w:drawing>
              <wp:anchor distT="0" distB="0" distL="114300" distR="114300" simplePos="0" relativeHeight="251679744" behindDoc="0" locked="0" layoutInCell="1" allowOverlap="1" wp14:anchorId="6CA581E0" wp14:editId="247466F0">
                <wp:simplePos x="0" y="0"/>
                <wp:positionH relativeFrom="margin">
                  <wp:align>left</wp:align>
                </wp:positionH>
                <wp:positionV relativeFrom="paragraph">
                  <wp:posOffset>73660</wp:posOffset>
                </wp:positionV>
                <wp:extent cx="1704975" cy="43938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04975" cy="439387"/>
                        </a:xfrm>
                        <a:prstGeom prst="rect">
                          <a:avLst/>
                        </a:prstGeom>
                        <a:noFill/>
                        <a:ln w="6350">
                          <a:noFill/>
                        </a:ln>
                      </wps:spPr>
                      <wps:txbx>
                        <w:txbxContent>
                          <w:p w14:paraId="372D4293" w14:textId="77777777" w:rsidR="00AD53D2" w:rsidRPr="00F8305F" w:rsidRDefault="00E755CE" w:rsidP="00AD53D2">
                            <w:pPr>
                              <w:rPr>
                                <w:rFonts w:ascii="Work Sans" w:hAnsi="Work Sans" w:cs="Open Sans"/>
                                <w:color w:val="FFFFFF"/>
                                <w:sz w:val="28"/>
                                <w:szCs w:val="28"/>
                              </w:rPr>
                            </w:pPr>
                            <w:r>
                              <w:rPr>
                                <w:rFonts w:ascii="Work Sans" w:hAnsi="Work Sans" w:cs="Open Sans"/>
                                <w:color w:val="FFFFFF"/>
                                <w:sz w:val="28"/>
                                <w:szCs w:val="28"/>
                              </w:rPr>
                              <w:t>December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581E0" id="Text Box 15" o:spid="_x0000_s1028" type="#_x0000_t202" style="position:absolute;margin-left:0;margin-top:5.8pt;width:134.25pt;height:34.6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" filled="f" stroked="f" strokeweight=".5pt">
                <v:textbox>
                  <w:txbxContent>
                    <w:p w14:paraId="372D4293" w14:textId="77777777" w:rsidR="00AD53D2" w:rsidRPr="00F8305F" w:rsidRDefault="00E755CE" w:rsidP="00AD53D2">
                      <w:pPr>
                        <w:rPr>
                          <w:rFonts w:ascii="Work Sans" w:hAnsi="Work Sans" w:cs="Open Sans"/>
                          <w:color w:val="FFFFFF"/>
                          <w:sz w:val="28"/>
                          <w:szCs w:val="28"/>
                        </w:rPr>
                      </w:pPr>
                      <w:r>
                        <w:rPr>
                          <w:rFonts w:ascii="Work Sans" w:hAnsi="Work Sans" w:cs="Open Sans"/>
                          <w:color w:val="FFFFFF"/>
                          <w:sz w:val="28"/>
                          <w:szCs w:val="28"/>
                        </w:rPr>
                        <w:t>December 2020</w:t>
                      </w:r>
                    </w:p>
                  </w:txbxContent>
                </v:textbox>
                <w10:wrap anchorx="margin"/>
              </v:shape>
            </w:pict>
          </mc:Fallback>
        </mc:AlternateContent>
      </w:r>
    </w:p>
    <w:p w14:paraId="0BB8FECD" w14:textId="77777777" w:rsidR="00AD53D2" w:rsidRPr="00962EFF" w:rsidRDefault="00AD53D2" w:rsidP="00962EFF">
      <w:pPr>
        <w:rPr>
          <w:rFonts w:ascii="Work Sans" w:hAnsi="Work Sans"/>
        </w:rPr>
      </w:pPr>
    </w:p>
    <w:p w14:paraId="5313B2EC" w14:textId="77777777" w:rsidR="00AD53D2" w:rsidRPr="00962EFF" w:rsidRDefault="00AD53D2" w:rsidP="00962EFF">
      <w:pPr>
        <w:rPr>
          <w:rFonts w:ascii="Work Sans" w:hAnsi="Work Sans"/>
        </w:rPr>
      </w:pPr>
    </w:p>
    <w:p w14:paraId="35C3E745" w14:textId="77777777" w:rsidR="00AD53D2" w:rsidRPr="00962EFF" w:rsidRDefault="00AD53D2" w:rsidP="00962EFF">
      <w:pPr>
        <w:rPr>
          <w:rFonts w:ascii="Work Sans" w:hAnsi="Work Sans"/>
        </w:rPr>
      </w:pPr>
    </w:p>
    <w:p w14:paraId="378C0C3F" w14:textId="77777777" w:rsidR="00AD53D2" w:rsidRPr="00962EFF" w:rsidRDefault="00AD53D2" w:rsidP="00962EFF">
      <w:pPr>
        <w:rPr>
          <w:rFonts w:ascii="Work Sans" w:hAnsi="Work Sans"/>
        </w:rPr>
      </w:pPr>
    </w:p>
    <w:p w14:paraId="12BE9FFC" w14:textId="77777777" w:rsidR="00AD53D2" w:rsidRPr="00962EFF" w:rsidRDefault="00AD53D2" w:rsidP="00962EFF">
      <w:pPr>
        <w:rPr>
          <w:rFonts w:ascii="Work Sans" w:hAnsi="Work Sans"/>
        </w:rPr>
      </w:pPr>
    </w:p>
    <w:p w14:paraId="360C4AE2" w14:textId="77777777" w:rsidR="00AD53D2" w:rsidRPr="00962EFF" w:rsidRDefault="00AD53D2" w:rsidP="00962EFF">
      <w:pPr>
        <w:rPr>
          <w:rFonts w:ascii="Work Sans" w:hAnsi="Work Sans"/>
        </w:rPr>
      </w:pPr>
    </w:p>
    <w:p w14:paraId="10A18CC2" w14:textId="77777777" w:rsidR="00D838D7" w:rsidRPr="00962EFF" w:rsidRDefault="00D838D7" w:rsidP="00962EFF">
      <w:pPr>
        <w:rPr>
          <w:rFonts w:ascii="Work Sans" w:hAnsi="Work Sans"/>
        </w:rPr>
      </w:pPr>
    </w:p>
    <w:p w14:paraId="20A19AFC" w14:textId="77777777" w:rsidR="00C87C4C" w:rsidRDefault="00C87C4C" w:rsidP="00962EFF">
      <w:pPr>
        <w:rPr>
          <w:rFonts w:ascii="Work Sans" w:hAnsi="Work Sans"/>
        </w:rPr>
        <w:sectPr w:rsidR="00C87C4C" w:rsidSect="004C78B6">
          <w:headerReference w:type="default" r:id="rId13"/>
          <w:footerReference w:type="even" r:id="rId14"/>
          <w:footerReference w:type="default" r:id="rId15"/>
          <w:headerReference w:type="first" r:id="rId16"/>
          <w:pgSz w:w="11900" w:h="16840"/>
          <w:pgMar w:top="1985" w:right="1418" w:bottom="1418" w:left="1418" w:header="709" w:footer="284" w:gutter="0"/>
          <w:pgNumType w:start="1"/>
          <w:cols w:space="708"/>
          <w:docGrid w:linePitch="360"/>
        </w:sectPr>
      </w:pPr>
    </w:p>
    <w:p w14:paraId="72C38B56" w14:textId="77777777" w:rsidR="00C87C4C" w:rsidRDefault="00C87C4C" w:rsidP="00962EFF">
      <w:pPr>
        <w:rPr>
          <w:rFonts w:ascii="Work Sans" w:hAnsi="Work Sans"/>
        </w:rPr>
      </w:pPr>
    </w:p>
    <w:p w14:paraId="52C5619F" w14:textId="77777777" w:rsidR="00C87C4C" w:rsidRDefault="00C87C4C" w:rsidP="00962EFF">
      <w:pPr>
        <w:rPr>
          <w:rFonts w:ascii="Work Sans" w:hAnsi="Work Sans"/>
        </w:rPr>
      </w:pPr>
    </w:p>
    <w:p w14:paraId="793EE281" w14:textId="77777777" w:rsidR="00C87C4C" w:rsidRDefault="00C87C4C" w:rsidP="00962EFF">
      <w:pPr>
        <w:rPr>
          <w:rFonts w:ascii="Work Sans" w:hAnsi="Work Sans"/>
        </w:rPr>
      </w:pPr>
    </w:p>
    <w:p w14:paraId="7C847595" w14:textId="77777777" w:rsidR="00C87C4C" w:rsidRDefault="00C87C4C" w:rsidP="00962EFF">
      <w:pPr>
        <w:rPr>
          <w:rFonts w:ascii="Work Sans" w:hAnsi="Work Sans"/>
        </w:rPr>
      </w:pPr>
    </w:p>
    <w:p w14:paraId="009FC5C0" w14:textId="77777777" w:rsidR="00C87C4C" w:rsidRDefault="00C87C4C" w:rsidP="00962EFF">
      <w:pPr>
        <w:rPr>
          <w:rFonts w:ascii="Work Sans" w:hAnsi="Work Sans"/>
        </w:rPr>
      </w:pPr>
    </w:p>
    <w:p w14:paraId="0C720A87" w14:textId="77777777" w:rsidR="00C87C4C" w:rsidRDefault="00C87C4C" w:rsidP="00962EFF">
      <w:pPr>
        <w:rPr>
          <w:rFonts w:ascii="Work Sans" w:hAnsi="Work Sans"/>
        </w:rPr>
      </w:pPr>
    </w:p>
    <w:p w14:paraId="0E0AA43B" w14:textId="77777777" w:rsidR="00C87C4C" w:rsidRDefault="00C87C4C" w:rsidP="00962EFF">
      <w:pPr>
        <w:rPr>
          <w:rFonts w:ascii="Work Sans" w:hAnsi="Work Sans"/>
        </w:rPr>
      </w:pPr>
    </w:p>
    <w:p w14:paraId="494B197A" w14:textId="77777777" w:rsidR="00C87C4C" w:rsidRDefault="00C87C4C" w:rsidP="00962EFF">
      <w:pPr>
        <w:rPr>
          <w:rFonts w:ascii="Work Sans" w:hAnsi="Work Sans"/>
        </w:rPr>
      </w:pPr>
    </w:p>
    <w:p w14:paraId="611D3BB1" w14:textId="77777777" w:rsidR="00C87C4C" w:rsidRDefault="00C87C4C" w:rsidP="00962EFF">
      <w:pPr>
        <w:rPr>
          <w:rFonts w:ascii="Work Sans" w:hAnsi="Work Sans"/>
        </w:rPr>
      </w:pPr>
    </w:p>
    <w:p w14:paraId="3987D9B5" w14:textId="77777777" w:rsidR="00C87C4C" w:rsidRDefault="00C87C4C" w:rsidP="00962EFF">
      <w:pPr>
        <w:rPr>
          <w:rFonts w:ascii="Work Sans" w:hAnsi="Work Sans"/>
        </w:rPr>
      </w:pPr>
    </w:p>
    <w:p w14:paraId="2BB7B784" w14:textId="77777777" w:rsidR="00C87C4C" w:rsidRDefault="00C87C4C" w:rsidP="00962EFF">
      <w:pPr>
        <w:rPr>
          <w:rFonts w:ascii="Work Sans" w:hAnsi="Work Sans"/>
        </w:rPr>
      </w:pPr>
    </w:p>
    <w:p w14:paraId="420816B9" w14:textId="77777777" w:rsidR="00C87C4C" w:rsidRPr="00C3472D" w:rsidRDefault="00C87C4C" w:rsidP="00C87C4C">
      <w:pPr>
        <w:pStyle w:val="NormalWeb"/>
        <w:rPr>
          <w:rFonts w:ascii="Work Sans" w:hAnsi="Work Sans"/>
          <w:b/>
          <w:bCs/>
          <w:color w:val="000000"/>
        </w:rPr>
      </w:pPr>
      <w:r w:rsidRPr="00C3472D">
        <w:rPr>
          <w:rFonts w:ascii="Work Sans" w:hAnsi="Work Sans"/>
          <w:b/>
          <w:bCs/>
          <w:color w:val="000000"/>
        </w:rPr>
        <w:t>Copyright</w:t>
      </w:r>
    </w:p>
    <w:p w14:paraId="4B5C93E5" w14:textId="77777777" w:rsidR="00C87C4C" w:rsidRPr="00C3472D" w:rsidRDefault="00C87C4C" w:rsidP="00C87C4C">
      <w:pPr>
        <w:pStyle w:val="NormalWeb"/>
        <w:rPr>
          <w:rFonts w:ascii="Work Sans" w:hAnsi="Work Sans"/>
          <w:color w:val="000000"/>
        </w:rPr>
      </w:pPr>
      <w:r w:rsidRPr="00C3472D">
        <w:rPr>
          <w:rFonts w:ascii="Work Sans" w:hAnsi="Work Sans"/>
          <w:color w:val="000000"/>
        </w:rPr>
        <w:t>© Commonwealth of Australia 202</w:t>
      </w:r>
      <w:r>
        <w:rPr>
          <w:rFonts w:ascii="Work Sans" w:hAnsi="Work Sans"/>
          <w:color w:val="000000"/>
        </w:rPr>
        <w:t>2</w:t>
      </w:r>
    </w:p>
    <w:p w14:paraId="39A2861E" w14:textId="77777777" w:rsidR="00C87C4C" w:rsidRDefault="00C87C4C" w:rsidP="00C87C4C">
      <w:pPr>
        <w:pStyle w:val="NormalWeb"/>
        <w:rPr>
          <w:rFonts w:ascii="Work Sans" w:hAnsi="Work Sans"/>
          <w:color w:val="000000"/>
        </w:rPr>
      </w:pPr>
      <w:proofErr w:type="gramStart"/>
      <w:r w:rsidRPr="00C3472D">
        <w:rPr>
          <w:rFonts w:ascii="Work Sans" w:hAnsi="Work Sans"/>
          <w:color w:val="000000"/>
        </w:rPr>
        <w:t>With the exception of</w:t>
      </w:r>
      <w:proofErr w:type="gramEnd"/>
      <w:r w:rsidRPr="00C3472D">
        <w:rPr>
          <w:rFonts w:ascii="Work Sans" w:hAnsi="Work Sans"/>
          <w:color w:val="000000"/>
        </w:rPr>
        <w:t xml:space="preserve"> the Commonwealth Coat of Arms, all material presented in this document is provided under Creative Commons Attribution 4.0 (https://creativecommons.org/licenses/by/4.0/) licence. The details of the relevant licence conditions are available on the Creative Commons website as is the full legal code for CC BY 4.0 International (</w:t>
      </w:r>
      <w:hyperlink r:id="rId17" w:history="1">
        <w:r w:rsidRPr="00DC711F">
          <w:rPr>
            <w:rStyle w:val="Hyperlink"/>
            <w:rFonts w:ascii="Work Sans" w:hAnsi="Work Sans"/>
          </w:rPr>
          <w:t>https://creativecommons.org/licenses/by/4.0/legalcode</w:t>
        </w:r>
      </w:hyperlink>
      <w:r w:rsidRPr="00C3472D">
        <w:rPr>
          <w:rFonts w:ascii="Work Sans" w:hAnsi="Work Sans"/>
          <w:color w:val="000000"/>
        </w:rPr>
        <w:t>).</w:t>
      </w:r>
    </w:p>
    <w:p w14:paraId="2B000324" w14:textId="77777777" w:rsidR="00C87C4C" w:rsidRPr="00C3472D" w:rsidRDefault="00C87C4C" w:rsidP="00C87C4C">
      <w:pPr>
        <w:pStyle w:val="NormalWeb"/>
        <w:rPr>
          <w:rFonts w:ascii="Work Sans" w:hAnsi="Work Sans"/>
          <w:color w:val="000000"/>
        </w:rPr>
      </w:pPr>
      <w:r w:rsidRPr="000A2C87">
        <w:rPr>
          <w:noProof/>
          <w:sz w:val="20"/>
          <w:szCs w:val="20"/>
        </w:rPr>
        <w:drawing>
          <wp:inline distT="0" distB="0" distL="0" distR="0" wp14:anchorId="209DC2B5" wp14:editId="5F435219">
            <wp:extent cx="828675" cy="295275"/>
            <wp:effectExtent l="19050" t="0" r="9525" b="0"/>
            <wp:docPr id="1" name="Picture 1" descr="Creative Commons -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8" cstate="print"/>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3A85588A" w14:textId="77777777" w:rsidR="00C87C4C" w:rsidRPr="00C3472D" w:rsidRDefault="00C87C4C" w:rsidP="00C87C4C">
      <w:pPr>
        <w:pStyle w:val="NormalWeb"/>
        <w:rPr>
          <w:rFonts w:ascii="Work Sans" w:hAnsi="Work Sans"/>
          <w:b/>
          <w:bCs/>
          <w:color w:val="000000"/>
        </w:rPr>
      </w:pPr>
      <w:r w:rsidRPr="00C3472D">
        <w:rPr>
          <w:rFonts w:ascii="Work Sans" w:hAnsi="Work Sans"/>
          <w:b/>
          <w:bCs/>
          <w:color w:val="000000"/>
        </w:rPr>
        <w:t>Attribution</w:t>
      </w:r>
    </w:p>
    <w:p w14:paraId="28A28585" w14:textId="77777777" w:rsidR="00C87C4C" w:rsidRPr="00C3472D" w:rsidRDefault="00C87C4C" w:rsidP="00C87C4C">
      <w:pPr>
        <w:pStyle w:val="NormalWeb"/>
        <w:rPr>
          <w:rFonts w:ascii="Work Sans" w:hAnsi="Work Sans"/>
          <w:color w:val="000000"/>
        </w:rPr>
      </w:pPr>
      <w:r w:rsidRPr="00C3472D">
        <w:rPr>
          <w:rFonts w:ascii="Work Sans" w:hAnsi="Work Sans"/>
          <w:color w:val="000000"/>
        </w:rPr>
        <w:t xml:space="preserve">The recommended attribution for this document is Commonwealth Grants Commission, Occasional Paper </w:t>
      </w:r>
      <w:r w:rsidRPr="00E755CE">
        <w:rPr>
          <w:rFonts w:ascii="Work Sans" w:hAnsi="Work Sans"/>
          <w:color w:val="000000"/>
        </w:rPr>
        <w:t xml:space="preserve">No. </w:t>
      </w:r>
      <w:r w:rsidR="00E755CE" w:rsidRPr="00E755CE">
        <w:rPr>
          <w:rFonts w:ascii="Work Sans" w:hAnsi="Work Sans"/>
          <w:color w:val="000000"/>
        </w:rPr>
        <w:t>1: Impact of the COVID-19 pandemic on GST distribution</w:t>
      </w:r>
      <w:r w:rsidRPr="00E755CE">
        <w:rPr>
          <w:rFonts w:ascii="Work Sans" w:hAnsi="Work Sans"/>
          <w:color w:val="000000"/>
        </w:rPr>
        <w:t>.</w:t>
      </w:r>
    </w:p>
    <w:p w14:paraId="7DE8FB8E" w14:textId="77777777" w:rsidR="00C87C4C" w:rsidRDefault="00C87C4C" w:rsidP="00C87C4C">
      <w:pPr>
        <w:pStyle w:val="NormalWeb"/>
        <w:rPr>
          <w:rFonts w:ascii="Work Sans" w:hAnsi="Work Sans"/>
          <w:color w:val="000000"/>
        </w:rPr>
      </w:pPr>
      <w:r w:rsidRPr="00C3472D">
        <w:rPr>
          <w:rFonts w:ascii="Work Sans" w:hAnsi="Work Sans"/>
          <w:b/>
          <w:bCs/>
          <w:color w:val="000000"/>
        </w:rPr>
        <w:t>Contact us</w:t>
      </w:r>
      <w:r w:rsidRPr="00C3472D">
        <w:rPr>
          <w:rFonts w:ascii="Work Sans" w:hAnsi="Work Sans"/>
          <w:color w:val="000000"/>
        </w:rPr>
        <w:t xml:space="preserve"> </w:t>
      </w:r>
    </w:p>
    <w:p w14:paraId="6E077849" w14:textId="77777777" w:rsidR="00C87C4C" w:rsidRPr="00C3472D" w:rsidRDefault="00C87C4C" w:rsidP="00C87C4C">
      <w:pPr>
        <w:pStyle w:val="NormalWeb"/>
        <w:rPr>
          <w:rFonts w:ascii="Work Sans" w:hAnsi="Work Sans"/>
          <w:color w:val="000000"/>
        </w:rPr>
      </w:pPr>
      <w:r w:rsidRPr="00C3472D">
        <w:rPr>
          <w:rFonts w:ascii="Work Sans" w:hAnsi="Work Sans"/>
          <w:color w:val="000000"/>
        </w:rPr>
        <w:t>Inquiries regarding the use of this document should be directed to secretary@cgc.gov.au.</w:t>
      </w:r>
    </w:p>
    <w:p w14:paraId="2F9E728B" w14:textId="77777777" w:rsidR="00C87C4C" w:rsidRPr="00D627B5" w:rsidRDefault="00C87C4C" w:rsidP="00C87C4C">
      <w:pPr>
        <w:pStyle w:val="NormalWeb"/>
        <w:rPr>
          <w:rFonts w:ascii="Work Sans" w:hAnsi="Work Sans"/>
          <w:b/>
          <w:bCs/>
          <w:color w:val="000000"/>
        </w:rPr>
      </w:pPr>
      <w:r w:rsidRPr="00D627B5">
        <w:rPr>
          <w:rFonts w:ascii="Work Sans" w:hAnsi="Work Sans"/>
          <w:b/>
          <w:bCs/>
          <w:color w:val="000000"/>
        </w:rPr>
        <w:t xml:space="preserve">Internet </w:t>
      </w:r>
    </w:p>
    <w:p w14:paraId="6C9D193B" w14:textId="77777777" w:rsidR="00C87C4C" w:rsidRPr="00C87C4C" w:rsidRDefault="00C87C4C" w:rsidP="00C87C4C">
      <w:pPr>
        <w:pStyle w:val="NormalWeb"/>
        <w:rPr>
          <w:rFonts w:ascii="Work Sans" w:hAnsi="Work Sans"/>
          <w:color w:val="000000"/>
        </w:rPr>
      </w:pPr>
      <w:r w:rsidRPr="00C3472D">
        <w:rPr>
          <w:rFonts w:ascii="Work Sans" w:hAnsi="Work Sans"/>
          <w:color w:val="000000"/>
        </w:rPr>
        <w:t>A copy of this paper is available on the Commission’s website (http://www.cgc.gov.au).</w:t>
      </w:r>
    </w:p>
    <w:p w14:paraId="61DDEB5C" w14:textId="77777777" w:rsidR="00C87C4C" w:rsidRDefault="00C87C4C" w:rsidP="00962EFF">
      <w:pPr>
        <w:rPr>
          <w:rFonts w:ascii="Work Sans" w:hAnsi="Work Sans"/>
        </w:rPr>
      </w:pPr>
    </w:p>
    <w:p w14:paraId="199B1D3D" w14:textId="77777777" w:rsidR="00C87C4C" w:rsidRDefault="00124A66" w:rsidP="003E3ADF">
      <w:pPr>
        <w:pStyle w:val="Heading1"/>
      </w:pPr>
      <w:r>
        <w:br w:type="column"/>
      </w:r>
      <w:r>
        <w:rPr>
          <w:noProof/>
          <w:color w:val="0091C4"/>
        </w:rPr>
        <w:lastRenderedPageBreak/>
        <mc:AlternateContent>
          <mc:Choice Requires="wps">
            <w:drawing>
              <wp:anchor distT="0" distB="0" distL="114300" distR="114300" simplePos="0" relativeHeight="251681792" behindDoc="1" locked="0" layoutInCell="1" allowOverlap="1" wp14:anchorId="34B179B3" wp14:editId="1796A218">
                <wp:simplePos x="0" y="0"/>
                <wp:positionH relativeFrom="column">
                  <wp:posOffset>-153007</wp:posOffset>
                </wp:positionH>
                <wp:positionV relativeFrom="paragraph">
                  <wp:posOffset>-4169</wp:posOffset>
                </wp:positionV>
                <wp:extent cx="6050942" cy="3570136"/>
                <wp:effectExtent l="0" t="0" r="6985" b="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50942" cy="3570136"/>
                        </a:xfrm>
                        <a:prstGeom prst="rect">
                          <a:avLst/>
                        </a:prstGeom>
                        <a:solidFill>
                          <a:srgbClr val="E5F8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8D0D7" id="Rectangle 10" o:spid="_x0000_s1026" alt="&quot;&quot;" style="position:absolute;margin-left:-12.05pt;margin-top:-.35pt;width:476.45pt;height:28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" fillcolor="#e5f8ff" stroked="f" strokeweight="1pt"/>
            </w:pict>
          </mc:Fallback>
        </mc:AlternateContent>
      </w:r>
      <w:r>
        <w:t>Summary</w:t>
      </w:r>
    </w:p>
    <w:p w14:paraId="6EBD6774" w14:textId="77777777" w:rsidR="00124A66" w:rsidRPr="00124A66" w:rsidRDefault="00124A66" w:rsidP="00124A66">
      <w:pPr>
        <w:rPr>
          <w:rFonts w:ascii="Work Sans" w:eastAsia="Times New Roman" w:hAnsi="Work Sans" w:cs="Times New Roman"/>
          <w:sz w:val="24"/>
          <w:szCs w:val="20"/>
          <w:lang w:eastAsia="en-AU"/>
        </w:rPr>
      </w:pPr>
      <w:r w:rsidRPr="00124A66">
        <w:rPr>
          <w:rFonts w:ascii="Work Sans" w:eastAsia="Times New Roman" w:hAnsi="Work Sans" w:cs="Times New Roman"/>
          <w:sz w:val="24"/>
          <w:szCs w:val="20"/>
          <w:lang w:eastAsia="en-AU"/>
        </w:rPr>
        <w:t xml:space="preserve">The economic downturn resulting from the COVID-19 pandemic, with significant variation in the economic performance of the </w:t>
      </w:r>
      <w:r w:rsidR="006C184F">
        <w:rPr>
          <w:rFonts w:ascii="Work Sans" w:eastAsia="Times New Roman" w:hAnsi="Work Sans" w:cs="Times New Roman"/>
          <w:sz w:val="24"/>
          <w:szCs w:val="20"/>
          <w:lang w:eastAsia="en-AU"/>
        </w:rPr>
        <w:t>state</w:t>
      </w:r>
      <w:r w:rsidRPr="00124A66">
        <w:rPr>
          <w:rFonts w:ascii="Work Sans" w:eastAsia="Times New Roman" w:hAnsi="Work Sans" w:cs="Times New Roman"/>
          <w:sz w:val="24"/>
          <w:szCs w:val="20"/>
          <w:lang w:eastAsia="en-AU"/>
        </w:rPr>
        <w:t xml:space="preserve">s and territories, along with a substantial reduction in the GST pool, may raise issues for the distribution of GST receipts among the </w:t>
      </w:r>
      <w:r w:rsidR="006C184F">
        <w:rPr>
          <w:rFonts w:ascii="Work Sans" w:eastAsia="Times New Roman" w:hAnsi="Work Sans" w:cs="Times New Roman"/>
          <w:sz w:val="24"/>
          <w:szCs w:val="20"/>
          <w:lang w:eastAsia="en-AU"/>
        </w:rPr>
        <w:t>state</w:t>
      </w:r>
      <w:r w:rsidRPr="00124A66">
        <w:rPr>
          <w:rFonts w:ascii="Work Sans" w:eastAsia="Times New Roman" w:hAnsi="Work Sans" w:cs="Times New Roman"/>
          <w:sz w:val="24"/>
          <w:szCs w:val="20"/>
          <w:lang w:eastAsia="en-AU"/>
        </w:rPr>
        <w:t>s. The issues may include:</w:t>
      </w:r>
    </w:p>
    <w:p w14:paraId="7336B31E" w14:textId="77777777" w:rsidR="00124A66" w:rsidRPr="00124A66" w:rsidRDefault="00124A66" w:rsidP="00124A66">
      <w:pPr>
        <w:pStyle w:val="CGCBullet1"/>
        <w:jc w:val="left"/>
        <w:rPr>
          <w:rFonts w:ascii="Work Sans" w:eastAsia="Times New Roman" w:hAnsi="Work Sans" w:cs="Times New Roman"/>
          <w:spacing w:val="0"/>
          <w:sz w:val="24"/>
          <w:szCs w:val="20"/>
          <w:lang w:eastAsia="en-AU"/>
        </w:rPr>
      </w:pPr>
      <w:r w:rsidRPr="00124A66">
        <w:rPr>
          <w:rFonts w:ascii="Work Sans" w:eastAsia="Times New Roman" w:hAnsi="Work Sans" w:cs="Times New Roman"/>
          <w:spacing w:val="0"/>
          <w:sz w:val="24"/>
          <w:szCs w:val="20"/>
          <w:lang w:eastAsia="en-AU"/>
        </w:rPr>
        <w:t xml:space="preserve">Gaps between assessed and actual fiscal circumstances of the </w:t>
      </w:r>
      <w:r w:rsidR="006C184F">
        <w:rPr>
          <w:rFonts w:ascii="Work Sans" w:eastAsia="Times New Roman" w:hAnsi="Work Sans" w:cs="Times New Roman"/>
          <w:spacing w:val="0"/>
          <w:sz w:val="24"/>
          <w:szCs w:val="20"/>
          <w:lang w:eastAsia="en-AU"/>
        </w:rPr>
        <w:t>state</w:t>
      </w:r>
      <w:r w:rsidRPr="00124A66">
        <w:rPr>
          <w:rFonts w:ascii="Work Sans" w:eastAsia="Times New Roman" w:hAnsi="Work Sans" w:cs="Times New Roman"/>
          <w:spacing w:val="0"/>
          <w:sz w:val="24"/>
          <w:szCs w:val="20"/>
          <w:lang w:eastAsia="en-AU"/>
        </w:rPr>
        <w:t xml:space="preserve">s and, in turn, gaps between a </w:t>
      </w:r>
      <w:r w:rsidR="006C184F">
        <w:rPr>
          <w:rFonts w:ascii="Work Sans" w:eastAsia="Times New Roman" w:hAnsi="Work Sans" w:cs="Times New Roman"/>
          <w:spacing w:val="0"/>
          <w:sz w:val="24"/>
          <w:szCs w:val="20"/>
          <w:lang w:eastAsia="en-AU"/>
        </w:rPr>
        <w:t>state</w:t>
      </w:r>
      <w:r w:rsidRPr="00124A66">
        <w:rPr>
          <w:rFonts w:ascii="Work Sans" w:eastAsia="Times New Roman" w:hAnsi="Work Sans" w:cs="Times New Roman"/>
          <w:spacing w:val="0"/>
          <w:sz w:val="24"/>
          <w:szCs w:val="20"/>
          <w:lang w:eastAsia="en-AU"/>
        </w:rPr>
        <w:t xml:space="preserve">’s GST needs and the GST it receives </w:t>
      </w:r>
      <w:proofErr w:type="gramStart"/>
      <w:r w:rsidRPr="00124A66">
        <w:rPr>
          <w:rFonts w:ascii="Work Sans" w:eastAsia="Times New Roman" w:hAnsi="Work Sans" w:cs="Times New Roman"/>
          <w:spacing w:val="0"/>
          <w:sz w:val="24"/>
          <w:szCs w:val="20"/>
          <w:lang w:eastAsia="en-AU"/>
        </w:rPr>
        <w:t>in a given year</w:t>
      </w:r>
      <w:proofErr w:type="gramEnd"/>
      <w:r w:rsidRPr="00124A66">
        <w:rPr>
          <w:rFonts w:ascii="Work Sans" w:eastAsia="Times New Roman" w:hAnsi="Work Sans" w:cs="Times New Roman"/>
          <w:spacing w:val="0"/>
          <w:sz w:val="24"/>
          <w:szCs w:val="20"/>
          <w:lang w:eastAsia="en-AU"/>
        </w:rPr>
        <w:t>. However, any change in the timing of assessments to reduce such gaps may introduce additional volatility in GST distributions.</w:t>
      </w:r>
    </w:p>
    <w:p w14:paraId="148267FC" w14:textId="77777777" w:rsidR="00124A66" w:rsidRPr="00124A66" w:rsidRDefault="00124A66" w:rsidP="00124A66">
      <w:pPr>
        <w:pStyle w:val="CGCBullet1"/>
        <w:jc w:val="left"/>
        <w:rPr>
          <w:rFonts w:ascii="Work Sans" w:eastAsia="Times New Roman" w:hAnsi="Work Sans" w:cs="Times New Roman"/>
          <w:spacing w:val="0"/>
          <w:sz w:val="24"/>
          <w:szCs w:val="20"/>
          <w:lang w:eastAsia="en-AU"/>
        </w:rPr>
      </w:pPr>
      <w:r w:rsidRPr="00124A66">
        <w:rPr>
          <w:rFonts w:ascii="Work Sans" w:eastAsia="Times New Roman" w:hAnsi="Work Sans" w:cs="Times New Roman"/>
          <w:spacing w:val="0"/>
          <w:sz w:val="24"/>
          <w:szCs w:val="20"/>
          <w:lang w:eastAsia="en-AU"/>
        </w:rPr>
        <w:t xml:space="preserve">Whether a reduction in a </w:t>
      </w:r>
      <w:r w:rsidR="006C184F">
        <w:rPr>
          <w:rFonts w:ascii="Work Sans" w:eastAsia="Times New Roman" w:hAnsi="Work Sans" w:cs="Times New Roman"/>
          <w:spacing w:val="0"/>
          <w:sz w:val="24"/>
          <w:szCs w:val="20"/>
          <w:lang w:eastAsia="en-AU"/>
        </w:rPr>
        <w:t>state</w:t>
      </w:r>
      <w:r w:rsidRPr="00124A66">
        <w:rPr>
          <w:rFonts w:ascii="Work Sans" w:eastAsia="Times New Roman" w:hAnsi="Work Sans" w:cs="Times New Roman"/>
          <w:spacing w:val="0"/>
          <w:sz w:val="24"/>
          <w:szCs w:val="20"/>
          <w:lang w:eastAsia="en-AU"/>
        </w:rPr>
        <w:t xml:space="preserve">’s fiscal capacity </w:t>
      </w:r>
      <w:proofErr w:type="gramStart"/>
      <w:r w:rsidRPr="00124A66">
        <w:rPr>
          <w:rFonts w:ascii="Work Sans" w:eastAsia="Times New Roman" w:hAnsi="Work Sans" w:cs="Times New Roman"/>
          <w:spacing w:val="0"/>
          <w:sz w:val="24"/>
          <w:szCs w:val="20"/>
          <w:lang w:eastAsia="en-AU"/>
        </w:rPr>
        <w:t>as a consequence of</w:t>
      </w:r>
      <w:proofErr w:type="gramEnd"/>
      <w:r w:rsidRPr="00124A66">
        <w:rPr>
          <w:rFonts w:ascii="Work Sans" w:eastAsia="Times New Roman" w:hAnsi="Work Sans" w:cs="Times New Roman"/>
          <w:spacing w:val="0"/>
          <w:sz w:val="24"/>
          <w:szCs w:val="20"/>
          <w:lang w:eastAsia="en-AU"/>
        </w:rPr>
        <w:t xml:space="preserve"> the pandemic is in part a consequence of its own policy decisions rather than an event beyond its control. It may, however, be very difficult for the Commonwealth Grants Commission to assess and decide the extent to which this is the case.</w:t>
      </w:r>
    </w:p>
    <w:p w14:paraId="69DBD92E" w14:textId="77777777" w:rsidR="00124A66" w:rsidRDefault="00124A66" w:rsidP="00962EFF">
      <w:pPr>
        <w:rPr>
          <w:rFonts w:ascii="Work Sans" w:hAnsi="Work Sans"/>
        </w:rPr>
      </w:pPr>
    </w:p>
    <w:p w14:paraId="3227A11D" w14:textId="77777777" w:rsidR="00124A66" w:rsidRDefault="00124A66" w:rsidP="003E3ADF">
      <w:pPr>
        <w:pStyle w:val="Heading2"/>
      </w:pPr>
      <w:r>
        <w:t>Introduction</w:t>
      </w:r>
    </w:p>
    <w:p w14:paraId="355CA27D" w14:textId="77777777" w:rsidR="00124A66" w:rsidRPr="003E3ADF" w:rsidRDefault="00124A66" w:rsidP="00124A66">
      <w:pPr>
        <w:rPr>
          <w:rFonts w:ascii="Work Sans" w:hAnsi="Work Sans"/>
          <w:sz w:val="24"/>
          <w:szCs w:val="24"/>
          <w:lang w:val="en-GB"/>
        </w:rPr>
      </w:pPr>
      <w:r w:rsidRPr="003E3ADF">
        <w:rPr>
          <w:rFonts w:ascii="Work Sans" w:hAnsi="Work Sans"/>
          <w:sz w:val="24"/>
          <w:szCs w:val="24"/>
          <w:lang w:val="en-GB"/>
        </w:rPr>
        <w:t xml:space="preserve">The COVID-19 pandemic has caused many deaths, stretched health facilities, resulted in volatility in financial markets and led to a significant reduction in economic activity. </w:t>
      </w:r>
    </w:p>
    <w:p w14:paraId="3DD25DCB" w14:textId="77777777" w:rsidR="00124A66" w:rsidRPr="003E3ADF" w:rsidRDefault="00124A66" w:rsidP="00124A66">
      <w:pPr>
        <w:rPr>
          <w:rFonts w:ascii="Work Sans" w:hAnsi="Work Sans"/>
          <w:sz w:val="24"/>
          <w:szCs w:val="24"/>
          <w:lang w:val="en-GB"/>
        </w:rPr>
      </w:pPr>
      <w:r w:rsidRPr="003E3ADF">
        <w:rPr>
          <w:rFonts w:ascii="Work Sans" w:hAnsi="Work Sans"/>
          <w:sz w:val="24"/>
          <w:szCs w:val="24"/>
          <w:lang w:val="en-GB"/>
        </w:rPr>
        <w:t>The pandemic has had an unprecedented impact on the global economy, with Australia not immune, notwithstanding that it performed relatively better than many economies.</w:t>
      </w:r>
    </w:p>
    <w:p w14:paraId="4A64FA0E" w14:textId="77777777" w:rsidR="00124A66" w:rsidRPr="003E3ADF" w:rsidRDefault="00124A66" w:rsidP="00124A66">
      <w:pPr>
        <w:rPr>
          <w:rFonts w:ascii="Work Sans" w:hAnsi="Work Sans"/>
          <w:sz w:val="24"/>
          <w:szCs w:val="24"/>
          <w:lang w:val="en-GB"/>
        </w:rPr>
      </w:pPr>
      <w:r w:rsidRPr="003E3ADF">
        <w:rPr>
          <w:rFonts w:ascii="Work Sans" w:hAnsi="Work Sans"/>
          <w:sz w:val="24"/>
          <w:szCs w:val="24"/>
          <w:lang w:val="en-GB"/>
        </w:rPr>
        <w:t>The Australian economy fell by 7% in the June quarter 2020, the largest fall in Gross Domestic Product since quarterly measurement began in 1959. The previous largest quarterly fall was 2% in the June quarter 1974. The economy subsequently grew by 3.3% in the September quarter 2020.</w:t>
      </w:r>
    </w:p>
    <w:p w14:paraId="1ED9C59A" w14:textId="77777777" w:rsidR="00124A66" w:rsidRPr="003E3ADF" w:rsidRDefault="00124A66" w:rsidP="00124A66">
      <w:pPr>
        <w:rPr>
          <w:rFonts w:ascii="Work Sans" w:hAnsi="Work Sans"/>
          <w:sz w:val="24"/>
          <w:szCs w:val="24"/>
          <w:lang w:val="en-GB"/>
        </w:rPr>
      </w:pPr>
      <w:r w:rsidRPr="003E3ADF">
        <w:rPr>
          <w:rFonts w:ascii="Work Sans" w:hAnsi="Work Sans"/>
          <w:sz w:val="24"/>
          <w:szCs w:val="24"/>
          <w:lang w:val="en-GB"/>
        </w:rPr>
        <w:t xml:space="preserve">The economic fallout from the pandemic has affected all </w:t>
      </w:r>
      <w:r w:rsidR="006C184F">
        <w:rPr>
          <w:rFonts w:ascii="Work Sans" w:hAnsi="Work Sans"/>
          <w:sz w:val="24"/>
          <w:szCs w:val="24"/>
          <w:lang w:val="en-GB"/>
        </w:rPr>
        <w:t>state</w:t>
      </w:r>
      <w:r w:rsidRPr="003E3ADF">
        <w:rPr>
          <w:rFonts w:ascii="Work Sans" w:hAnsi="Work Sans"/>
          <w:sz w:val="24"/>
          <w:szCs w:val="24"/>
          <w:lang w:val="en-GB"/>
        </w:rPr>
        <w:t>s and territories (</w:t>
      </w:r>
      <w:r w:rsidR="006C184F">
        <w:rPr>
          <w:rFonts w:ascii="Work Sans" w:hAnsi="Work Sans"/>
          <w:sz w:val="24"/>
          <w:szCs w:val="24"/>
          <w:lang w:val="en-GB"/>
        </w:rPr>
        <w:t>state</w:t>
      </w:r>
      <w:r w:rsidRPr="003E3ADF">
        <w:rPr>
          <w:rFonts w:ascii="Work Sans" w:hAnsi="Work Sans"/>
          <w:sz w:val="24"/>
          <w:szCs w:val="24"/>
          <w:lang w:val="en-GB"/>
        </w:rPr>
        <w:t xml:space="preserve">s), though the magnitude of the impact varies. </w:t>
      </w:r>
    </w:p>
    <w:p w14:paraId="237E689C" w14:textId="77777777" w:rsidR="00124A66" w:rsidRPr="003E3ADF" w:rsidRDefault="00124A66" w:rsidP="00124A66">
      <w:pPr>
        <w:rPr>
          <w:rFonts w:ascii="Work Sans" w:hAnsi="Work Sans"/>
          <w:sz w:val="24"/>
          <w:szCs w:val="24"/>
          <w:lang w:val="en-GB"/>
        </w:rPr>
      </w:pPr>
      <w:r w:rsidRPr="003E3ADF">
        <w:rPr>
          <w:rFonts w:ascii="Work Sans" w:hAnsi="Work Sans"/>
          <w:sz w:val="24"/>
          <w:szCs w:val="24"/>
          <w:lang w:val="en-GB"/>
        </w:rPr>
        <w:t xml:space="preserve">The decline in </w:t>
      </w:r>
      <w:r w:rsidR="006C184F">
        <w:rPr>
          <w:rFonts w:ascii="Work Sans" w:hAnsi="Work Sans"/>
          <w:sz w:val="24"/>
          <w:szCs w:val="24"/>
          <w:lang w:val="en-GB"/>
        </w:rPr>
        <w:t>state</w:t>
      </w:r>
      <w:r w:rsidRPr="003E3ADF">
        <w:rPr>
          <w:rFonts w:ascii="Work Sans" w:hAnsi="Work Sans"/>
          <w:sz w:val="24"/>
          <w:szCs w:val="24"/>
          <w:lang w:val="en-GB"/>
        </w:rPr>
        <w:t xml:space="preserve"> Final Demand in the June quarter 2020 was around 8.5% in New South Wales and Victoria, 8% in Tasmania, just over 6% in Queensland, South Australia and Western Australia, a 5% decline in the Northern Territory and just under 2% in the Australian Capital Territory. </w:t>
      </w:r>
    </w:p>
    <w:p w14:paraId="437FDCF9" w14:textId="77777777" w:rsidR="00124A66" w:rsidRPr="003E3ADF" w:rsidRDefault="00124A66" w:rsidP="00124A66">
      <w:pPr>
        <w:rPr>
          <w:rFonts w:ascii="Work Sans" w:hAnsi="Work Sans"/>
          <w:sz w:val="24"/>
          <w:szCs w:val="24"/>
          <w:lang w:val="en-GB"/>
        </w:rPr>
      </w:pPr>
      <w:r w:rsidRPr="003E3ADF">
        <w:rPr>
          <w:rFonts w:ascii="Work Sans" w:hAnsi="Work Sans"/>
          <w:sz w:val="24"/>
          <w:szCs w:val="24"/>
          <w:lang w:val="en-GB"/>
        </w:rPr>
        <w:t xml:space="preserve">In the September quarter, </w:t>
      </w:r>
      <w:r w:rsidR="006C184F">
        <w:rPr>
          <w:rFonts w:ascii="Work Sans" w:hAnsi="Work Sans"/>
          <w:sz w:val="24"/>
          <w:szCs w:val="24"/>
          <w:lang w:val="en-GB"/>
        </w:rPr>
        <w:t>state</w:t>
      </w:r>
      <w:r w:rsidRPr="003E3ADF">
        <w:rPr>
          <w:rFonts w:ascii="Work Sans" w:hAnsi="Work Sans"/>
          <w:sz w:val="24"/>
          <w:szCs w:val="24"/>
          <w:lang w:val="en-GB"/>
        </w:rPr>
        <w:t xml:space="preserve"> Final Demand grew strongly in most </w:t>
      </w:r>
      <w:r w:rsidR="006C184F">
        <w:rPr>
          <w:rFonts w:ascii="Work Sans" w:hAnsi="Work Sans"/>
          <w:sz w:val="24"/>
          <w:szCs w:val="24"/>
          <w:lang w:val="en-GB"/>
        </w:rPr>
        <w:t>state</w:t>
      </w:r>
      <w:r w:rsidRPr="003E3ADF">
        <w:rPr>
          <w:rFonts w:ascii="Work Sans" w:hAnsi="Work Sans"/>
          <w:sz w:val="24"/>
          <w:szCs w:val="24"/>
          <w:lang w:val="en-GB"/>
        </w:rPr>
        <w:t xml:space="preserve">s. With a longer lockdown in Victoria from July 2020, while other </w:t>
      </w:r>
      <w:r w:rsidR="006C184F">
        <w:rPr>
          <w:rFonts w:ascii="Work Sans" w:hAnsi="Work Sans"/>
          <w:sz w:val="24"/>
          <w:szCs w:val="24"/>
          <w:lang w:val="en-GB"/>
        </w:rPr>
        <w:t>state</w:t>
      </w:r>
      <w:r w:rsidRPr="003E3ADF">
        <w:rPr>
          <w:rFonts w:ascii="Work Sans" w:hAnsi="Work Sans"/>
          <w:sz w:val="24"/>
          <w:szCs w:val="24"/>
          <w:lang w:val="en-GB"/>
        </w:rPr>
        <w:t xml:space="preserve">s progressively opened, its economic activity continued to decline in the </w:t>
      </w:r>
      <w:r w:rsidRPr="003E3ADF">
        <w:rPr>
          <w:rFonts w:ascii="Work Sans" w:hAnsi="Work Sans"/>
          <w:sz w:val="24"/>
          <w:szCs w:val="24"/>
          <w:lang w:val="en-GB"/>
        </w:rPr>
        <w:lastRenderedPageBreak/>
        <w:t>September quarter, although at a much slower rate than in the June quarter.</w:t>
      </w:r>
    </w:p>
    <w:p w14:paraId="1B4D0E0E" w14:textId="77777777" w:rsidR="00124A66" w:rsidRPr="003E3ADF" w:rsidRDefault="00124A66" w:rsidP="00124A66">
      <w:pPr>
        <w:rPr>
          <w:rFonts w:ascii="Work Sans" w:hAnsi="Work Sans"/>
          <w:sz w:val="24"/>
          <w:szCs w:val="24"/>
          <w:lang w:val="en-GB"/>
        </w:rPr>
      </w:pPr>
      <w:r w:rsidRPr="003E3ADF">
        <w:rPr>
          <w:rFonts w:ascii="Work Sans" w:hAnsi="Work Sans"/>
          <w:sz w:val="24"/>
          <w:szCs w:val="24"/>
          <w:lang w:val="en-GB"/>
        </w:rPr>
        <w:t xml:space="preserve">The combination of an unprecedented and sudden negative economic shock and the prospect of significant variation in the economic performance of </w:t>
      </w:r>
      <w:r w:rsidR="006C184F">
        <w:rPr>
          <w:rFonts w:ascii="Work Sans" w:hAnsi="Work Sans"/>
          <w:sz w:val="24"/>
          <w:szCs w:val="24"/>
          <w:lang w:val="en-GB"/>
        </w:rPr>
        <w:t>state</w:t>
      </w:r>
      <w:r w:rsidRPr="003E3ADF">
        <w:rPr>
          <w:rFonts w:ascii="Work Sans" w:hAnsi="Work Sans"/>
          <w:sz w:val="24"/>
          <w:szCs w:val="24"/>
          <w:lang w:val="en-GB"/>
        </w:rPr>
        <w:t xml:space="preserve">s may raise issues regarding the distribution of the GST pool which is undertaken in Australia consistent with horizontal fiscal equalisation. </w:t>
      </w:r>
    </w:p>
    <w:p w14:paraId="76210181" w14:textId="77777777" w:rsidR="00124A66" w:rsidRDefault="00124A66" w:rsidP="00962EFF">
      <w:pPr>
        <w:rPr>
          <w:rFonts w:ascii="Work Sans" w:hAnsi="Work Sans"/>
        </w:rPr>
      </w:pPr>
      <w:r w:rsidRPr="003E3ADF">
        <w:rPr>
          <w:rFonts w:ascii="Work Sans" w:hAnsi="Work Sans"/>
          <w:sz w:val="24"/>
          <w:szCs w:val="24"/>
          <w:lang w:val="en-GB"/>
        </w:rPr>
        <w:t xml:space="preserve">This paper provides an overview of some of the possible implications of the pandemic for </w:t>
      </w:r>
      <w:r w:rsidR="006C184F">
        <w:rPr>
          <w:rFonts w:ascii="Work Sans" w:hAnsi="Work Sans"/>
          <w:sz w:val="24"/>
          <w:szCs w:val="24"/>
          <w:lang w:val="en-GB"/>
        </w:rPr>
        <w:t>state</w:t>
      </w:r>
      <w:r w:rsidRPr="003E3ADF">
        <w:rPr>
          <w:rFonts w:ascii="Work Sans" w:hAnsi="Work Sans"/>
          <w:sz w:val="24"/>
          <w:szCs w:val="24"/>
          <w:lang w:val="en-GB"/>
        </w:rPr>
        <w:t xml:space="preserve"> GST distributions. It starts by providing context on the objectives of equalisation and how the system works, then discusses, in general terms, the channels through which an economic shock can affect equalisation. The paper then explores lessons from past events, including the global financial crisis (GFC), natural disasters and mining booms before canvassing the COVID-19 pandemic. The final section outlines the process for considering changes to the GST distribution.</w:t>
      </w:r>
    </w:p>
    <w:p w14:paraId="6B43AA92" w14:textId="77777777" w:rsidR="00124A66" w:rsidRDefault="00124A66" w:rsidP="003E3ADF">
      <w:pPr>
        <w:pStyle w:val="Heading2"/>
      </w:pPr>
      <w:r w:rsidRPr="00792DAB">
        <w:t>Objectives of fiscal equalisation and how it works</w:t>
      </w:r>
    </w:p>
    <w:p w14:paraId="1DF394DC"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The Commonwealth Grants Commission (Commission) provides recommendations to the Commonwealth Treasurer for the distribution of the national pool of GST revenue among the </w:t>
      </w:r>
      <w:r w:rsidR="006C184F">
        <w:rPr>
          <w:rFonts w:ascii="Work Sans" w:hAnsi="Work Sans"/>
          <w:sz w:val="24"/>
          <w:szCs w:val="24"/>
          <w:lang w:val="en-GB"/>
        </w:rPr>
        <w:t>state</w:t>
      </w:r>
      <w:r w:rsidRPr="002C6FB8">
        <w:rPr>
          <w:rFonts w:ascii="Work Sans" w:hAnsi="Work Sans"/>
          <w:sz w:val="24"/>
          <w:szCs w:val="24"/>
          <w:lang w:val="en-GB"/>
        </w:rPr>
        <w:t>s in a way that achieves horizontal fiscal equalisation.</w:t>
      </w:r>
      <w:r w:rsidRPr="002C6FB8">
        <w:rPr>
          <w:rFonts w:ascii="Work Sans" w:hAnsi="Work Sans"/>
          <w:sz w:val="24"/>
          <w:szCs w:val="24"/>
          <w:vertAlign w:val="superscript"/>
          <w:lang w:val="en-GB"/>
        </w:rPr>
        <w:footnoteReference w:id="1"/>
      </w:r>
      <w:r w:rsidRPr="002C6FB8">
        <w:rPr>
          <w:rFonts w:ascii="Work Sans" w:hAnsi="Work Sans"/>
          <w:sz w:val="24"/>
          <w:szCs w:val="24"/>
          <w:lang w:val="en-GB"/>
        </w:rPr>
        <w:t xml:space="preserve"> </w:t>
      </w:r>
    </w:p>
    <w:p w14:paraId="24A26C1A"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Underlying fiscal equalisation is the notion that Australians should have the potential to access a similar level of </w:t>
      </w:r>
      <w:r w:rsidR="006C184F">
        <w:rPr>
          <w:rFonts w:ascii="Work Sans" w:hAnsi="Work Sans"/>
          <w:sz w:val="24"/>
          <w:szCs w:val="24"/>
          <w:lang w:val="en-GB"/>
        </w:rPr>
        <w:t>state</w:t>
      </w:r>
      <w:r w:rsidRPr="002C6FB8">
        <w:rPr>
          <w:rFonts w:ascii="Work Sans" w:hAnsi="Work Sans"/>
          <w:sz w:val="24"/>
          <w:szCs w:val="24"/>
          <w:lang w:val="en-GB"/>
        </w:rPr>
        <w:t xml:space="preserve"> services while facing a comparable </w:t>
      </w:r>
      <w:r w:rsidR="006C184F">
        <w:rPr>
          <w:rFonts w:ascii="Work Sans" w:hAnsi="Work Sans"/>
          <w:sz w:val="24"/>
          <w:szCs w:val="24"/>
          <w:lang w:val="en-GB"/>
        </w:rPr>
        <w:t>state</w:t>
      </w:r>
      <w:r w:rsidRPr="002C6FB8">
        <w:rPr>
          <w:rFonts w:ascii="Work Sans" w:hAnsi="Work Sans"/>
          <w:sz w:val="24"/>
          <w:szCs w:val="24"/>
          <w:lang w:val="en-GB"/>
        </w:rPr>
        <w:t xml:space="preserve"> tax burden regardless of where they live. This is achieved by distributing the GST pool to equalise the fiscal capacities of </w:t>
      </w:r>
      <w:r w:rsidR="006C184F">
        <w:rPr>
          <w:rFonts w:ascii="Work Sans" w:hAnsi="Work Sans"/>
          <w:sz w:val="24"/>
          <w:szCs w:val="24"/>
          <w:lang w:val="en-GB"/>
        </w:rPr>
        <w:t>state</w:t>
      </w:r>
      <w:r w:rsidRPr="002C6FB8">
        <w:rPr>
          <w:rFonts w:ascii="Work Sans" w:hAnsi="Work Sans"/>
          <w:sz w:val="24"/>
          <w:szCs w:val="24"/>
          <w:lang w:val="en-GB"/>
        </w:rPr>
        <w:t>s. The objective of horizontal fiscal equalisation in Australia is comparable to the aim of equalisation in other federations.</w:t>
      </w:r>
    </w:p>
    <w:p w14:paraId="0619F36C"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The Commission expresses recommendations for the distribution of the GST pool in terms of </w:t>
      </w:r>
      <w:r w:rsidR="006C184F">
        <w:rPr>
          <w:rFonts w:ascii="Work Sans" w:hAnsi="Work Sans"/>
          <w:sz w:val="24"/>
          <w:szCs w:val="24"/>
          <w:lang w:val="en-GB"/>
        </w:rPr>
        <w:t>state</w:t>
      </w:r>
      <w:r w:rsidRPr="002C6FB8">
        <w:rPr>
          <w:rFonts w:ascii="Work Sans" w:hAnsi="Work Sans"/>
          <w:sz w:val="24"/>
          <w:szCs w:val="24"/>
          <w:lang w:val="en-GB"/>
        </w:rPr>
        <w:t xml:space="preserve"> relativities. </w:t>
      </w:r>
    </w:p>
    <w:p w14:paraId="2C9C1EC6"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A </w:t>
      </w:r>
      <w:r w:rsidR="006C184F">
        <w:rPr>
          <w:rFonts w:ascii="Work Sans" w:hAnsi="Work Sans"/>
          <w:sz w:val="24"/>
          <w:szCs w:val="24"/>
          <w:lang w:val="en-GB"/>
        </w:rPr>
        <w:t>state</w:t>
      </w:r>
      <w:r w:rsidRPr="002C6FB8">
        <w:rPr>
          <w:rFonts w:ascii="Work Sans" w:hAnsi="Work Sans"/>
          <w:sz w:val="24"/>
          <w:szCs w:val="24"/>
          <w:lang w:val="en-GB"/>
        </w:rPr>
        <w:t xml:space="preserve">’s relativity expresses the per capita GST grant it should receive to equalise fiscal capacities, as a proportion of the per capita grant it would receive if the pool were distributed on an equal per capita basis. It is not the proportion of each dollar contributed by a </w:t>
      </w:r>
      <w:r w:rsidR="006C184F">
        <w:rPr>
          <w:rFonts w:ascii="Work Sans" w:hAnsi="Work Sans"/>
          <w:sz w:val="24"/>
          <w:szCs w:val="24"/>
          <w:lang w:val="en-GB"/>
        </w:rPr>
        <w:t>state</w:t>
      </w:r>
      <w:r w:rsidRPr="002C6FB8">
        <w:rPr>
          <w:rFonts w:ascii="Work Sans" w:hAnsi="Work Sans"/>
          <w:sz w:val="24"/>
          <w:szCs w:val="24"/>
          <w:lang w:val="en-GB"/>
        </w:rPr>
        <w:t xml:space="preserve"> that is returned to the </w:t>
      </w:r>
      <w:r w:rsidR="006C184F">
        <w:rPr>
          <w:rFonts w:ascii="Work Sans" w:hAnsi="Work Sans"/>
          <w:sz w:val="24"/>
          <w:szCs w:val="24"/>
          <w:lang w:val="en-GB"/>
        </w:rPr>
        <w:t>state</w:t>
      </w:r>
      <w:r w:rsidRPr="002C6FB8">
        <w:rPr>
          <w:rFonts w:ascii="Work Sans" w:hAnsi="Work Sans"/>
          <w:sz w:val="24"/>
          <w:szCs w:val="24"/>
          <w:lang w:val="en-GB"/>
        </w:rPr>
        <w:t xml:space="preserve"> through equalisation, as sometimes claimed.</w:t>
      </w:r>
      <w:r w:rsidRPr="002C6FB8">
        <w:rPr>
          <w:rFonts w:ascii="Work Sans" w:hAnsi="Work Sans"/>
          <w:sz w:val="24"/>
          <w:szCs w:val="24"/>
          <w:vertAlign w:val="superscript"/>
          <w:lang w:val="en-GB"/>
        </w:rPr>
        <w:footnoteReference w:id="2"/>
      </w:r>
      <w:r w:rsidRPr="002C6FB8">
        <w:rPr>
          <w:rFonts w:ascii="Work Sans" w:hAnsi="Work Sans"/>
          <w:sz w:val="24"/>
          <w:szCs w:val="24"/>
          <w:lang w:val="en-GB"/>
        </w:rPr>
        <w:t xml:space="preserve"> </w:t>
      </w:r>
    </w:p>
    <w:p w14:paraId="7C554FAB"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Box 1 below provides a summary of how the Commission assesses the fiscal capacity of the </w:t>
      </w:r>
      <w:r w:rsidR="006C184F">
        <w:rPr>
          <w:rFonts w:ascii="Work Sans" w:hAnsi="Work Sans"/>
          <w:sz w:val="24"/>
          <w:szCs w:val="24"/>
          <w:lang w:val="en-GB"/>
        </w:rPr>
        <w:t>state</w:t>
      </w:r>
      <w:r w:rsidRPr="002C6FB8">
        <w:rPr>
          <w:rFonts w:ascii="Work Sans" w:hAnsi="Work Sans"/>
          <w:sz w:val="24"/>
          <w:szCs w:val="24"/>
          <w:lang w:val="en-GB"/>
        </w:rPr>
        <w:t xml:space="preserve">s in order to calculate their GST needs consistent with fiscal equalisation. </w:t>
      </w:r>
    </w:p>
    <w:p w14:paraId="6FDE46BC"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lastRenderedPageBreak/>
        <w:t xml:space="preserve">In particular, the Commission assesses the extent there are circumstances outside the control of a </w:t>
      </w:r>
      <w:r w:rsidR="006C184F">
        <w:rPr>
          <w:rFonts w:ascii="Work Sans" w:hAnsi="Work Sans"/>
          <w:sz w:val="24"/>
          <w:szCs w:val="24"/>
          <w:lang w:val="en-GB"/>
        </w:rPr>
        <w:t>state</w:t>
      </w:r>
      <w:r w:rsidRPr="002C6FB8">
        <w:rPr>
          <w:rFonts w:ascii="Work Sans" w:hAnsi="Work Sans"/>
          <w:sz w:val="24"/>
          <w:szCs w:val="24"/>
          <w:lang w:val="en-GB"/>
        </w:rPr>
        <w:t xml:space="preserve"> that affect its capacity to raise revenue with the same effort of all </w:t>
      </w:r>
      <w:r w:rsidR="006C184F">
        <w:rPr>
          <w:rFonts w:ascii="Work Sans" w:hAnsi="Work Sans"/>
          <w:sz w:val="24"/>
          <w:szCs w:val="24"/>
          <w:lang w:val="en-GB"/>
        </w:rPr>
        <w:t>state</w:t>
      </w:r>
      <w:r w:rsidRPr="002C6FB8">
        <w:rPr>
          <w:rFonts w:ascii="Work Sans" w:hAnsi="Work Sans"/>
          <w:sz w:val="24"/>
          <w:szCs w:val="24"/>
          <w:lang w:val="en-GB"/>
        </w:rPr>
        <w:t xml:space="preserve">s and/or the amount a </w:t>
      </w:r>
      <w:r w:rsidR="006C184F">
        <w:rPr>
          <w:rFonts w:ascii="Work Sans" w:hAnsi="Work Sans"/>
          <w:sz w:val="24"/>
          <w:szCs w:val="24"/>
          <w:lang w:val="en-GB"/>
        </w:rPr>
        <w:t>state</w:t>
      </w:r>
      <w:r w:rsidRPr="002C6FB8">
        <w:rPr>
          <w:rFonts w:ascii="Work Sans" w:hAnsi="Work Sans"/>
          <w:sz w:val="24"/>
          <w:szCs w:val="24"/>
          <w:lang w:val="en-GB"/>
        </w:rPr>
        <w:t xml:space="preserve"> </w:t>
      </w:r>
      <w:proofErr w:type="gramStart"/>
      <w:r w:rsidRPr="002C6FB8">
        <w:rPr>
          <w:rFonts w:ascii="Work Sans" w:hAnsi="Work Sans"/>
          <w:sz w:val="24"/>
          <w:szCs w:val="24"/>
          <w:lang w:val="en-GB"/>
        </w:rPr>
        <w:t>has to</w:t>
      </w:r>
      <w:proofErr w:type="gramEnd"/>
      <w:r w:rsidRPr="002C6FB8">
        <w:rPr>
          <w:rFonts w:ascii="Work Sans" w:hAnsi="Work Sans"/>
          <w:sz w:val="24"/>
          <w:szCs w:val="24"/>
          <w:lang w:val="en-GB"/>
        </w:rPr>
        <w:t xml:space="preserve"> spend to deliver the average level of services provided by all </w:t>
      </w:r>
      <w:r w:rsidR="006C184F">
        <w:rPr>
          <w:rFonts w:ascii="Work Sans" w:hAnsi="Work Sans"/>
          <w:sz w:val="24"/>
          <w:szCs w:val="24"/>
          <w:lang w:val="en-GB"/>
        </w:rPr>
        <w:t>state</w:t>
      </w:r>
      <w:r w:rsidRPr="002C6FB8">
        <w:rPr>
          <w:rFonts w:ascii="Work Sans" w:hAnsi="Work Sans"/>
          <w:sz w:val="24"/>
          <w:szCs w:val="24"/>
          <w:lang w:val="en-GB"/>
        </w:rPr>
        <w:t xml:space="preserve">s. </w:t>
      </w:r>
    </w:p>
    <w:p w14:paraId="3D4C7EA0"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The Commonwealth Treasurer determines the scope and timing of reviews by the Commission, in consultation with the </w:t>
      </w:r>
      <w:r w:rsidR="006C184F">
        <w:rPr>
          <w:rFonts w:ascii="Work Sans" w:hAnsi="Work Sans"/>
          <w:sz w:val="24"/>
          <w:szCs w:val="24"/>
          <w:lang w:val="en-GB"/>
        </w:rPr>
        <w:t>state</w:t>
      </w:r>
      <w:r w:rsidRPr="002C6FB8">
        <w:rPr>
          <w:rFonts w:ascii="Work Sans" w:hAnsi="Work Sans"/>
          <w:sz w:val="24"/>
          <w:szCs w:val="24"/>
          <w:lang w:val="en-GB"/>
        </w:rPr>
        <w:t xml:space="preserve">s, of the methods it applies to assess the fiscal capacities of the </w:t>
      </w:r>
      <w:r w:rsidR="006C184F">
        <w:rPr>
          <w:rFonts w:ascii="Work Sans" w:hAnsi="Work Sans"/>
          <w:sz w:val="24"/>
          <w:szCs w:val="24"/>
          <w:lang w:val="en-GB"/>
        </w:rPr>
        <w:t>state</w:t>
      </w:r>
      <w:r w:rsidRPr="002C6FB8">
        <w:rPr>
          <w:rFonts w:ascii="Work Sans" w:hAnsi="Work Sans"/>
          <w:sz w:val="24"/>
          <w:szCs w:val="24"/>
          <w:lang w:val="en-GB"/>
        </w:rPr>
        <w:t xml:space="preserve">s and their GST needs. </w:t>
      </w:r>
    </w:p>
    <w:p w14:paraId="3AA2A25B"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The Commission assesses </w:t>
      </w:r>
      <w:r w:rsidR="006C184F">
        <w:rPr>
          <w:rFonts w:ascii="Work Sans" w:hAnsi="Work Sans"/>
          <w:sz w:val="24"/>
          <w:szCs w:val="24"/>
          <w:lang w:val="en-GB"/>
        </w:rPr>
        <w:t>state</w:t>
      </w:r>
      <w:r w:rsidRPr="002C6FB8">
        <w:rPr>
          <w:rFonts w:ascii="Work Sans" w:hAnsi="Work Sans"/>
          <w:sz w:val="24"/>
          <w:szCs w:val="24"/>
          <w:lang w:val="en-GB"/>
        </w:rPr>
        <w:t xml:space="preserve">s’ GST needs based on the average spending and revenue policies of all </w:t>
      </w:r>
      <w:r w:rsidR="006C184F">
        <w:rPr>
          <w:rFonts w:ascii="Work Sans" w:hAnsi="Work Sans"/>
          <w:sz w:val="24"/>
          <w:szCs w:val="24"/>
          <w:lang w:val="en-GB"/>
        </w:rPr>
        <w:t>state</w:t>
      </w:r>
      <w:r w:rsidRPr="002C6FB8">
        <w:rPr>
          <w:rFonts w:ascii="Work Sans" w:hAnsi="Work Sans"/>
          <w:sz w:val="24"/>
          <w:szCs w:val="24"/>
          <w:lang w:val="en-GB"/>
        </w:rPr>
        <w:t xml:space="preserve">s. It makes no judgements about what </w:t>
      </w:r>
      <w:r w:rsidR="006C184F">
        <w:rPr>
          <w:rFonts w:ascii="Work Sans" w:hAnsi="Work Sans"/>
          <w:sz w:val="24"/>
          <w:szCs w:val="24"/>
          <w:lang w:val="en-GB"/>
        </w:rPr>
        <w:t>state</w:t>
      </w:r>
      <w:r w:rsidRPr="002C6FB8">
        <w:rPr>
          <w:rFonts w:ascii="Work Sans" w:hAnsi="Work Sans"/>
          <w:sz w:val="24"/>
          <w:szCs w:val="24"/>
          <w:lang w:val="en-GB"/>
        </w:rPr>
        <w:t xml:space="preserve"> spending and revenue policies should be but bases its assessments on ‘what </w:t>
      </w:r>
      <w:r w:rsidR="006C184F">
        <w:rPr>
          <w:rFonts w:ascii="Work Sans" w:hAnsi="Work Sans"/>
          <w:sz w:val="24"/>
          <w:szCs w:val="24"/>
          <w:lang w:val="en-GB"/>
        </w:rPr>
        <w:t>state</w:t>
      </w:r>
      <w:r w:rsidRPr="002C6FB8">
        <w:rPr>
          <w:rFonts w:ascii="Work Sans" w:hAnsi="Work Sans"/>
          <w:sz w:val="24"/>
          <w:szCs w:val="24"/>
          <w:lang w:val="en-GB"/>
        </w:rPr>
        <w:t xml:space="preserve">s do’. The averages vary over time due to underlying changes in </w:t>
      </w:r>
      <w:r w:rsidR="006C184F">
        <w:rPr>
          <w:rFonts w:ascii="Work Sans" w:hAnsi="Work Sans"/>
          <w:sz w:val="24"/>
          <w:szCs w:val="24"/>
          <w:lang w:val="en-GB"/>
        </w:rPr>
        <w:t>state</w:t>
      </w:r>
      <w:r w:rsidRPr="002C6FB8">
        <w:rPr>
          <w:rFonts w:ascii="Work Sans" w:hAnsi="Work Sans"/>
          <w:sz w:val="24"/>
          <w:szCs w:val="24"/>
          <w:lang w:val="en-GB"/>
        </w:rPr>
        <w:t xml:space="preserve"> policies.</w:t>
      </w:r>
      <w:r w:rsidRPr="002C6FB8">
        <w:rPr>
          <w:rFonts w:ascii="Work Sans" w:hAnsi="Work Sans"/>
          <w:sz w:val="24"/>
          <w:szCs w:val="24"/>
          <w:vertAlign w:val="superscript"/>
          <w:lang w:val="en-GB"/>
        </w:rPr>
        <w:footnoteReference w:id="3"/>
      </w:r>
      <w:r w:rsidRPr="002C6FB8">
        <w:rPr>
          <w:rFonts w:ascii="Work Sans" w:hAnsi="Work Sans"/>
          <w:sz w:val="24"/>
          <w:szCs w:val="24"/>
          <w:lang w:val="en-GB"/>
        </w:rPr>
        <w:t xml:space="preserve"> </w:t>
      </w:r>
    </w:p>
    <w:p w14:paraId="0C3B5BEC"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The Commission also aims to ensure that its assessment of the GST needs of the </w:t>
      </w:r>
      <w:r w:rsidR="006C184F">
        <w:rPr>
          <w:rFonts w:ascii="Work Sans" w:hAnsi="Work Sans"/>
          <w:sz w:val="24"/>
          <w:szCs w:val="24"/>
          <w:lang w:val="en-GB"/>
        </w:rPr>
        <w:t>state</w:t>
      </w:r>
      <w:r w:rsidRPr="002C6FB8">
        <w:rPr>
          <w:rFonts w:ascii="Work Sans" w:hAnsi="Work Sans"/>
          <w:sz w:val="24"/>
          <w:szCs w:val="24"/>
          <w:lang w:val="en-GB"/>
        </w:rPr>
        <w:t xml:space="preserve">s is policy neutral and is not affected by or influences individual </w:t>
      </w:r>
      <w:r w:rsidR="006C184F">
        <w:rPr>
          <w:rFonts w:ascii="Work Sans" w:hAnsi="Work Sans"/>
          <w:sz w:val="24"/>
          <w:szCs w:val="24"/>
          <w:lang w:val="en-GB"/>
        </w:rPr>
        <w:t>state</w:t>
      </w:r>
      <w:r w:rsidRPr="002C6FB8">
        <w:rPr>
          <w:rFonts w:ascii="Work Sans" w:hAnsi="Work Sans"/>
          <w:sz w:val="24"/>
          <w:szCs w:val="24"/>
          <w:lang w:val="en-GB"/>
        </w:rPr>
        <w:t xml:space="preserve"> policy choices. With assessments of fiscal capacity based on the weighted average policy of all </w:t>
      </w:r>
      <w:r w:rsidR="006C184F">
        <w:rPr>
          <w:rFonts w:ascii="Work Sans" w:hAnsi="Work Sans"/>
          <w:sz w:val="24"/>
          <w:szCs w:val="24"/>
          <w:lang w:val="en-GB"/>
        </w:rPr>
        <w:t>state</w:t>
      </w:r>
      <w:r w:rsidRPr="002C6FB8">
        <w:rPr>
          <w:rFonts w:ascii="Work Sans" w:hAnsi="Work Sans"/>
          <w:sz w:val="24"/>
          <w:szCs w:val="24"/>
          <w:lang w:val="en-GB"/>
        </w:rPr>
        <w:t xml:space="preserve">s, in theory an individual </w:t>
      </w:r>
      <w:r w:rsidR="006C184F">
        <w:rPr>
          <w:rFonts w:ascii="Work Sans" w:hAnsi="Work Sans"/>
          <w:sz w:val="24"/>
          <w:szCs w:val="24"/>
          <w:lang w:val="en-GB"/>
        </w:rPr>
        <w:t>state</w:t>
      </w:r>
      <w:r w:rsidRPr="002C6FB8">
        <w:rPr>
          <w:rFonts w:ascii="Work Sans" w:hAnsi="Work Sans"/>
          <w:sz w:val="24"/>
          <w:szCs w:val="24"/>
          <w:lang w:val="en-GB"/>
        </w:rPr>
        <w:t xml:space="preserve">’s policy choices can have an impact on the average policy of all </w:t>
      </w:r>
      <w:r w:rsidR="006C184F">
        <w:rPr>
          <w:rFonts w:ascii="Work Sans" w:hAnsi="Work Sans"/>
          <w:sz w:val="24"/>
          <w:szCs w:val="24"/>
          <w:lang w:val="en-GB"/>
        </w:rPr>
        <w:t>state</w:t>
      </w:r>
      <w:r w:rsidRPr="002C6FB8">
        <w:rPr>
          <w:rFonts w:ascii="Work Sans" w:hAnsi="Work Sans"/>
          <w:sz w:val="24"/>
          <w:szCs w:val="24"/>
          <w:lang w:val="en-GB"/>
        </w:rPr>
        <w:t xml:space="preserve">s and hence relativities. </w:t>
      </w:r>
    </w:p>
    <w:p w14:paraId="5C421E8F" w14:textId="77777777" w:rsidR="003E3ADF"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Overall, however, an individual </w:t>
      </w:r>
      <w:r w:rsidR="006C184F">
        <w:rPr>
          <w:rFonts w:ascii="Work Sans" w:hAnsi="Work Sans"/>
          <w:sz w:val="24"/>
          <w:szCs w:val="24"/>
          <w:lang w:val="en-GB"/>
        </w:rPr>
        <w:t>state</w:t>
      </w:r>
      <w:r w:rsidRPr="002C6FB8">
        <w:rPr>
          <w:rFonts w:ascii="Work Sans" w:hAnsi="Work Sans"/>
          <w:sz w:val="24"/>
          <w:szCs w:val="24"/>
          <w:lang w:val="en-GB"/>
        </w:rPr>
        <w:t xml:space="preserve">’s policy choices will only have a small impact on the average policy of all </w:t>
      </w:r>
      <w:r w:rsidR="006C184F">
        <w:rPr>
          <w:rFonts w:ascii="Work Sans" w:hAnsi="Work Sans"/>
          <w:sz w:val="24"/>
          <w:szCs w:val="24"/>
          <w:lang w:val="en-GB"/>
        </w:rPr>
        <w:t>state</w:t>
      </w:r>
      <w:r w:rsidRPr="002C6FB8">
        <w:rPr>
          <w:rFonts w:ascii="Work Sans" w:hAnsi="Work Sans"/>
          <w:sz w:val="24"/>
          <w:szCs w:val="24"/>
          <w:lang w:val="en-GB"/>
        </w:rPr>
        <w:t xml:space="preserve">s. The exception is if a </w:t>
      </w:r>
      <w:r w:rsidR="006C184F">
        <w:rPr>
          <w:rFonts w:ascii="Work Sans" w:hAnsi="Work Sans"/>
          <w:sz w:val="24"/>
          <w:szCs w:val="24"/>
          <w:lang w:val="en-GB"/>
        </w:rPr>
        <w:t>state</w:t>
      </w:r>
      <w:r w:rsidRPr="002C6FB8">
        <w:rPr>
          <w:rFonts w:ascii="Work Sans" w:hAnsi="Work Sans"/>
          <w:sz w:val="24"/>
          <w:szCs w:val="24"/>
          <w:lang w:val="en-GB"/>
        </w:rPr>
        <w:t xml:space="preserve"> dominates a particular revenue base, as in mining. In such a situation, the taxes or royalties the </w:t>
      </w:r>
      <w:r w:rsidR="006C184F">
        <w:rPr>
          <w:rFonts w:ascii="Work Sans" w:hAnsi="Work Sans"/>
          <w:sz w:val="24"/>
          <w:szCs w:val="24"/>
          <w:lang w:val="en-GB"/>
        </w:rPr>
        <w:t>state</w:t>
      </w:r>
      <w:r w:rsidRPr="002C6FB8">
        <w:rPr>
          <w:rFonts w:ascii="Work Sans" w:hAnsi="Work Sans"/>
          <w:sz w:val="24"/>
          <w:szCs w:val="24"/>
          <w:lang w:val="en-GB"/>
        </w:rPr>
        <w:t xml:space="preserve"> imposes will materially influence the average tax rate and hence relativities.</w:t>
      </w:r>
      <w:r w:rsidRPr="002C6FB8">
        <w:rPr>
          <w:rFonts w:ascii="Work Sans" w:hAnsi="Work Sans"/>
          <w:sz w:val="24"/>
          <w:szCs w:val="24"/>
          <w:vertAlign w:val="superscript"/>
          <w:lang w:val="en-GB"/>
        </w:rPr>
        <w:footnoteReference w:id="4"/>
      </w:r>
      <w:r w:rsidRPr="002C6FB8">
        <w:rPr>
          <w:rFonts w:ascii="Work Sans" w:hAnsi="Work Sans"/>
          <w:sz w:val="24"/>
          <w:szCs w:val="24"/>
          <w:lang w:val="en-GB"/>
        </w:rPr>
        <w:t xml:space="preserve"> </w:t>
      </w:r>
    </w:p>
    <w:p w14:paraId="6F9B4C22" w14:textId="77777777" w:rsidR="00124A66" w:rsidRPr="002C6FB8" w:rsidRDefault="003E3ADF" w:rsidP="003E3ADF">
      <w:pPr>
        <w:rPr>
          <w:rFonts w:ascii="Work Sans" w:hAnsi="Work Sans"/>
          <w:sz w:val="24"/>
          <w:szCs w:val="24"/>
          <w:lang w:val="en-GB"/>
        </w:rPr>
      </w:pPr>
      <w:r w:rsidRPr="002C6FB8">
        <w:rPr>
          <w:rFonts w:ascii="Work Sans" w:hAnsi="Work Sans"/>
          <w:sz w:val="24"/>
          <w:szCs w:val="24"/>
          <w:lang w:val="en-GB"/>
        </w:rPr>
        <w:t xml:space="preserve">Since 2010, assessments of </w:t>
      </w:r>
      <w:r w:rsidR="006C184F">
        <w:rPr>
          <w:rFonts w:ascii="Work Sans" w:hAnsi="Work Sans"/>
          <w:sz w:val="24"/>
          <w:szCs w:val="24"/>
          <w:lang w:val="en-GB"/>
        </w:rPr>
        <w:t>state</w:t>
      </w:r>
      <w:r w:rsidRPr="002C6FB8">
        <w:rPr>
          <w:rFonts w:ascii="Work Sans" w:hAnsi="Work Sans"/>
          <w:sz w:val="24"/>
          <w:szCs w:val="24"/>
          <w:lang w:val="en-GB"/>
        </w:rPr>
        <w:t xml:space="preserve"> fiscal capacities in a given application year have been based on an unweighted average of relativities for the three years immediately preceding that year. In large part this is to ensure that the most reliable data is used. Consequently, there is a lag between the assessment of </w:t>
      </w:r>
      <w:r w:rsidR="006C184F">
        <w:rPr>
          <w:rFonts w:ascii="Work Sans" w:hAnsi="Work Sans"/>
          <w:sz w:val="24"/>
          <w:szCs w:val="24"/>
          <w:lang w:val="en-GB"/>
        </w:rPr>
        <w:t>state</w:t>
      </w:r>
      <w:r w:rsidRPr="002C6FB8">
        <w:rPr>
          <w:rFonts w:ascii="Work Sans" w:hAnsi="Work Sans"/>
          <w:sz w:val="24"/>
          <w:szCs w:val="24"/>
          <w:lang w:val="en-GB"/>
        </w:rPr>
        <w:t>s’ fiscal capacities and the distribution of GST revenue in an application year.</w:t>
      </w:r>
    </w:p>
    <w:p w14:paraId="33C49BAE" w14:textId="77777777" w:rsidR="003E3ADF" w:rsidRDefault="003E3ADF" w:rsidP="003E3ADF">
      <w:pPr>
        <w:rPr>
          <w:lang w:val="en-GB"/>
        </w:rPr>
      </w:pPr>
      <w:r w:rsidRPr="002C6FB8">
        <w:rPr>
          <w:rFonts w:ascii="Work Sans" w:hAnsi="Work Sans"/>
          <w:sz w:val="24"/>
          <w:szCs w:val="24"/>
          <w:lang w:val="en-GB"/>
        </w:rPr>
        <w:t xml:space="preserve">For example, the Commission’s recommendation for the distribution of GST in 2019–20 is based on the assessment of </w:t>
      </w:r>
      <w:r w:rsidR="006C184F">
        <w:rPr>
          <w:rFonts w:ascii="Work Sans" w:hAnsi="Work Sans"/>
          <w:sz w:val="24"/>
          <w:szCs w:val="24"/>
          <w:lang w:val="en-GB"/>
        </w:rPr>
        <w:t>state</w:t>
      </w:r>
      <w:r w:rsidRPr="002C6FB8">
        <w:rPr>
          <w:rFonts w:ascii="Work Sans" w:hAnsi="Work Sans"/>
          <w:sz w:val="24"/>
          <w:szCs w:val="24"/>
          <w:lang w:val="en-GB"/>
        </w:rPr>
        <w:t xml:space="preserve">s’ fiscal capacities and relativities averaged over the years 2015–16, 2016–17 and 2017–18. By using the most robust and reliable data available, the Commission avoids subsequent large-scale adjustments for data revisions. An additional advantage of using 3-year averaging for </w:t>
      </w:r>
      <w:r w:rsidR="006C184F">
        <w:rPr>
          <w:rFonts w:ascii="Work Sans" w:hAnsi="Work Sans"/>
          <w:sz w:val="24"/>
          <w:szCs w:val="24"/>
          <w:lang w:val="en-GB"/>
        </w:rPr>
        <w:t>state</w:t>
      </w:r>
      <w:r w:rsidRPr="002C6FB8">
        <w:rPr>
          <w:rFonts w:ascii="Work Sans" w:hAnsi="Work Sans"/>
          <w:sz w:val="24"/>
          <w:szCs w:val="24"/>
          <w:lang w:val="en-GB"/>
        </w:rPr>
        <w:t xml:space="preserve"> budgeting is that volatility in the GST distributions is smoothed over time. </w:t>
      </w:r>
      <w:r w:rsidR="006C184F">
        <w:rPr>
          <w:rFonts w:ascii="Work Sans" w:hAnsi="Work Sans"/>
          <w:sz w:val="24"/>
          <w:szCs w:val="24"/>
          <w:lang w:val="en-GB"/>
        </w:rPr>
        <w:t>state</w:t>
      </w:r>
      <w:r w:rsidRPr="002C6FB8">
        <w:rPr>
          <w:rFonts w:ascii="Work Sans" w:hAnsi="Work Sans"/>
          <w:sz w:val="24"/>
          <w:szCs w:val="24"/>
          <w:lang w:val="en-GB"/>
        </w:rPr>
        <w:t>s have consistently argued that this is helpful to them in terms of budgetary planning.</w:t>
      </w:r>
    </w:p>
    <w:p w14:paraId="18952846" w14:textId="77777777" w:rsidR="003E3ADF" w:rsidRDefault="003E3ADF" w:rsidP="003E3ADF">
      <w:pPr>
        <w:pStyle w:val="Heading3"/>
        <w:rPr>
          <w:lang w:val="en-GB"/>
        </w:rPr>
      </w:pPr>
      <w:r>
        <w:rPr>
          <w:lang w:val="en-GB"/>
        </w:rPr>
        <w:br w:type="column"/>
      </w:r>
      <w:r>
        <w:rPr>
          <w:noProof/>
          <w:color w:val="0091C4"/>
        </w:rPr>
        <w:lastRenderedPageBreak/>
        <mc:AlternateContent>
          <mc:Choice Requires="wps">
            <w:drawing>
              <wp:anchor distT="0" distB="0" distL="114300" distR="114300" simplePos="0" relativeHeight="251683840" behindDoc="1" locked="0" layoutInCell="1" allowOverlap="1" wp14:anchorId="08D532F0" wp14:editId="760FC7D9">
                <wp:simplePos x="0" y="0"/>
                <wp:positionH relativeFrom="margin">
                  <wp:posOffset>-137106</wp:posOffset>
                </wp:positionH>
                <wp:positionV relativeFrom="paragraph">
                  <wp:posOffset>-4169</wp:posOffset>
                </wp:positionV>
                <wp:extent cx="5979381" cy="8261405"/>
                <wp:effectExtent l="0" t="0" r="2540" b="635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79381" cy="8261405"/>
                        </a:xfrm>
                        <a:prstGeom prst="rect">
                          <a:avLst/>
                        </a:prstGeom>
                        <a:solidFill>
                          <a:srgbClr val="E5F8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1FCF6" id="Rectangle 12" o:spid="_x0000_s1026" alt="&quot;&quot;" style="position:absolute;margin-left:-10.8pt;margin-top:-.35pt;width:470.8pt;height:650.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" fillcolor="#e5f8ff" stroked="f" strokeweight="1pt">
                <w10:wrap anchorx="margin"/>
              </v:rect>
            </w:pict>
          </mc:Fallback>
        </mc:AlternateContent>
      </w:r>
      <w:r w:rsidRPr="003E3ADF">
        <w:rPr>
          <w:lang w:val="en-GB"/>
        </w:rPr>
        <w:t xml:space="preserve">Box 1: How the Commission assesses </w:t>
      </w:r>
      <w:r w:rsidR="006C184F">
        <w:rPr>
          <w:lang w:val="en-GB"/>
        </w:rPr>
        <w:t>state</w:t>
      </w:r>
      <w:r w:rsidRPr="003E3ADF">
        <w:rPr>
          <w:lang w:val="en-GB"/>
        </w:rPr>
        <w:t xml:space="preserve"> GST needs in line with horizontal fiscal equalisation</w:t>
      </w:r>
    </w:p>
    <w:p w14:paraId="2D36B28A" w14:textId="77777777" w:rsidR="003E3ADF" w:rsidRPr="005A57C8" w:rsidRDefault="003E3ADF" w:rsidP="003E3ADF">
      <w:pPr>
        <w:rPr>
          <w:rFonts w:ascii="Work Sans" w:hAnsi="Work Sans"/>
          <w:sz w:val="22"/>
          <w:lang w:val="en-GB"/>
        </w:rPr>
      </w:pPr>
      <w:r w:rsidRPr="005A57C8">
        <w:rPr>
          <w:rFonts w:ascii="Work Sans" w:hAnsi="Work Sans"/>
          <w:sz w:val="22"/>
          <w:lang w:val="en-GB"/>
        </w:rPr>
        <w:t xml:space="preserve">To appreciate how an event such as the pandemic might affect horizontal fiscal equalisation (that is, equalisation horizontally across all </w:t>
      </w:r>
      <w:r w:rsidR="006C184F">
        <w:rPr>
          <w:rFonts w:ascii="Work Sans" w:hAnsi="Work Sans"/>
          <w:sz w:val="22"/>
          <w:lang w:val="en-GB"/>
        </w:rPr>
        <w:t>state</w:t>
      </w:r>
      <w:r w:rsidRPr="005A57C8">
        <w:rPr>
          <w:rFonts w:ascii="Work Sans" w:hAnsi="Work Sans"/>
          <w:sz w:val="22"/>
          <w:lang w:val="en-GB"/>
        </w:rPr>
        <w:t xml:space="preserve">s), it is necessary to understand how equalisation works. It can be explained in terms of the ‘steps’ the Commission goes through to calculate a </w:t>
      </w:r>
      <w:r w:rsidR="006C184F">
        <w:rPr>
          <w:rFonts w:ascii="Work Sans" w:hAnsi="Work Sans"/>
          <w:sz w:val="22"/>
          <w:lang w:val="en-GB"/>
        </w:rPr>
        <w:t>state</w:t>
      </w:r>
      <w:r w:rsidRPr="005A57C8">
        <w:rPr>
          <w:rFonts w:ascii="Work Sans" w:hAnsi="Work Sans"/>
          <w:sz w:val="22"/>
          <w:lang w:val="en-GB"/>
        </w:rPr>
        <w:t>’s relativity. These steps are described sequentially below but in fact the Commission undertakes them all at the same time. They make up the moving parts of the fiscal equalisation system.</w:t>
      </w:r>
    </w:p>
    <w:p w14:paraId="266C18F3" w14:textId="77777777" w:rsidR="003E3ADF" w:rsidRPr="005A57C8" w:rsidRDefault="003E3ADF" w:rsidP="003E3ADF">
      <w:pPr>
        <w:rPr>
          <w:rFonts w:ascii="Work Sans" w:hAnsi="Work Sans"/>
          <w:sz w:val="22"/>
          <w:lang w:val="en-GB"/>
        </w:rPr>
      </w:pPr>
      <w:r w:rsidRPr="005A57C8">
        <w:rPr>
          <w:rFonts w:ascii="Work Sans" w:hAnsi="Work Sans"/>
          <w:sz w:val="22"/>
          <w:lang w:val="en-GB"/>
        </w:rPr>
        <w:t xml:space="preserve">An important step is to estimate each </w:t>
      </w:r>
      <w:r w:rsidR="006C184F">
        <w:rPr>
          <w:rFonts w:ascii="Work Sans" w:hAnsi="Work Sans"/>
          <w:sz w:val="22"/>
          <w:lang w:val="en-GB"/>
        </w:rPr>
        <w:t>state</w:t>
      </w:r>
      <w:r w:rsidRPr="005A57C8">
        <w:rPr>
          <w:rFonts w:ascii="Work Sans" w:hAnsi="Work Sans"/>
          <w:sz w:val="22"/>
          <w:lang w:val="en-GB"/>
        </w:rPr>
        <w:t xml:space="preserve">’s assessed expenditure. This is the total amount a </w:t>
      </w:r>
      <w:r w:rsidR="006C184F">
        <w:rPr>
          <w:rFonts w:ascii="Work Sans" w:hAnsi="Work Sans"/>
          <w:sz w:val="22"/>
          <w:lang w:val="en-GB"/>
        </w:rPr>
        <w:t>state</w:t>
      </w:r>
      <w:r w:rsidRPr="005A57C8">
        <w:rPr>
          <w:rFonts w:ascii="Work Sans" w:hAnsi="Work Sans"/>
          <w:sz w:val="22"/>
          <w:lang w:val="en-GB"/>
        </w:rPr>
        <w:t xml:space="preserve"> needs to spend on recurrent programmes and infrastructure in order to achieve an all-</w:t>
      </w:r>
      <w:r w:rsidR="006C184F">
        <w:rPr>
          <w:rFonts w:ascii="Work Sans" w:hAnsi="Work Sans"/>
          <w:sz w:val="22"/>
          <w:lang w:val="en-GB"/>
        </w:rPr>
        <w:t>state</w:t>
      </w:r>
      <w:r w:rsidRPr="005A57C8">
        <w:rPr>
          <w:rFonts w:ascii="Work Sans" w:hAnsi="Work Sans"/>
          <w:sz w:val="22"/>
          <w:lang w:val="en-GB"/>
        </w:rPr>
        <w:t xml:space="preserve"> average level of service provision. A </w:t>
      </w:r>
      <w:r w:rsidR="006C184F">
        <w:rPr>
          <w:rFonts w:ascii="Work Sans" w:hAnsi="Work Sans"/>
          <w:sz w:val="22"/>
          <w:lang w:val="en-GB"/>
        </w:rPr>
        <w:t>state</w:t>
      </w:r>
      <w:r w:rsidRPr="005A57C8">
        <w:rPr>
          <w:rFonts w:ascii="Work Sans" w:hAnsi="Work Sans"/>
          <w:sz w:val="22"/>
          <w:lang w:val="en-GB"/>
        </w:rPr>
        <w:t xml:space="preserve">’s assessed expenditure can be above or below this average, in per capita terms, because of costs arising from economic, social, demographic and other characteristics of the </w:t>
      </w:r>
      <w:r w:rsidR="006C184F">
        <w:rPr>
          <w:rFonts w:ascii="Work Sans" w:hAnsi="Work Sans"/>
          <w:sz w:val="22"/>
          <w:lang w:val="en-GB"/>
        </w:rPr>
        <w:t>state</w:t>
      </w:r>
      <w:r w:rsidRPr="005A57C8">
        <w:rPr>
          <w:rFonts w:ascii="Work Sans" w:hAnsi="Work Sans"/>
          <w:sz w:val="22"/>
          <w:lang w:val="en-GB"/>
        </w:rPr>
        <w:t xml:space="preserve"> beyond its control. A </w:t>
      </w:r>
      <w:r w:rsidR="006C184F">
        <w:rPr>
          <w:rFonts w:ascii="Work Sans" w:hAnsi="Work Sans"/>
          <w:sz w:val="22"/>
          <w:lang w:val="en-GB"/>
        </w:rPr>
        <w:t>state</w:t>
      </w:r>
      <w:r w:rsidRPr="005A57C8">
        <w:rPr>
          <w:rFonts w:ascii="Work Sans" w:hAnsi="Work Sans"/>
          <w:sz w:val="22"/>
          <w:lang w:val="en-GB"/>
        </w:rPr>
        <w:t xml:space="preserve">’s assessed spending is to be distinguished from its actual spending. </w:t>
      </w:r>
    </w:p>
    <w:p w14:paraId="1C05DA54" w14:textId="77777777" w:rsidR="003E3ADF" w:rsidRPr="005A57C8" w:rsidRDefault="003E3ADF" w:rsidP="003E3ADF">
      <w:pPr>
        <w:rPr>
          <w:rFonts w:ascii="Work Sans" w:hAnsi="Work Sans"/>
          <w:sz w:val="22"/>
          <w:lang w:val="en-GB"/>
        </w:rPr>
      </w:pPr>
      <w:r w:rsidRPr="005A57C8">
        <w:rPr>
          <w:rFonts w:ascii="Work Sans" w:hAnsi="Work Sans"/>
          <w:sz w:val="22"/>
          <w:lang w:val="en-GB"/>
        </w:rPr>
        <w:t xml:space="preserve">The Commission also calculates each </w:t>
      </w:r>
      <w:r w:rsidR="006C184F">
        <w:rPr>
          <w:rFonts w:ascii="Work Sans" w:hAnsi="Work Sans"/>
          <w:sz w:val="22"/>
          <w:lang w:val="en-GB"/>
        </w:rPr>
        <w:t>state</w:t>
      </w:r>
      <w:r w:rsidRPr="005A57C8">
        <w:rPr>
          <w:rFonts w:ascii="Work Sans" w:hAnsi="Work Sans"/>
          <w:sz w:val="22"/>
          <w:lang w:val="en-GB"/>
        </w:rPr>
        <w:t xml:space="preserve">’s assessed own-source revenue. To derive this, it calculates, for each </w:t>
      </w:r>
      <w:r w:rsidR="006C184F">
        <w:rPr>
          <w:rFonts w:ascii="Work Sans" w:hAnsi="Work Sans"/>
          <w:sz w:val="22"/>
          <w:lang w:val="en-GB"/>
        </w:rPr>
        <w:t>state</w:t>
      </w:r>
      <w:r w:rsidRPr="005A57C8">
        <w:rPr>
          <w:rFonts w:ascii="Work Sans" w:hAnsi="Work Sans"/>
          <w:sz w:val="22"/>
          <w:lang w:val="en-GB"/>
        </w:rPr>
        <w:t xml:space="preserve"> tax base, a weighted average tax rate across all </w:t>
      </w:r>
      <w:r w:rsidR="006C184F">
        <w:rPr>
          <w:rFonts w:ascii="Work Sans" w:hAnsi="Work Sans"/>
          <w:sz w:val="22"/>
          <w:lang w:val="en-GB"/>
        </w:rPr>
        <w:t>state</w:t>
      </w:r>
      <w:r w:rsidRPr="005A57C8">
        <w:rPr>
          <w:rFonts w:ascii="Work Sans" w:hAnsi="Work Sans"/>
          <w:sz w:val="22"/>
          <w:lang w:val="en-GB"/>
        </w:rPr>
        <w:t xml:space="preserve">s. The Commission then applies this average rate to each base in a </w:t>
      </w:r>
      <w:r w:rsidR="006C184F">
        <w:rPr>
          <w:rFonts w:ascii="Work Sans" w:hAnsi="Work Sans"/>
          <w:sz w:val="22"/>
          <w:lang w:val="en-GB"/>
        </w:rPr>
        <w:t>state</w:t>
      </w:r>
      <w:r w:rsidRPr="005A57C8">
        <w:rPr>
          <w:rFonts w:ascii="Work Sans" w:hAnsi="Work Sans"/>
          <w:sz w:val="22"/>
          <w:lang w:val="en-GB"/>
        </w:rPr>
        <w:t xml:space="preserve"> to estimate the revenue it could raise from that base if it makes the average tax effort. Summed across bases this yields a </w:t>
      </w:r>
      <w:r w:rsidR="006C184F">
        <w:rPr>
          <w:rFonts w:ascii="Work Sans" w:hAnsi="Work Sans"/>
          <w:sz w:val="22"/>
          <w:lang w:val="en-GB"/>
        </w:rPr>
        <w:t>state</w:t>
      </w:r>
      <w:r w:rsidRPr="005A57C8">
        <w:rPr>
          <w:rFonts w:ascii="Work Sans" w:hAnsi="Work Sans"/>
          <w:sz w:val="22"/>
          <w:lang w:val="en-GB"/>
        </w:rPr>
        <w:t xml:space="preserve">’s total assessed own-source revenue. This is the total revenue it could raise from its own tax bases with an average tax effort. This too is to be distinguished from its actual revenue. </w:t>
      </w:r>
    </w:p>
    <w:p w14:paraId="279576E6" w14:textId="77777777" w:rsidR="003E3ADF" w:rsidRPr="005A57C8" w:rsidRDefault="003E3ADF" w:rsidP="003E3ADF">
      <w:pPr>
        <w:rPr>
          <w:rFonts w:ascii="Work Sans" w:hAnsi="Work Sans"/>
          <w:sz w:val="22"/>
          <w:lang w:val="en-GB"/>
        </w:rPr>
      </w:pPr>
      <w:r w:rsidRPr="005A57C8">
        <w:rPr>
          <w:rFonts w:ascii="Work Sans" w:hAnsi="Work Sans"/>
          <w:sz w:val="22"/>
          <w:lang w:val="en-GB"/>
        </w:rPr>
        <w:t xml:space="preserve">The final step is to estimate using an analogous approach a </w:t>
      </w:r>
      <w:r w:rsidR="006C184F">
        <w:rPr>
          <w:rFonts w:ascii="Work Sans" w:hAnsi="Work Sans"/>
          <w:sz w:val="22"/>
          <w:lang w:val="en-GB"/>
        </w:rPr>
        <w:t>state</w:t>
      </w:r>
      <w:r w:rsidRPr="005A57C8">
        <w:rPr>
          <w:rFonts w:ascii="Work Sans" w:hAnsi="Work Sans"/>
          <w:sz w:val="22"/>
          <w:lang w:val="en-GB"/>
        </w:rPr>
        <w:t>’s assessed net borrowing. This is the amount it can borrow at average effort taking account of factors beyond its control.</w:t>
      </w:r>
    </w:p>
    <w:p w14:paraId="2BFF19BE" w14:textId="77777777" w:rsidR="003E3ADF" w:rsidRPr="005A57C8" w:rsidRDefault="003E3ADF" w:rsidP="003E3ADF">
      <w:pPr>
        <w:rPr>
          <w:rFonts w:ascii="Work Sans" w:hAnsi="Work Sans"/>
          <w:sz w:val="22"/>
          <w:lang w:val="en-GB"/>
        </w:rPr>
      </w:pPr>
      <w:r w:rsidRPr="005A57C8">
        <w:rPr>
          <w:rFonts w:ascii="Work Sans" w:hAnsi="Work Sans"/>
          <w:sz w:val="22"/>
          <w:lang w:val="en-GB"/>
        </w:rPr>
        <w:t xml:space="preserve">Once these elements are constructed the Commission adds together each </w:t>
      </w:r>
      <w:r w:rsidR="006C184F">
        <w:rPr>
          <w:rFonts w:ascii="Work Sans" w:hAnsi="Work Sans"/>
          <w:sz w:val="22"/>
          <w:lang w:val="en-GB"/>
        </w:rPr>
        <w:t>state</w:t>
      </w:r>
      <w:r w:rsidRPr="005A57C8">
        <w:rPr>
          <w:rFonts w:ascii="Work Sans" w:hAnsi="Work Sans"/>
          <w:sz w:val="22"/>
          <w:lang w:val="en-GB"/>
        </w:rPr>
        <w:t xml:space="preserve">’s assessed revenue, assessed net borrowing and other non-quarantined grants it receives from the Commonwealth. This sum is deducted from the </w:t>
      </w:r>
      <w:r w:rsidR="006C184F">
        <w:rPr>
          <w:rFonts w:ascii="Work Sans" w:hAnsi="Work Sans"/>
          <w:sz w:val="22"/>
          <w:lang w:val="en-GB"/>
        </w:rPr>
        <w:t>state</w:t>
      </w:r>
      <w:r w:rsidRPr="005A57C8">
        <w:rPr>
          <w:rFonts w:ascii="Work Sans" w:hAnsi="Work Sans"/>
          <w:sz w:val="22"/>
          <w:lang w:val="en-GB"/>
        </w:rPr>
        <w:t xml:space="preserve">’s assessed expenditure to derive its GST </w:t>
      </w:r>
      <w:r w:rsidRPr="005A57C8">
        <w:rPr>
          <w:rFonts w:ascii="Work Sans" w:hAnsi="Work Sans"/>
          <w:i/>
          <w:iCs/>
          <w:sz w:val="22"/>
          <w:lang w:val="en-GB"/>
        </w:rPr>
        <w:t>requirement.</w:t>
      </w:r>
      <w:r w:rsidRPr="005A57C8">
        <w:rPr>
          <w:rFonts w:ascii="Work Sans" w:hAnsi="Work Sans"/>
          <w:sz w:val="22"/>
          <w:lang w:val="en-GB"/>
        </w:rPr>
        <w:t xml:space="preserve"> This is the funding a </w:t>
      </w:r>
      <w:r w:rsidR="006C184F">
        <w:rPr>
          <w:rFonts w:ascii="Work Sans" w:hAnsi="Work Sans"/>
          <w:sz w:val="22"/>
          <w:lang w:val="en-GB"/>
        </w:rPr>
        <w:t>state</w:t>
      </w:r>
      <w:r w:rsidRPr="005A57C8">
        <w:rPr>
          <w:rFonts w:ascii="Work Sans" w:hAnsi="Work Sans"/>
          <w:sz w:val="22"/>
          <w:lang w:val="en-GB"/>
        </w:rPr>
        <w:t xml:space="preserve"> requires from the GST pool to give it the fiscal capacity to provide the average level of service provision while making the average tax effort.</w:t>
      </w:r>
    </w:p>
    <w:p w14:paraId="748B4CBC" w14:textId="77777777" w:rsidR="003E3ADF" w:rsidRPr="005A57C8" w:rsidRDefault="003E3ADF" w:rsidP="003E3ADF">
      <w:pPr>
        <w:rPr>
          <w:sz w:val="22"/>
          <w:lang w:val="en-GB"/>
        </w:rPr>
      </w:pPr>
      <w:r w:rsidRPr="005A57C8">
        <w:rPr>
          <w:rFonts w:ascii="Work Sans" w:hAnsi="Work Sans"/>
          <w:sz w:val="22"/>
          <w:lang w:val="en-GB"/>
        </w:rPr>
        <w:t xml:space="preserve">If each </w:t>
      </w:r>
      <w:r w:rsidR="006C184F">
        <w:rPr>
          <w:rFonts w:ascii="Work Sans" w:hAnsi="Work Sans"/>
          <w:sz w:val="22"/>
          <w:lang w:val="en-GB"/>
        </w:rPr>
        <w:t>state</w:t>
      </w:r>
      <w:r w:rsidRPr="005A57C8">
        <w:rPr>
          <w:rFonts w:ascii="Work Sans" w:hAnsi="Work Sans"/>
          <w:sz w:val="22"/>
          <w:lang w:val="en-GB"/>
        </w:rPr>
        <w:t xml:space="preserve"> receives its GST requirement fiscal capacities will be equalised. The equalisation process also raises the fiscal capacities of all </w:t>
      </w:r>
      <w:r w:rsidR="006C184F">
        <w:rPr>
          <w:rFonts w:ascii="Work Sans" w:hAnsi="Work Sans"/>
          <w:sz w:val="22"/>
          <w:lang w:val="en-GB"/>
        </w:rPr>
        <w:t>state</w:t>
      </w:r>
      <w:r w:rsidRPr="005A57C8">
        <w:rPr>
          <w:rFonts w:ascii="Work Sans" w:hAnsi="Work Sans"/>
          <w:sz w:val="22"/>
          <w:lang w:val="en-GB"/>
        </w:rPr>
        <w:t xml:space="preserve">s as the GST distribution process is a revenue sharing arrangement. For this reason, GST requirements are positive for all </w:t>
      </w:r>
      <w:r w:rsidR="006C184F">
        <w:rPr>
          <w:rFonts w:ascii="Work Sans" w:hAnsi="Work Sans"/>
          <w:sz w:val="22"/>
          <w:lang w:val="en-GB"/>
        </w:rPr>
        <w:t>state</w:t>
      </w:r>
      <w:r w:rsidRPr="005A57C8">
        <w:rPr>
          <w:rFonts w:ascii="Work Sans" w:hAnsi="Work Sans"/>
          <w:sz w:val="22"/>
          <w:lang w:val="en-GB"/>
        </w:rPr>
        <w:t>s.</w:t>
      </w:r>
    </w:p>
    <w:p w14:paraId="1F0BC9C6" w14:textId="77777777" w:rsidR="003E3ADF" w:rsidRPr="005A57C8" w:rsidRDefault="003E3ADF" w:rsidP="003E3ADF">
      <w:pPr>
        <w:rPr>
          <w:rFonts w:ascii="Work Sans" w:hAnsi="Work Sans"/>
          <w:sz w:val="22"/>
          <w:lang w:val="en-GB"/>
        </w:rPr>
      </w:pPr>
      <w:r w:rsidRPr="005A57C8">
        <w:rPr>
          <w:rFonts w:ascii="Work Sans" w:hAnsi="Work Sans"/>
          <w:sz w:val="22"/>
          <w:lang w:val="en-GB"/>
        </w:rPr>
        <w:t xml:space="preserve">A </w:t>
      </w:r>
      <w:r w:rsidR="006C184F">
        <w:rPr>
          <w:rFonts w:ascii="Work Sans" w:hAnsi="Work Sans"/>
          <w:sz w:val="22"/>
          <w:lang w:val="en-GB"/>
        </w:rPr>
        <w:t>state</w:t>
      </w:r>
      <w:r w:rsidRPr="005A57C8">
        <w:rPr>
          <w:rFonts w:ascii="Work Sans" w:hAnsi="Work Sans"/>
          <w:sz w:val="22"/>
          <w:lang w:val="en-GB"/>
        </w:rPr>
        <w:t xml:space="preserve">’s relativity is simply its GST requirement per capita as a proportion of the per capita amount it would receive if the GST pool were allocated on an equal per capita basis. If a </w:t>
      </w:r>
      <w:r w:rsidR="006C184F">
        <w:rPr>
          <w:rFonts w:ascii="Work Sans" w:hAnsi="Work Sans"/>
          <w:sz w:val="22"/>
          <w:lang w:val="en-GB"/>
        </w:rPr>
        <w:t>state</w:t>
      </w:r>
      <w:r w:rsidRPr="005A57C8">
        <w:rPr>
          <w:rFonts w:ascii="Work Sans" w:hAnsi="Work Sans"/>
          <w:sz w:val="22"/>
          <w:lang w:val="en-GB"/>
        </w:rPr>
        <w:t xml:space="preserve">’s relativity exceeds one this means that to fund its assessed expenditure it requires more than its equal per capita allocation from the GST pool. Similarly, a relativity of less than one implies that a </w:t>
      </w:r>
      <w:r w:rsidR="006C184F">
        <w:rPr>
          <w:rFonts w:ascii="Work Sans" w:hAnsi="Work Sans"/>
          <w:sz w:val="22"/>
          <w:lang w:val="en-GB"/>
        </w:rPr>
        <w:t>state</w:t>
      </w:r>
      <w:r w:rsidRPr="005A57C8">
        <w:rPr>
          <w:rFonts w:ascii="Work Sans" w:hAnsi="Work Sans"/>
          <w:sz w:val="22"/>
          <w:lang w:val="en-GB"/>
        </w:rPr>
        <w:t xml:space="preserve"> requires less than its per capita allocation from the GST pool to fund its assessed expenditure. A relativity of one implies that a </w:t>
      </w:r>
      <w:r w:rsidR="006C184F">
        <w:rPr>
          <w:rFonts w:ascii="Work Sans" w:hAnsi="Work Sans"/>
          <w:sz w:val="22"/>
          <w:lang w:val="en-GB"/>
        </w:rPr>
        <w:t>state</w:t>
      </w:r>
      <w:r w:rsidRPr="005A57C8">
        <w:rPr>
          <w:rFonts w:ascii="Work Sans" w:hAnsi="Work Sans"/>
          <w:sz w:val="22"/>
          <w:lang w:val="en-GB"/>
        </w:rPr>
        <w:t xml:space="preserve"> only requires its equal per capita share of the GST pool in order to achieve horizontal fiscal equalisation.</w:t>
      </w:r>
    </w:p>
    <w:p w14:paraId="224885FA" w14:textId="77777777" w:rsidR="003E3ADF" w:rsidRDefault="003E3ADF" w:rsidP="003E3ADF">
      <w:pPr>
        <w:rPr>
          <w:lang w:val="en-GB"/>
        </w:rPr>
      </w:pPr>
    </w:p>
    <w:p w14:paraId="53488184" w14:textId="77777777" w:rsidR="003E3ADF" w:rsidRDefault="005A57C8" w:rsidP="003E3ADF">
      <w:pPr>
        <w:pStyle w:val="Heading2"/>
        <w:rPr>
          <w:lang w:val="en-GB"/>
        </w:rPr>
      </w:pPr>
      <w:r>
        <w:rPr>
          <w:lang w:val="en-GB"/>
        </w:rPr>
        <w:br w:type="column"/>
      </w:r>
      <w:r w:rsidR="003E3ADF" w:rsidRPr="009978E9">
        <w:rPr>
          <w:lang w:val="en-GB"/>
        </w:rPr>
        <w:lastRenderedPageBreak/>
        <w:t xml:space="preserve">How economic shocks can </w:t>
      </w:r>
      <w:r w:rsidR="003E3ADF">
        <w:rPr>
          <w:lang w:val="en-GB"/>
        </w:rPr>
        <w:t xml:space="preserve">affect </w:t>
      </w:r>
      <w:r w:rsidR="003E3ADF" w:rsidRPr="009978E9">
        <w:rPr>
          <w:lang w:val="en-GB"/>
        </w:rPr>
        <w:t>fiscal equalisation</w:t>
      </w:r>
    </w:p>
    <w:p w14:paraId="1F9D798D" w14:textId="77777777" w:rsidR="003E3ADF" w:rsidRPr="00727CC0" w:rsidRDefault="003E3ADF" w:rsidP="003E3ADF">
      <w:pPr>
        <w:rPr>
          <w:rFonts w:ascii="Work Sans" w:hAnsi="Work Sans"/>
          <w:sz w:val="24"/>
          <w:szCs w:val="24"/>
          <w:lang w:val="en-GB"/>
        </w:rPr>
      </w:pPr>
      <w:r w:rsidRPr="00727CC0">
        <w:rPr>
          <w:rFonts w:ascii="Work Sans" w:hAnsi="Work Sans"/>
          <w:sz w:val="24"/>
          <w:szCs w:val="24"/>
          <w:lang w:val="en-GB"/>
        </w:rPr>
        <w:t xml:space="preserve">Generally, economic shocks can affect efforts to achieve fiscal equalisation by changing the size of the GST pool and altering average </w:t>
      </w:r>
      <w:r w:rsidR="006C184F">
        <w:rPr>
          <w:rFonts w:ascii="Work Sans" w:hAnsi="Work Sans"/>
          <w:sz w:val="24"/>
          <w:szCs w:val="24"/>
          <w:lang w:val="en-GB"/>
        </w:rPr>
        <w:t>state</w:t>
      </w:r>
      <w:r w:rsidRPr="00727CC0">
        <w:rPr>
          <w:rFonts w:ascii="Work Sans" w:hAnsi="Work Sans"/>
          <w:sz w:val="24"/>
          <w:szCs w:val="24"/>
          <w:lang w:val="en-GB"/>
        </w:rPr>
        <w:t xml:space="preserve"> revenue and expenditure policies (what </w:t>
      </w:r>
      <w:r w:rsidR="006C184F">
        <w:rPr>
          <w:rFonts w:ascii="Work Sans" w:hAnsi="Work Sans"/>
          <w:sz w:val="24"/>
          <w:szCs w:val="24"/>
          <w:lang w:val="en-GB"/>
        </w:rPr>
        <w:t>state</w:t>
      </w:r>
      <w:r w:rsidRPr="00727CC0">
        <w:rPr>
          <w:rFonts w:ascii="Work Sans" w:hAnsi="Work Sans"/>
          <w:sz w:val="24"/>
          <w:szCs w:val="24"/>
          <w:lang w:val="en-GB"/>
        </w:rPr>
        <w:t>s do). They can also have implications for policy neutrality, the timeliness of assessments of fiscal capacity and the volatility of GST distributions.</w:t>
      </w:r>
    </w:p>
    <w:p w14:paraId="774CCC78" w14:textId="77777777" w:rsidR="003E3ADF" w:rsidRDefault="003E3ADF" w:rsidP="003E3ADF">
      <w:pPr>
        <w:pStyle w:val="Heading3"/>
        <w:rPr>
          <w:lang w:val="en-GB"/>
        </w:rPr>
      </w:pPr>
      <w:r w:rsidRPr="009978E9">
        <w:rPr>
          <w:lang w:val="en-GB"/>
        </w:rPr>
        <w:t>Size of the GST pool</w:t>
      </w:r>
    </w:p>
    <w:p w14:paraId="584D04EA" w14:textId="77777777" w:rsidR="003E3ADF" w:rsidRPr="00727CC0" w:rsidRDefault="003E3ADF" w:rsidP="003E3ADF">
      <w:pPr>
        <w:rPr>
          <w:rFonts w:ascii="Work Sans" w:hAnsi="Work Sans"/>
          <w:sz w:val="24"/>
          <w:szCs w:val="24"/>
          <w:lang w:val="en-GB"/>
        </w:rPr>
      </w:pPr>
      <w:r w:rsidRPr="00727CC0">
        <w:rPr>
          <w:rFonts w:ascii="Work Sans" w:hAnsi="Work Sans"/>
          <w:sz w:val="24"/>
          <w:szCs w:val="24"/>
          <w:lang w:val="en-GB"/>
        </w:rPr>
        <w:t xml:space="preserve">An economic event that reduces economic activity can reduce the size of the GST pool. If the impact on the pool is sufficiently large it is conceivable that the funds available would be insufficient to raise and equalise fiscal capacities. It is not expected that this will happen as a result of the pandemic. </w:t>
      </w:r>
    </w:p>
    <w:p w14:paraId="1DC25F73" w14:textId="77777777" w:rsidR="003E3ADF" w:rsidRPr="00727CC0" w:rsidRDefault="003E3ADF" w:rsidP="003E3ADF">
      <w:pPr>
        <w:rPr>
          <w:rFonts w:ascii="Work Sans" w:hAnsi="Work Sans"/>
          <w:sz w:val="24"/>
          <w:szCs w:val="24"/>
          <w:lang w:val="en-GB"/>
        </w:rPr>
      </w:pPr>
      <w:r w:rsidRPr="00727CC0">
        <w:rPr>
          <w:rFonts w:ascii="Work Sans" w:hAnsi="Work Sans"/>
          <w:sz w:val="24"/>
          <w:szCs w:val="24"/>
          <w:lang w:val="en-GB"/>
        </w:rPr>
        <w:t xml:space="preserve">The 2020–21 Budget reported that since the 2019–20 Mid-Year Economic and Fiscal Outlook (MYEFO), GST receipts have been revised down $7.8 billion in 2020–21 and by $21.2 billion in the four years to 2023–24. </w:t>
      </w:r>
    </w:p>
    <w:p w14:paraId="44D47B78" w14:textId="77777777" w:rsidR="003E3ADF" w:rsidRPr="00727CC0" w:rsidRDefault="003E3ADF" w:rsidP="003E3ADF">
      <w:pPr>
        <w:rPr>
          <w:rFonts w:ascii="Work Sans" w:hAnsi="Work Sans"/>
          <w:sz w:val="24"/>
          <w:szCs w:val="24"/>
          <w:lang w:val="en-GB"/>
        </w:rPr>
      </w:pPr>
      <w:r w:rsidRPr="00727CC0">
        <w:rPr>
          <w:rFonts w:ascii="Work Sans" w:hAnsi="Work Sans"/>
          <w:sz w:val="24"/>
          <w:szCs w:val="24"/>
          <w:lang w:val="en-GB"/>
        </w:rPr>
        <w:t xml:space="preserve">An overall decline in GST receipts will not of itself change the relative distribution of the pool between the </w:t>
      </w:r>
      <w:r w:rsidR="006C184F">
        <w:rPr>
          <w:rFonts w:ascii="Work Sans" w:hAnsi="Work Sans"/>
          <w:sz w:val="24"/>
          <w:szCs w:val="24"/>
          <w:lang w:val="en-GB"/>
        </w:rPr>
        <w:t>state</w:t>
      </w:r>
      <w:r w:rsidRPr="00727CC0">
        <w:rPr>
          <w:rFonts w:ascii="Work Sans" w:hAnsi="Work Sans"/>
          <w:sz w:val="24"/>
          <w:szCs w:val="24"/>
          <w:lang w:val="en-GB"/>
        </w:rPr>
        <w:t xml:space="preserve">s. However, </w:t>
      </w:r>
      <w:r w:rsidR="006C184F">
        <w:rPr>
          <w:rFonts w:ascii="Work Sans" w:hAnsi="Work Sans"/>
          <w:sz w:val="24"/>
          <w:szCs w:val="24"/>
          <w:lang w:val="en-GB"/>
        </w:rPr>
        <w:t>state</w:t>
      </w:r>
      <w:r w:rsidRPr="00727CC0">
        <w:rPr>
          <w:rFonts w:ascii="Work Sans" w:hAnsi="Work Sans"/>
          <w:sz w:val="24"/>
          <w:szCs w:val="24"/>
          <w:lang w:val="en-GB"/>
        </w:rPr>
        <w:t xml:space="preserve"> relativities will be applied to a smaller GST pool so the extent to which horizontal fiscal equalisation raises the fiscal capacity of all </w:t>
      </w:r>
      <w:r w:rsidR="006C184F">
        <w:rPr>
          <w:rFonts w:ascii="Work Sans" w:hAnsi="Work Sans"/>
          <w:sz w:val="24"/>
          <w:szCs w:val="24"/>
          <w:lang w:val="en-GB"/>
        </w:rPr>
        <w:t>state</w:t>
      </w:r>
      <w:r w:rsidRPr="00727CC0">
        <w:rPr>
          <w:rFonts w:ascii="Work Sans" w:hAnsi="Work Sans"/>
          <w:sz w:val="24"/>
          <w:szCs w:val="24"/>
          <w:lang w:val="en-GB"/>
        </w:rPr>
        <w:t>s will be diminished even if the achievement of equalisation is still possible.</w:t>
      </w:r>
    </w:p>
    <w:p w14:paraId="26918961" w14:textId="77777777" w:rsidR="005A57C8" w:rsidRPr="00986825" w:rsidRDefault="005A57C8" w:rsidP="005A57C8">
      <w:pPr>
        <w:pStyle w:val="Heading3"/>
        <w:spacing w:before="120"/>
        <w:rPr>
          <w:lang w:val="en-GB"/>
        </w:rPr>
      </w:pPr>
      <w:r w:rsidRPr="00986825">
        <w:rPr>
          <w:lang w:val="en-GB"/>
        </w:rPr>
        <w:t xml:space="preserve">What </w:t>
      </w:r>
      <w:r w:rsidR="006C184F">
        <w:rPr>
          <w:lang w:val="en-GB"/>
        </w:rPr>
        <w:t>state</w:t>
      </w:r>
      <w:r w:rsidRPr="00986825">
        <w:rPr>
          <w:lang w:val="en-GB"/>
        </w:rPr>
        <w:t>s do</w:t>
      </w:r>
    </w:p>
    <w:p w14:paraId="38501F76" w14:textId="77777777" w:rsidR="00124A66" w:rsidRPr="002D0565" w:rsidRDefault="005A57C8" w:rsidP="00962EFF">
      <w:pPr>
        <w:rPr>
          <w:rFonts w:ascii="Work Sans" w:hAnsi="Work Sans"/>
          <w:sz w:val="24"/>
          <w:szCs w:val="24"/>
          <w:lang w:val="en-GB"/>
        </w:rPr>
      </w:pPr>
      <w:r w:rsidRPr="002D0565">
        <w:rPr>
          <w:rFonts w:ascii="Work Sans" w:hAnsi="Work Sans"/>
          <w:sz w:val="24"/>
          <w:szCs w:val="24"/>
          <w:lang w:val="en-GB"/>
        </w:rPr>
        <w:t xml:space="preserve">The Commission’s assessments of what </w:t>
      </w:r>
      <w:r w:rsidR="006C184F">
        <w:rPr>
          <w:rFonts w:ascii="Work Sans" w:hAnsi="Work Sans"/>
          <w:sz w:val="24"/>
          <w:szCs w:val="24"/>
          <w:lang w:val="en-GB"/>
        </w:rPr>
        <w:t>state</w:t>
      </w:r>
      <w:r w:rsidRPr="002D0565">
        <w:rPr>
          <w:rFonts w:ascii="Work Sans" w:hAnsi="Work Sans"/>
          <w:sz w:val="24"/>
          <w:szCs w:val="24"/>
          <w:lang w:val="en-GB"/>
        </w:rPr>
        <w:t xml:space="preserve">s do may change if the impact of an economic shock varies across </w:t>
      </w:r>
      <w:r w:rsidR="006C184F">
        <w:rPr>
          <w:rFonts w:ascii="Work Sans" w:hAnsi="Work Sans"/>
          <w:sz w:val="24"/>
          <w:szCs w:val="24"/>
          <w:lang w:val="en-GB"/>
        </w:rPr>
        <w:t>state</w:t>
      </w:r>
      <w:r w:rsidRPr="002D0565">
        <w:rPr>
          <w:rFonts w:ascii="Work Sans" w:hAnsi="Work Sans"/>
          <w:sz w:val="24"/>
          <w:szCs w:val="24"/>
          <w:lang w:val="en-GB"/>
        </w:rPr>
        <w:t>s and this leads to different policy responses. The concept of average or common policy may be stretched. There may also be changes in Commonwealth-</w:t>
      </w:r>
      <w:r w:rsidR="006C184F">
        <w:rPr>
          <w:rFonts w:ascii="Work Sans" w:hAnsi="Work Sans"/>
          <w:sz w:val="24"/>
          <w:szCs w:val="24"/>
          <w:lang w:val="en-GB"/>
        </w:rPr>
        <w:t>state</w:t>
      </w:r>
      <w:r w:rsidRPr="002D0565">
        <w:rPr>
          <w:rFonts w:ascii="Work Sans" w:hAnsi="Work Sans"/>
          <w:sz w:val="24"/>
          <w:szCs w:val="24"/>
          <w:lang w:val="en-GB"/>
        </w:rPr>
        <w:t xml:space="preserve"> responsibilities.</w:t>
      </w:r>
    </w:p>
    <w:p w14:paraId="74D3C7CF" w14:textId="77777777" w:rsidR="005A57C8" w:rsidRPr="002D0565" w:rsidRDefault="005A57C8" w:rsidP="002D0565">
      <w:pPr>
        <w:pStyle w:val="Heading3"/>
      </w:pPr>
      <w:r w:rsidRPr="002D0565">
        <w:t>Policy neutrality</w:t>
      </w:r>
    </w:p>
    <w:p w14:paraId="7BA53726" w14:textId="77777777" w:rsidR="005A57C8" w:rsidRPr="002D0565" w:rsidRDefault="005A57C8" w:rsidP="005A57C8">
      <w:pPr>
        <w:keepNext/>
        <w:keepLines/>
        <w:rPr>
          <w:rFonts w:ascii="Work Sans" w:hAnsi="Work Sans"/>
          <w:sz w:val="24"/>
          <w:szCs w:val="24"/>
          <w:lang w:val="en-GB"/>
        </w:rPr>
      </w:pPr>
      <w:r w:rsidRPr="002D0565">
        <w:rPr>
          <w:rFonts w:ascii="Work Sans" w:hAnsi="Work Sans"/>
          <w:sz w:val="24"/>
          <w:szCs w:val="24"/>
          <w:lang w:val="en-GB"/>
        </w:rPr>
        <w:t xml:space="preserve">Variations in the impact of a shock on the economic performance of the </w:t>
      </w:r>
      <w:r w:rsidR="006C184F">
        <w:rPr>
          <w:rFonts w:ascii="Work Sans" w:hAnsi="Work Sans"/>
          <w:sz w:val="24"/>
          <w:szCs w:val="24"/>
          <w:lang w:val="en-GB"/>
        </w:rPr>
        <w:t>state</w:t>
      </w:r>
      <w:r w:rsidRPr="002D0565">
        <w:rPr>
          <w:rFonts w:ascii="Work Sans" w:hAnsi="Work Sans"/>
          <w:sz w:val="24"/>
          <w:szCs w:val="24"/>
          <w:lang w:val="en-GB"/>
        </w:rPr>
        <w:t xml:space="preserve">s may reflect the different circumstances of each </w:t>
      </w:r>
      <w:r w:rsidR="006C184F">
        <w:rPr>
          <w:rFonts w:ascii="Work Sans" w:hAnsi="Work Sans"/>
          <w:sz w:val="24"/>
          <w:szCs w:val="24"/>
          <w:lang w:val="en-GB"/>
        </w:rPr>
        <w:t>state</w:t>
      </w:r>
      <w:r w:rsidRPr="002D0565">
        <w:rPr>
          <w:rFonts w:ascii="Work Sans" w:hAnsi="Work Sans"/>
          <w:sz w:val="24"/>
          <w:szCs w:val="24"/>
          <w:lang w:val="en-GB"/>
        </w:rPr>
        <w:t xml:space="preserve"> rather than policy differences. </w:t>
      </w:r>
    </w:p>
    <w:p w14:paraId="0C419CD3"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Individual </w:t>
      </w:r>
      <w:r w:rsidR="006C184F">
        <w:rPr>
          <w:rFonts w:ascii="Work Sans" w:hAnsi="Work Sans"/>
          <w:sz w:val="24"/>
          <w:szCs w:val="24"/>
          <w:lang w:val="en-GB"/>
        </w:rPr>
        <w:t>state</w:t>
      </w:r>
      <w:r w:rsidRPr="002D0565">
        <w:rPr>
          <w:rFonts w:ascii="Work Sans" w:hAnsi="Work Sans"/>
          <w:sz w:val="24"/>
          <w:szCs w:val="24"/>
          <w:lang w:val="en-GB"/>
        </w:rPr>
        <w:t xml:space="preserve"> policy choices should not have a significant impact on GST distributions. However, if the magnitude of the impact of a shock on the economic circumstances facing a </w:t>
      </w:r>
      <w:r w:rsidR="006C184F">
        <w:rPr>
          <w:rFonts w:ascii="Work Sans" w:hAnsi="Work Sans"/>
          <w:sz w:val="24"/>
          <w:szCs w:val="24"/>
          <w:lang w:val="en-GB"/>
        </w:rPr>
        <w:t>state</w:t>
      </w:r>
      <w:r w:rsidRPr="002D0565">
        <w:rPr>
          <w:rFonts w:ascii="Work Sans" w:hAnsi="Work Sans"/>
          <w:sz w:val="24"/>
          <w:szCs w:val="24"/>
          <w:lang w:val="en-GB"/>
        </w:rPr>
        <w:t xml:space="preserve"> reflected the policy choices of that </w:t>
      </w:r>
      <w:r w:rsidR="006C184F">
        <w:rPr>
          <w:rFonts w:ascii="Work Sans" w:hAnsi="Work Sans"/>
          <w:sz w:val="24"/>
          <w:szCs w:val="24"/>
          <w:lang w:val="en-GB"/>
        </w:rPr>
        <w:t>state</w:t>
      </w:r>
      <w:r w:rsidRPr="002D0565">
        <w:rPr>
          <w:rFonts w:ascii="Work Sans" w:hAnsi="Work Sans"/>
          <w:sz w:val="24"/>
          <w:szCs w:val="24"/>
          <w:lang w:val="en-GB"/>
        </w:rPr>
        <w:t xml:space="preserve">, there may be a case for this to be </w:t>
      </w:r>
      <w:proofErr w:type="gramStart"/>
      <w:r w:rsidRPr="002D0565">
        <w:rPr>
          <w:rFonts w:ascii="Work Sans" w:hAnsi="Work Sans"/>
          <w:sz w:val="24"/>
          <w:szCs w:val="24"/>
          <w:lang w:val="en-GB"/>
        </w:rPr>
        <w:t>taken into account</w:t>
      </w:r>
      <w:proofErr w:type="gramEnd"/>
      <w:r w:rsidRPr="002D0565">
        <w:rPr>
          <w:rFonts w:ascii="Work Sans" w:hAnsi="Work Sans"/>
          <w:sz w:val="24"/>
          <w:szCs w:val="24"/>
          <w:lang w:val="en-GB"/>
        </w:rPr>
        <w:t xml:space="preserve"> in determining GST distributions, although this may be challenging.</w:t>
      </w:r>
    </w:p>
    <w:p w14:paraId="4C2A1368" w14:textId="77777777" w:rsidR="005A57C8" w:rsidRPr="00986825" w:rsidRDefault="002D0565" w:rsidP="005A57C8">
      <w:pPr>
        <w:pStyle w:val="Heading3"/>
        <w:rPr>
          <w:lang w:val="en-GB"/>
        </w:rPr>
      </w:pPr>
      <w:r>
        <w:br w:type="column"/>
      </w:r>
      <w:r w:rsidR="005A57C8" w:rsidRPr="00343F26">
        <w:lastRenderedPageBreak/>
        <w:t>Timeliness</w:t>
      </w:r>
      <w:r w:rsidR="005A57C8" w:rsidRPr="00986825">
        <w:rPr>
          <w:lang w:val="en-GB"/>
        </w:rPr>
        <w:t xml:space="preserve"> of assessments of fiscal capacity (contemporaneity)</w:t>
      </w:r>
    </w:p>
    <w:p w14:paraId="053764EF"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lag between the assessment of a </w:t>
      </w:r>
      <w:r w:rsidR="006C184F">
        <w:rPr>
          <w:rFonts w:ascii="Work Sans" w:hAnsi="Work Sans"/>
          <w:sz w:val="24"/>
          <w:szCs w:val="24"/>
          <w:lang w:val="en-GB"/>
        </w:rPr>
        <w:t>state</w:t>
      </w:r>
      <w:r w:rsidRPr="002D0565">
        <w:rPr>
          <w:rFonts w:ascii="Work Sans" w:hAnsi="Work Sans"/>
          <w:sz w:val="24"/>
          <w:szCs w:val="24"/>
          <w:lang w:val="en-GB"/>
        </w:rPr>
        <w:t xml:space="preserve">’s fiscal capacity and the distribution of GST revenue can result in a gap between a </w:t>
      </w:r>
      <w:r w:rsidR="006C184F">
        <w:rPr>
          <w:rFonts w:ascii="Work Sans" w:hAnsi="Work Sans"/>
          <w:sz w:val="24"/>
          <w:szCs w:val="24"/>
          <w:lang w:val="en-GB"/>
        </w:rPr>
        <w:t>state</w:t>
      </w:r>
      <w:r w:rsidRPr="002D0565">
        <w:rPr>
          <w:rFonts w:ascii="Work Sans" w:hAnsi="Work Sans"/>
          <w:sz w:val="24"/>
          <w:szCs w:val="24"/>
          <w:lang w:val="en-GB"/>
        </w:rPr>
        <w:t>’s actual fiscal circumstances in a year and the GST distribution it receives in that year.</w:t>
      </w:r>
    </w:p>
    <w:p w14:paraId="3927EABC"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lag between the assessment of fiscal capacity and </w:t>
      </w:r>
      <w:r w:rsidR="006C184F">
        <w:rPr>
          <w:rFonts w:ascii="Work Sans" w:hAnsi="Work Sans"/>
          <w:sz w:val="24"/>
          <w:szCs w:val="24"/>
          <w:lang w:val="en-GB"/>
        </w:rPr>
        <w:t>state</w:t>
      </w:r>
      <w:r w:rsidRPr="002D0565">
        <w:rPr>
          <w:rFonts w:ascii="Work Sans" w:hAnsi="Work Sans"/>
          <w:sz w:val="24"/>
          <w:szCs w:val="24"/>
          <w:lang w:val="en-GB"/>
        </w:rPr>
        <w:t xml:space="preserve">s’ economic circumstances can amplify the volatility of a </w:t>
      </w:r>
      <w:r w:rsidR="006C184F">
        <w:rPr>
          <w:rFonts w:ascii="Work Sans" w:hAnsi="Work Sans"/>
          <w:sz w:val="24"/>
          <w:szCs w:val="24"/>
          <w:lang w:val="en-GB"/>
        </w:rPr>
        <w:t>state</w:t>
      </w:r>
      <w:r w:rsidRPr="002D0565">
        <w:rPr>
          <w:rFonts w:ascii="Work Sans" w:hAnsi="Work Sans"/>
          <w:sz w:val="24"/>
          <w:szCs w:val="24"/>
          <w:lang w:val="en-GB"/>
        </w:rPr>
        <w:t xml:space="preserve">’s finances as a result of a sudden shock. For example, in the case of a </w:t>
      </w:r>
      <w:r w:rsidR="006C184F">
        <w:rPr>
          <w:rFonts w:ascii="Work Sans" w:hAnsi="Work Sans"/>
          <w:sz w:val="24"/>
          <w:szCs w:val="24"/>
          <w:lang w:val="en-GB"/>
        </w:rPr>
        <w:t>state</w:t>
      </w:r>
      <w:r w:rsidRPr="002D0565">
        <w:rPr>
          <w:rFonts w:ascii="Work Sans" w:hAnsi="Work Sans"/>
          <w:sz w:val="24"/>
          <w:szCs w:val="24"/>
          <w:lang w:val="en-GB"/>
        </w:rPr>
        <w:t xml:space="preserve"> experiencing a more pronounced negative economic shock than other </w:t>
      </w:r>
      <w:r w:rsidR="006C184F">
        <w:rPr>
          <w:rFonts w:ascii="Work Sans" w:hAnsi="Work Sans"/>
          <w:sz w:val="24"/>
          <w:szCs w:val="24"/>
          <w:lang w:val="en-GB"/>
        </w:rPr>
        <w:t>state</w:t>
      </w:r>
      <w:r w:rsidRPr="002D0565">
        <w:rPr>
          <w:rFonts w:ascii="Work Sans" w:hAnsi="Work Sans"/>
          <w:sz w:val="24"/>
          <w:szCs w:val="24"/>
          <w:lang w:val="en-GB"/>
        </w:rPr>
        <w:t xml:space="preserve">s, it would receive less GST than it is assessed to need as its fiscal capacity deteriorates, and more GST than it is assessed to require as its economy recovers. It is the reverse impact for </w:t>
      </w:r>
      <w:r w:rsidR="006C184F">
        <w:rPr>
          <w:rFonts w:ascii="Work Sans" w:hAnsi="Work Sans"/>
          <w:sz w:val="24"/>
          <w:szCs w:val="24"/>
          <w:lang w:val="en-GB"/>
        </w:rPr>
        <w:t>state</w:t>
      </w:r>
      <w:r w:rsidRPr="002D0565">
        <w:rPr>
          <w:rFonts w:ascii="Work Sans" w:hAnsi="Work Sans"/>
          <w:sz w:val="24"/>
          <w:szCs w:val="24"/>
          <w:lang w:val="en-GB"/>
        </w:rPr>
        <w:t xml:space="preserve">s less affected by the shock. However, the 3-year average assessment of fiscal capacities reduces the volatility in GST revenue for the </w:t>
      </w:r>
      <w:r w:rsidR="006C184F">
        <w:rPr>
          <w:rFonts w:ascii="Work Sans" w:hAnsi="Work Sans"/>
          <w:sz w:val="24"/>
          <w:szCs w:val="24"/>
          <w:lang w:val="en-GB"/>
        </w:rPr>
        <w:t>state</w:t>
      </w:r>
      <w:r w:rsidRPr="002D0565">
        <w:rPr>
          <w:rFonts w:ascii="Work Sans" w:hAnsi="Work Sans"/>
          <w:sz w:val="24"/>
          <w:szCs w:val="24"/>
          <w:lang w:val="en-GB"/>
        </w:rPr>
        <w:t xml:space="preserve">s that are unaffected or less affected by the economic event. The result could be termed a ‘swings and roundabouts’ approach to matching </w:t>
      </w:r>
      <w:r w:rsidR="006C184F">
        <w:rPr>
          <w:rFonts w:ascii="Work Sans" w:hAnsi="Work Sans"/>
          <w:sz w:val="24"/>
          <w:szCs w:val="24"/>
          <w:lang w:val="en-GB"/>
        </w:rPr>
        <w:t>state</w:t>
      </w:r>
      <w:r w:rsidRPr="002D0565">
        <w:rPr>
          <w:rFonts w:ascii="Work Sans" w:hAnsi="Work Sans"/>
          <w:sz w:val="24"/>
          <w:szCs w:val="24"/>
          <w:lang w:val="en-GB"/>
        </w:rPr>
        <w:t xml:space="preserve">s’ GST shares with their fiscal capacities.  </w:t>
      </w:r>
    </w:p>
    <w:p w14:paraId="4B64F3D4" w14:textId="77777777" w:rsidR="005A57C8" w:rsidRPr="002D0565" w:rsidRDefault="005A57C8" w:rsidP="009F6587">
      <w:pPr>
        <w:pStyle w:val="Heading2"/>
        <w:rPr>
          <w:lang w:val="en-GB"/>
        </w:rPr>
      </w:pPr>
      <w:r w:rsidRPr="002D0565">
        <w:rPr>
          <w:lang w:val="en-GB"/>
        </w:rPr>
        <w:t>How previous economic shocks have affected fiscal equalisation</w:t>
      </w:r>
    </w:p>
    <w:p w14:paraId="7AEAFB6E" w14:textId="77777777" w:rsidR="005A57C8" w:rsidRPr="002D0565" w:rsidDel="00DE0A1D" w:rsidRDefault="005A57C8" w:rsidP="005A57C8">
      <w:pPr>
        <w:rPr>
          <w:rFonts w:ascii="Work Sans" w:hAnsi="Work Sans"/>
          <w:sz w:val="24"/>
          <w:szCs w:val="24"/>
          <w:lang w:val="en-GB"/>
        </w:rPr>
      </w:pPr>
      <w:r w:rsidRPr="002D0565">
        <w:rPr>
          <w:rFonts w:ascii="Work Sans" w:hAnsi="Work Sans"/>
          <w:sz w:val="24"/>
          <w:szCs w:val="24"/>
          <w:lang w:val="en-GB"/>
        </w:rPr>
        <w:t>Australia’s fiscal equalisation arrangements have responded to three recent economic shocks.</w:t>
      </w:r>
    </w:p>
    <w:p w14:paraId="23BCAEFD" w14:textId="77777777" w:rsidR="005A57C8" w:rsidRPr="00D36D41" w:rsidRDefault="005A57C8" w:rsidP="005A57C8">
      <w:pPr>
        <w:pStyle w:val="Heading3"/>
        <w:rPr>
          <w:lang w:val="en-GB"/>
        </w:rPr>
      </w:pPr>
      <w:r>
        <w:rPr>
          <w:lang w:val="en-GB"/>
        </w:rPr>
        <w:t>Global</w:t>
      </w:r>
      <w:r w:rsidRPr="00D36D41">
        <w:rPr>
          <w:lang w:val="en-GB"/>
        </w:rPr>
        <w:t xml:space="preserve"> </w:t>
      </w:r>
      <w:r>
        <w:rPr>
          <w:lang w:val="en-GB"/>
        </w:rPr>
        <w:t>f</w:t>
      </w:r>
      <w:r w:rsidRPr="00D36D41">
        <w:rPr>
          <w:lang w:val="en-GB"/>
        </w:rPr>
        <w:t>inancial crisis</w:t>
      </w:r>
    </w:p>
    <w:p w14:paraId="1891D57D"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While the GFC resulted in many major economies experiencing their deepest recessions since the Great Depression in the 1930s, the Australian economy did not experience a large economic downturn or a major financial crisis. Australia did not go into recession, although the pace of economic growth did slow significantly, the unemployment rate rose sharply and there was a period of heightened uncertainty.</w:t>
      </w:r>
    </w:p>
    <w:p w14:paraId="2DB7CB04"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negative effect of the GFC did reduce consumer expenditure and resulted in a 4% decline in GST receipts in 2008–09, although receipts increased by 9.2% in 2009–10. </w:t>
      </w:r>
    </w:p>
    <w:p w14:paraId="7EF4318A"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impact of the GFC was broadly uniform across </w:t>
      </w:r>
      <w:r w:rsidR="006C184F">
        <w:rPr>
          <w:rFonts w:ascii="Work Sans" w:hAnsi="Work Sans"/>
          <w:sz w:val="24"/>
          <w:szCs w:val="24"/>
          <w:lang w:val="en-GB"/>
        </w:rPr>
        <w:t>state</w:t>
      </w:r>
      <w:r w:rsidRPr="002D0565">
        <w:rPr>
          <w:rFonts w:ascii="Work Sans" w:hAnsi="Work Sans"/>
          <w:sz w:val="24"/>
          <w:szCs w:val="24"/>
          <w:lang w:val="en-GB"/>
        </w:rPr>
        <w:t xml:space="preserve"> economies. The most significant influence on </w:t>
      </w:r>
      <w:r w:rsidR="006C184F">
        <w:rPr>
          <w:rFonts w:ascii="Work Sans" w:hAnsi="Work Sans"/>
          <w:sz w:val="24"/>
          <w:szCs w:val="24"/>
          <w:lang w:val="en-GB"/>
        </w:rPr>
        <w:t>state</w:t>
      </w:r>
      <w:r w:rsidRPr="002D0565">
        <w:rPr>
          <w:rFonts w:ascii="Work Sans" w:hAnsi="Work Sans"/>
          <w:sz w:val="24"/>
          <w:szCs w:val="24"/>
          <w:lang w:val="en-GB"/>
        </w:rPr>
        <w:t xml:space="preserve">s’ GST relativities in the wake of the GFC was the mining boom which significantly increased the fiscal capacity of Western Australia (discussed below). </w:t>
      </w:r>
    </w:p>
    <w:p w14:paraId="791D7A35" w14:textId="77777777" w:rsidR="009F6587" w:rsidRDefault="005A57C8" w:rsidP="009F6587">
      <w:pPr>
        <w:rPr>
          <w:rFonts w:ascii="Work Sans" w:hAnsi="Work Sans"/>
          <w:sz w:val="24"/>
          <w:szCs w:val="24"/>
          <w:lang w:val="en-GB"/>
        </w:rPr>
      </w:pPr>
      <w:r w:rsidRPr="002D0565">
        <w:rPr>
          <w:rFonts w:ascii="Work Sans" w:hAnsi="Work Sans"/>
          <w:sz w:val="24"/>
          <w:szCs w:val="24"/>
          <w:lang w:val="en-GB"/>
        </w:rPr>
        <w:t xml:space="preserve">It is fair to say that though the GFC was a significant world economic event it did not have major implications for horizontal fiscal equalisation in </w:t>
      </w:r>
      <w:r w:rsidRPr="002D0565">
        <w:rPr>
          <w:rFonts w:ascii="Work Sans" w:hAnsi="Work Sans"/>
          <w:sz w:val="24"/>
          <w:szCs w:val="24"/>
          <w:lang w:val="en-GB"/>
        </w:rPr>
        <w:lastRenderedPageBreak/>
        <w:t xml:space="preserve">Australia, largely because there was not a significantly differential impact on </w:t>
      </w:r>
      <w:r w:rsidR="006C184F">
        <w:rPr>
          <w:rFonts w:ascii="Work Sans" w:hAnsi="Work Sans"/>
          <w:sz w:val="24"/>
          <w:szCs w:val="24"/>
          <w:lang w:val="en-GB"/>
        </w:rPr>
        <w:t>state</w:t>
      </w:r>
      <w:r w:rsidRPr="002D0565">
        <w:rPr>
          <w:rFonts w:ascii="Work Sans" w:hAnsi="Work Sans"/>
          <w:sz w:val="24"/>
          <w:szCs w:val="24"/>
          <w:lang w:val="en-GB"/>
        </w:rPr>
        <w:t>s’ economies and hence their relative fiscal capacities.</w:t>
      </w:r>
    </w:p>
    <w:p w14:paraId="7AE645DA" w14:textId="77777777" w:rsidR="005A57C8" w:rsidRPr="00D36D41" w:rsidRDefault="005A57C8" w:rsidP="009F6587">
      <w:pPr>
        <w:pStyle w:val="Heading3"/>
        <w:rPr>
          <w:lang w:val="en-GB"/>
        </w:rPr>
      </w:pPr>
      <w:r w:rsidRPr="00D36D41">
        <w:rPr>
          <w:lang w:val="en-GB"/>
        </w:rPr>
        <w:t>Natural disasters</w:t>
      </w:r>
    </w:p>
    <w:p w14:paraId="6F12AD1C" w14:textId="77777777" w:rsidR="005A57C8" w:rsidRPr="002D0565" w:rsidRDefault="006C184F" w:rsidP="005A57C8">
      <w:pPr>
        <w:rPr>
          <w:rFonts w:ascii="Work Sans" w:hAnsi="Work Sans"/>
          <w:sz w:val="24"/>
          <w:szCs w:val="24"/>
          <w:lang w:val="en-GB"/>
        </w:rPr>
      </w:pPr>
      <w:r>
        <w:rPr>
          <w:rFonts w:ascii="Work Sans" w:hAnsi="Work Sans"/>
          <w:sz w:val="24"/>
          <w:szCs w:val="24"/>
          <w:lang w:val="en-GB"/>
        </w:rPr>
        <w:t>State</w:t>
      </w:r>
      <w:r w:rsidR="005A57C8" w:rsidRPr="002D0565">
        <w:rPr>
          <w:rFonts w:ascii="Work Sans" w:hAnsi="Work Sans"/>
          <w:sz w:val="24"/>
          <w:szCs w:val="24"/>
          <w:lang w:val="en-GB"/>
        </w:rPr>
        <w:t xml:space="preserve">s can be significantly affected by natural disasters. Between 2009 and 2014, Queensland experienced a succession of tropical cyclones that adversely affected its revenue raising capacity (destruction of infrastructure and facilities) and increased its assessed expenditure (replacing and repairing infrastructure and spending on emergency services). </w:t>
      </w:r>
    </w:p>
    <w:p w14:paraId="3A88012F"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Some of the expenditure repairing infrastructure was funded by Commonwealth grants that were quarantined from assessments of GST relativities. Similarly, other </w:t>
      </w:r>
      <w:r w:rsidR="006C184F">
        <w:rPr>
          <w:rFonts w:ascii="Work Sans" w:hAnsi="Work Sans"/>
          <w:sz w:val="24"/>
          <w:szCs w:val="24"/>
          <w:lang w:val="en-GB"/>
        </w:rPr>
        <w:t>state</w:t>
      </w:r>
      <w:r w:rsidRPr="002D0565">
        <w:rPr>
          <w:rFonts w:ascii="Work Sans" w:hAnsi="Work Sans"/>
          <w:sz w:val="24"/>
          <w:szCs w:val="24"/>
          <w:lang w:val="en-GB"/>
        </w:rPr>
        <w:t>s were adversely affected by bushfires in the summer of 2019–20.</w:t>
      </w:r>
    </w:p>
    <w:p w14:paraId="0EA24537"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Commission assesses natural disaster expenses based on actual </w:t>
      </w:r>
      <w:r w:rsidR="006C184F">
        <w:rPr>
          <w:rFonts w:ascii="Work Sans" w:hAnsi="Work Sans"/>
          <w:sz w:val="24"/>
          <w:szCs w:val="24"/>
          <w:lang w:val="en-GB"/>
        </w:rPr>
        <w:t>state</w:t>
      </w:r>
      <w:r w:rsidRPr="002D0565">
        <w:rPr>
          <w:rFonts w:ascii="Work Sans" w:hAnsi="Work Sans"/>
          <w:sz w:val="24"/>
          <w:szCs w:val="24"/>
          <w:lang w:val="en-GB"/>
        </w:rPr>
        <w:t xml:space="preserve"> net expenses under the Disaster Recovery Funding Arrangements (this is a joint Commonwealth-</w:t>
      </w:r>
      <w:r w:rsidR="006C184F">
        <w:rPr>
          <w:rFonts w:ascii="Work Sans" w:hAnsi="Work Sans"/>
          <w:sz w:val="24"/>
          <w:szCs w:val="24"/>
          <w:lang w:val="en-GB"/>
        </w:rPr>
        <w:t>state</w:t>
      </w:r>
      <w:r w:rsidRPr="002D0565">
        <w:rPr>
          <w:rFonts w:ascii="Work Sans" w:hAnsi="Work Sans"/>
          <w:sz w:val="24"/>
          <w:szCs w:val="24"/>
          <w:lang w:val="en-GB"/>
        </w:rPr>
        <w:t xml:space="preserve"> cost sharing arrangement designed to alleviate the fiscal burden on </w:t>
      </w:r>
      <w:r w:rsidR="006C184F">
        <w:rPr>
          <w:rFonts w:ascii="Work Sans" w:hAnsi="Work Sans"/>
          <w:sz w:val="24"/>
          <w:szCs w:val="24"/>
          <w:lang w:val="en-GB"/>
        </w:rPr>
        <w:t>state</w:t>
      </w:r>
      <w:r w:rsidRPr="002D0565">
        <w:rPr>
          <w:rFonts w:ascii="Work Sans" w:hAnsi="Work Sans"/>
          <w:sz w:val="24"/>
          <w:szCs w:val="24"/>
          <w:lang w:val="en-GB"/>
        </w:rPr>
        <w:t xml:space="preserve">s from a natural disaster). </w:t>
      </w:r>
    </w:p>
    <w:p w14:paraId="0245F9FE"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While there are some policy differences in </w:t>
      </w:r>
      <w:r w:rsidR="006C184F">
        <w:rPr>
          <w:rFonts w:ascii="Work Sans" w:hAnsi="Work Sans"/>
          <w:sz w:val="24"/>
          <w:szCs w:val="24"/>
          <w:lang w:val="en-GB"/>
        </w:rPr>
        <w:t>state</w:t>
      </w:r>
      <w:r w:rsidRPr="002D0565">
        <w:rPr>
          <w:rFonts w:ascii="Work Sans" w:hAnsi="Work Sans"/>
          <w:sz w:val="24"/>
          <w:szCs w:val="24"/>
          <w:lang w:val="en-GB"/>
        </w:rPr>
        <w:t xml:space="preserve"> natural disaster expenditure, spending under the Disaster Recovery Funding Arrangement is considered the best available proxy of a policy neutral indicator of need. </w:t>
      </w:r>
    </w:p>
    <w:p w14:paraId="519442CA"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result is that the GST requirement and relativity of a </w:t>
      </w:r>
      <w:r w:rsidR="006C184F">
        <w:rPr>
          <w:rFonts w:ascii="Work Sans" w:hAnsi="Work Sans"/>
          <w:sz w:val="24"/>
          <w:szCs w:val="24"/>
          <w:lang w:val="en-GB"/>
        </w:rPr>
        <w:t>state</w:t>
      </w:r>
      <w:r w:rsidRPr="002D0565">
        <w:rPr>
          <w:rFonts w:ascii="Work Sans" w:hAnsi="Work Sans"/>
          <w:sz w:val="24"/>
          <w:szCs w:val="24"/>
          <w:lang w:val="en-GB"/>
        </w:rPr>
        <w:t xml:space="preserve"> experiencing a natural disaster are adjusted upwards primarily because its assessed expenditure increases while assessed own-source revenue may fall. </w:t>
      </w:r>
    </w:p>
    <w:p w14:paraId="3FD31E18"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Part of the increase in spending and fall in tax receipts as a result of the disaster is effectively shared across other </w:t>
      </w:r>
      <w:r w:rsidR="006C184F">
        <w:rPr>
          <w:rFonts w:ascii="Work Sans" w:hAnsi="Work Sans"/>
          <w:sz w:val="24"/>
          <w:szCs w:val="24"/>
          <w:lang w:val="en-GB"/>
        </w:rPr>
        <w:t>state</w:t>
      </w:r>
      <w:r w:rsidRPr="002D0565">
        <w:rPr>
          <w:rFonts w:ascii="Work Sans" w:hAnsi="Work Sans"/>
          <w:sz w:val="24"/>
          <w:szCs w:val="24"/>
          <w:lang w:val="en-GB"/>
        </w:rPr>
        <w:t xml:space="preserve">s through a reduction in their GST shares. </w:t>
      </w:r>
    </w:p>
    <w:p w14:paraId="21365FFA"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As natural disasters are usually focussed </w:t>
      </w:r>
      <w:proofErr w:type="gramStart"/>
      <w:r w:rsidRPr="002D0565">
        <w:rPr>
          <w:rFonts w:ascii="Work Sans" w:hAnsi="Work Sans"/>
          <w:sz w:val="24"/>
          <w:szCs w:val="24"/>
          <w:lang w:val="en-GB"/>
        </w:rPr>
        <w:t>in</w:t>
      </w:r>
      <w:proofErr w:type="gramEnd"/>
      <w:r w:rsidRPr="002D0565">
        <w:rPr>
          <w:rFonts w:ascii="Work Sans" w:hAnsi="Work Sans"/>
          <w:sz w:val="24"/>
          <w:szCs w:val="24"/>
          <w:lang w:val="en-GB"/>
        </w:rPr>
        <w:t xml:space="preserve"> specific </w:t>
      </w:r>
      <w:r w:rsidR="006C184F">
        <w:rPr>
          <w:rFonts w:ascii="Work Sans" w:hAnsi="Work Sans"/>
          <w:sz w:val="24"/>
          <w:szCs w:val="24"/>
          <w:lang w:val="en-GB"/>
        </w:rPr>
        <w:t>state</w:t>
      </w:r>
      <w:r w:rsidRPr="002D0565">
        <w:rPr>
          <w:rFonts w:ascii="Work Sans" w:hAnsi="Work Sans"/>
          <w:sz w:val="24"/>
          <w:szCs w:val="24"/>
          <w:lang w:val="en-GB"/>
        </w:rPr>
        <w:t>s and are staggered through time, they have so far not had a major impact on relativities.</w:t>
      </w:r>
    </w:p>
    <w:p w14:paraId="3E0CCAD1" w14:textId="77777777" w:rsidR="005A57C8" w:rsidRPr="00522C28" w:rsidRDefault="005A57C8" w:rsidP="005A57C8">
      <w:pPr>
        <w:pStyle w:val="Heading3"/>
        <w:rPr>
          <w:lang w:val="en-GB"/>
        </w:rPr>
      </w:pPr>
      <w:r w:rsidRPr="00522C28">
        <w:rPr>
          <w:lang w:val="en-GB"/>
        </w:rPr>
        <w:t xml:space="preserve">The mining </w:t>
      </w:r>
      <w:proofErr w:type="gramStart"/>
      <w:r w:rsidRPr="00522C28">
        <w:rPr>
          <w:lang w:val="en-GB"/>
        </w:rPr>
        <w:t>boom</w:t>
      </w:r>
      <w:proofErr w:type="gramEnd"/>
    </w:p>
    <w:p w14:paraId="0BCD9B55"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Successive mining booms have had more substantial impacts on fiscal equalisation. After 10 years of strong growth in mining construction, Western Australia’s actual revenue from mining royalties peaked in 2013–14 and declined for </w:t>
      </w:r>
      <w:proofErr w:type="gramStart"/>
      <w:r w:rsidRPr="002D0565">
        <w:rPr>
          <w:rFonts w:ascii="Work Sans" w:hAnsi="Work Sans"/>
          <w:sz w:val="24"/>
          <w:szCs w:val="24"/>
          <w:lang w:val="en-GB"/>
        </w:rPr>
        <w:t>a number of</w:t>
      </w:r>
      <w:proofErr w:type="gramEnd"/>
      <w:r w:rsidRPr="002D0565">
        <w:rPr>
          <w:rFonts w:ascii="Work Sans" w:hAnsi="Work Sans"/>
          <w:sz w:val="24"/>
          <w:szCs w:val="24"/>
          <w:lang w:val="en-GB"/>
        </w:rPr>
        <w:t xml:space="preserve"> years thereafter.</w:t>
      </w:r>
      <w:r w:rsidRPr="002D0565">
        <w:rPr>
          <w:rFonts w:ascii="Work Sans" w:hAnsi="Work Sans"/>
          <w:sz w:val="24"/>
          <w:szCs w:val="24"/>
          <w:vertAlign w:val="superscript"/>
          <w:lang w:val="en-GB"/>
        </w:rPr>
        <w:footnoteReference w:id="5"/>
      </w:r>
      <w:r w:rsidRPr="002D0565">
        <w:rPr>
          <w:rFonts w:ascii="Work Sans" w:hAnsi="Work Sans"/>
          <w:sz w:val="24"/>
          <w:szCs w:val="24"/>
          <w:lang w:val="en-GB"/>
        </w:rPr>
        <w:t xml:space="preserve"> The fiscal consequences of this boom flowed through the equalisation process. </w:t>
      </w:r>
    </w:p>
    <w:p w14:paraId="69CCB277"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lastRenderedPageBreak/>
        <w:t xml:space="preserve">This experience offers lessons pertinent to the pandemic. During the upturn phase of the mining boom gaps opened between </w:t>
      </w:r>
      <w:r w:rsidR="006C184F">
        <w:rPr>
          <w:rFonts w:ascii="Work Sans" w:hAnsi="Work Sans"/>
          <w:sz w:val="24"/>
          <w:szCs w:val="24"/>
          <w:lang w:val="en-GB"/>
        </w:rPr>
        <w:t>state</w:t>
      </w:r>
      <w:r w:rsidRPr="002D0565">
        <w:rPr>
          <w:rFonts w:ascii="Work Sans" w:hAnsi="Work Sans"/>
          <w:sz w:val="24"/>
          <w:szCs w:val="24"/>
          <w:lang w:val="en-GB"/>
        </w:rPr>
        <w:t xml:space="preserve">s' actual fiscal circumstances in an application year and what they were assessed to be. </w:t>
      </w:r>
    </w:p>
    <w:p w14:paraId="6CE76DF9"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For Western Australia, assessed own-source revenue in each application year during the upturn was substantially less than its actual own-source revenue. As a result, Western Australia’s GST requirement exceeded by a considerable margin what it would have been if fiscal equalisation had been more contemporaneous.</w:t>
      </w:r>
      <w:r w:rsidRPr="002D0565">
        <w:rPr>
          <w:rFonts w:ascii="Work Sans" w:hAnsi="Work Sans"/>
          <w:sz w:val="24"/>
          <w:szCs w:val="24"/>
          <w:vertAlign w:val="superscript"/>
          <w:lang w:val="en-GB"/>
        </w:rPr>
        <w:footnoteReference w:id="6"/>
      </w:r>
      <w:r w:rsidRPr="002D0565">
        <w:rPr>
          <w:rFonts w:ascii="Work Sans" w:hAnsi="Work Sans"/>
          <w:sz w:val="24"/>
          <w:szCs w:val="24"/>
          <w:lang w:val="en-GB"/>
        </w:rPr>
        <w:t xml:space="preserve"> </w:t>
      </w:r>
    </w:p>
    <w:p w14:paraId="0572D522"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Conversely, the assessed revenues of the other </w:t>
      </w:r>
      <w:r w:rsidR="006C184F">
        <w:rPr>
          <w:rFonts w:ascii="Work Sans" w:hAnsi="Work Sans"/>
          <w:sz w:val="24"/>
          <w:szCs w:val="24"/>
          <w:lang w:val="en-GB"/>
        </w:rPr>
        <w:t>state</w:t>
      </w:r>
      <w:r w:rsidRPr="002D0565">
        <w:rPr>
          <w:rFonts w:ascii="Work Sans" w:hAnsi="Work Sans"/>
          <w:sz w:val="24"/>
          <w:szCs w:val="24"/>
          <w:lang w:val="en-GB"/>
        </w:rPr>
        <w:t xml:space="preserve">s were larger than if fiscal equalisation had been more contemporaneous, implying smaller GST requirements than otherwise (though this effect was spread across seven </w:t>
      </w:r>
      <w:r w:rsidR="006C184F">
        <w:rPr>
          <w:rFonts w:ascii="Work Sans" w:hAnsi="Work Sans"/>
          <w:sz w:val="24"/>
          <w:szCs w:val="24"/>
          <w:lang w:val="en-GB"/>
        </w:rPr>
        <w:t>state</w:t>
      </w:r>
      <w:r w:rsidR="006C184F" w:rsidRPr="002D0565">
        <w:rPr>
          <w:rFonts w:ascii="Work Sans" w:hAnsi="Work Sans"/>
          <w:sz w:val="24"/>
          <w:szCs w:val="24"/>
          <w:lang w:val="en-GB"/>
        </w:rPr>
        <w:t>s,</w:t>
      </w:r>
      <w:r w:rsidRPr="002D0565">
        <w:rPr>
          <w:rFonts w:ascii="Work Sans" w:hAnsi="Work Sans"/>
          <w:sz w:val="24"/>
          <w:szCs w:val="24"/>
          <w:lang w:val="en-GB"/>
        </w:rPr>
        <w:t xml:space="preserve"> so it was not particularly noticeable for any one jurisdiction).</w:t>
      </w:r>
    </w:p>
    <w:p w14:paraId="21672D94"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In the downward phase, the opposite happened. Again, this was most acute for the boom </w:t>
      </w:r>
      <w:r w:rsidR="006C184F">
        <w:rPr>
          <w:rFonts w:ascii="Work Sans" w:hAnsi="Work Sans"/>
          <w:sz w:val="24"/>
          <w:szCs w:val="24"/>
          <w:lang w:val="en-GB"/>
        </w:rPr>
        <w:t>state</w:t>
      </w:r>
      <w:r w:rsidRPr="002D0565">
        <w:rPr>
          <w:rFonts w:ascii="Work Sans" w:hAnsi="Work Sans"/>
          <w:sz w:val="24"/>
          <w:szCs w:val="24"/>
          <w:lang w:val="en-GB"/>
        </w:rPr>
        <w:t>. The Commission assessed Western Australia’s own-source revenue in each application year to be greater than its actual revenue.</w:t>
      </w:r>
      <w:r w:rsidRPr="002D0565">
        <w:rPr>
          <w:rStyle w:val="FootnoteReference"/>
          <w:rFonts w:ascii="Work Sans" w:hAnsi="Work Sans"/>
          <w:sz w:val="24"/>
          <w:szCs w:val="24"/>
          <w:lang w:val="en-GB"/>
        </w:rPr>
        <w:footnoteReference w:id="7"/>
      </w:r>
      <w:r w:rsidRPr="002D0565">
        <w:rPr>
          <w:rFonts w:ascii="Work Sans" w:hAnsi="Work Sans"/>
          <w:sz w:val="24"/>
          <w:szCs w:val="24"/>
          <w:lang w:val="en-GB"/>
        </w:rPr>
        <w:t xml:space="preserve"> </w:t>
      </w:r>
    </w:p>
    <w:p w14:paraId="0E4C5166"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As a result, GST requirements calculated during the downturn for Western Australia were less than under a more contemporaneous process. All the other </w:t>
      </w:r>
      <w:r w:rsidR="006C184F">
        <w:rPr>
          <w:rFonts w:ascii="Work Sans" w:hAnsi="Work Sans"/>
          <w:sz w:val="24"/>
          <w:szCs w:val="24"/>
          <w:lang w:val="en-GB"/>
        </w:rPr>
        <w:t>state</w:t>
      </w:r>
      <w:r w:rsidRPr="002D0565">
        <w:rPr>
          <w:rFonts w:ascii="Work Sans" w:hAnsi="Work Sans"/>
          <w:sz w:val="24"/>
          <w:szCs w:val="24"/>
          <w:lang w:val="en-GB"/>
        </w:rPr>
        <w:t>s were assessed to have GST requirements exceeding what they would have been under a more contemporaneous approach.</w:t>
      </w:r>
    </w:p>
    <w:p w14:paraId="20DB663C"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result was that horizontal fiscal equalisation over-equalised the boom </w:t>
      </w:r>
      <w:r w:rsidR="006C184F">
        <w:rPr>
          <w:rFonts w:ascii="Work Sans" w:hAnsi="Work Sans"/>
          <w:sz w:val="24"/>
          <w:szCs w:val="24"/>
          <w:lang w:val="en-GB"/>
        </w:rPr>
        <w:t>state</w:t>
      </w:r>
      <w:r w:rsidRPr="002D0565">
        <w:rPr>
          <w:rFonts w:ascii="Work Sans" w:hAnsi="Work Sans"/>
          <w:sz w:val="24"/>
          <w:szCs w:val="24"/>
          <w:lang w:val="en-GB"/>
        </w:rPr>
        <w:t xml:space="preserve"> in the upturn (under-equalising the other </w:t>
      </w:r>
      <w:r w:rsidR="006C184F">
        <w:rPr>
          <w:rFonts w:ascii="Work Sans" w:hAnsi="Work Sans"/>
          <w:sz w:val="24"/>
          <w:szCs w:val="24"/>
          <w:lang w:val="en-GB"/>
        </w:rPr>
        <w:t>state</w:t>
      </w:r>
      <w:r w:rsidRPr="002D0565">
        <w:rPr>
          <w:rFonts w:ascii="Work Sans" w:hAnsi="Work Sans"/>
          <w:sz w:val="24"/>
          <w:szCs w:val="24"/>
          <w:lang w:val="en-GB"/>
        </w:rPr>
        <w:t xml:space="preserve">s) and under-equalised it on the downturn (over-equalising the other </w:t>
      </w:r>
      <w:r w:rsidR="006C184F">
        <w:rPr>
          <w:rFonts w:ascii="Work Sans" w:hAnsi="Work Sans"/>
          <w:sz w:val="24"/>
          <w:szCs w:val="24"/>
          <w:lang w:val="en-GB"/>
        </w:rPr>
        <w:t>state</w:t>
      </w:r>
      <w:r w:rsidRPr="002D0565">
        <w:rPr>
          <w:rFonts w:ascii="Work Sans" w:hAnsi="Work Sans"/>
          <w:sz w:val="24"/>
          <w:szCs w:val="24"/>
          <w:lang w:val="en-GB"/>
        </w:rPr>
        <w:t xml:space="preserve">s). </w:t>
      </w:r>
    </w:p>
    <w:p w14:paraId="1BEDDDC5"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This is a consequence of using a 3-year lagged moving average to smooth the fiscal effects of an economic shock on the relativities and GST payments. </w:t>
      </w:r>
    </w:p>
    <w:p w14:paraId="0F619D78"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Assessments closer to the application year would have reduced the lag between the assessment of fiscal capacity and GST payments at the cost of greater volatility in relativities. </w:t>
      </w:r>
    </w:p>
    <w:p w14:paraId="2EE2C256"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outcome here is that using a 3-year moving average to smooth volatility in GST relativities may result in gaps between assessed and actual circumstances before the smoothed series catches up with actual </w:t>
      </w:r>
      <w:proofErr w:type="gramStart"/>
      <w:r w:rsidRPr="002D0565">
        <w:rPr>
          <w:rFonts w:ascii="Work Sans" w:hAnsi="Work Sans"/>
          <w:sz w:val="24"/>
          <w:szCs w:val="24"/>
          <w:lang w:val="en-GB"/>
        </w:rPr>
        <w:t>data</w:t>
      </w:r>
      <w:proofErr w:type="gramEnd"/>
      <w:r w:rsidRPr="002D0565">
        <w:rPr>
          <w:rFonts w:ascii="Work Sans" w:hAnsi="Work Sans"/>
          <w:sz w:val="24"/>
          <w:szCs w:val="24"/>
          <w:lang w:val="en-GB"/>
        </w:rPr>
        <w:t xml:space="preserve"> but this can be viewed as a matter of swings and roundabouts. It can be argued that the appropriate degree of fiscal equalisation is achieved over time. </w:t>
      </w:r>
    </w:p>
    <w:p w14:paraId="4C462A7E"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Of course, the presence of such gaps during the downturn and upturn of a cycle can </w:t>
      </w:r>
      <w:proofErr w:type="gramStart"/>
      <w:r w:rsidRPr="002D0565">
        <w:rPr>
          <w:rFonts w:ascii="Work Sans" w:hAnsi="Work Sans"/>
          <w:sz w:val="24"/>
          <w:szCs w:val="24"/>
          <w:lang w:val="en-GB"/>
        </w:rPr>
        <w:t>lead</w:t>
      </w:r>
      <w:proofErr w:type="gramEnd"/>
      <w:r w:rsidRPr="002D0565">
        <w:rPr>
          <w:rFonts w:ascii="Work Sans" w:hAnsi="Work Sans"/>
          <w:sz w:val="24"/>
          <w:szCs w:val="24"/>
          <w:lang w:val="en-GB"/>
        </w:rPr>
        <w:t xml:space="preserve"> to criticism of the equalisation process, as proved to be the case during the mining boom.</w:t>
      </w:r>
    </w:p>
    <w:p w14:paraId="3AD90807"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lastRenderedPageBreak/>
        <w:t xml:space="preserve">During this period, the Commission deemed that Western Australia followed the average economic development policies of all </w:t>
      </w:r>
      <w:r w:rsidR="006C184F">
        <w:rPr>
          <w:rFonts w:ascii="Work Sans" w:hAnsi="Work Sans"/>
          <w:sz w:val="24"/>
          <w:szCs w:val="24"/>
          <w:lang w:val="en-GB"/>
        </w:rPr>
        <w:t>state</w:t>
      </w:r>
      <w:r w:rsidRPr="002D0565">
        <w:rPr>
          <w:rFonts w:ascii="Work Sans" w:hAnsi="Work Sans"/>
          <w:sz w:val="24"/>
          <w:szCs w:val="24"/>
          <w:lang w:val="en-GB"/>
        </w:rPr>
        <w:t xml:space="preserve">s. The implication is that all its actual mining revenues were equalised. While this was considered the appropriate approach, there was also the practical difficulty of sorting out policy influences in the successive mining booms relative to the fact that mineral deposits </w:t>
      </w:r>
      <w:proofErr w:type="gramStart"/>
      <w:r w:rsidRPr="002D0565">
        <w:rPr>
          <w:rFonts w:ascii="Work Sans" w:hAnsi="Work Sans"/>
          <w:sz w:val="24"/>
          <w:szCs w:val="24"/>
          <w:lang w:val="en-GB"/>
        </w:rPr>
        <w:t>are located in</w:t>
      </w:r>
      <w:proofErr w:type="gramEnd"/>
      <w:r w:rsidRPr="002D0565">
        <w:rPr>
          <w:rFonts w:ascii="Work Sans" w:hAnsi="Work Sans"/>
          <w:sz w:val="24"/>
          <w:szCs w:val="24"/>
          <w:lang w:val="en-GB"/>
        </w:rPr>
        <w:t xml:space="preserve"> particular </w:t>
      </w:r>
      <w:r w:rsidR="00F66B6E">
        <w:rPr>
          <w:rFonts w:ascii="Work Sans" w:hAnsi="Work Sans"/>
          <w:sz w:val="24"/>
          <w:szCs w:val="24"/>
          <w:lang w:val="en-GB"/>
        </w:rPr>
        <w:t>state</w:t>
      </w:r>
      <w:r w:rsidR="00F66B6E" w:rsidRPr="002D0565">
        <w:rPr>
          <w:rFonts w:ascii="Work Sans" w:hAnsi="Work Sans"/>
          <w:sz w:val="24"/>
          <w:szCs w:val="24"/>
          <w:lang w:val="en-GB"/>
        </w:rPr>
        <w:t>s,</w:t>
      </w:r>
      <w:r w:rsidRPr="002D0565">
        <w:rPr>
          <w:rFonts w:ascii="Work Sans" w:hAnsi="Work Sans"/>
          <w:sz w:val="24"/>
          <w:szCs w:val="24"/>
          <w:lang w:val="en-GB"/>
        </w:rPr>
        <w:t xml:space="preserve"> and this is beyond a </w:t>
      </w:r>
      <w:r w:rsidR="006C184F">
        <w:rPr>
          <w:rFonts w:ascii="Work Sans" w:hAnsi="Work Sans"/>
          <w:sz w:val="24"/>
          <w:szCs w:val="24"/>
          <w:lang w:val="en-GB"/>
        </w:rPr>
        <w:t>state</w:t>
      </w:r>
      <w:r w:rsidRPr="002D0565">
        <w:rPr>
          <w:rFonts w:ascii="Work Sans" w:hAnsi="Work Sans"/>
          <w:sz w:val="24"/>
          <w:szCs w:val="24"/>
          <w:lang w:val="en-GB"/>
        </w:rPr>
        <w:t xml:space="preserve">'s control. </w:t>
      </w:r>
    </w:p>
    <w:p w14:paraId="3315CFBB"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The position taken by the Commission was that the mining boom was an external shock and Western Australia followed average policy.</w:t>
      </w:r>
    </w:p>
    <w:p w14:paraId="66CF14F2" w14:textId="77777777" w:rsidR="005A57C8" w:rsidRDefault="005A57C8" w:rsidP="005A57C8">
      <w:pPr>
        <w:pStyle w:val="Heading2"/>
        <w:rPr>
          <w:lang w:val="en-GB"/>
        </w:rPr>
      </w:pPr>
      <w:r w:rsidRPr="001640D6">
        <w:rPr>
          <w:lang w:val="en-GB"/>
        </w:rPr>
        <w:t>The COVID-19 pandemic</w:t>
      </w:r>
    </w:p>
    <w:p w14:paraId="316363DA"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economic consequences of the pandemic have been sudden and of a much larger scale than previous economic shocks experienced this century. </w:t>
      </w:r>
    </w:p>
    <w:p w14:paraId="4CFA772A"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It has had an immediate and significant impact across all </w:t>
      </w:r>
      <w:r w:rsidR="006C184F">
        <w:rPr>
          <w:rFonts w:ascii="Work Sans" w:hAnsi="Work Sans"/>
          <w:sz w:val="24"/>
          <w:szCs w:val="24"/>
          <w:lang w:val="en-GB"/>
        </w:rPr>
        <w:t>state</w:t>
      </w:r>
      <w:r w:rsidRPr="002D0565">
        <w:rPr>
          <w:rFonts w:ascii="Work Sans" w:hAnsi="Work Sans"/>
          <w:sz w:val="24"/>
          <w:szCs w:val="24"/>
          <w:lang w:val="en-GB"/>
        </w:rPr>
        <w:t xml:space="preserve">s on both their expenditure needs and revenue sources. However, the negative economic impact on some </w:t>
      </w:r>
      <w:r w:rsidR="006C184F">
        <w:rPr>
          <w:rFonts w:ascii="Work Sans" w:hAnsi="Work Sans"/>
          <w:sz w:val="24"/>
          <w:szCs w:val="24"/>
          <w:lang w:val="en-GB"/>
        </w:rPr>
        <w:t>state</w:t>
      </w:r>
      <w:r w:rsidRPr="002D0565">
        <w:rPr>
          <w:rFonts w:ascii="Work Sans" w:hAnsi="Work Sans"/>
          <w:sz w:val="24"/>
          <w:szCs w:val="24"/>
          <w:lang w:val="en-GB"/>
        </w:rPr>
        <w:t xml:space="preserve">s may be significantly larger than others. </w:t>
      </w:r>
    </w:p>
    <w:p w14:paraId="3FBA5F59"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In terms of expenses, </w:t>
      </w:r>
      <w:r w:rsidR="006C184F">
        <w:rPr>
          <w:rFonts w:ascii="Work Sans" w:hAnsi="Work Sans"/>
          <w:sz w:val="24"/>
          <w:szCs w:val="24"/>
          <w:lang w:val="en-GB"/>
        </w:rPr>
        <w:t>state</w:t>
      </w:r>
      <w:r w:rsidRPr="002D0565">
        <w:rPr>
          <w:rFonts w:ascii="Work Sans" w:hAnsi="Work Sans"/>
          <w:sz w:val="24"/>
          <w:szCs w:val="24"/>
          <w:lang w:val="en-GB"/>
        </w:rPr>
        <w:t xml:space="preserve">s have announced new spending initiatives in response to the pandemic in all expense categories, particularly on health and assistance to industry. </w:t>
      </w:r>
    </w:p>
    <w:p w14:paraId="6BE8B20B"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On health expenditure, the National Cabinet developed the National Partnership on COVID-19 Response, where the Commonwealth funds 50% of COVID-19 related allowable hospital and public health expenditure by the </w:t>
      </w:r>
      <w:r w:rsidR="006C184F">
        <w:rPr>
          <w:rFonts w:ascii="Work Sans" w:hAnsi="Work Sans"/>
          <w:sz w:val="24"/>
          <w:szCs w:val="24"/>
          <w:lang w:val="en-GB"/>
        </w:rPr>
        <w:t>state</w:t>
      </w:r>
      <w:r w:rsidRPr="002D0565">
        <w:rPr>
          <w:rFonts w:ascii="Work Sans" w:hAnsi="Work Sans"/>
          <w:sz w:val="24"/>
          <w:szCs w:val="24"/>
          <w:lang w:val="en-GB"/>
        </w:rPr>
        <w:t>s.</w:t>
      </w:r>
    </w:p>
    <w:p w14:paraId="59035298"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On the revenue side, the pandemic has resulted in a recession in all </w:t>
      </w:r>
      <w:r w:rsidR="006C184F">
        <w:rPr>
          <w:rFonts w:ascii="Work Sans" w:hAnsi="Work Sans"/>
          <w:sz w:val="24"/>
          <w:szCs w:val="24"/>
          <w:lang w:val="en-GB"/>
        </w:rPr>
        <w:t>state</w:t>
      </w:r>
      <w:r w:rsidRPr="002D0565">
        <w:rPr>
          <w:rFonts w:ascii="Work Sans" w:hAnsi="Work Sans"/>
          <w:sz w:val="24"/>
          <w:szCs w:val="24"/>
          <w:lang w:val="en-GB"/>
        </w:rPr>
        <w:t xml:space="preserve">s, although the length and severity are likely to vary across </w:t>
      </w:r>
      <w:r w:rsidR="006C184F">
        <w:rPr>
          <w:rFonts w:ascii="Work Sans" w:hAnsi="Work Sans"/>
          <w:sz w:val="24"/>
          <w:szCs w:val="24"/>
          <w:lang w:val="en-GB"/>
        </w:rPr>
        <w:t>state</w:t>
      </w:r>
      <w:r w:rsidRPr="002D0565">
        <w:rPr>
          <w:rFonts w:ascii="Work Sans" w:hAnsi="Work Sans"/>
          <w:sz w:val="24"/>
          <w:szCs w:val="24"/>
          <w:lang w:val="en-GB"/>
        </w:rPr>
        <w:t xml:space="preserve">s. </w:t>
      </w:r>
    </w:p>
    <w:p w14:paraId="6F848222"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For example, the impact of the pandemic on Western Australia was mitigated with mining output largely unaffected and iron ore prices remaining strong. In contrast, the extended lock down in Victoria is likely to result in a significant and longer decline in its fiscal capacity compared to other </w:t>
      </w:r>
      <w:r w:rsidR="006C184F">
        <w:rPr>
          <w:rFonts w:ascii="Work Sans" w:hAnsi="Work Sans"/>
          <w:sz w:val="24"/>
          <w:szCs w:val="24"/>
          <w:lang w:val="en-GB"/>
        </w:rPr>
        <w:t>state</w:t>
      </w:r>
      <w:r w:rsidRPr="002D0565">
        <w:rPr>
          <w:rFonts w:ascii="Work Sans" w:hAnsi="Work Sans"/>
          <w:sz w:val="24"/>
          <w:szCs w:val="24"/>
          <w:lang w:val="en-GB"/>
        </w:rPr>
        <w:t xml:space="preserve">s. Currently jobs growth is recovering strongly in all </w:t>
      </w:r>
      <w:r w:rsidR="006C184F">
        <w:rPr>
          <w:rFonts w:ascii="Work Sans" w:hAnsi="Work Sans"/>
          <w:sz w:val="24"/>
          <w:szCs w:val="24"/>
          <w:lang w:val="en-GB"/>
        </w:rPr>
        <w:t>state</w:t>
      </w:r>
      <w:r w:rsidRPr="002D0565">
        <w:rPr>
          <w:rFonts w:ascii="Work Sans" w:hAnsi="Work Sans"/>
          <w:sz w:val="24"/>
          <w:szCs w:val="24"/>
          <w:lang w:val="en-GB"/>
        </w:rPr>
        <w:t xml:space="preserve">s but Victoria. </w:t>
      </w:r>
    </w:p>
    <w:p w14:paraId="4981484A"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It is likely that horizontal fiscal equalisation will confront the same issues related to contemporaneity, volatility and policy neutrality as were faced in the mining boom. </w:t>
      </w:r>
    </w:p>
    <w:p w14:paraId="7FBF151F"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pandemic will cause volatility, and the continuation of the lag between the assessment of a </w:t>
      </w:r>
      <w:r w:rsidR="006C184F">
        <w:rPr>
          <w:rFonts w:ascii="Work Sans" w:hAnsi="Work Sans"/>
          <w:sz w:val="24"/>
          <w:szCs w:val="24"/>
          <w:lang w:val="en-GB"/>
        </w:rPr>
        <w:t>state</w:t>
      </w:r>
      <w:r w:rsidRPr="002D0565">
        <w:rPr>
          <w:rFonts w:ascii="Work Sans" w:hAnsi="Work Sans"/>
          <w:sz w:val="24"/>
          <w:szCs w:val="24"/>
          <w:lang w:val="en-GB"/>
        </w:rPr>
        <w:t xml:space="preserve">’s fiscal capacity and the distribution of GST revenue will likely result in gaps between assessed and actual fiscal circumstances in the downturn as well as the upturn. </w:t>
      </w:r>
    </w:p>
    <w:p w14:paraId="609A4916"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This time on the downturn of the cycle — and for </w:t>
      </w:r>
      <w:r w:rsidR="006C184F">
        <w:rPr>
          <w:rFonts w:ascii="Work Sans" w:hAnsi="Work Sans"/>
          <w:sz w:val="24"/>
          <w:szCs w:val="24"/>
          <w:lang w:val="en-GB"/>
        </w:rPr>
        <w:t>state</w:t>
      </w:r>
      <w:r w:rsidRPr="002D0565">
        <w:rPr>
          <w:rFonts w:ascii="Work Sans" w:hAnsi="Work Sans"/>
          <w:sz w:val="24"/>
          <w:szCs w:val="24"/>
          <w:lang w:val="en-GB"/>
        </w:rPr>
        <w:t xml:space="preserve">s that experience a large and quick deterioration in their actual fiscal circumstances relative to </w:t>
      </w:r>
      <w:r w:rsidRPr="002D0565">
        <w:rPr>
          <w:rFonts w:ascii="Work Sans" w:hAnsi="Work Sans"/>
          <w:sz w:val="24"/>
          <w:szCs w:val="24"/>
          <w:lang w:val="en-GB"/>
        </w:rPr>
        <w:lastRenderedPageBreak/>
        <w:t xml:space="preserve">other </w:t>
      </w:r>
      <w:r w:rsidR="006C184F">
        <w:rPr>
          <w:rFonts w:ascii="Work Sans" w:hAnsi="Work Sans"/>
          <w:sz w:val="24"/>
          <w:szCs w:val="24"/>
          <w:lang w:val="en-GB"/>
        </w:rPr>
        <w:t>state</w:t>
      </w:r>
      <w:r w:rsidRPr="002D0565">
        <w:rPr>
          <w:rFonts w:ascii="Work Sans" w:hAnsi="Work Sans"/>
          <w:sz w:val="24"/>
          <w:szCs w:val="24"/>
          <w:lang w:val="en-GB"/>
        </w:rPr>
        <w:t xml:space="preserve">s — the gap between their GST requirement under a more contemporaneous approach and what the Commission assesses it to be with lagged averaging for any </w:t>
      </w:r>
      <w:proofErr w:type="gramStart"/>
      <w:r w:rsidRPr="002D0565">
        <w:rPr>
          <w:rFonts w:ascii="Work Sans" w:hAnsi="Work Sans"/>
          <w:sz w:val="24"/>
          <w:szCs w:val="24"/>
          <w:lang w:val="en-GB"/>
        </w:rPr>
        <w:t>particular application</w:t>
      </w:r>
      <w:proofErr w:type="gramEnd"/>
      <w:r w:rsidRPr="002D0565">
        <w:rPr>
          <w:rFonts w:ascii="Work Sans" w:hAnsi="Work Sans"/>
          <w:sz w:val="24"/>
          <w:szCs w:val="24"/>
          <w:lang w:val="en-GB"/>
        </w:rPr>
        <w:t xml:space="preserve"> year, may be significant. </w:t>
      </w:r>
    </w:p>
    <w:p w14:paraId="19F2B087"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As noted previously, the Commission has a ‘swings and roundabouts’ approach to the impact of an economic shock on GST distributions. Alternatively, the assessments of fiscal capacities could be more contemporaneous to what is occurring in each application year, although this would introduce more volatility to the relativities for GST distribution. Based on prior feedback to the Commission, </w:t>
      </w:r>
      <w:r w:rsidR="006C184F">
        <w:rPr>
          <w:rFonts w:ascii="Work Sans" w:hAnsi="Work Sans"/>
          <w:sz w:val="24"/>
          <w:szCs w:val="24"/>
          <w:lang w:val="en-GB"/>
        </w:rPr>
        <w:t>state</w:t>
      </w:r>
      <w:r w:rsidRPr="002D0565">
        <w:rPr>
          <w:rFonts w:ascii="Work Sans" w:hAnsi="Work Sans"/>
          <w:sz w:val="24"/>
          <w:szCs w:val="24"/>
          <w:lang w:val="en-GB"/>
        </w:rPr>
        <w:t xml:space="preserve">s dislike volatility in relativities as this makes their budget planning more difficult. </w:t>
      </w:r>
    </w:p>
    <w:p w14:paraId="0E6AF53A" w14:textId="77777777" w:rsidR="005A57C8" w:rsidRPr="002D0565" w:rsidRDefault="00F66B6E" w:rsidP="005A57C8">
      <w:pPr>
        <w:rPr>
          <w:rFonts w:ascii="Work Sans" w:hAnsi="Work Sans"/>
          <w:sz w:val="24"/>
          <w:szCs w:val="24"/>
          <w:lang w:val="en-GB"/>
        </w:rPr>
      </w:pPr>
      <w:r>
        <w:rPr>
          <w:rFonts w:ascii="Work Sans" w:hAnsi="Work Sans"/>
          <w:sz w:val="24"/>
          <w:szCs w:val="24"/>
          <w:lang w:val="en-GB"/>
        </w:rPr>
        <w:t>S</w:t>
      </w:r>
      <w:r w:rsidR="006C184F">
        <w:rPr>
          <w:rFonts w:ascii="Work Sans" w:hAnsi="Work Sans"/>
          <w:sz w:val="24"/>
          <w:szCs w:val="24"/>
          <w:lang w:val="en-GB"/>
        </w:rPr>
        <w:t>tate</w:t>
      </w:r>
      <w:r w:rsidR="005A57C8" w:rsidRPr="002D0565">
        <w:rPr>
          <w:rFonts w:ascii="Work Sans" w:hAnsi="Work Sans"/>
          <w:sz w:val="24"/>
          <w:szCs w:val="24"/>
          <w:lang w:val="en-GB"/>
        </w:rPr>
        <w:t>s facing difficult budget pressures resulting from an economic downturn from the pandemic are likely to emphasise the need for more contemporaneous assessments. Others are likely to continue to emphasise the importance of limiting volatility in the fiscal equalisation process and support the current 3-year lagged assessment method.</w:t>
      </w:r>
    </w:p>
    <w:p w14:paraId="384E5ECE"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A further issue is whether, and to what extent, any decline in a </w:t>
      </w:r>
      <w:r w:rsidR="006C184F">
        <w:rPr>
          <w:rFonts w:ascii="Work Sans" w:hAnsi="Work Sans"/>
          <w:sz w:val="24"/>
          <w:szCs w:val="24"/>
          <w:lang w:val="en-GB"/>
        </w:rPr>
        <w:t>state</w:t>
      </w:r>
      <w:r w:rsidRPr="002D0565">
        <w:rPr>
          <w:rFonts w:ascii="Work Sans" w:hAnsi="Work Sans"/>
          <w:sz w:val="24"/>
          <w:szCs w:val="24"/>
          <w:lang w:val="en-GB"/>
        </w:rPr>
        <w:t xml:space="preserve">'s relative fiscal position during the pandemic arises from divergences from average policy versus circumstances beyond its control. </w:t>
      </w:r>
    </w:p>
    <w:p w14:paraId="3197C92C"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To the extent that it is a result of differences from the average policy adopted by all </w:t>
      </w:r>
      <w:r w:rsidR="006C184F">
        <w:rPr>
          <w:rFonts w:ascii="Work Sans" w:hAnsi="Work Sans"/>
          <w:sz w:val="24"/>
          <w:szCs w:val="24"/>
          <w:lang w:val="en-GB"/>
        </w:rPr>
        <w:t>state</w:t>
      </w:r>
      <w:r w:rsidRPr="002D0565">
        <w:rPr>
          <w:rFonts w:ascii="Work Sans" w:hAnsi="Work Sans"/>
          <w:sz w:val="24"/>
          <w:szCs w:val="24"/>
          <w:lang w:val="en-GB"/>
        </w:rPr>
        <w:t>s in response to the pandemic, such a decline is not compensable under the fiscal equalisation process on policy neutrality grounds. As noted above, for the successive mining booms, the Commission was of the view that Western Australia adopted average economic development policies and so all its mining royalties were equalised.</w:t>
      </w:r>
    </w:p>
    <w:p w14:paraId="270D69A3"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In theory, under equalisation arrangements, only external influences on fiscal capacities outside the control of the </w:t>
      </w:r>
      <w:r w:rsidR="006C184F">
        <w:rPr>
          <w:rFonts w:ascii="Work Sans" w:hAnsi="Work Sans"/>
          <w:sz w:val="24"/>
          <w:szCs w:val="24"/>
          <w:lang w:val="en-GB"/>
        </w:rPr>
        <w:t>state</w:t>
      </w:r>
      <w:r w:rsidRPr="002D0565">
        <w:rPr>
          <w:rFonts w:ascii="Work Sans" w:hAnsi="Work Sans"/>
          <w:sz w:val="24"/>
          <w:szCs w:val="24"/>
          <w:lang w:val="en-GB"/>
        </w:rPr>
        <w:t xml:space="preserve">s should be compensable. </w:t>
      </w:r>
    </w:p>
    <w:p w14:paraId="489A6516"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Fiscal equalisation can be viewed as a risk sharing or self-insurance mechanism between the </w:t>
      </w:r>
      <w:r w:rsidR="006C184F">
        <w:rPr>
          <w:rFonts w:ascii="Work Sans" w:hAnsi="Work Sans"/>
          <w:sz w:val="24"/>
          <w:szCs w:val="24"/>
          <w:lang w:val="en-GB"/>
        </w:rPr>
        <w:t>state</w:t>
      </w:r>
      <w:r w:rsidRPr="002D0565">
        <w:rPr>
          <w:rFonts w:ascii="Work Sans" w:hAnsi="Work Sans"/>
          <w:sz w:val="24"/>
          <w:szCs w:val="24"/>
          <w:lang w:val="en-GB"/>
        </w:rPr>
        <w:t>s which insures any individual jurisdiction against the uncertainty from an adverse event beyond its control (</w:t>
      </w:r>
      <w:proofErr w:type="gramStart"/>
      <w:r w:rsidRPr="002D0565">
        <w:rPr>
          <w:rFonts w:ascii="Work Sans" w:hAnsi="Work Sans"/>
          <w:sz w:val="24"/>
          <w:szCs w:val="24"/>
          <w:lang w:val="en-GB"/>
        </w:rPr>
        <w:t>e.g.</w:t>
      </w:r>
      <w:proofErr w:type="gramEnd"/>
      <w:r w:rsidRPr="002D0565">
        <w:rPr>
          <w:rFonts w:ascii="Work Sans" w:hAnsi="Work Sans"/>
          <w:sz w:val="24"/>
          <w:szCs w:val="24"/>
          <w:lang w:val="en-GB"/>
        </w:rPr>
        <w:t xml:space="preserve"> cyclones in Queensland or fires in New South Wales and Victoria). As noted previously, this is how the system operates for exogenous natural disasters. The burden of the negative external event is shared across the national tax base through horizontal fiscal equalisation rather than being borne solely by the taxpayers of the affected jurisdiction.</w:t>
      </w:r>
    </w:p>
    <w:p w14:paraId="6624D2C8"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Nevertheless, the costs of damage from a natural disaster are not entirely beyond a </w:t>
      </w:r>
      <w:r w:rsidR="006C184F">
        <w:rPr>
          <w:rFonts w:ascii="Work Sans" w:hAnsi="Work Sans"/>
          <w:sz w:val="24"/>
          <w:szCs w:val="24"/>
          <w:lang w:val="en-GB"/>
        </w:rPr>
        <w:t>state</w:t>
      </w:r>
      <w:r w:rsidRPr="002D0565">
        <w:rPr>
          <w:rFonts w:ascii="Work Sans" w:hAnsi="Work Sans"/>
          <w:sz w:val="24"/>
          <w:szCs w:val="24"/>
          <w:lang w:val="en-GB"/>
        </w:rPr>
        <w:t>’s control as they can be reduced through mitigation initiatives. Yet the incentive to implement mitigation policies may be reduced because the costs from the natural disaster are shared through horizontal fiscal equalisation</w:t>
      </w:r>
      <w:r w:rsidR="00F66B6E">
        <w:rPr>
          <w:rFonts w:ascii="Work Sans" w:hAnsi="Work Sans"/>
          <w:sz w:val="24"/>
          <w:szCs w:val="24"/>
          <w:lang w:val="en-GB"/>
        </w:rPr>
        <w:t>.</w:t>
      </w:r>
    </w:p>
    <w:p w14:paraId="2DB74209" w14:textId="77777777" w:rsidR="005A57C8" w:rsidRPr="002D0565" w:rsidRDefault="005A57C8" w:rsidP="005A57C8">
      <w:pPr>
        <w:rPr>
          <w:rFonts w:ascii="Work Sans" w:hAnsi="Work Sans" w:cstheme="minorHAnsi"/>
          <w:sz w:val="24"/>
          <w:szCs w:val="24"/>
        </w:rPr>
      </w:pPr>
      <w:r w:rsidRPr="002D0565">
        <w:rPr>
          <w:rFonts w:ascii="Work Sans" w:hAnsi="Work Sans" w:cstheme="minorHAnsi"/>
          <w:sz w:val="24"/>
          <w:szCs w:val="24"/>
        </w:rPr>
        <w:t xml:space="preserve">In the case of the pandemic, if the adverse economic impact that a </w:t>
      </w:r>
      <w:r w:rsidR="00F66B6E">
        <w:rPr>
          <w:rFonts w:ascii="Work Sans" w:hAnsi="Work Sans" w:cstheme="minorHAnsi"/>
          <w:sz w:val="24"/>
          <w:szCs w:val="24"/>
        </w:rPr>
        <w:t xml:space="preserve">state’s </w:t>
      </w:r>
      <w:r w:rsidR="00F66B6E" w:rsidRPr="002D0565">
        <w:rPr>
          <w:rFonts w:ascii="Work Sans" w:hAnsi="Work Sans" w:cstheme="minorHAnsi"/>
          <w:sz w:val="24"/>
          <w:szCs w:val="24"/>
        </w:rPr>
        <w:t>experience</w:t>
      </w:r>
      <w:r w:rsidRPr="002D0565">
        <w:rPr>
          <w:rFonts w:ascii="Work Sans" w:hAnsi="Work Sans" w:cstheme="minorHAnsi"/>
          <w:sz w:val="24"/>
          <w:szCs w:val="24"/>
        </w:rPr>
        <w:t xml:space="preserve"> is in part due to its divergence from average </w:t>
      </w:r>
      <w:r w:rsidR="006C184F">
        <w:rPr>
          <w:rFonts w:ascii="Work Sans" w:hAnsi="Work Sans" w:cstheme="minorHAnsi"/>
          <w:sz w:val="24"/>
          <w:szCs w:val="24"/>
        </w:rPr>
        <w:t>state</w:t>
      </w:r>
      <w:r w:rsidRPr="002D0565">
        <w:rPr>
          <w:rFonts w:ascii="Work Sans" w:hAnsi="Work Sans" w:cstheme="minorHAnsi"/>
          <w:sz w:val="24"/>
          <w:szCs w:val="24"/>
        </w:rPr>
        <w:t xml:space="preserve"> pandemic </w:t>
      </w:r>
      <w:r w:rsidRPr="002D0565">
        <w:rPr>
          <w:rFonts w:ascii="Work Sans" w:hAnsi="Work Sans" w:cstheme="minorHAnsi"/>
          <w:sz w:val="24"/>
          <w:szCs w:val="24"/>
        </w:rPr>
        <w:lastRenderedPageBreak/>
        <w:t xml:space="preserve">policies, there could be a moral hazard issue if that </w:t>
      </w:r>
      <w:r w:rsidR="006C184F">
        <w:rPr>
          <w:rFonts w:ascii="Work Sans" w:hAnsi="Work Sans" w:cstheme="minorHAnsi"/>
          <w:sz w:val="24"/>
          <w:szCs w:val="24"/>
        </w:rPr>
        <w:t>state</w:t>
      </w:r>
      <w:r w:rsidRPr="002D0565">
        <w:rPr>
          <w:rFonts w:ascii="Work Sans" w:hAnsi="Work Sans" w:cstheme="minorHAnsi"/>
          <w:sz w:val="24"/>
          <w:szCs w:val="24"/>
        </w:rPr>
        <w:t xml:space="preserve"> is compensated for what might be viewed as policy choices. </w:t>
      </w:r>
    </w:p>
    <w:p w14:paraId="6A6D2504" w14:textId="77777777" w:rsidR="005A57C8" w:rsidRPr="002D0565" w:rsidRDefault="005A57C8" w:rsidP="005A57C8">
      <w:pPr>
        <w:rPr>
          <w:rFonts w:ascii="Work Sans" w:hAnsi="Work Sans" w:cstheme="minorHAnsi"/>
          <w:sz w:val="24"/>
          <w:szCs w:val="24"/>
        </w:rPr>
      </w:pPr>
      <w:r w:rsidRPr="002D0565">
        <w:rPr>
          <w:rFonts w:ascii="Work Sans" w:hAnsi="Work Sans" w:cstheme="minorHAnsi"/>
          <w:sz w:val="24"/>
          <w:szCs w:val="24"/>
        </w:rPr>
        <w:t xml:space="preserve">The question that could be raised is: why should the other </w:t>
      </w:r>
      <w:r w:rsidR="006C184F">
        <w:rPr>
          <w:rFonts w:ascii="Work Sans" w:hAnsi="Work Sans" w:cstheme="minorHAnsi"/>
          <w:sz w:val="24"/>
          <w:szCs w:val="24"/>
        </w:rPr>
        <w:t>state</w:t>
      </w:r>
      <w:r w:rsidRPr="002D0565">
        <w:rPr>
          <w:rFonts w:ascii="Work Sans" w:hAnsi="Work Sans" w:cstheme="minorHAnsi"/>
          <w:sz w:val="24"/>
          <w:szCs w:val="24"/>
        </w:rPr>
        <w:t xml:space="preserve">s insure one jurisdiction against its policy choices? But it may be very difficult for the Commission to assess and decide how much of one </w:t>
      </w:r>
      <w:r w:rsidR="006C184F">
        <w:rPr>
          <w:rFonts w:ascii="Work Sans" w:hAnsi="Work Sans" w:cstheme="minorHAnsi"/>
          <w:sz w:val="24"/>
          <w:szCs w:val="24"/>
        </w:rPr>
        <w:t>state</w:t>
      </w:r>
      <w:r w:rsidRPr="002D0565">
        <w:rPr>
          <w:rFonts w:ascii="Work Sans" w:hAnsi="Work Sans" w:cstheme="minorHAnsi"/>
          <w:sz w:val="24"/>
          <w:szCs w:val="24"/>
        </w:rPr>
        <w:t xml:space="preserve">'s misfortune during the pandemic is due to its own policy decisions. Just as in the mining boom, it may prove technically impossible to disentangle differential policy from observed outcomes and the Commission may be compelled to treat all </w:t>
      </w:r>
      <w:r w:rsidR="006C184F">
        <w:rPr>
          <w:rFonts w:ascii="Work Sans" w:hAnsi="Work Sans" w:cstheme="minorHAnsi"/>
          <w:sz w:val="24"/>
          <w:szCs w:val="24"/>
        </w:rPr>
        <w:t>state</w:t>
      </w:r>
      <w:r w:rsidRPr="002D0565">
        <w:rPr>
          <w:rFonts w:ascii="Work Sans" w:hAnsi="Work Sans" w:cstheme="minorHAnsi"/>
          <w:sz w:val="24"/>
          <w:szCs w:val="24"/>
        </w:rPr>
        <w:t>s as having pursued average policies during the pandemic.</w:t>
      </w:r>
    </w:p>
    <w:p w14:paraId="7831EACF" w14:textId="77777777" w:rsidR="005A57C8" w:rsidRDefault="005A57C8" w:rsidP="005A57C8">
      <w:pPr>
        <w:rPr>
          <w:lang w:val="en-GB"/>
        </w:rPr>
      </w:pPr>
      <w:r w:rsidRPr="002D0565">
        <w:rPr>
          <w:rFonts w:ascii="Work Sans" w:hAnsi="Work Sans"/>
          <w:sz w:val="24"/>
          <w:szCs w:val="24"/>
          <w:lang w:val="en-GB"/>
        </w:rPr>
        <w:t xml:space="preserve">The pandemic may also have implications for the new GST distribution arrangements enacted in 2018 (see Box 2). Under the new arrangements, the Commonwealth will now explicitly share with the </w:t>
      </w:r>
      <w:r w:rsidR="006C184F">
        <w:rPr>
          <w:rFonts w:ascii="Work Sans" w:hAnsi="Work Sans"/>
          <w:sz w:val="24"/>
          <w:szCs w:val="24"/>
          <w:lang w:val="en-GB"/>
        </w:rPr>
        <w:t>state</w:t>
      </w:r>
      <w:r w:rsidRPr="002D0565">
        <w:rPr>
          <w:rFonts w:ascii="Work Sans" w:hAnsi="Work Sans"/>
          <w:sz w:val="24"/>
          <w:szCs w:val="24"/>
          <w:lang w:val="en-GB"/>
        </w:rPr>
        <w:t>s the risk and uncertainty in the horizontal fiscal equalisation system arising from external shocks.</w:t>
      </w:r>
      <w:r w:rsidR="002D0565">
        <w:rPr>
          <w:lang w:val="en-GB"/>
        </w:rPr>
        <w:t xml:space="preserve">  </w:t>
      </w:r>
    </w:p>
    <w:p w14:paraId="2E09F7AB" w14:textId="77777777" w:rsidR="005A57C8" w:rsidRPr="00223A6D" w:rsidRDefault="002D0565" w:rsidP="002D0565">
      <w:pPr>
        <w:pStyle w:val="Heading3"/>
        <w:rPr>
          <w:lang w:val="en-GB"/>
        </w:rPr>
      </w:pPr>
      <w:r>
        <w:rPr>
          <w:noProof/>
          <w:color w:val="0091C4"/>
        </w:rPr>
        <mc:AlternateContent>
          <mc:Choice Requires="wps">
            <w:drawing>
              <wp:anchor distT="0" distB="0" distL="114300" distR="114300" simplePos="0" relativeHeight="251685888" behindDoc="1" locked="0" layoutInCell="1" allowOverlap="1" wp14:anchorId="5672C58B" wp14:editId="0C114D20">
                <wp:simplePos x="0" y="0"/>
                <wp:positionH relativeFrom="margin">
                  <wp:align>left</wp:align>
                </wp:positionH>
                <wp:positionV relativeFrom="paragraph">
                  <wp:posOffset>82357</wp:posOffset>
                </wp:positionV>
                <wp:extent cx="5923722" cy="3037398"/>
                <wp:effectExtent l="0" t="0" r="1270" b="0"/>
                <wp:wrapNone/>
                <wp:docPr id="16" name="Rectangl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23722" cy="3037398"/>
                        </a:xfrm>
                        <a:prstGeom prst="rect">
                          <a:avLst/>
                        </a:prstGeom>
                        <a:solidFill>
                          <a:srgbClr val="E5F8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89CA3" id="Rectangle 16" o:spid="_x0000_s1026" alt="&quot;&quot;" style="position:absolute;margin-left:0;margin-top:6.5pt;width:466.45pt;height:239.15pt;z-index:-251630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" fillcolor="#e5f8ff" stroked="f" strokeweight="2pt">
                <w10:wrap anchorx="margin"/>
              </v:rect>
            </w:pict>
          </mc:Fallback>
        </mc:AlternateContent>
      </w:r>
      <w:r w:rsidR="005A57C8" w:rsidRPr="00236193">
        <w:rPr>
          <w:lang w:val="en-GB"/>
        </w:rPr>
        <w:t>Box 2</w:t>
      </w:r>
      <w:r w:rsidR="002C6FB8">
        <w:rPr>
          <w:lang w:val="en-GB"/>
        </w:rPr>
        <w:t>:</w:t>
      </w:r>
      <w:r>
        <w:rPr>
          <w:lang w:val="en-GB"/>
        </w:rPr>
        <w:t xml:space="preserve"> </w:t>
      </w:r>
      <w:r w:rsidR="005A57C8" w:rsidRPr="00236193">
        <w:rPr>
          <w:lang w:val="en-GB"/>
        </w:rPr>
        <w:t>Legislated changes to the GST distribution</w:t>
      </w:r>
    </w:p>
    <w:p w14:paraId="4F6F2753" w14:textId="77777777" w:rsidR="005A57C8" w:rsidRPr="002D0565" w:rsidRDefault="005A57C8" w:rsidP="005A57C8">
      <w:pPr>
        <w:rPr>
          <w:rFonts w:ascii="Work Sans" w:hAnsi="Work Sans"/>
          <w:sz w:val="22"/>
          <w:lang w:val="en-GB"/>
        </w:rPr>
      </w:pPr>
      <w:r w:rsidRPr="002D0565">
        <w:rPr>
          <w:rFonts w:ascii="Work Sans" w:hAnsi="Work Sans"/>
          <w:sz w:val="22"/>
          <w:lang w:val="en-GB"/>
        </w:rPr>
        <w:t xml:space="preserve">Changes to GST distribution were enacted in the </w:t>
      </w:r>
      <w:r w:rsidRPr="002D0565">
        <w:rPr>
          <w:rFonts w:ascii="Work Sans" w:hAnsi="Work Sans"/>
          <w:i/>
          <w:iCs/>
          <w:sz w:val="22"/>
          <w:lang w:val="en-GB"/>
        </w:rPr>
        <w:t xml:space="preserve">Treasury Laws Amendment (Making Sure Every </w:t>
      </w:r>
      <w:r w:rsidR="006C184F">
        <w:rPr>
          <w:rFonts w:ascii="Work Sans" w:hAnsi="Work Sans"/>
          <w:i/>
          <w:iCs/>
          <w:sz w:val="22"/>
          <w:lang w:val="en-GB"/>
        </w:rPr>
        <w:t>state</w:t>
      </w:r>
      <w:r w:rsidRPr="002D0565">
        <w:rPr>
          <w:rFonts w:ascii="Work Sans" w:hAnsi="Work Sans"/>
          <w:i/>
          <w:iCs/>
          <w:sz w:val="22"/>
          <w:lang w:val="en-GB"/>
        </w:rPr>
        <w:t xml:space="preserve"> and Territory Gets Their Fair Share of GST) Act 2018. </w:t>
      </w:r>
      <w:r w:rsidRPr="002D0565">
        <w:rPr>
          <w:rFonts w:ascii="Work Sans" w:hAnsi="Work Sans"/>
          <w:sz w:val="22"/>
          <w:lang w:val="en-GB"/>
        </w:rPr>
        <w:t>The new arrangements involve:</w:t>
      </w:r>
    </w:p>
    <w:p w14:paraId="76446A93" w14:textId="77777777" w:rsidR="005A57C8" w:rsidRPr="002D0565" w:rsidRDefault="005A57C8" w:rsidP="005A57C8">
      <w:pPr>
        <w:pStyle w:val="CGCBullet1"/>
        <w:spacing w:after="0"/>
        <w:rPr>
          <w:rFonts w:ascii="Work Sans" w:hAnsi="Work Sans"/>
          <w:lang w:val="en-GB"/>
        </w:rPr>
      </w:pPr>
      <w:r w:rsidRPr="002D0565">
        <w:rPr>
          <w:rFonts w:ascii="Work Sans" w:hAnsi="Work Sans"/>
          <w:lang w:val="en-GB"/>
        </w:rPr>
        <w:t xml:space="preserve">Introducing a minimum GST relativity (relativity floor), with an initial floor of 0.7 introduced for 2022–23 and increasing to 0.75 from 2024–25. This is a floor through which a </w:t>
      </w:r>
      <w:r w:rsidR="006C184F">
        <w:rPr>
          <w:rFonts w:ascii="Work Sans" w:hAnsi="Work Sans"/>
          <w:lang w:val="en-GB"/>
        </w:rPr>
        <w:t>state</w:t>
      </w:r>
      <w:r w:rsidRPr="002D0565">
        <w:rPr>
          <w:rFonts w:ascii="Work Sans" w:hAnsi="Work Sans"/>
          <w:lang w:val="en-GB"/>
        </w:rPr>
        <w:t xml:space="preserve">’s GST relativity cannot fall. </w:t>
      </w:r>
    </w:p>
    <w:p w14:paraId="39B977EC" w14:textId="77777777" w:rsidR="005A57C8" w:rsidRPr="002D0565" w:rsidRDefault="005A57C8" w:rsidP="005A57C8">
      <w:pPr>
        <w:pStyle w:val="CGCBullet1"/>
        <w:spacing w:after="0"/>
        <w:rPr>
          <w:rFonts w:ascii="Work Sans" w:hAnsi="Work Sans"/>
          <w:lang w:val="en-GB"/>
        </w:rPr>
      </w:pPr>
      <w:r w:rsidRPr="002D0565">
        <w:rPr>
          <w:rFonts w:ascii="Work Sans" w:hAnsi="Work Sans"/>
          <w:lang w:val="en-GB"/>
        </w:rPr>
        <w:t>From 2021–22, permanently boosting the GST revenue pool with additional Commonwealth financial assistance.</w:t>
      </w:r>
    </w:p>
    <w:p w14:paraId="1B3A6F94" w14:textId="77777777" w:rsidR="005A57C8" w:rsidRPr="002D0565" w:rsidRDefault="005A57C8" w:rsidP="005A57C8">
      <w:pPr>
        <w:pStyle w:val="CGCBullet1"/>
        <w:spacing w:after="0"/>
        <w:rPr>
          <w:rFonts w:ascii="Work Sans" w:hAnsi="Work Sans"/>
          <w:lang w:val="en-GB"/>
        </w:rPr>
      </w:pPr>
      <w:r w:rsidRPr="002D0565">
        <w:rPr>
          <w:rFonts w:ascii="Work Sans" w:hAnsi="Work Sans"/>
          <w:lang w:val="en-GB"/>
        </w:rPr>
        <w:t xml:space="preserve">Transitioning horizontal fiscal equalisation from a system based on the fiscal capacity of the strongest </w:t>
      </w:r>
      <w:r w:rsidR="006C184F">
        <w:rPr>
          <w:rFonts w:ascii="Work Sans" w:hAnsi="Work Sans"/>
          <w:lang w:val="en-GB"/>
        </w:rPr>
        <w:t>state</w:t>
      </w:r>
      <w:r w:rsidRPr="002D0565">
        <w:rPr>
          <w:rFonts w:ascii="Work Sans" w:hAnsi="Work Sans"/>
          <w:lang w:val="en-GB"/>
        </w:rPr>
        <w:t xml:space="preserve"> to one based on the fiscal capacity of the stronger of New South Wales or Victoria.</w:t>
      </w:r>
    </w:p>
    <w:p w14:paraId="2BD74840" w14:textId="77777777" w:rsidR="005A57C8" w:rsidRPr="002D0565" w:rsidRDefault="005A57C8" w:rsidP="005A57C8">
      <w:pPr>
        <w:pStyle w:val="CGCBullet1"/>
        <w:spacing w:after="0"/>
        <w:rPr>
          <w:rFonts w:ascii="Work Sans" w:hAnsi="Work Sans"/>
          <w:lang w:val="en-GB"/>
        </w:rPr>
      </w:pPr>
      <w:r w:rsidRPr="002D0565">
        <w:rPr>
          <w:rFonts w:ascii="Work Sans" w:hAnsi="Work Sans"/>
          <w:lang w:val="en-GB"/>
        </w:rPr>
        <w:t xml:space="preserve">Providing additional financial assistance to any </w:t>
      </w:r>
      <w:r w:rsidR="006C184F">
        <w:rPr>
          <w:rFonts w:ascii="Work Sans" w:hAnsi="Work Sans"/>
          <w:lang w:val="en-GB"/>
        </w:rPr>
        <w:t>state</w:t>
      </w:r>
      <w:r w:rsidRPr="002D0565">
        <w:rPr>
          <w:rFonts w:ascii="Work Sans" w:hAnsi="Work Sans"/>
          <w:lang w:val="en-GB"/>
        </w:rPr>
        <w:t xml:space="preserve"> to ensure that each receives total grants at least as much as it would have received had the new legislation not been enacted – a ‘no worse off provision’.</w:t>
      </w:r>
    </w:p>
    <w:p w14:paraId="7CFB7DA9" w14:textId="77777777" w:rsidR="005A57C8" w:rsidRDefault="005A57C8" w:rsidP="005A57C8">
      <w:pPr>
        <w:rPr>
          <w:rFonts w:ascii="Work Sans" w:hAnsi="Work Sans"/>
        </w:rPr>
      </w:pPr>
    </w:p>
    <w:p w14:paraId="5710C85C" w14:textId="77777777" w:rsidR="005A57C8" w:rsidRDefault="005A57C8" w:rsidP="005A57C8">
      <w:pPr>
        <w:pStyle w:val="Heading2"/>
        <w:rPr>
          <w:lang w:val="en-GB"/>
        </w:rPr>
      </w:pPr>
      <w:r>
        <w:rPr>
          <w:lang w:val="en-GB"/>
        </w:rPr>
        <w:t xml:space="preserve">How the Commission may consider </w:t>
      </w:r>
      <w:r w:rsidRPr="00A21413">
        <w:rPr>
          <w:lang w:val="en-GB"/>
        </w:rPr>
        <w:t>changes to the GST distribution as a result of the COVID-19 pandemic</w:t>
      </w:r>
    </w:p>
    <w:p w14:paraId="39E356F3"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Under current arrangements, the Commission reviews, generally every five years, its methods to derive per capita relativities for distributing GST among the </w:t>
      </w:r>
      <w:r w:rsidR="006C184F">
        <w:rPr>
          <w:rFonts w:ascii="Work Sans" w:hAnsi="Work Sans"/>
          <w:sz w:val="24"/>
          <w:szCs w:val="24"/>
          <w:lang w:val="en-GB"/>
        </w:rPr>
        <w:t>state</w:t>
      </w:r>
      <w:r w:rsidRPr="002D0565">
        <w:rPr>
          <w:rFonts w:ascii="Work Sans" w:hAnsi="Work Sans"/>
          <w:sz w:val="24"/>
          <w:szCs w:val="24"/>
          <w:lang w:val="en-GB"/>
        </w:rPr>
        <w:t xml:space="preserve">s. The scope of the review, along with its timing, is established by the Commonwealth Treasurer. </w:t>
      </w:r>
    </w:p>
    <w:p w14:paraId="618B86D6"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The Commission completed its last five-year review in February 2020, before the economic fallout from the pandemic was evident. </w:t>
      </w:r>
    </w:p>
    <w:p w14:paraId="40C0A26C"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lastRenderedPageBreak/>
        <w:t xml:space="preserve">Between methodological reviews, the Commission provides an annual update of per capita relativities for GST distribution. </w:t>
      </w:r>
    </w:p>
    <w:p w14:paraId="3923EB8B"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The terms of reference set by the Commonwealth Treasurer for such updates normally provide that the Commission can only change methods from its latest review if ‘data problems necessitate changes’ or there is ‘significant change in arrangements which govern Commonwealth-</w:t>
      </w:r>
      <w:r w:rsidR="006C184F">
        <w:rPr>
          <w:rFonts w:ascii="Work Sans" w:hAnsi="Work Sans"/>
          <w:sz w:val="24"/>
          <w:szCs w:val="24"/>
          <w:lang w:val="en-GB"/>
        </w:rPr>
        <w:t>state</w:t>
      </w:r>
      <w:r w:rsidRPr="002D0565">
        <w:rPr>
          <w:rFonts w:ascii="Work Sans" w:hAnsi="Work Sans"/>
          <w:sz w:val="24"/>
          <w:szCs w:val="24"/>
          <w:lang w:val="en-GB"/>
        </w:rPr>
        <w:t xml:space="preserve"> relations’.</w:t>
      </w:r>
      <w:r w:rsidRPr="002D0565">
        <w:rPr>
          <w:rStyle w:val="FootnoteReference"/>
          <w:rFonts w:ascii="Work Sans" w:hAnsi="Work Sans"/>
          <w:sz w:val="24"/>
          <w:szCs w:val="24"/>
          <w:lang w:val="en-GB"/>
        </w:rPr>
        <w:footnoteReference w:id="8"/>
      </w:r>
      <w:r w:rsidRPr="002D0565">
        <w:rPr>
          <w:rFonts w:ascii="Work Sans" w:hAnsi="Work Sans"/>
          <w:sz w:val="24"/>
          <w:szCs w:val="24"/>
          <w:lang w:val="en-GB"/>
        </w:rPr>
        <w:t xml:space="preserve"> </w:t>
      </w:r>
    </w:p>
    <w:p w14:paraId="320FF2F6" w14:textId="77777777" w:rsidR="005A57C8" w:rsidRPr="002D0565" w:rsidRDefault="005A57C8" w:rsidP="005A57C8">
      <w:pPr>
        <w:rPr>
          <w:rFonts w:ascii="Work Sans" w:hAnsi="Work Sans"/>
          <w:sz w:val="24"/>
          <w:szCs w:val="24"/>
          <w:lang w:val="en-GB"/>
        </w:rPr>
      </w:pPr>
      <w:r w:rsidRPr="002D0565">
        <w:rPr>
          <w:rFonts w:ascii="Work Sans" w:hAnsi="Work Sans"/>
          <w:sz w:val="24"/>
          <w:szCs w:val="24"/>
          <w:lang w:val="en-GB"/>
        </w:rPr>
        <w:t xml:space="preserve">Under current arrangements, the 2021 Update, which would normally be completed in February 2021, will only cover the COVID-19 related impacts in 2019–20. </w:t>
      </w:r>
    </w:p>
    <w:p w14:paraId="28E89B70" w14:textId="77777777" w:rsidR="00AD53D2" w:rsidRPr="002D0565" w:rsidRDefault="005A57C8" w:rsidP="002D0565">
      <w:pPr>
        <w:rPr>
          <w:rFonts w:ascii="Work Sans" w:hAnsi="Work Sans"/>
          <w:sz w:val="24"/>
          <w:szCs w:val="24"/>
          <w:lang w:val="en-GB"/>
        </w:rPr>
      </w:pPr>
      <w:r w:rsidRPr="002D0565">
        <w:rPr>
          <w:rFonts w:ascii="Work Sans" w:hAnsi="Work Sans"/>
          <w:sz w:val="24"/>
          <w:szCs w:val="24"/>
          <w:lang w:val="en-GB"/>
        </w:rPr>
        <w:t xml:space="preserve">The effects after 30 June 2020 would need to be considered in future updates. The scope for considering any changes to the equalisation process as a result of the economic fallout from the pandemic will depend on future terms of reference. </w:t>
      </w:r>
    </w:p>
    <w:p w14:paraId="7E9FE9E1" w14:textId="77777777" w:rsidR="002D0565" w:rsidRDefault="002D0565" w:rsidP="002D0565">
      <w:pPr>
        <w:rPr>
          <w:lang w:val="en-GB"/>
        </w:rPr>
      </w:pPr>
    </w:p>
    <w:p w14:paraId="57DC66E8" w14:textId="77777777" w:rsidR="002D0565" w:rsidRPr="009D2E84" w:rsidRDefault="002D0565" w:rsidP="002D0565">
      <w:pPr>
        <w:rPr>
          <w:rFonts w:ascii="Work Sans" w:hAnsi="Work Sans"/>
        </w:rPr>
      </w:pPr>
    </w:p>
    <w:sectPr w:rsidR="002D0565" w:rsidRPr="009D2E84" w:rsidSect="004C78B6">
      <w:pgSz w:w="11900" w:h="16840"/>
      <w:pgMar w:top="1985" w:right="1418" w:bottom="1418" w:left="1418"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D669" w14:textId="77777777" w:rsidR="00E83028" w:rsidRDefault="00E83028" w:rsidP="005C0550">
      <w:pPr>
        <w:spacing w:before="0" w:line="240" w:lineRule="auto"/>
      </w:pPr>
      <w:r>
        <w:separator/>
      </w:r>
    </w:p>
  </w:endnote>
  <w:endnote w:type="continuationSeparator" w:id="0">
    <w:p w14:paraId="0E2A3351" w14:textId="77777777" w:rsidR="00E83028" w:rsidRDefault="00E83028" w:rsidP="005C05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Work Sans">
    <w:altName w:val="Work Sans"/>
    <w:charset w:val="00"/>
    <w:family w:val="auto"/>
    <w:pitch w:val="variable"/>
    <w:sig w:usb0="A00000FF" w:usb1="5000E07B" w:usb2="00000000" w:usb3="00000000" w:csb0="0000019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555125"/>
      <w:docPartObj>
        <w:docPartGallery w:val="Page Numbers (Bottom of Page)"/>
        <w:docPartUnique/>
      </w:docPartObj>
    </w:sdtPr>
    <w:sdtEndPr>
      <w:rPr>
        <w:rStyle w:val="PageNumber"/>
      </w:rPr>
    </w:sdtEndPr>
    <w:sdtContent>
      <w:p w14:paraId="7EC36F3B" w14:textId="77777777" w:rsidR="008B3F9B" w:rsidRDefault="008B3F9B" w:rsidP="00C236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8F1A01" w14:textId="77777777" w:rsidR="008B3F9B" w:rsidRDefault="008B3F9B" w:rsidP="008B3F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45A9" w14:textId="25C52AE0" w:rsidR="008B3F9B" w:rsidRPr="0090005D" w:rsidRDefault="0090005D" w:rsidP="008B3F9B">
    <w:pPr>
      <w:pStyle w:val="Footer"/>
      <w:ind w:right="360"/>
      <w:rPr>
        <w:rFonts w:ascii="Work Sans" w:hAnsi="Work Sans" w:cs="Open Sans"/>
      </w:rPr>
    </w:pPr>
    <w:hyperlink r:id="rId1" w:history="1">
      <w:r w:rsidR="00272DBF" w:rsidRPr="0090005D">
        <w:rPr>
          <w:rStyle w:val="Hyperlink"/>
          <w:rFonts w:ascii="Work Sans" w:hAnsi="Work Sans" w:cs="Open Sans"/>
        </w:rPr>
        <w:t>www.cgc.gov.au</w:t>
      </w:r>
    </w:hyperlink>
    <w:r w:rsidR="00272DBF" w:rsidRPr="0090005D">
      <w:rPr>
        <w:rFonts w:ascii="Work Sans" w:hAnsi="Work Sans" w:cs="Open Sans"/>
      </w:rPr>
      <w:ptab w:relativeTo="margin" w:alignment="center" w:leader="none"/>
    </w:r>
    <w:r w:rsidR="002965A8" w:rsidRPr="002965A8">
      <w:rPr>
        <w:rFonts w:ascii="Work Sans" w:hAnsi="Work Sans" w:cs="Open Sans"/>
        <w:color w:val="004563"/>
      </w:rPr>
      <w:t xml:space="preserve"> </w:t>
    </w:r>
    <w:r w:rsidR="002965A8">
      <w:rPr>
        <w:rFonts w:ascii="Work Sans" w:hAnsi="Work Sans" w:cs="Open Sans"/>
        <w:color w:val="004563"/>
      </w:rPr>
      <w:t>Occasional Paper Series</w:t>
    </w:r>
    <w:r w:rsidR="00272DBF" w:rsidRPr="0090005D">
      <w:rPr>
        <w:rFonts w:ascii="Work Sans" w:hAnsi="Work Sans" w:cs="Open Sans"/>
        <w:color w:val="006D95" w:themeColor="accent2" w:themeShade="BF"/>
      </w:rPr>
      <w:ptab w:relativeTo="margin" w:alignment="right" w:leader="none"/>
    </w:r>
    <w:r w:rsidR="002965A8">
      <w:rPr>
        <w:rFonts w:ascii="Work Sans" w:hAnsi="Work Sans" w:cs="Open Sans"/>
        <w:color w:val="004563"/>
      </w:rPr>
      <w:t>December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801F" w14:textId="77777777" w:rsidR="00E83028" w:rsidRDefault="00E83028" w:rsidP="005C0550">
      <w:pPr>
        <w:spacing w:before="0" w:line="240" w:lineRule="auto"/>
      </w:pPr>
      <w:r>
        <w:separator/>
      </w:r>
    </w:p>
  </w:footnote>
  <w:footnote w:type="continuationSeparator" w:id="0">
    <w:p w14:paraId="26BA4D97" w14:textId="77777777" w:rsidR="00E83028" w:rsidRDefault="00E83028" w:rsidP="005C0550">
      <w:pPr>
        <w:spacing w:before="0" w:line="240" w:lineRule="auto"/>
      </w:pPr>
      <w:r>
        <w:continuationSeparator/>
      </w:r>
    </w:p>
  </w:footnote>
  <w:footnote w:id="1">
    <w:p w14:paraId="15A804F9" w14:textId="77777777" w:rsidR="003E3ADF" w:rsidRPr="008A2528" w:rsidRDefault="003E3ADF" w:rsidP="003E3ADF">
      <w:pPr>
        <w:pStyle w:val="FootnoteText"/>
      </w:pPr>
      <w:r>
        <w:rPr>
          <w:rStyle w:val="FootnoteReference"/>
        </w:rPr>
        <w:footnoteRef/>
      </w:r>
      <w:r>
        <w:tab/>
      </w:r>
      <w:r w:rsidRPr="008A2528">
        <w:t xml:space="preserve">The Commission is subject to the framework set up by the Commonwealth in consultation with the </w:t>
      </w:r>
      <w:r w:rsidR="006C184F">
        <w:t>state</w:t>
      </w:r>
      <w:r w:rsidRPr="008A2528">
        <w:t>s.</w:t>
      </w:r>
    </w:p>
  </w:footnote>
  <w:footnote w:id="2">
    <w:p w14:paraId="69D38C3C" w14:textId="77777777" w:rsidR="003E3ADF" w:rsidRPr="008A2528" w:rsidRDefault="003E3ADF" w:rsidP="003E3ADF">
      <w:pPr>
        <w:pStyle w:val="FootnoteText"/>
      </w:pPr>
      <w:r w:rsidRPr="008A2528">
        <w:rPr>
          <w:rStyle w:val="FootnoteReference"/>
        </w:rPr>
        <w:footnoteRef/>
      </w:r>
      <w:r>
        <w:tab/>
      </w:r>
      <w:r w:rsidRPr="008A2528">
        <w:t xml:space="preserve">It is not possible to calculate this proportion as there is no official data on GST collections by </w:t>
      </w:r>
      <w:r w:rsidR="006C184F">
        <w:t>state</w:t>
      </w:r>
      <w:r w:rsidRPr="008A2528">
        <w:t xml:space="preserve">. As well, many companies reporting GST liabilities headquarter in one </w:t>
      </w:r>
      <w:r w:rsidR="006C184F">
        <w:t>state</w:t>
      </w:r>
      <w:r w:rsidRPr="008A2528">
        <w:t xml:space="preserve"> but operate in many jurisdictions.</w:t>
      </w:r>
    </w:p>
  </w:footnote>
  <w:footnote w:id="3">
    <w:p w14:paraId="73B7DA72" w14:textId="77777777" w:rsidR="003E3ADF" w:rsidRPr="008A2528" w:rsidRDefault="003E3ADF" w:rsidP="003E3ADF">
      <w:pPr>
        <w:pStyle w:val="FootnoteText"/>
      </w:pPr>
      <w:r w:rsidRPr="008A2528">
        <w:rPr>
          <w:rStyle w:val="FootnoteReference"/>
        </w:rPr>
        <w:footnoteRef/>
      </w:r>
      <w:r w:rsidRPr="008A2528">
        <w:t xml:space="preserve"> </w:t>
      </w:r>
      <w:r>
        <w:tab/>
      </w:r>
      <w:r w:rsidRPr="008A2528">
        <w:t>The use of weighted averages</w:t>
      </w:r>
      <w:r>
        <w:t xml:space="preserve"> means</w:t>
      </w:r>
      <w:r w:rsidRPr="008A2528">
        <w:t xml:space="preserve"> that </w:t>
      </w:r>
      <w:r w:rsidR="006C184F">
        <w:t>state</w:t>
      </w:r>
      <w:r w:rsidRPr="008A2528">
        <w:t xml:space="preserve">s with larger shares of the national population, such as Victoria and New South Wales, have a bigger influence on the averages (benchmarks) that </w:t>
      </w:r>
      <w:r w:rsidR="006C184F">
        <w:t>state</w:t>
      </w:r>
      <w:r w:rsidRPr="008A2528">
        <w:t>s are compared against to determine fiscal capacities.</w:t>
      </w:r>
    </w:p>
  </w:footnote>
  <w:footnote w:id="4">
    <w:p w14:paraId="6F4442E5" w14:textId="77777777" w:rsidR="003E3ADF" w:rsidRPr="00667C5C" w:rsidRDefault="003E3ADF" w:rsidP="003E3ADF">
      <w:pPr>
        <w:pStyle w:val="FootnoteText"/>
        <w:rPr>
          <w:lang w:val="en-US"/>
        </w:rPr>
      </w:pPr>
      <w:r w:rsidRPr="008A2528">
        <w:rPr>
          <w:rStyle w:val="FootnoteReference"/>
        </w:rPr>
        <w:footnoteRef/>
      </w:r>
      <w:r w:rsidRPr="008A2528">
        <w:t xml:space="preserve"> </w:t>
      </w:r>
      <w:r>
        <w:tab/>
      </w:r>
      <w:r w:rsidRPr="001F5E6E">
        <w:rPr>
          <w:lang w:val="en-US"/>
        </w:rPr>
        <w:t xml:space="preserve">Commonwealth Grants Commission (2018), </w:t>
      </w:r>
      <w:r w:rsidRPr="001F5E6E">
        <w:rPr>
          <w:i/>
          <w:iCs/>
          <w:lang w:val="en-US"/>
        </w:rPr>
        <w:t>Improving the Policy Neutrality of the Mining Revenue Assessment</w:t>
      </w:r>
      <w:r w:rsidRPr="001F5E6E">
        <w:rPr>
          <w:lang w:val="en-US"/>
        </w:rPr>
        <w:t xml:space="preserve">, Staff Discussion Paper, 2020 Review </w:t>
      </w:r>
      <w:hyperlink r:id="rId1" w:history="1">
        <w:r w:rsidRPr="001F5E6E">
          <w:rPr>
            <w:rStyle w:val="Hyperlink"/>
            <w:lang w:val="en-US"/>
          </w:rPr>
          <w:t>https://www.cgc.gov.au/sites/default/files/improving_the_policy_neutrality_of_the_mining_revenue_assessment.pdf?acsf_files_redirect</w:t>
        </w:r>
      </w:hyperlink>
      <w:r>
        <w:t>.</w:t>
      </w:r>
    </w:p>
  </w:footnote>
  <w:footnote w:id="5">
    <w:p w14:paraId="28C73238" w14:textId="77777777" w:rsidR="005A57C8" w:rsidRPr="00331B57" w:rsidRDefault="005A57C8" w:rsidP="005A57C8">
      <w:pPr>
        <w:pStyle w:val="FootnoteText"/>
        <w:rPr>
          <w:lang w:val="en-US"/>
        </w:rPr>
      </w:pPr>
      <w:r>
        <w:rPr>
          <w:rStyle w:val="FootnoteReference"/>
        </w:rPr>
        <w:footnoteRef/>
      </w:r>
      <w:r>
        <w:t xml:space="preserve"> </w:t>
      </w:r>
      <w:r>
        <w:tab/>
      </w:r>
      <w:r w:rsidRPr="002312AD">
        <w:t>Western Australia’s actual revenue from mining royalties peaked in 2013–14. Revenues subsequently came off this peak for a number of years, before surpassing it in 2018–19 and going higher again in 2019</w:t>
      </w:r>
      <w:r>
        <w:t>–</w:t>
      </w:r>
      <w:r w:rsidRPr="002312AD">
        <w:t>20.</w:t>
      </w:r>
      <w:r>
        <w:t xml:space="preserve"> </w:t>
      </w:r>
    </w:p>
  </w:footnote>
  <w:footnote w:id="6">
    <w:p w14:paraId="7CDE5EE3" w14:textId="77777777" w:rsidR="005A57C8" w:rsidRPr="008C4F9F" w:rsidRDefault="005A57C8" w:rsidP="005A57C8">
      <w:pPr>
        <w:pStyle w:val="FootnoteText"/>
        <w:rPr>
          <w:lang w:val="en-US"/>
        </w:rPr>
      </w:pPr>
      <w:r>
        <w:rPr>
          <w:rStyle w:val="FootnoteReference"/>
        </w:rPr>
        <w:footnoteRef/>
      </w:r>
      <w:r>
        <w:t xml:space="preserve"> </w:t>
      </w:r>
      <w:r>
        <w:tab/>
      </w:r>
      <w:r w:rsidRPr="002312AD">
        <w:t>Contemporaneous refers to calculating assessed revenue and expenditures in an application year by using the data from the immediately preceding year. Strictly speaking this is not fully contemporaneous but is as close as can realistically be achieved without resorting to forecasts of the application year.</w:t>
      </w:r>
    </w:p>
  </w:footnote>
  <w:footnote w:id="7">
    <w:p w14:paraId="79EB34C7" w14:textId="77777777" w:rsidR="005A57C8" w:rsidRPr="00AD3CDE" w:rsidRDefault="005A57C8" w:rsidP="005A57C8">
      <w:pPr>
        <w:pStyle w:val="FootnoteText"/>
        <w:rPr>
          <w:lang w:val="en-US"/>
        </w:rPr>
      </w:pPr>
      <w:r>
        <w:rPr>
          <w:rStyle w:val="FootnoteReference"/>
        </w:rPr>
        <w:footnoteRef/>
      </w:r>
      <w:r>
        <w:tab/>
      </w:r>
      <w:r w:rsidRPr="00AD3CDE">
        <w:t xml:space="preserve">This occurred over a </w:t>
      </w:r>
      <w:r>
        <w:t>3</w:t>
      </w:r>
      <w:r w:rsidRPr="00AD3CDE">
        <w:t>-year period, from 2015–16 to 2017–18 (the period for which the 2013–14 peak royalty year was included in the assessments).</w:t>
      </w:r>
    </w:p>
  </w:footnote>
  <w:footnote w:id="8">
    <w:p w14:paraId="4F54C27C" w14:textId="77777777" w:rsidR="005A57C8" w:rsidRPr="00BF5E31" w:rsidRDefault="005A57C8" w:rsidP="005A57C8">
      <w:pPr>
        <w:pStyle w:val="FootnoteText"/>
        <w:rPr>
          <w:lang w:val="en-US"/>
        </w:rPr>
      </w:pPr>
      <w:r>
        <w:rPr>
          <w:rStyle w:val="FootnoteReference"/>
        </w:rPr>
        <w:footnoteRef/>
      </w:r>
      <w:r>
        <w:t xml:space="preserve"> </w:t>
      </w:r>
      <w:r>
        <w:rPr>
          <w:lang w:val="en-US"/>
        </w:rPr>
        <w:t xml:space="preserve">For example, see the terms or reference for the Commission’s 2019 Update at </w:t>
      </w:r>
      <w:hyperlink r:id="rId2" w:history="1">
        <w:r w:rsidRPr="002F47B7">
          <w:rPr>
            <w:rStyle w:val="Hyperlink"/>
            <w:lang w:val="en-US"/>
          </w:rPr>
          <w:t>https://www.cgc.gov.au/sites/default/files/u2019_final_terms_of_reference.pdf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4924" w14:textId="77777777" w:rsidR="00C87C4C" w:rsidRDefault="00C87C4C">
    <w:pPr>
      <w:pStyle w:val="Header"/>
    </w:pPr>
    <w:r w:rsidRPr="009D2E84">
      <w:rPr>
        <w:rFonts w:ascii="Work Sans" w:hAnsi="Work Sans"/>
        <w:noProof/>
      </w:rPr>
      <w:drawing>
        <wp:anchor distT="0" distB="0" distL="114300" distR="114300" simplePos="0" relativeHeight="251663360" behindDoc="1" locked="1" layoutInCell="1" allowOverlap="1" wp14:anchorId="383999BF" wp14:editId="14CBFAD3">
          <wp:simplePos x="0" y="0"/>
          <wp:positionH relativeFrom="page">
            <wp:posOffset>0</wp:posOffset>
          </wp:positionH>
          <wp:positionV relativeFrom="margin">
            <wp:posOffset>-1257300</wp:posOffset>
          </wp:positionV>
          <wp:extent cx="7563485" cy="10691495"/>
          <wp:effectExtent l="0" t="0" r="0"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F40D" w14:textId="77777777" w:rsidR="00C25219" w:rsidRDefault="00AB73C2">
    <w:pPr>
      <w:pStyle w:val="Header"/>
    </w:pPr>
    <w:r>
      <w:rPr>
        <w:noProof/>
      </w:rPr>
      <w:drawing>
        <wp:anchor distT="0" distB="0" distL="114300" distR="114300" simplePos="0" relativeHeight="251658239" behindDoc="1" locked="0" layoutInCell="1" allowOverlap="1" wp14:anchorId="70621A3C" wp14:editId="7E9568BA">
          <wp:simplePos x="0" y="0"/>
          <wp:positionH relativeFrom="column">
            <wp:posOffset>-899907</wp:posOffset>
          </wp:positionH>
          <wp:positionV relativeFrom="paragraph">
            <wp:posOffset>-469723</wp:posOffset>
          </wp:positionV>
          <wp:extent cx="7562789" cy="10689589"/>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2789" cy="10689589"/>
                  </a:xfrm>
                  <a:prstGeom prst="rect">
                    <a:avLst/>
                  </a:prstGeom>
                </pic:spPr>
              </pic:pic>
            </a:graphicData>
          </a:graphic>
          <wp14:sizeRelH relativeFrom="margin">
            <wp14:pctWidth>0</wp14:pctWidth>
          </wp14:sizeRelH>
          <wp14:sizeRelV relativeFrom="margin">
            <wp14:pctHeight>0</wp14:pctHeight>
          </wp14:sizeRelV>
        </wp:anchor>
      </w:drawing>
    </w:r>
    <w:r w:rsidR="003759A1">
      <w:rPr>
        <w:noProof/>
      </w:rPr>
      <w:drawing>
        <wp:anchor distT="0" distB="0" distL="114300" distR="114300" simplePos="0" relativeHeight="251661312" behindDoc="1" locked="0" layoutInCell="1" allowOverlap="1" wp14:anchorId="44DFAE5E" wp14:editId="54311D4B">
          <wp:simplePos x="0" y="0"/>
          <wp:positionH relativeFrom="column">
            <wp:posOffset>-923290</wp:posOffset>
          </wp:positionH>
          <wp:positionV relativeFrom="paragraph">
            <wp:posOffset>10351135</wp:posOffset>
          </wp:positionV>
          <wp:extent cx="7580630" cy="10691495"/>
          <wp:effectExtent l="0" t="0" r="127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A345CD">
      <w:rPr>
        <w:noProof/>
      </w:rPr>
      <w:drawing>
        <wp:anchor distT="0" distB="0" distL="114300" distR="114300" simplePos="0" relativeHeight="251660288" behindDoc="1" locked="0" layoutInCell="1" allowOverlap="1" wp14:anchorId="7B3DBB95" wp14:editId="0A522E34">
          <wp:simplePos x="0" y="0"/>
          <wp:positionH relativeFrom="column">
            <wp:posOffset>-900430</wp:posOffset>
          </wp:positionH>
          <wp:positionV relativeFrom="paragraph">
            <wp:posOffset>10362565</wp:posOffset>
          </wp:positionV>
          <wp:extent cx="7580630" cy="10691495"/>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3">
                    <a:extLst>
                      <a:ext uri="{28A0092B-C50C-407E-A947-70E740481C1C}">
                        <a14:useLocalDpi xmlns:a14="http://schemas.microsoft.com/office/drawing/2010/main" val="0"/>
                      </a:ext>
                    </a:extLst>
                  </a:blip>
                  <a:stretch>
                    <a:fillRect/>
                  </a:stretch>
                </pic:blipFill>
                <pic:spPr>
                  <a:xfrm>
                    <a:off x="0" y="0"/>
                    <a:ext cx="7580630" cy="10691495"/>
                  </a:xfrm>
                  <a:prstGeom prst="rect">
                    <a:avLst/>
                  </a:prstGeom>
                </pic:spPr>
              </pic:pic>
            </a:graphicData>
          </a:graphic>
          <wp14:sizeRelH relativeFrom="margin">
            <wp14:pctWidth>0</wp14:pctWidth>
          </wp14:sizeRelH>
          <wp14:sizeRelV relativeFrom="margin">
            <wp14:pctHeight>0</wp14:pctHeight>
          </wp14:sizeRelV>
        </wp:anchor>
      </w:drawing>
    </w:r>
    <w:r w:rsidR="00C25219" w:rsidRPr="00410188">
      <w:rPr>
        <w:rFonts w:ascii="Open Sans Semibold" w:hAnsi="Open Sans Semibold" w:cs="Open Sans Semibold"/>
        <w:bCs/>
        <w:noProof/>
        <w:sz w:val="40"/>
        <w:szCs w:val="40"/>
        <w:lang w:val="en-US"/>
      </w:rPr>
      <w:drawing>
        <wp:anchor distT="0" distB="0" distL="114300" distR="114300" simplePos="0" relativeHeight="251659264" behindDoc="1" locked="0" layoutInCell="1" allowOverlap="1" wp14:anchorId="0DC34A19" wp14:editId="17FE6652">
          <wp:simplePos x="0" y="0"/>
          <wp:positionH relativeFrom="column">
            <wp:posOffset>-1037590</wp:posOffset>
          </wp:positionH>
          <wp:positionV relativeFrom="paragraph">
            <wp:posOffset>10328275</wp:posOffset>
          </wp:positionV>
          <wp:extent cx="7683500" cy="10836275"/>
          <wp:effectExtent l="38100" t="38100" r="63500" b="349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
                    <a:extLst>
                      <a:ext uri="{28A0092B-C50C-407E-A947-70E740481C1C}">
                        <a14:useLocalDpi xmlns:a14="http://schemas.microsoft.com/office/drawing/2010/main" val="0"/>
                      </a:ext>
                    </a:extLst>
                  </a:blip>
                  <a:stretch>
                    <a:fillRect/>
                  </a:stretch>
                </pic:blipFill>
                <pic:spPr>
                  <a:xfrm>
                    <a:off x="0" y="0"/>
                    <a:ext cx="7683500" cy="10836275"/>
                  </a:xfrm>
                  <a:prstGeom prst="rect">
                    <a:avLst/>
                  </a:prstGeom>
                  <a:noFill/>
                  <a:ln w="88900" cap="sq">
                    <a:noFill/>
                    <a:miter lim="800000"/>
                  </a:ln>
                  <a:effectLst>
                    <a:outerShdw blurRad="55000" dist="18000" dir="5400000" algn="tl" rotWithShape="0">
                      <a:srgbClr val="000000">
                        <a:alpha val="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1B9C"/>
    <w:multiLevelType w:val="hybridMultilevel"/>
    <w:tmpl w:val="9370BF92"/>
    <w:lvl w:ilvl="0" w:tplc="D4FA3AEA">
      <w:start w:val="1"/>
      <w:numFmt w:val="bullet"/>
      <w:pStyle w:val="CGCBullet1"/>
      <w:lvlText w:val=""/>
      <w:lvlJc w:val="left"/>
      <w:pPr>
        <w:ind w:left="1006" w:hanging="360"/>
      </w:pPr>
      <w:rPr>
        <w:rFonts w:ascii="Symbol" w:hAnsi="Symbol" w:hint="default"/>
        <w:color w:val="0092C8"/>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1" w15:restartNumberingAfterBreak="0">
    <w:nsid w:val="44511CFA"/>
    <w:multiLevelType w:val="hybridMultilevel"/>
    <w:tmpl w:val="BCC2C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28"/>
    <w:rsid w:val="00000BDE"/>
    <w:rsid w:val="00124A66"/>
    <w:rsid w:val="001D4EC5"/>
    <w:rsid w:val="001E7596"/>
    <w:rsid w:val="00224480"/>
    <w:rsid w:val="00250980"/>
    <w:rsid w:val="00272DBF"/>
    <w:rsid w:val="002965A8"/>
    <w:rsid w:val="002B21C5"/>
    <w:rsid w:val="002C6FB8"/>
    <w:rsid w:val="002D0565"/>
    <w:rsid w:val="00341E89"/>
    <w:rsid w:val="003740A7"/>
    <w:rsid w:val="003759A1"/>
    <w:rsid w:val="003A3A55"/>
    <w:rsid w:val="003E3ADF"/>
    <w:rsid w:val="003E712E"/>
    <w:rsid w:val="00440A17"/>
    <w:rsid w:val="00447BEA"/>
    <w:rsid w:val="004664DE"/>
    <w:rsid w:val="004C78B6"/>
    <w:rsid w:val="0055756F"/>
    <w:rsid w:val="0059532F"/>
    <w:rsid w:val="005A57C8"/>
    <w:rsid w:val="005C0550"/>
    <w:rsid w:val="005D7039"/>
    <w:rsid w:val="005F726E"/>
    <w:rsid w:val="00656980"/>
    <w:rsid w:val="00667FA9"/>
    <w:rsid w:val="00670411"/>
    <w:rsid w:val="006C184F"/>
    <w:rsid w:val="006E6000"/>
    <w:rsid w:val="006F7B83"/>
    <w:rsid w:val="00710C86"/>
    <w:rsid w:val="00727CC0"/>
    <w:rsid w:val="00747B0A"/>
    <w:rsid w:val="00750796"/>
    <w:rsid w:val="007563EC"/>
    <w:rsid w:val="0079243C"/>
    <w:rsid w:val="007A13A9"/>
    <w:rsid w:val="007A4A32"/>
    <w:rsid w:val="0081796D"/>
    <w:rsid w:val="00831124"/>
    <w:rsid w:val="00876CC3"/>
    <w:rsid w:val="008B3F9B"/>
    <w:rsid w:val="0090005D"/>
    <w:rsid w:val="0093510B"/>
    <w:rsid w:val="00961B1B"/>
    <w:rsid w:val="00962EFF"/>
    <w:rsid w:val="0099154D"/>
    <w:rsid w:val="009D2E84"/>
    <w:rsid w:val="009F6587"/>
    <w:rsid w:val="00A345CD"/>
    <w:rsid w:val="00AB73C2"/>
    <w:rsid w:val="00AD53D2"/>
    <w:rsid w:val="00B075B6"/>
    <w:rsid w:val="00B417A0"/>
    <w:rsid w:val="00BE2460"/>
    <w:rsid w:val="00C25219"/>
    <w:rsid w:val="00C25C96"/>
    <w:rsid w:val="00C325C5"/>
    <w:rsid w:val="00C87C4C"/>
    <w:rsid w:val="00C9327A"/>
    <w:rsid w:val="00D30BA4"/>
    <w:rsid w:val="00D838D7"/>
    <w:rsid w:val="00E32EEC"/>
    <w:rsid w:val="00E54A46"/>
    <w:rsid w:val="00E64948"/>
    <w:rsid w:val="00E704ED"/>
    <w:rsid w:val="00E755CE"/>
    <w:rsid w:val="00E83028"/>
    <w:rsid w:val="00EA2DE7"/>
    <w:rsid w:val="00EC0F01"/>
    <w:rsid w:val="00F52EC6"/>
    <w:rsid w:val="00F66B6E"/>
    <w:rsid w:val="00F66DED"/>
    <w:rsid w:val="00F7543A"/>
    <w:rsid w:val="00F81249"/>
    <w:rsid w:val="00F8305F"/>
    <w:rsid w:val="00FD0D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D1B5"/>
  <w15:chartTrackingRefBased/>
  <w15:docId w15:val="{46D06C12-104A-4C89-A05C-DC1015E2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50"/>
    <w:pPr>
      <w:tabs>
        <w:tab w:val="left" w:pos="567"/>
      </w:tabs>
      <w:spacing w:before="120" w:line="254" w:lineRule="auto"/>
    </w:pPr>
    <w:rPr>
      <w:rFonts w:ascii="Open Sans Light" w:hAnsi="Open Sans Light"/>
      <w:sz w:val="20"/>
      <w:szCs w:val="22"/>
    </w:rPr>
  </w:style>
  <w:style w:type="paragraph" w:styleId="Heading1">
    <w:name w:val="heading 1"/>
    <w:basedOn w:val="CGCSubHead"/>
    <w:next w:val="Normal"/>
    <w:link w:val="Heading1Char"/>
    <w:uiPriority w:val="9"/>
    <w:qFormat/>
    <w:rsid w:val="00F8305F"/>
    <w:pPr>
      <w:spacing w:before="360"/>
      <w:outlineLvl w:val="0"/>
    </w:pPr>
    <w:rPr>
      <w:sz w:val="40"/>
      <w:szCs w:val="40"/>
    </w:rPr>
  </w:style>
  <w:style w:type="paragraph" w:styleId="Heading2">
    <w:name w:val="heading 2"/>
    <w:basedOn w:val="CGCSubHead"/>
    <w:next w:val="Normal"/>
    <w:link w:val="Heading2Char"/>
    <w:uiPriority w:val="9"/>
    <w:unhideWhenUsed/>
    <w:qFormat/>
    <w:rsid w:val="00F8305F"/>
    <w:pPr>
      <w:spacing w:before="360"/>
      <w:outlineLvl w:val="1"/>
    </w:pPr>
    <w:rPr>
      <w:sz w:val="36"/>
      <w:szCs w:val="36"/>
    </w:rPr>
  </w:style>
  <w:style w:type="paragraph" w:styleId="Heading3">
    <w:name w:val="heading 3"/>
    <w:basedOn w:val="CGCSubHead"/>
    <w:next w:val="Normal"/>
    <w:link w:val="Heading3Char"/>
    <w:uiPriority w:val="9"/>
    <w:unhideWhenUsed/>
    <w:qFormat/>
    <w:rsid w:val="00F8305F"/>
    <w:pPr>
      <w:outlineLvl w:val="2"/>
    </w:pPr>
  </w:style>
  <w:style w:type="paragraph" w:styleId="Heading4">
    <w:name w:val="heading 4"/>
    <w:basedOn w:val="Normal"/>
    <w:next w:val="Normal"/>
    <w:link w:val="Heading4Char"/>
    <w:uiPriority w:val="9"/>
    <w:semiHidden/>
    <w:unhideWhenUsed/>
    <w:qFormat/>
    <w:rsid w:val="005A57C8"/>
    <w:pPr>
      <w:keepNext/>
      <w:keepLines/>
      <w:spacing w:before="40"/>
      <w:outlineLvl w:val="3"/>
    </w:pPr>
    <w:rPr>
      <w:rFonts w:asciiTheme="majorHAnsi" w:eastAsiaTheme="majorEastAsia" w:hAnsiTheme="majorHAnsi" w:cstheme="majorBidi"/>
      <w:i/>
      <w:iCs/>
      <w:color w:val="0033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550"/>
    <w:pPr>
      <w:tabs>
        <w:tab w:val="center" w:pos="4513"/>
        <w:tab w:val="right" w:pos="9026"/>
      </w:tabs>
    </w:pPr>
  </w:style>
  <w:style w:type="character" w:customStyle="1" w:styleId="HeaderChar">
    <w:name w:val="Header Char"/>
    <w:basedOn w:val="DefaultParagraphFont"/>
    <w:link w:val="Header"/>
    <w:uiPriority w:val="99"/>
    <w:rsid w:val="005C0550"/>
  </w:style>
  <w:style w:type="paragraph" w:styleId="Footer">
    <w:name w:val="footer"/>
    <w:basedOn w:val="Normal"/>
    <w:link w:val="FooterChar"/>
    <w:uiPriority w:val="99"/>
    <w:unhideWhenUsed/>
    <w:rsid w:val="005C0550"/>
    <w:pPr>
      <w:tabs>
        <w:tab w:val="center" w:pos="4513"/>
        <w:tab w:val="right" w:pos="9026"/>
      </w:tabs>
    </w:pPr>
  </w:style>
  <w:style w:type="character" w:customStyle="1" w:styleId="FooterChar">
    <w:name w:val="Footer Char"/>
    <w:basedOn w:val="DefaultParagraphFont"/>
    <w:link w:val="Footer"/>
    <w:uiPriority w:val="99"/>
    <w:rsid w:val="005C0550"/>
  </w:style>
  <w:style w:type="paragraph" w:styleId="Caption">
    <w:name w:val="caption"/>
    <w:basedOn w:val="Normal"/>
    <w:next w:val="Normal"/>
    <w:link w:val="CaptionChar"/>
    <w:qFormat/>
    <w:rsid w:val="005C0550"/>
    <w:pPr>
      <w:keepNext/>
      <w:keepLines/>
      <w:tabs>
        <w:tab w:val="clear" w:pos="567"/>
        <w:tab w:val="left" w:pos="1134"/>
        <w:tab w:val="left" w:pos="1418"/>
      </w:tabs>
      <w:spacing w:before="240" w:after="120" w:line="240" w:lineRule="auto"/>
      <w:ind w:left="1134" w:hanging="1134"/>
    </w:pPr>
    <w:rPr>
      <w:b/>
      <w:bCs/>
      <w:szCs w:val="20"/>
    </w:rPr>
  </w:style>
  <w:style w:type="character" w:customStyle="1" w:styleId="CaptionChar">
    <w:name w:val="Caption Char"/>
    <w:basedOn w:val="DefaultParagraphFont"/>
    <w:link w:val="Caption"/>
    <w:rsid w:val="005C0550"/>
    <w:rPr>
      <w:rFonts w:ascii="Open Sans Light" w:hAnsi="Open Sans Light"/>
      <w:b/>
      <w:bCs/>
      <w:sz w:val="20"/>
      <w:szCs w:val="20"/>
    </w:rPr>
  </w:style>
  <w:style w:type="paragraph" w:customStyle="1" w:styleId="CGCTablenote">
    <w:name w:val="CGC Table note"/>
    <w:basedOn w:val="Normal"/>
    <w:next w:val="Normal"/>
    <w:qFormat/>
    <w:rsid w:val="005C0550"/>
    <w:pPr>
      <w:tabs>
        <w:tab w:val="left" w:pos="680"/>
      </w:tabs>
      <w:spacing w:before="40" w:line="240" w:lineRule="auto"/>
      <w:ind w:left="340" w:hanging="227"/>
    </w:pPr>
    <w:rPr>
      <w:sz w:val="14"/>
    </w:rPr>
  </w:style>
  <w:style w:type="paragraph" w:styleId="BodyText">
    <w:name w:val="Body Text"/>
    <w:link w:val="BodyTextChar"/>
    <w:qFormat/>
    <w:rsid w:val="005C0550"/>
    <w:pPr>
      <w:spacing w:before="240" w:line="300" w:lineRule="atLeast"/>
      <w:jc w:val="both"/>
    </w:pPr>
    <w:rPr>
      <w:rFonts w:ascii="Open Sans Light" w:eastAsia="Times New Roman" w:hAnsi="Open Sans Light" w:cs="Times New Roman"/>
      <w:szCs w:val="20"/>
      <w:lang w:eastAsia="en-AU"/>
    </w:rPr>
  </w:style>
  <w:style w:type="character" w:customStyle="1" w:styleId="BodyTextChar">
    <w:name w:val="Body Text Char"/>
    <w:basedOn w:val="DefaultParagraphFont"/>
    <w:link w:val="BodyText"/>
    <w:rsid w:val="005C0550"/>
    <w:rPr>
      <w:rFonts w:ascii="Open Sans Light" w:eastAsia="Times New Roman" w:hAnsi="Open Sans Light" w:cs="Times New Roman"/>
      <w:szCs w:val="20"/>
      <w:lang w:eastAsia="en-AU"/>
    </w:rPr>
  </w:style>
  <w:style w:type="character" w:customStyle="1" w:styleId="normaltextrun">
    <w:name w:val="normaltextrun"/>
    <w:basedOn w:val="DefaultParagraphFont"/>
    <w:rsid w:val="005C0550"/>
  </w:style>
  <w:style w:type="paragraph" w:customStyle="1" w:styleId="CGCBodyCopy">
    <w:name w:val="CGC Body Copy"/>
    <w:basedOn w:val="Normal"/>
    <w:autoRedefine/>
    <w:qFormat/>
    <w:rsid w:val="00C9327A"/>
    <w:pPr>
      <w:jc w:val="both"/>
    </w:pPr>
    <w:rPr>
      <w:rFonts w:cs="Cambria Math"/>
      <w:color w:val="000000"/>
      <w:sz w:val="24"/>
      <w:szCs w:val="21"/>
      <w:shd w:val="clear" w:color="auto" w:fill="FFFFFF"/>
    </w:rPr>
  </w:style>
  <w:style w:type="paragraph" w:customStyle="1" w:styleId="CGCSubHead">
    <w:name w:val="CGC Sub Head"/>
    <w:autoRedefine/>
    <w:qFormat/>
    <w:rsid w:val="00F8305F"/>
    <w:pPr>
      <w:spacing w:before="240" w:after="200" w:line="276" w:lineRule="auto"/>
    </w:pPr>
    <w:rPr>
      <w:rFonts w:ascii="Work Sans" w:eastAsiaTheme="majorEastAsia" w:hAnsi="Work Sans" w:cs="Open Sans"/>
      <w:b/>
      <w:bCs/>
      <w:color w:val="006991"/>
      <w:sz w:val="28"/>
      <w:szCs w:val="28"/>
    </w:rPr>
  </w:style>
  <w:style w:type="character" w:styleId="Hyperlink">
    <w:name w:val="Hyperlink"/>
    <w:basedOn w:val="DefaultParagraphFont"/>
    <w:uiPriority w:val="99"/>
    <w:unhideWhenUsed/>
    <w:rsid w:val="008B3F9B"/>
    <w:rPr>
      <w:color w:val="006991" w:themeColor="hyperlink"/>
      <w:u w:val="single"/>
    </w:rPr>
  </w:style>
  <w:style w:type="character" w:styleId="UnresolvedMention">
    <w:name w:val="Unresolved Mention"/>
    <w:basedOn w:val="DefaultParagraphFont"/>
    <w:uiPriority w:val="99"/>
    <w:semiHidden/>
    <w:unhideWhenUsed/>
    <w:rsid w:val="008B3F9B"/>
    <w:rPr>
      <w:color w:val="605E5C"/>
      <w:shd w:val="clear" w:color="auto" w:fill="E1DFDD"/>
    </w:rPr>
  </w:style>
  <w:style w:type="character" w:styleId="PageNumber">
    <w:name w:val="page number"/>
    <w:basedOn w:val="DefaultParagraphFont"/>
    <w:uiPriority w:val="99"/>
    <w:semiHidden/>
    <w:unhideWhenUsed/>
    <w:rsid w:val="008B3F9B"/>
  </w:style>
  <w:style w:type="character" w:customStyle="1" w:styleId="Heading1Char">
    <w:name w:val="Heading 1 Char"/>
    <w:basedOn w:val="DefaultParagraphFont"/>
    <w:link w:val="Heading1"/>
    <w:uiPriority w:val="9"/>
    <w:rsid w:val="00F8305F"/>
    <w:rPr>
      <w:rFonts w:ascii="Work Sans" w:eastAsiaTheme="majorEastAsia" w:hAnsi="Work Sans" w:cs="Open Sans"/>
      <w:b/>
      <w:bCs/>
      <w:color w:val="006991"/>
      <w:sz w:val="40"/>
      <w:szCs w:val="40"/>
    </w:rPr>
  </w:style>
  <w:style w:type="character" w:customStyle="1" w:styleId="Heading2Char">
    <w:name w:val="Heading 2 Char"/>
    <w:basedOn w:val="DefaultParagraphFont"/>
    <w:link w:val="Heading2"/>
    <w:uiPriority w:val="9"/>
    <w:rsid w:val="00F8305F"/>
    <w:rPr>
      <w:rFonts w:ascii="Work Sans" w:eastAsiaTheme="majorEastAsia" w:hAnsi="Work Sans" w:cs="Open Sans"/>
      <w:b/>
      <w:bCs/>
      <w:color w:val="006991"/>
      <w:sz w:val="36"/>
      <w:szCs w:val="36"/>
    </w:rPr>
  </w:style>
  <w:style w:type="character" w:customStyle="1" w:styleId="Heading3Char">
    <w:name w:val="Heading 3 Char"/>
    <w:basedOn w:val="DefaultParagraphFont"/>
    <w:link w:val="Heading3"/>
    <w:uiPriority w:val="9"/>
    <w:rsid w:val="00F8305F"/>
    <w:rPr>
      <w:rFonts w:ascii="Work Sans" w:eastAsiaTheme="majorEastAsia" w:hAnsi="Work Sans" w:cs="Open Sans"/>
      <w:b/>
      <w:bCs/>
      <w:color w:val="006991"/>
      <w:sz w:val="28"/>
      <w:szCs w:val="28"/>
    </w:rPr>
  </w:style>
  <w:style w:type="paragraph" w:styleId="NormalWeb">
    <w:name w:val="Normal (Web)"/>
    <w:basedOn w:val="Normal"/>
    <w:uiPriority w:val="99"/>
    <w:unhideWhenUsed/>
    <w:rsid w:val="00C87C4C"/>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GCBullet1">
    <w:name w:val="CGC Bullet 1"/>
    <w:basedOn w:val="Normal"/>
    <w:qFormat/>
    <w:rsid w:val="00124A66"/>
    <w:pPr>
      <w:numPr>
        <w:numId w:val="2"/>
      </w:numPr>
      <w:spacing w:before="0" w:after="120" w:line="240" w:lineRule="auto"/>
      <w:ind w:left="1134" w:hanging="567"/>
      <w:jc w:val="both"/>
    </w:pPr>
    <w:rPr>
      <w:spacing w:val="-10"/>
      <w:sz w:val="22"/>
    </w:rPr>
  </w:style>
  <w:style w:type="character" w:styleId="FootnoteReference">
    <w:name w:val="footnote reference"/>
    <w:basedOn w:val="DefaultParagraphFont"/>
    <w:uiPriority w:val="99"/>
    <w:rsid w:val="003E3ADF"/>
    <w:rPr>
      <w:vertAlign w:val="superscript"/>
    </w:rPr>
  </w:style>
  <w:style w:type="paragraph" w:styleId="FootnoteText">
    <w:name w:val="footnote text"/>
    <w:basedOn w:val="Normal"/>
    <w:link w:val="FootnoteTextChar"/>
    <w:qFormat/>
    <w:rsid w:val="003E3ADF"/>
    <w:pPr>
      <w:tabs>
        <w:tab w:val="clear" w:pos="567"/>
        <w:tab w:val="left" w:pos="680"/>
      </w:tabs>
      <w:spacing w:before="0" w:after="40" w:line="240" w:lineRule="auto"/>
      <w:ind w:left="113" w:hanging="113"/>
      <w:jc w:val="both"/>
    </w:pPr>
    <w:rPr>
      <w:spacing w:val="-10"/>
      <w:sz w:val="14"/>
      <w:szCs w:val="20"/>
    </w:rPr>
  </w:style>
  <w:style w:type="character" w:customStyle="1" w:styleId="FootnoteTextChar">
    <w:name w:val="Footnote Text Char"/>
    <w:basedOn w:val="DefaultParagraphFont"/>
    <w:link w:val="FootnoteText"/>
    <w:rsid w:val="003E3ADF"/>
    <w:rPr>
      <w:rFonts w:ascii="Open Sans Light" w:hAnsi="Open Sans Light"/>
      <w:spacing w:val="-10"/>
      <w:sz w:val="14"/>
      <w:szCs w:val="20"/>
    </w:rPr>
  </w:style>
  <w:style w:type="character" w:customStyle="1" w:styleId="Heading4Char">
    <w:name w:val="Heading 4 Char"/>
    <w:basedOn w:val="DefaultParagraphFont"/>
    <w:link w:val="Heading4"/>
    <w:uiPriority w:val="9"/>
    <w:semiHidden/>
    <w:rsid w:val="005A57C8"/>
    <w:rPr>
      <w:rFonts w:asciiTheme="majorHAnsi" w:eastAsiaTheme="majorEastAsia" w:hAnsiTheme="majorHAnsi" w:cstheme="majorBidi"/>
      <w:i/>
      <w:iCs/>
      <w:color w:val="00334A" w:themeColor="accent1" w:themeShade="BF"/>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www.cgc.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gc.gov.au/sites/default/files/u2019_final_terms_of_reference.pdf" TargetMode="External"/><Relationship Id="rId1" Type="http://schemas.openxmlformats.org/officeDocument/2006/relationships/hyperlink" Target="https://www.cgc.gov.au/sites/default/files/improving_the_policy_neutrality_of_the_mining_revenue_assessment.pdf?acsf_files_redir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Henriquez\OneDrive%20-%20Commonwealth%20Grants%20Commission\Documents\Occasional%20paper%201%20-%20Impact%20of%20the%20COVID-19%20pandemic%20on%20GST%20distribution%20-%20April%202022.dotx" TargetMode="External"/></Relationships>
</file>

<file path=word/theme/theme1.xml><?xml version="1.0" encoding="utf-8"?>
<a:theme xmlns:a="http://schemas.openxmlformats.org/drawingml/2006/main" name="Office Theme">
  <a:themeElements>
    <a:clrScheme name="CGC Colour Themes">
      <a:dk1>
        <a:srgbClr val="004562"/>
      </a:dk1>
      <a:lt1>
        <a:srgbClr val="FFFFFF"/>
      </a:lt1>
      <a:dk2>
        <a:srgbClr val="004562"/>
      </a:dk2>
      <a:lt2>
        <a:srgbClr val="E7E6E6"/>
      </a:lt2>
      <a:accent1>
        <a:srgbClr val="004563"/>
      </a:accent1>
      <a:accent2>
        <a:srgbClr val="0092C8"/>
      </a:accent2>
      <a:accent3>
        <a:srgbClr val="CC5E12"/>
      </a:accent3>
      <a:accent4>
        <a:srgbClr val="EDAB16"/>
      </a:accent4>
      <a:accent5>
        <a:srgbClr val="008069"/>
      </a:accent5>
      <a:accent6>
        <a:srgbClr val="00CE87"/>
      </a:accent6>
      <a:hlink>
        <a:srgbClr val="006991"/>
      </a:hlink>
      <a:folHlink>
        <a:srgbClr val="93EA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1" ma:contentTypeDescription="Create a new document." ma:contentTypeScope="" ma:versionID="892cf6a62d3a53ad08d958fcb2e351ae">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25759548ffb25d147391131ca68d2173"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979382-591B-49F4-B835-508E57F947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AFEE77-DB88-48B5-976E-1D87DFA759C3}">
  <ds:schemaRefs>
    <ds:schemaRef ds:uri="http://schemas.openxmlformats.org/officeDocument/2006/bibliography"/>
  </ds:schemaRefs>
</ds:datastoreItem>
</file>

<file path=customXml/itemProps3.xml><?xml version="1.0" encoding="utf-8"?>
<ds:datastoreItem xmlns:ds="http://schemas.openxmlformats.org/officeDocument/2006/customXml" ds:itemID="{D7757700-B6FE-4971-B2FF-831131C95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94F84-814F-4EE2-B308-02A3D0AE89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Occasional paper 1 - Impact of the COVID-19 pandemic on GST distribution - April 2022</Template>
  <TotalTime>4</TotalTime>
  <Pages>14</Pages>
  <Words>4263</Words>
  <Characters>24304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Henriquez</dc:creator>
  <cp:keywords/>
  <dc:description/>
  <cp:lastModifiedBy>Maria Henriquez</cp:lastModifiedBy>
  <cp:revision>4</cp:revision>
  <cp:lastPrinted>2021-09-01T05:38:00Z</cp:lastPrinted>
  <dcterms:created xsi:type="dcterms:W3CDTF">2022-04-14T03:36:00Z</dcterms:created>
  <dcterms:modified xsi:type="dcterms:W3CDTF">2022-04-14T04:59:00Z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