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6846" w14:textId="5098C7AE" w:rsidR="004C78B6" w:rsidRPr="004D7A9C" w:rsidRDefault="006E6000" w:rsidP="004D7A9C">
      <w:pPr>
        <w:pStyle w:val="CGCSubHead"/>
      </w:pPr>
      <w:r>
        <w:rPr>
          <w:noProof/>
        </w:rPr>
        <w:drawing>
          <wp:anchor distT="0" distB="0" distL="114300" distR="114300" simplePos="0" relativeHeight="251658240" behindDoc="1" locked="0" layoutInCell="1" allowOverlap="1" wp14:anchorId="10314E4F" wp14:editId="7ACD3527">
            <wp:simplePos x="0" y="0"/>
            <wp:positionH relativeFrom="column">
              <wp:posOffset>-900430</wp:posOffset>
            </wp:positionH>
            <wp:positionV relativeFrom="paragraph">
              <wp:posOffset>-1259132</wp:posOffset>
            </wp:positionV>
            <wp:extent cx="7725600" cy="10919713"/>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19713"/>
                    </a:xfrm>
                    <a:prstGeom prst="rect">
                      <a:avLst/>
                    </a:prstGeom>
                  </pic:spPr>
                </pic:pic>
              </a:graphicData>
            </a:graphic>
            <wp14:sizeRelH relativeFrom="margin">
              <wp14:pctWidth>0</wp14:pctWidth>
            </wp14:sizeRelH>
            <wp14:sizeRelV relativeFrom="margin">
              <wp14:pctHeight>0</wp14:pctHeight>
            </wp14:sizeRelV>
          </wp:anchor>
        </w:drawing>
      </w:r>
      <w:r w:rsidR="004C78B6">
        <w:rPr>
          <w:noProof/>
        </w:rPr>
        <w:drawing>
          <wp:inline distT="0" distB="0" distL="0" distR="0" wp14:anchorId="53D88FA4" wp14:editId="7CAF3C86">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56AA9408" w14:textId="68FDD22B" w:rsidR="004C78B6" w:rsidRPr="00EB4F88" w:rsidRDefault="004C78B6" w:rsidP="00D838D7">
      <w:pPr>
        <w:jc w:val="center"/>
        <w:rPr>
          <w:rFonts w:ascii="Work Sans" w:hAnsi="Work Sans"/>
          <w:sz w:val="24"/>
          <w:szCs w:val="24"/>
        </w:rPr>
      </w:pPr>
    </w:p>
    <w:p w14:paraId="6C749E99" w14:textId="7E1F7331" w:rsidR="004C78B6" w:rsidRPr="00EB4F88" w:rsidRDefault="004C78B6" w:rsidP="00D838D7">
      <w:pPr>
        <w:jc w:val="center"/>
        <w:rPr>
          <w:rFonts w:ascii="Work Sans" w:hAnsi="Work Sans"/>
          <w:sz w:val="24"/>
          <w:szCs w:val="24"/>
        </w:rPr>
      </w:pPr>
    </w:p>
    <w:p w14:paraId="00648F61" w14:textId="7627E11B" w:rsidR="00D838D7" w:rsidRPr="00EB4F88" w:rsidRDefault="00D838D7" w:rsidP="00D838D7">
      <w:pPr>
        <w:jc w:val="center"/>
        <w:rPr>
          <w:rFonts w:ascii="Work Sans" w:hAnsi="Work Sans"/>
          <w:sz w:val="24"/>
          <w:szCs w:val="24"/>
        </w:rPr>
      </w:pPr>
    </w:p>
    <w:p w14:paraId="1CD4EF8B" w14:textId="77777777" w:rsidR="00AD53D2" w:rsidRPr="00EB4F88" w:rsidRDefault="00AD53D2" w:rsidP="00D838D7">
      <w:pPr>
        <w:rPr>
          <w:rFonts w:ascii="Work Sans" w:hAnsi="Work Sans"/>
          <w:sz w:val="24"/>
          <w:szCs w:val="24"/>
        </w:rPr>
      </w:pPr>
    </w:p>
    <w:p w14:paraId="1BD893EE" w14:textId="77777777" w:rsidR="00AD53D2" w:rsidRPr="00EB4F88" w:rsidRDefault="00AD53D2" w:rsidP="00D838D7">
      <w:pPr>
        <w:rPr>
          <w:rFonts w:ascii="Work Sans" w:hAnsi="Work Sans"/>
          <w:sz w:val="24"/>
          <w:szCs w:val="24"/>
        </w:rPr>
      </w:pPr>
    </w:p>
    <w:p w14:paraId="19848CF4" w14:textId="77777777" w:rsidR="00AD53D2" w:rsidRPr="00EB4F88" w:rsidRDefault="00AD53D2" w:rsidP="00D838D7">
      <w:pPr>
        <w:rPr>
          <w:rFonts w:ascii="Work Sans" w:hAnsi="Work Sans"/>
          <w:sz w:val="24"/>
          <w:szCs w:val="24"/>
        </w:rPr>
      </w:pPr>
    </w:p>
    <w:p w14:paraId="28F21D3B" w14:textId="77777777" w:rsidR="00AD53D2" w:rsidRPr="00EB4F88" w:rsidRDefault="00AD53D2" w:rsidP="00D838D7">
      <w:pPr>
        <w:rPr>
          <w:rFonts w:ascii="Work Sans" w:hAnsi="Work Sans"/>
          <w:sz w:val="24"/>
          <w:szCs w:val="24"/>
        </w:rPr>
      </w:pPr>
    </w:p>
    <w:p w14:paraId="2EF7ACB0" w14:textId="77777777" w:rsidR="00AD53D2" w:rsidRPr="00EB4F88" w:rsidRDefault="00AD53D2" w:rsidP="00D838D7">
      <w:pPr>
        <w:rPr>
          <w:rFonts w:ascii="Work Sans" w:hAnsi="Work Sans"/>
          <w:sz w:val="24"/>
          <w:szCs w:val="24"/>
        </w:rPr>
      </w:pPr>
    </w:p>
    <w:p w14:paraId="54AC5A81" w14:textId="77777777" w:rsidR="00AD53D2" w:rsidRPr="00EB4F88" w:rsidRDefault="00AD53D2" w:rsidP="00D838D7">
      <w:pPr>
        <w:rPr>
          <w:rFonts w:ascii="Work Sans" w:hAnsi="Work Sans"/>
          <w:sz w:val="24"/>
          <w:szCs w:val="24"/>
        </w:rPr>
      </w:pPr>
    </w:p>
    <w:p w14:paraId="1F178C8B" w14:textId="6888C6A1" w:rsidR="00AD53D2" w:rsidRDefault="00CB75B7" w:rsidP="00D838D7">
      <w:r w:rsidRPr="00AD53D2">
        <w:rPr>
          <w:noProof/>
        </w:rPr>
        <mc:AlternateContent>
          <mc:Choice Requires="wps">
            <w:drawing>
              <wp:anchor distT="0" distB="0" distL="114300" distR="114300" simplePos="0" relativeHeight="251658241" behindDoc="0" locked="0" layoutInCell="1" allowOverlap="1" wp14:anchorId="13874347" wp14:editId="0662F1FA">
                <wp:simplePos x="0" y="0"/>
                <wp:positionH relativeFrom="margin">
                  <wp:posOffset>1270</wp:posOffset>
                </wp:positionH>
                <wp:positionV relativeFrom="paragraph">
                  <wp:posOffset>241300</wp:posOffset>
                </wp:positionV>
                <wp:extent cx="6280150" cy="1720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280150" cy="1720850"/>
                        </a:xfrm>
                        <a:prstGeom prst="rect">
                          <a:avLst/>
                        </a:prstGeom>
                        <a:noFill/>
                        <a:ln w="6350">
                          <a:noFill/>
                        </a:ln>
                      </wps:spPr>
                      <wps:txbx>
                        <w:txbxContent>
                          <w:p w14:paraId="54F360C6" w14:textId="77777777" w:rsidR="00CB75B7" w:rsidRDefault="0040170C" w:rsidP="00AD53D2">
                            <w:pPr>
                              <w:rPr>
                                <w:rFonts w:ascii="Work Sans" w:hAnsi="Work Sans" w:cs="Open Sans"/>
                                <w:b/>
                                <w:bCs/>
                                <w:color w:val="FFFFFF"/>
                                <w:sz w:val="84"/>
                                <w:szCs w:val="84"/>
                              </w:rPr>
                            </w:pPr>
                            <w:r>
                              <w:rPr>
                                <w:rFonts w:ascii="Work Sans" w:hAnsi="Work Sans" w:cs="Open Sans"/>
                                <w:b/>
                                <w:bCs/>
                                <w:color w:val="FFFFFF"/>
                                <w:sz w:val="84"/>
                                <w:szCs w:val="84"/>
                              </w:rPr>
                              <w:t>Fis</w:t>
                            </w:r>
                            <w:r w:rsidR="00206B47">
                              <w:rPr>
                                <w:rFonts w:ascii="Work Sans" w:hAnsi="Work Sans" w:cs="Open Sans"/>
                                <w:b/>
                                <w:bCs/>
                                <w:color w:val="FFFFFF"/>
                                <w:sz w:val="84"/>
                                <w:szCs w:val="84"/>
                              </w:rPr>
                              <w:t xml:space="preserve">cal </w:t>
                            </w:r>
                            <w:r w:rsidR="0047745E">
                              <w:rPr>
                                <w:rFonts w:ascii="Work Sans" w:hAnsi="Work Sans" w:cs="Open Sans"/>
                                <w:b/>
                                <w:bCs/>
                                <w:color w:val="FFFFFF"/>
                                <w:sz w:val="84"/>
                                <w:szCs w:val="84"/>
                              </w:rPr>
                              <w:t xml:space="preserve">equalisation </w:t>
                            </w:r>
                          </w:p>
                          <w:p w14:paraId="2B443CCE" w14:textId="160B922C" w:rsidR="00AD53D2" w:rsidRPr="00B417A0" w:rsidRDefault="0047745E" w:rsidP="00AD53D2">
                            <w:pPr>
                              <w:rPr>
                                <w:rFonts w:ascii="Work Sans" w:hAnsi="Work Sans" w:cs="Open Sans"/>
                                <w:b/>
                                <w:bCs/>
                                <w:color w:val="FFFFFF"/>
                                <w:sz w:val="84"/>
                                <w:szCs w:val="84"/>
                              </w:rPr>
                            </w:pPr>
                            <w:r>
                              <w:rPr>
                                <w:rFonts w:ascii="Work Sans" w:hAnsi="Work Sans" w:cs="Open Sans"/>
                                <w:b/>
                                <w:bCs/>
                                <w:color w:val="FFFFFF"/>
                                <w:sz w:val="84"/>
                                <w:szCs w:val="84"/>
                              </w:rPr>
                              <w:t>and mining booms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74347" id="_x0000_t202" coordsize="21600,21600" o:spt="202" path="m,l,21600r21600,l21600,xe">
                <v:stroke joinstyle="miter"/>
                <v:path gradientshapeok="t" o:connecttype="rect"/>
              </v:shapetype>
              <v:shape id="Text Box 13" o:spid="_x0000_s1026" type="#_x0000_t202" style="position:absolute;margin-left:.1pt;margin-top:19pt;width:494.5pt;height:13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" filled="f" stroked="f" strokeweight=".5pt">
                <v:textbox>
                  <w:txbxContent>
                    <w:p w14:paraId="54F360C6" w14:textId="77777777" w:rsidR="00CB75B7" w:rsidRDefault="0040170C" w:rsidP="00AD53D2">
                      <w:pPr>
                        <w:rPr>
                          <w:rFonts w:ascii="Work Sans" w:hAnsi="Work Sans" w:cs="Open Sans"/>
                          <w:b/>
                          <w:bCs/>
                          <w:color w:val="FFFFFF"/>
                          <w:sz w:val="84"/>
                          <w:szCs w:val="84"/>
                        </w:rPr>
                      </w:pPr>
                      <w:r>
                        <w:rPr>
                          <w:rFonts w:ascii="Work Sans" w:hAnsi="Work Sans" w:cs="Open Sans"/>
                          <w:b/>
                          <w:bCs/>
                          <w:color w:val="FFFFFF"/>
                          <w:sz w:val="84"/>
                          <w:szCs w:val="84"/>
                        </w:rPr>
                        <w:t>Fis</w:t>
                      </w:r>
                      <w:r w:rsidR="00206B47">
                        <w:rPr>
                          <w:rFonts w:ascii="Work Sans" w:hAnsi="Work Sans" w:cs="Open Sans"/>
                          <w:b/>
                          <w:bCs/>
                          <w:color w:val="FFFFFF"/>
                          <w:sz w:val="84"/>
                          <w:szCs w:val="84"/>
                        </w:rPr>
                        <w:t xml:space="preserve">cal </w:t>
                      </w:r>
                      <w:r w:rsidR="0047745E">
                        <w:rPr>
                          <w:rFonts w:ascii="Work Sans" w:hAnsi="Work Sans" w:cs="Open Sans"/>
                          <w:b/>
                          <w:bCs/>
                          <w:color w:val="FFFFFF"/>
                          <w:sz w:val="84"/>
                          <w:szCs w:val="84"/>
                        </w:rPr>
                        <w:t xml:space="preserve">equalisation </w:t>
                      </w:r>
                    </w:p>
                    <w:p w14:paraId="2B443CCE" w14:textId="160B922C" w:rsidR="00AD53D2" w:rsidRPr="00B417A0" w:rsidRDefault="0047745E" w:rsidP="00AD53D2">
                      <w:pPr>
                        <w:rPr>
                          <w:rFonts w:ascii="Work Sans" w:hAnsi="Work Sans" w:cs="Open Sans"/>
                          <w:b/>
                          <w:bCs/>
                          <w:color w:val="FFFFFF"/>
                          <w:sz w:val="84"/>
                          <w:szCs w:val="84"/>
                        </w:rPr>
                      </w:pPr>
                      <w:r>
                        <w:rPr>
                          <w:rFonts w:ascii="Work Sans" w:hAnsi="Work Sans" w:cs="Open Sans"/>
                          <w:b/>
                          <w:bCs/>
                          <w:color w:val="FFFFFF"/>
                          <w:sz w:val="84"/>
                          <w:szCs w:val="84"/>
                        </w:rPr>
                        <w:t>and mining booms</w:t>
                      </w:r>
                    </w:p>
                  </w:txbxContent>
                </v:textbox>
                <w10:wrap anchorx="margin"/>
              </v:shape>
            </w:pict>
          </mc:Fallback>
        </mc:AlternateContent>
      </w:r>
    </w:p>
    <w:p w14:paraId="33F1EEB6" w14:textId="1C78FCD9" w:rsidR="00AD53D2" w:rsidRDefault="00AD53D2" w:rsidP="00D838D7"/>
    <w:p w14:paraId="639E79F8" w14:textId="0F140862" w:rsidR="00AD53D2" w:rsidRDefault="00AD53D2" w:rsidP="00D838D7"/>
    <w:p w14:paraId="699217D6" w14:textId="21440090" w:rsidR="00AD53D2" w:rsidRDefault="00AD53D2" w:rsidP="00D838D7"/>
    <w:p w14:paraId="0E2AC69D" w14:textId="20A391F1" w:rsidR="00AD53D2" w:rsidRDefault="00AD53D2" w:rsidP="00D838D7"/>
    <w:p w14:paraId="45D6F931" w14:textId="3D0807E6" w:rsidR="00AD53D2" w:rsidRDefault="00AD53D2" w:rsidP="00D838D7"/>
    <w:p w14:paraId="0568BBED" w14:textId="2773DFF3" w:rsidR="00AD53D2" w:rsidRDefault="00AD53D2" w:rsidP="00D838D7"/>
    <w:p w14:paraId="23634219" w14:textId="77777777" w:rsidR="000A065C" w:rsidRDefault="000A065C" w:rsidP="00D838D7"/>
    <w:p w14:paraId="39A7AC3F" w14:textId="1790E666" w:rsidR="00AD53D2" w:rsidRDefault="00600974" w:rsidP="00D838D7">
      <w:r w:rsidRPr="00AD53D2">
        <w:rPr>
          <w:noProof/>
        </w:rPr>
        <mc:AlternateContent>
          <mc:Choice Requires="wps">
            <w:drawing>
              <wp:anchor distT="0" distB="0" distL="114300" distR="114300" simplePos="0" relativeHeight="251658242" behindDoc="0" locked="0" layoutInCell="1" allowOverlap="1" wp14:anchorId="17BEE366" wp14:editId="70745D0F">
                <wp:simplePos x="0" y="0"/>
                <wp:positionH relativeFrom="margin">
                  <wp:posOffset>13970</wp:posOffset>
                </wp:positionH>
                <wp:positionV relativeFrom="paragraph">
                  <wp:posOffset>83820</wp:posOffset>
                </wp:positionV>
                <wp:extent cx="3613150" cy="6629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613150" cy="662940"/>
                        </a:xfrm>
                        <a:prstGeom prst="rect">
                          <a:avLst/>
                        </a:prstGeom>
                        <a:noFill/>
                        <a:ln w="6350">
                          <a:noFill/>
                        </a:ln>
                      </wps:spPr>
                      <wps:txbx>
                        <w:txbxContent>
                          <w:p w14:paraId="73DD6A39" w14:textId="2DAD007F" w:rsidR="00AD53D2" w:rsidRPr="00B417A0" w:rsidRDefault="00A460CB" w:rsidP="00AD53D2">
                            <w:pPr>
                              <w:rPr>
                                <w:rFonts w:ascii="Work Sans" w:hAnsi="Work Sans" w:cs="Open Sans"/>
                                <w:color w:val="FFFFFF"/>
                                <w:sz w:val="48"/>
                                <w:szCs w:val="48"/>
                              </w:rPr>
                            </w:pPr>
                            <w:r>
                              <w:rPr>
                                <w:rFonts w:ascii="Work Sans" w:hAnsi="Work Sans" w:cs="Open Sans"/>
                                <w:color w:val="FFFFFF"/>
                                <w:sz w:val="48"/>
                                <w:szCs w:val="48"/>
                              </w:rPr>
                              <w:t>Research paper</w:t>
                            </w:r>
                            <w:r w:rsidR="006E21FE">
                              <w:rPr>
                                <w:rFonts w:ascii="Work Sans" w:hAnsi="Work Sans" w:cs="Open Sans"/>
                                <w:color w:val="FFFFFF"/>
                                <w:sz w:val="48"/>
                                <w:szCs w:val="4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EE366" id="_x0000_t202" coordsize="21600,21600" o:spt="202" path="m,l,21600r21600,l21600,xe">
                <v:stroke joinstyle="miter"/>
                <v:path gradientshapeok="t" o:connecttype="rect"/>
              </v:shapetype>
              <v:shape id="Text Box 14" o:spid="_x0000_s1027" type="#_x0000_t202" style="position:absolute;margin-left:1.1pt;margin-top:6.6pt;width:284.5pt;height:52.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" filled="f" stroked="f" strokeweight=".5pt">
                <v:textbox>
                  <w:txbxContent>
                    <w:p w14:paraId="73DD6A39" w14:textId="2DAD007F" w:rsidR="00AD53D2" w:rsidRPr="00B417A0" w:rsidRDefault="00A460CB" w:rsidP="00AD53D2">
                      <w:pPr>
                        <w:rPr>
                          <w:rFonts w:ascii="Work Sans" w:hAnsi="Work Sans" w:cs="Open Sans"/>
                          <w:color w:val="FFFFFF"/>
                          <w:sz w:val="48"/>
                          <w:szCs w:val="48"/>
                        </w:rPr>
                      </w:pPr>
                      <w:r>
                        <w:rPr>
                          <w:rFonts w:ascii="Work Sans" w:hAnsi="Work Sans" w:cs="Open Sans"/>
                          <w:color w:val="FFFFFF"/>
                          <w:sz w:val="48"/>
                          <w:szCs w:val="48"/>
                        </w:rPr>
                        <w:t>Research paper</w:t>
                      </w:r>
                      <w:r w:rsidR="006E21FE">
                        <w:rPr>
                          <w:rFonts w:ascii="Work Sans" w:hAnsi="Work Sans" w:cs="Open Sans"/>
                          <w:color w:val="FFFFFF"/>
                          <w:sz w:val="48"/>
                          <w:szCs w:val="48"/>
                        </w:rPr>
                        <w:t xml:space="preserve"> 1</w:t>
                      </w:r>
                    </w:p>
                  </w:txbxContent>
                </v:textbox>
                <w10:wrap anchorx="margin"/>
              </v:shape>
            </w:pict>
          </mc:Fallback>
        </mc:AlternateContent>
      </w:r>
    </w:p>
    <w:p w14:paraId="25834C5D" w14:textId="665EA736" w:rsidR="00AD53D2" w:rsidRDefault="00AD53D2" w:rsidP="00D838D7"/>
    <w:p w14:paraId="00E92AD7" w14:textId="5BDC6C1E" w:rsidR="00AD53D2" w:rsidRPr="00EB4F88" w:rsidRDefault="00AD53D2" w:rsidP="00D838D7">
      <w:pPr>
        <w:rPr>
          <w:rFonts w:ascii="Work Sans" w:hAnsi="Work Sans"/>
          <w:sz w:val="24"/>
          <w:szCs w:val="24"/>
        </w:rPr>
      </w:pPr>
    </w:p>
    <w:p w14:paraId="57BDAF8A" w14:textId="522E719F" w:rsidR="00AD53D2" w:rsidRPr="00EB4F88" w:rsidRDefault="00AD53D2" w:rsidP="00D838D7">
      <w:pPr>
        <w:rPr>
          <w:rFonts w:ascii="Work Sans" w:hAnsi="Work Sans"/>
          <w:sz w:val="24"/>
          <w:szCs w:val="24"/>
        </w:rPr>
      </w:pPr>
    </w:p>
    <w:p w14:paraId="7310BB9F" w14:textId="4B81B51D" w:rsidR="00AD53D2" w:rsidRPr="00EB4F88" w:rsidRDefault="00AD53D2" w:rsidP="00D838D7">
      <w:pPr>
        <w:rPr>
          <w:rFonts w:ascii="Work Sans" w:hAnsi="Work Sans"/>
          <w:sz w:val="24"/>
          <w:szCs w:val="24"/>
        </w:rPr>
      </w:pPr>
    </w:p>
    <w:p w14:paraId="22A6B70E" w14:textId="4001E61B" w:rsidR="00AD53D2" w:rsidRPr="00EB4F88" w:rsidRDefault="00AD53D2" w:rsidP="00D838D7">
      <w:pPr>
        <w:rPr>
          <w:rFonts w:ascii="Work Sans" w:hAnsi="Work Sans"/>
          <w:sz w:val="24"/>
          <w:szCs w:val="24"/>
        </w:rPr>
      </w:pPr>
    </w:p>
    <w:p w14:paraId="75078E44" w14:textId="58419EEE" w:rsidR="00AD53D2" w:rsidRDefault="00CB75B7" w:rsidP="00D838D7">
      <w:r w:rsidRPr="00AD53D2">
        <w:rPr>
          <w:noProof/>
        </w:rPr>
        <mc:AlternateContent>
          <mc:Choice Requires="wps">
            <w:drawing>
              <wp:anchor distT="0" distB="0" distL="114300" distR="114300" simplePos="0" relativeHeight="251658243" behindDoc="0" locked="0" layoutInCell="1" allowOverlap="1" wp14:anchorId="0A5643A7" wp14:editId="0314FC5B">
                <wp:simplePos x="0" y="0"/>
                <wp:positionH relativeFrom="margin">
                  <wp:posOffset>44450</wp:posOffset>
                </wp:positionH>
                <wp:positionV relativeFrom="paragraph">
                  <wp:posOffset>230505</wp:posOffset>
                </wp:positionV>
                <wp:extent cx="1638300" cy="34163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1638300" cy="341630"/>
                        </a:xfrm>
                        <a:prstGeom prst="rect">
                          <a:avLst/>
                        </a:prstGeom>
                        <a:noFill/>
                        <a:ln w="6350">
                          <a:noFill/>
                        </a:ln>
                      </wps:spPr>
                      <wps:txbx>
                        <w:txbxContent>
                          <w:p w14:paraId="1041002D" w14:textId="4BE709AD" w:rsidR="00AD53D2" w:rsidRPr="00600974" w:rsidRDefault="00CB75B7" w:rsidP="00AD53D2">
                            <w:pPr>
                              <w:rPr>
                                <w:rFonts w:ascii="Work Sans" w:hAnsi="Work Sans" w:cs="Open Sans"/>
                                <w:color w:val="FFFFFF"/>
                                <w:sz w:val="28"/>
                                <w:szCs w:val="28"/>
                              </w:rPr>
                            </w:pPr>
                            <w:r>
                              <w:rPr>
                                <w:rFonts w:ascii="Work Sans" w:hAnsi="Work Sans" w:cs="Open Sans"/>
                                <w:color w:val="FFFFFF"/>
                                <w:sz w:val="28"/>
                                <w:szCs w:val="28"/>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43A7" id="Text Box 15" o:spid="_x0000_s1028" type="#_x0000_t202" style="position:absolute;margin-left:3.5pt;margin-top:18.15pt;width:129pt;height:26.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" filled="f" stroked="f" strokeweight=".5pt">
                <v:textbox>
                  <w:txbxContent>
                    <w:p w14:paraId="1041002D" w14:textId="4BE709AD" w:rsidR="00AD53D2" w:rsidRPr="00600974" w:rsidRDefault="00CB75B7" w:rsidP="00AD53D2">
                      <w:pPr>
                        <w:rPr>
                          <w:rFonts w:ascii="Work Sans" w:hAnsi="Work Sans" w:cs="Open Sans"/>
                          <w:color w:val="FFFFFF"/>
                          <w:sz w:val="28"/>
                          <w:szCs w:val="28"/>
                        </w:rPr>
                      </w:pPr>
                      <w:r>
                        <w:rPr>
                          <w:rFonts w:ascii="Work Sans" w:hAnsi="Work Sans" w:cs="Open Sans"/>
                          <w:color w:val="FFFFFF"/>
                          <w:sz w:val="28"/>
                          <w:szCs w:val="28"/>
                        </w:rPr>
                        <w:t>October 2021</w:t>
                      </w:r>
                    </w:p>
                  </w:txbxContent>
                </v:textbox>
                <w10:wrap anchorx="margin"/>
              </v:shape>
            </w:pict>
          </mc:Fallback>
        </mc:AlternateContent>
      </w:r>
    </w:p>
    <w:p w14:paraId="4AF9959E" w14:textId="0323ECC0" w:rsidR="00AD53D2" w:rsidRDefault="00AD53D2" w:rsidP="00D838D7"/>
    <w:p w14:paraId="2E172C72" w14:textId="4B7E486B" w:rsidR="00AD53D2" w:rsidRPr="00EB4F88" w:rsidRDefault="00AD53D2" w:rsidP="00D838D7">
      <w:pPr>
        <w:rPr>
          <w:rFonts w:ascii="Work Sans" w:hAnsi="Work Sans"/>
          <w:sz w:val="24"/>
          <w:szCs w:val="24"/>
        </w:rPr>
      </w:pPr>
    </w:p>
    <w:p w14:paraId="06D8C5E2" w14:textId="77777777" w:rsidR="00AD53D2" w:rsidRPr="00EB4F88" w:rsidRDefault="00AD53D2" w:rsidP="00D838D7">
      <w:pPr>
        <w:rPr>
          <w:rFonts w:ascii="Work Sans" w:hAnsi="Work Sans"/>
          <w:sz w:val="24"/>
          <w:szCs w:val="24"/>
        </w:rPr>
      </w:pPr>
    </w:p>
    <w:p w14:paraId="24EE791A" w14:textId="77777777" w:rsidR="00AD53D2" w:rsidRPr="00EB4F88" w:rsidRDefault="00AD53D2" w:rsidP="00D838D7">
      <w:pPr>
        <w:rPr>
          <w:rFonts w:ascii="Work Sans" w:hAnsi="Work Sans"/>
          <w:sz w:val="24"/>
          <w:szCs w:val="24"/>
        </w:rPr>
      </w:pPr>
    </w:p>
    <w:p w14:paraId="3E6770BD" w14:textId="77777777" w:rsidR="00AD53D2" w:rsidRPr="00EB4F88" w:rsidRDefault="00AD53D2" w:rsidP="00D838D7">
      <w:pPr>
        <w:rPr>
          <w:rFonts w:ascii="Work Sans" w:hAnsi="Work Sans"/>
          <w:sz w:val="24"/>
          <w:szCs w:val="24"/>
        </w:rPr>
      </w:pPr>
    </w:p>
    <w:p w14:paraId="28D3E776" w14:textId="77777777" w:rsidR="005B5ADD" w:rsidRDefault="005B5ADD" w:rsidP="00D838D7">
      <w:pPr>
        <w:sectPr w:rsidR="005B5ADD" w:rsidSect="00115DCB">
          <w:headerReference w:type="default" r:id="rId13"/>
          <w:footerReference w:type="even" r:id="rId14"/>
          <w:footerReference w:type="default" r:id="rId15"/>
          <w:headerReference w:type="first" r:id="rId16"/>
          <w:pgSz w:w="11900" w:h="16840"/>
          <w:pgMar w:top="1985" w:right="1418" w:bottom="1418" w:left="1418" w:header="709" w:footer="284" w:gutter="0"/>
          <w:pgNumType w:start="0"/>
          <w:cols w:space="708"/>
          <w:docGrid w:linePitch="360"/>
        </w:sectPr>
      </w:pPr>
    </w:p>
    <w:p w14:paraId="4B42927A" w14:textId="77777777" w:rsidR="00690053" w:rsidRDefault="00690053" w:rsidP="00690053">
      <w:pPr>
        <w:pStyle w:val="NormalWeb"/>
        <w:rPr>
          <w:rFonts w:ascii="Work Sans" w:hAnsi="Work Sans"/>
        </w:rPr>
      </w:pPr>
    </w:p>
    <w:p w14:paraId="53FA3A8B" w14:textId="77777777" w:rsidR="00690053" w:rsidRDefault="00690053" w:rsidP="00690053">
      <w:pPr>
        <w:pStyle w:val="NormalWeb"/>
        <w:rPr>
          <w:rFonts w:ascii="Work Sans" w:hAnsi="Work Sans"/>
        </w:rPr>
      </w:pPr>
    </w:p>
    <w:p w14:paraId="41A4D9BC" w14:textId="77777777" w:rsidR="00690053" w:rsidRDefault="00690053" w:rsidP="00690053">
      <w:pPr>
        <w:pStyle w:val="NormalWeb"/>
        <w:rPr>
          <w:rFonts w:ascii="Work Sans" w:hAnsi="Work Sans"/>
        </w:rPr>
      </w:pPr>
    </w:p>
    <w:p w14:paraId="6C41E912" w14:textId="77777777" w:rsidR="00690053" w:rsidRDefault="00690053" w:rsidP="00690053">
      <w:pPr>
        <w:pStyle w:val="NormalWeb"/>
        <w:rPr>
          <w:rFonts w:ascii="Work Sans" w:hAnsi="Work Sans"/>
        </w:rPr>
      </w:pPr>
    </w:p>
    <w:p w14:paraId="37974755" w14:textId="77777777" w:rsidR="00690053" w:rsidRDefault="00690053" w:rsidP="00690053">
      <w:pPr>
        <w:pStyle w:val="NormalWeb"/>
        <w:rPr>
          <w:rFonts w:ascii="Work Sans" w:hAnsi="Work Sans"/>
        </w:rPr>
      </w:pPr>
    </w:p>
    <w:p w14:paraId="41986205" w14:textId="77777777" w:rsidR="00690053" w:rsidRDefault="00690053" w:rsidP="00690053">
      <w:pPr>
        <w:pStyle w:val="NormalWeb"/>
        <w:rPr>
          <w:rFonts w:ascii="Work Sans" w:hAnsi="Work Sans"/>
        </w:rPr>
      </w:pPr>
    </w:p>
    <w:p w14:paraId="0DF52100" w14:textId="77777777" w:rsidR="00690053" w:rsidRDefault="00690053" w:rsidP="00690053">
      <w:pPr>
        <w:pStyle w:val="NormalWeb"/>
        <w:rPr>
          <w:rFonts w:ascii="Work Sans" w:hAnsi="Work Sans"/>
        </w:rPr>
      </w:pPr>
    </w:p>
    <w:p w14:paraId="0FFFC5E9" w14:textId="77777777" w:rsidR="00690053" w:rsidRDefault="00690053" w:rsidP="00690053">
      <w:pPr>
        <w:pStyle w:val="NormalWeb"/>
        <w:rPr>
          <w:rFonts w:ascii="Work Sans" w:hAnsi="Work Sans"/>
        </w:rPr>
      </w:pPr>
    </w:p>
    <w:p w14:paraId="62582501" w14:textId="77777777" w:rsidR="00690053" w:rsidRDefault="00690053" w:rsidP="00690053">
      <w:pPr>
        <w:pStyle w:val="NormalWeb"/>
        <w:rPr>
          <w:rFonts w:ascii="Work Sans" w:hAnsi="Work Sans"/>
        </w:rPr>
      </w:pPr>
    </w:p>
    <w:p w14:paraId="6A907B64" w14:textId="77777777" w:rsidR="00690053" w:rsidRPr="00C3472D" w:rsidRDefault="00690053" w:rsidP="00690053">
      <w:pPr>
        <w:pStyle w:val="NormalWeb"/>
        <w:rPr>
          <w:rFonts w:ascii="Work Sans" w:hAnsi="Work Sans"/>
          <w:b/>
          <w:bCs/>
          <w:color w:val="000000"/>
        </w:rPr>
      </w:pPr>
      <w:r w:rsidRPr="00C3472D">
        <w:rPr>
          <w:rFonts w:ascii="Work Sans" w:hAnsi="Work Sans"/>
          <w:b/>
          <w:bCs/>
          <w:color w:val="000000"/>
        </w:rPr>
        <w:t>Copyright</w:t>
      </w:r>
    </w:p>
    <w:p w14:paraId="43DA97F9" w14:textId="345B2FDB" w:rsidR="00690053" w:rsidRPr="00C3472D" w:rsidRDefault="00690053" w:rsidP="00690053">
      <w:pPr>
        <w:pStyle w:val="NormalWeb"/>
        <w:rPr>
          <w:rFonts w:ascii="Work Sans" w:hAnsi="Work Sans"/>
          <w:color w:val="000000"/>
        </w:rPr>
      </w:pPr>
      <w:r w:rsidRPr="00C3472D">
        <w:rPr>
          <w:rFonts w:ascii="Work Sans" w:hAnsi="Work Sans"/>
          <w:color w:val="000000"/>
        </w:rPr>
        <w:t>© Commonwealth of Australia 202</w:t>
      </w:r>
      <w:r w:rsidR="00873EF0">
        <w:rPr>
          <w:rFonts w:ascii="Work Sans" w:hAnsi="Work Sans"/>
          <w:color w:val="000000"/>
        </w:rPr>
        <w:t>1</w:t>
      </w:r>
    </w:p>
    <w:p w14:paraId="340513D5" w14:textId="77777777" w:rsidR="00690053" w:rsidRDefault="00690053" w:rsidP="00690053">
      <w:pPr>
        <w:pStyle w:val="NormalWeb"/>
        <w:rPr>
          <w:rFonts w:ascii="Work Sans" w:hAnsi="Work Sans"/>
          <w:color w:val="000000"/>
        </w:rPr>
      </w:pPr>
      <w:r w:rsidRPr="00C3472D">
        <w:rPr>
          <w:rFonts w:ascii="Work Sans" w:hAnsi="Work Sans"/>
          <w:color w:val="000000"/>
        </w:rPr>
        <w:t>With the exception of the Commonwealth Coat of Arms, all material presented in this document is provided under Creative Commons Attribution 4.0 (https://creativecommons.org/licenses/by/4.0/) licence. The details of the relevant licence conditions are available on the Creative Commons website as is the full legal code for CC BY 4.0 International (</w:t>
      </w:r>
      <w:hyperlink r:id="rId17" w:history="1">
        <w:r w:rsidRPr="00DC711F">
          <w:rPr>
            <w:rStyle w:val="Hyperlink"/>
            <w:rFonts w:ascii="Work Sans" w:hAnsi="Work Sans"/>
          </w:rPr>
          <w:t>https://creativecommons.org/licenses/by/4.0/legalcode</w:t>
        </w:r>
      </w:hyperlink>
      <w:r w:rsidRPr="00C3472D">
        <w:rPr>
          <w:rFonts w:ascii="Work Sans" w:hAnsi="Work Sans"/>
          <w:color w:val="000000"/>
        </w:rPr>
        <w:t>).</w:t>
      </w:r>
    </w:p>
    <w:p w14:paraId="41D6AD31" w14:textId="77777777" w:rsidR="00690053" w:rsidRPr="00C3472D" w:rsidRDefault="00690053" w:rsidP="00690053">
      <w:pPr>
        <w:pStyle w:val="NormalWeb"/>
        <w:rPr>
          <w:rFonts w:ascii="Work Sans" w:hAnsi="Work Sans"/>
          <w:color w:val="000000"/>
        </w:rPr>
      </w:pPr>
      <w:r w:rsidRPr="000A2C87">
        <w:rPr>
          <w:noProof/>
          <w:sz w:val="20"/>
          <w:szCs w:val="20"/>
        </w:rPr>
        <w:drawing>
          <wp:inline distT="0" distB="0" distL="0" distR="0" wp14:anchorId="63803DF2" wp14:editId="49D548C7">
            <wp:extent cx="828675" cy="295275"/>
            <wp:effectExtent l="19050" t="0" r="9525" b="0"/>
            <wp:docPr id="9"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8"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63BF1055" w14:textId="77777777" w:rsidR="00690053" w:rsidRPr="00C3472D" w:rsidRDefault="00690053" w:rsidP="00690053">
      <w:pPr>
        <w:pStyle w:val="NormalWeb"/>
        <w:rPr>
          <w:rFonts w:ascii="Work Sans" w:hAnsi="Work Sans"/>
          <w:b/>
          <w:bCs/>
          <w:color w:val="000000"/>
        </w:rPr>
      </w:pPr>
      <w:r w:rsidRPr="00C3472D">
        <w:rPr>
          <w:rFonts w:ascii="Work Sans" w:hAnsi="Work Sans"/>
          <w:b/>
          <w:bCs/>
          <w:color w:val="000000"/>
        </w:rPr>
        <w:t>Attribution</w:t>
      </w:r>
    </w:p>
    <w:p w14:paraId="33E27D6C" w14:textId="186AE9AA" w:rsidR="00690053" w:rsidRPr="00C3472D" w:rsidRDefault="00690053" w:rsidP="00873EF0">
      <w:pPr>
        <w:pStyle w:val="NormalWeb"/>
        <w:rPr>
          <w:rFonts w:ascii="Work Sans" w:hAnsi="Work Sans"/>
          <w:color w:val="000000"/>
        </w:rPr>
      </w:pPr>
      <w:r w:rsidRPr="00C3472D">
        <w:rPr>
          <w:rFonts w:ascii="Work Sans" w:hAnsi="Work Sans"/>
          <w:color w:val="000000"/>
        </w:rPr>
        <w:t xml:space="preserve">The recommended attribution for this document is Commonwealth Grants Commission, </w:t>
      </w:r>
      <w:r>
        <w:rPr>
          <w:rFonts w:ascii="Work Sans" w:hAnsi="Work Sans"/>
          <w:color w:val="000000"/>
        </w:rPr>
        <w:t>Research</w:t>
      </w:r>
      <w:r w:rsidRPr="00C3472D">
        <w:rPr>
          <w:rFonts w:ascii="Work Sans" w:hAnsi="Work Sans"/>
          <w:color w:val="000000"/>
        </w:rPr>
        <w:t xml:space="preserve"> </w:t>
      </w:r>
      <w:r w:rsidR="004B5B98">
        <w:rPr>
          <w:rFonts w:ascii="Work Sans" w:hAnsi="Work Sans"/>
          <w:color w:val="000000"/>
        </w:rPr>
        <w:t>p</w:t>
      </w:r>
      <w:r w:rsidRPr="00C3472D">
        <w:rPr>
          <w:rFonts w:ascii="Work Sans" w:hAnsi="Work Sans"/>
          <w:color w:val="000000"/>
        </w:rPr>
        <w:t xml:space="preserve">aper </w:t>
      </w:r>
      <w:r w:rsidR="00873EF0">
        <w:rPr>
          <w:rFonts w:ascii="Work Sans" w:hAnsi="Work Sans"/>
          <w:color w:val="000000"/>
        </w:rPr>
        <w:t>1</w:t>
      </w:r>
      <w:r w:rsidRPr="00C3472D">
        <w:rPr>
          <w:rFonts w:ascii="Work Sans" w:hAnsi="Work Sans"/>
          <w:color w:val="000000"/>
        </w:rPr>
        <w:t>:</w:t>
      </w:r>
      <w:r w:rsidR="00873EF0">
        <w:rPr>
          <w:rFonts w:ascii="Work Sans" w:hAnsi="Work Sans"/>
          <w:color w:val="000000"/>
        </w:rPr>
        <w:t xml:space="preserve"> </w:t>
      </w:r>
      <w:r w:rsidR="009A2789">
        <w:rPr>
          <w:rFonts w:ascii="Work Sans" w:hAnsi="Work Sans"/>
          <w:color w:val="000000"/>
        </w:rPr>
        <w:t>Fiscal equalisation and mining booms</w:t>
      </w:r>
      <w:r>
        <w:rPr>
          <w:rFonts w:ascii="Work Sans" w:hAnsi="Work Sans"/>
          <w:color w:val="000000"/>
        </w:rPr>
        <w:t>.</w:t>
      </w:r>
    </w:p>
    <w:p w14:paraId="12F26B55" w14:textId="77777777" w:rsidR="00690053" w:rsidRDefault="00690053" w:rsidP="00690053">
      <w:pPr>
        <w:pStyle w:val="NormalWeb"/>
        <w:rPr>
          <w:rFonts w:ascii="Work Sans" w:hAnsi="Work Sans"/>
          <w:color w:val="000000"/>
        </w:rPr>
      </w:pPr>
      <w:r w:rsidRPr="00C3472D">
        <w:rPr>
          <w:rFonts w:ascii="Work Sans" w:hAnsi="Work Sans"/>
          <w:b/>
          <w:bCs/>
          <w:color w:val="000000"/>
        </w:rPr>
        <w:t>Contact us</w:t>
      </w:r>
      <w:r w:rsidRPr="00C3472D">
        <w:rPr>
          <w:rFonts w:ascii="Work Sans" w:hAnsi="Work Sans"/>
          <w:color w:val="000000"/>
        </w:rPr>
        <w:t xml:space="preserve"> </w:t>
      </w:r>
    </w:p>
    <w:p w14:paraId="790C6036" w14:textId="77777777" w:rsidR="00690053" w:rsidRPr="00C3472D" w:rsidRDefault="00690053" w:rsidP="00690053">
      <w:pPr>
        <w:pStyle w:val="NormalWeb"/>
        <w:rPr>
          <w:rFonts w:ascii="Work Sans" w:hAnsi="Work Sans"/>
          <w:color w:val="000000"/>
        </w:rPr>
      </w:pPr>
      <w:r w:rsidRPr="00C3472D">
        <w:rPr>
          <w:rFonts w:ascii="Work Sans" w:hAnsi="Work Sans"/>
          <w:color w:val="000000"/>
        </w:rPr>
        <w:t>Inquiries regarding the use of this document should be directed to secretary@cgc.gov.au.</w:t>
      </w:r>
    </w:p>
    <w:p w14:paraId="6AD3EAA1" w14:textId="77777777" w:rsidR="00690053" w:rsidRPr="00D627B5" w:rsidRDefault="00690053" w:rsidP="00690053">
      <w:pPr>
        <w:pStyle w:val="NormalWeb"/>
        <w:rPr>
          <w:rFonts w:ascii="Work Sans" w:hAnsi="Work Sans"/>
          <w:b/>
          <w:bCs/>
          <w:color w:val="000000"/>
        </w:rPr>
      </w:pPr>
      <w:r w:rsidRPr="00D627B5">
        <w:rPr>
          <w:rFonts w:ascii="Work Sans" w:hAnsi="Work Sans"/>
          <w:b/>
          <w:bCs/>
          <w:color w:val="000000"/>
        </w:rPr>
        <w:t xml:space="preserve">Internet </w:t>
      </w:r>
    </w:p>
    <w:p w14:paraId="2AAE711F" w14:textId="615261C6" w:rsidR="00690053" w:rsidRDefault="00690053" w:rsidP="00690053">
      <w:pPr>
        <w:rPr>
          <w:rFonts w:ascii="Work Sans" w:hAnsi="Work Sans"/>
          <w:color w:val="000000"/>
        </w:rPr>
        <w:sectPr w:rsidR="00690053" w:rsidSect="007468AA">
          <w:pgSz w:w="11900" w:h="16840"/>
          <w:pgMar w:top="1985" w:right="1418" w:bottom="1418" w:left="1418" w:header="709" w:footer="284" w:gutter="0"/>
          <w:pgNumType w:fmt="lowerRoman" w:start="1"/>
          <w:cols w:space="708"/>
          <w:docGrid w:linePitch="360"/>
        </w:sectPr>
      </w:pPr>
      <w:r w:rsidRPr="009A2789">
        <w:rPr>
          <w:rFonts w:ascii="Work Sans" w:hAnsi="Work Sans"/>
          <w:color w:val="000000"/>
          <w:sz w:val="24"/>
          <w:szCs w:val="24"/>
        </w:rPr>
        <w:t>A copy of this paper is available on the Commission’s website (http://www.cgc.gov.au)</w:t>
      </w:r>
      <w:r w:rsidRPr="00C3472D">
        <w:rPr>
          <w:rFonts w:ascii="Work Sans" w:hAnsi="Work Sans"/>
          <w:color w:val="000000"/>
        </w:rPr>
        <w:t>.</w:t>
      </w:r>
    </w:p>
    <w:p w14:paraId="29B179DB" w14:textId="13939C19" w:rsidR="00AD53D2" w:rsidRPr="00BE73AC" w:rsidRDefault="00FD03E6" w:rsidP="00BE73AC">
      <w:pPr>
        <w:pStyle w:val="Heading2"/>
      </w:pPr>
      <w:r w:rsidRPr="00BE73AC">
        <w:lastRenderedPageBreak/>
        <w:t>Introduction</w:t>
      </w:r>
    </w:p>
    <w:p w14:paraId="1383A327" w14:textId="77777777" w:rsidR="00D30F4F" w:rsidRPr="0019705C" w:rsidRDefault="00D30F4F" w:rsidP="00377FE7">
      <w:pPr>
        <w:rPr>
          <w:rFonts w:ascii="Work Sans" w:hAnsi="Work Sans"/>
          <w:sz w:val="24"/>
          <w:szCs w:val="24"/>
        </w:rPr>
      </w:pPr>
      <w:r w:rsidRPr="0019705C">
        <w:rPr>
          <w:rFonts w:ascii="Work Sans" w:hAnsi="Work Sans"/>
          <w:sz w:val="24"/>
          <w:szCs w:val="24"/>
        </w:rPr>
        <w:t>Mining revenue has been increasingly significant in influencing the GST distribution. This reflects a combination of unprecedented growth in the value of mining production and an uneven distribution of major minerals across states. Volatility in mineral prices has contributed to significant fluctuations in states’ GST shares, particularly for Western Australia. The concentration of a mineral in a state gives rise to the potential for a state’s GST distribution to be significantly influenced by policy decisions to change its royalty rate. Such a situation is not consistent with one of the principles supporting the Commission’s approach to horizontal fiscal equalisation — policy neutrality. That is, a state’s GST distribution should not be significantly influenced by policy choices.</w:t>
      </w:r>
    </w:p>
    <w:p w14:paraId="56A15DA0" w14:textId="3C16CE42" w:rsidR="00FD03E6" w:rsidRPr="0019705C" w:rsidRDefault="00D30F4F" w:rsidP="00377FE7">
      <w:pPr>
        <w:rPr>
          <w:rFonts w:ascii="Work Sans" w:hAnsi="Work Sans"/>
          <w:sz w:val="24"/>
          <w:szCs w:val="24"/>
        </w:rPr>
      </w:pPr>
      <w:r w:rsidRPr="0019705C">
        <w:rPr>
          <w:rStyle w:val="normaltextrun"/>
          <w:rFonts w:ascii="Work Sans" w:hAnsi="Work Sans" w:cs="Open Sans Light"/>
          <w:sz w:val="24"/>
          <w:szCs w:val="24"/>
        </w:rPr>
        <w:t xml:space="preserve">This paper complements the Commission’s </w:t>
      </w:r>
      <w:r w:rsidRPr="0019705C">
        <w:rPr>
          <w:rStyle w:val="normaltextrun"/>
          <w:rFonts w:ascii="Work Sans" w:hAnsi="Work Sans" w:cs="Open Sans Light"/>
          <w:i/>
          <w:sz w:val="24"/>
          <w:szCs w:val="24"/>
        </w:rPr>
        <w:t>Occasional Paper No. 3: Mining Revenue and the GST Distribution</w:t>
      </w:r>
      <w:r w:rsidRPr="0019705C">
        <w:rPr>
          <w:rStyle w:val="normaltextrun"/>
          <w:rFonts w:ascii="Work Sans" w:hAnsi="Work Sans" w:cs="Open Sans Light"/>
          <w:sz w:val="24"/>
          <w:szCs w:val="24"/>
        </w:rPr>
        <w:t>, in providing more detail on the Commission’s approach to assessing mining revenue capacity. It discusses</w:t>
      </w:r>
      <w:r w:rsidRPr="0019705C" w:rsidDel="004D397F">
        <w:rPr>
          <w:rStyle w:val="normaltextrun"/>
          <w:rFonts w:ascii="Work Sans" w:hAnsi="Work Sans" w:cs="Open Sans Light"/>
          <w:sz w:val="24"/>
          <w:szCs w:val="24"/>
        </w:rPr>
        <w:t xml:space="preserve"> </w:t>
      </w:r>
      <w:r w:rsidRPr="0019705C">
        <w:rPr>
          <w:rStyle w:val="normaltextrun"/>
          <w:rFonts w:ascii="Work Sans" w:hAnsi="Work Sans" w:cs="Open Sans Light"/>
          <w:sz w:val="24"/>
          <w:szCs w:val="24"/>
        </w:rPr>
        <w:t>the impact the mining assessment has had on GST distributions, including volatility of GST distributions and the implications for policy neutrality. The paper also provides</w:t>
      </w:r>
      <w:r w:rsidRPr="0019705C">
        <w:rPr>
          <w:rStyle w:val="normaltextrun"/>
          <w:rFonts w:ascii="Work Sans" w:hAnsi="Work Sans" w:cs="Open Sans Light"/>
          <w:color w:val="004562" w:themeColor="text1"/>
          <w:sz w:val="24"/>
          <w:szCs w:val="24"/>
        </w:rPr>
        <w:t xml:space="preserve"> an</w:t>
      </w:r>
      <w:r w:rsidRPr="0019705C">
        <w:rPr>
          <w:rStyle w:val="normaltextrun"/>
          <w:rFonts w:ascii="Work Sans" w:hAnsi="Work Sans" w:cs="Open Sans Light"/>
          <w:sz w:val="24"/>
          <w:szCs w:val="24"/>
        </w:rPr>
        <w:t xml:space="preserve"> outline of the potential effect of the new equalisation arrangements on volatility and policy neutrality.</w:t>
      </w:r>
    </w:p>
    <w:p w14:paraId="5649EBD7" w14:textId="32C8C384" w:rsidR="00600974" w:rsidRDefault="00615369" w:rsidP="00BE73AC">
      <w:pPr>
        <w:pStyle w:val="Heading2"/>
      </w:pPr>
      <w:r>
        <w:t>How the Commission determines GST distributions</w:t>
      </w:r>
    </w:p>
    <w:p w14:paraId="60BDA9DA" w14:textId="77777777" w:rsidR="00313CC2" w:rsidRPr="0019705C" w:rsidRDefault="00313CC2" w:rsidP="00313CC2">
      <w:pPr>
        <w:rPr>
          <w:rFonts w:ascii="Work Sans" w:hAnsi="Work Sans"/>
          <w:sz w:val="24"/>
          <w:szCs w:val="24"/>
        </w:rPr>
      </w:pPr>
      <w:r w:rsidRPr="0019705C">
        <w:rPr>
          <w:rFonts w:ascii="Work Sans" w:hAnsi="Work Sans"/>
          <w:sz w:val="24"/>
          <w:szCs w:val="24"/>
        </w:rPr>
        <w:t xml:space="preserve">In 2018 the Australian Parliament legislated new arrangements for distributing GST. The transition to the new arrangements commenced in 2021-22. The new arrangements are discussed in the Commission’s </w:t>
      </w:r>
      <w:r w:rsidRPr="0019705C">
        <w:rPr>
          <w:rStyle w:val="normaltextrun"/>
          <w:rFonts w:ascii="Work Sans" w:hAnsi="Work Sans" w:cs="Open Sans Light"/>
          <w:i/>
          <w:sz w:val="24"/>
          <w:szCs w:val="24"/>
        </w:rPr>
        <w:t>Occasional Paper No. 4: The new arrangements</w:t>
      </w:r>
      <w:r w:rsidRPr="0019705C">
        <w:rPr>
          <w:rFonts w:ascii="Work Sans" w:hAnsi="Work Sans"/>
          <w:sz w:val="24"/>
          <w:szCs w:val="24"/>
        </w:rPr>
        <w:t>.</w:t>
      </w:r>
    </w:p>
    <w:p w14:paraId="6729E889" w14:textId="77777777" w:rsidR="00313CC2" w:rsidRPr="0019705C" w:rsidRDefault="00313CC2" w:rsidP="00313CC2">
      <w:pPr>
        <w:rPr>
          <w:rStyle w:val="normaltextrun"/>
          <w:rFonts w:ascii="Work Sans" w:hAnsi="Work Sans" w:cs="Open Sans Light"/>
          <w:sz w:val="24"/>
          <w:szCs w:val="24"/>
        </w:rPr>
      </w:pPr>
      <w:r w:rsidRPr="0019705C">
        <w:rPr>
          <w:rFonts w:ascii="Work Sans" w:hAnsi="Work Sans"/>
          <w:sz w:val="24"/>
          <w:szCs w:val="24"/>
        </w:rPr>
        <w:t xml:space="preserve">Prior to the new approach, equalisation gave each state the fiscal capacity of the fiscally strongest state to provide services. </w:t>
      </w:r>
      <w:r w:rsidRPr="0019705C">
        <w:rPr>
          <w:rStyle w:val="normaltextrun"/>
          <w:rFonts w:ascii="Work Sans" w:hAnsi="Work Sans" w:cs="Open Sans Light"/>
          <w:sz w:val="24"/>
          <w:szCs w:val="24"/>
        </w:rPr>
        <w:t>This objective sought to provide all Australians with the potential to access the same services, regardless of where they live.</w:t>
      </w:r>
    </w:p>
    <w:p w14:paraId="4DCAAF87" w14:textId="77777777" w:rsidR="00313CC2" w:rsidRPr="0019705C" w:rsidRDefault="00313CC2" w:rsidP="00313CC2">
      <w:pPr>
        <w:rPr>
          <w:rFonts w:ascii="Work Sans" w:hAnsi="Work Sans"/>
          <w:sz w:val="24"/>
          <w:szCs w:val="24"/>
        </w:rPr>
      </w:pPr>
      <w:r w:rsidRPr="0019705C">
        <w:rPr>
          <w:rFonts w:ascii="Work Sans" w:hAnsi="Work Sans"/>
          <w:sz w:val="24"/>
          <w:szCs w:val="24"/>
        </w:rPr>
        <w:t>The new equalisation arrangements ensure that each state’s GST relativity is at least as high as the relativity of the fiscally stronger of New South Wales or Victoria (referred to as the ‘standard state’). This means no state will receive less GST per person than the standard state.</w:t>
      </w:r>
    </w:p>
    <w:p w14:paraId="5B016CF4" w14:textId="4AD7B03A" w:rsidR="00313CC2" w:rsidRPr="0019705C" w:rsidRDefault="00313CC2" w:rsidP="00313CC2">
      <w:pPr>
        <w:rPr>
          <w:rFonts w:ascii="Work Sans" w:hAnsi="Work Sans"/>
          <w:sz w:val="24"/>
          <w:szCs w:val="24"/>
        </w:rPr>
      </w:pPr>
      <w:r w:rsidRPr="0019705C">
        <w:rPr>
          <w:rFonts w:ascii="Work Sans" w:hAnsi="Work Sans"/>
          <w:sz w:val="24"/>
          <w:szCs w:val="24"/>
        </w:rPr>
        <w:t>Both the previous and new arrangements seek to reduce difference in state fiscal capacities arising from circumstances beyond their control. This process is known as horizontal fiscal equalisation.</w:t>
      </w:r>
    </w:p>
    <w:p w14:paraId="4F907417" w14:textId="58805DB4" w:rsidR="00195727" w:rsidRDefault="00195727" w:rsidP="00FB3FF7">
      <w:pPr>
        <w:pStyle w:val="Heading2"/>
        <w:keepNext/>
      </w:pPr>
      <w:r>
        <w:lastRenderedPageBreak/>
        <w:t xml:space="preserve">How horizontal fiscal </w:t>
      </w:r>
      <w:r w:rsidR="00D01CFF">
        <w:t>equalisation</w:t>
      </w:r>
      <w:r>
        <w:t xml:space="preserve"> </w:t>
      </w:r>
      <w:r w:rsidR="00D01CFF">
        <w:t>works</w:t>
      </w:r>
    </w:p>
    <w:p w14:paraId="3DEC55B4" w14:textId="01E689E0" w:rsidR="00AE4C90" w:rsidRPr="0019705C" w:rsidRDefault="00AE4C90" w:rsidP="00AE4C90">
      <w:pPr>
        <w:rPr>
          <w:rFonts w:ascii="Work Sans" w:hAnsi="Work Sans"/>
          <w:sz w:val="24"/>
          <w:szCs w:val="24"/>
        </w:rPr>
      </w:pPr>
      <w:r w:rsidRPr="0019705C">
        <w:rPr>
          <w:rFonts w:ascii="Work Sans" w:hAnsi="Work Sans"/>
          <w:sz w:val="24"/>
          <w:szCs w:val="24"/>
        </w:rPr>
        <w:t xml:space="preserve">Equalisation reduces differences in state fiscal capacities by addressing imbalances in states’ spending and </w:t>
      </w:r>
      <w:r w:rsidR="00753023" w:rsidRPr="0019705C">
        <w:rPr>
          <w:rFonts w:ascii="Work Sans" w:hAnsi="Work Sans"/>
          <w:sz w:val="24"/>
          <w:szCs w:val="24"/>
        </w:rPr>
        <w:t xml:space="preserve">ability to raise </w:t>
      </w:r>
      <w:r w:rsidRPr="0019705C">
        <w:rPr>
          <w:rFonts w:ascii="Work Sans" w:hAnsi="Work Sans"/>
          <w:sz w:val="24"/>
          <w:szCs w:val="24"/>
        </w:rPr>
        <w:t>tax</w:t>
      </w:r>
      <w:r w:rsidR="00753023" w:rsidRPr="0019705C">
        <w:rPr>
          <w:rFonts w:ascii="Work Sans" w:hAnsi="Work Sans"/>
          <w:sz w:val="24"/>
          <w:szCs w:val="24"/>
        </w:rPr>
        <w:t>es</w:t>
      </w:r>
      <w:r w:rsidRPr="0019705C">
        <w:rPr>
          <w:rFonts w:ascii="Work Sans" w:hAnsi="Work Sans"/>
          <w:sz w:val="24"/>
          <w:szCs w:val="24"/>
        </w:rPr>
        <w:t>. The Commission recommends a GST revenue distribution that offsets differences in states’ cost of providing services, their capacities to raise revenue and the non</w:t>
      </w:r>
      <w:r w:rsidRPr="0019705C">
        <w:rPr>
          <w:rFonts w:ascii="Work Sans" w:hAnsi="Work Sans"/>
          <w:sz w:val="24"/>
          <w:szCs w:val="24"/>
        </w:rPr>
        <w:noBreakHyphen/>
        <w:t>GST revenues</w:t>
      </w:r>
      <w:r w:rsidRPr="0019705C">
        <w:rPr>
          <w:rFonts w:ascii="Work Sans" w:hAnsi="Work Sans"/>
          <w:sz w:val="24"/>
          <w:szCs w:val="24"/>
          <w:vertAlign w:val="superscript"/>
          <w:lang w:val="en-GB"/>
        </w:rPr>
        <w:footnoteReference w:id="2"/>
      </w:r>
      <w:r w:rsidRPr="0019705C">
        <w:rPr>
          <w:rFonts w:ascii="Work Sans" w:hAnsi="Work Sans"/>
          <w:sz w:val="24"/>
          <w:szCs w:val="24"/>
        </w:rPr>
        <w:t xml:space="preserve"> they receive from the Commonwealth. To support this, the Commission undertakes a comprehensive assessment of the services states provide and the revenues they raise.</w:t>
      </w:r>
    </w:p>
    <w:p w14:paraId="2EA0B0EF" w14:textId="542BA6CA" w:rsidR="00AE4C90" w:rsidRPr="0019705C" w:rsidRDefault="00AE4C90" w:rsidP="00AE4C90">
      <w:pPr>
        <w:rPr>
          <w:rFonts w:ascii="Work Sans" w:hAnsi="Work Sans"/>
          <w:sz w:val="24"/>
          <w:szCs w:val="24"/>
        </w:rPr>
      </w:pPr>
      <w:r w:rsidRPr="0019705C">
        <w:rPr>
          <w:rFonts w:ascii="Work Sans" w:hAnsi="Work Sans"/>
          <w:sz w:val="24"/>
          <w:szCs w:val="24"/>
        </w:rPr>
        <w:t>In equalising state fiscal capacities, the GST acts like a balancing item, filling the gap between the states’ assessed expenditure requirements and their assessed revenue capacity (</w:t>
      </w:r>
      <w:r w:rsidRPr="0019705C">
        <w:rPr>
          <w:rFonts w:ascii="Work Sans" w:hAnsi="Work Sans"/>
          <w:sz w:val="24"/>
          <w:szCs w:val="24"/>
        </w:rPr>
        <w:fldChar w:fldCharType="begin"/>
      </w:r>
      <w:r w:rsidRPr="0019705C">
        <w:rPr>
          <w:rFonts w:ascii="Work Sans" w:hAnsi="Work Sans"/>
          <w:sz w:val="24"/>
          <w:szCs w:val="24"/>
        </w:rPr>
        <w:instrText xml:space="preserve"> REF _Ref80257012 \h </w:instrText>
      </w:r>
      <w:r w:rsidR="0019705C" w:rsidRPr="0019705C">
        <w:rPr>
          <w:rFonts w:ascii="Work Sans" w:hAnsi="Work Sans"/>
          <w:sz w:val="24"/>
          <w:szCs w:val="24"/>
        </w:rPr>
        <w:instrText xml:space="preserve"> \* MERGEFORMAT </w:instrText>
      </w:r>
      <w:r w:rsidRPr="0019705C">
        <w:rPr>
          <w:rFonts w:ascii="Work Sans" w:hAnsi="Work Sans"/>
          <w:sz w:val="24"/>
          <w:szCs w:val="24"/>
        </w:rPr>
      </w:r>
      <w:r w:rsidRPr="0019705C">
        <w:rPr>
          <w:rFonts w:ascii="Work Sans" w:hAnsi="Work Sans"/>
          <w:sz w:val="24"/>
          <w:szCs w:val="24"/>
        </w:rPr>
        <w:fldChar w:fldCharType="separate"/>
      </w:r>
      <w:r w:rsidR="00CD752D" w:rsidRPr="00CD752D">
        <w:rPr>
          <w:rFonts w:ascii="Work Sans" w:hAnsi="Work Sans"/>
          <w:sz w:val="24"/>
          <w:szCs w:val="24"/>
        </w:rPr>
        <w:t>Figure 1</w:t>
      </w:r>
      <w:r w:rsidRPr="0019705C">
        <w:rPr>
          <w:rFonts w:ascii="Work Sans" w:hAnsi="Work Sans"/>
          <w:sz w:val="24"/>
          <w:szCs w:val="24"/>
        </w:rPr>
        <w:fldChar w:fldCharType="end"/>
      </w:r>
      <w:r w:rsidRPr="0019705C">
        <w:rPr>
          <w:rFonts w:ascii="Work Sans" w:hAnsi="Work Sans"/>
          <w:sz w:val="24"/>
          <w:szCs w:val="24"/>
        </w:rPr>
        <w:t>). The Northern Territory has the largest gap, due to its high cost of providing services. As a result, it required more GST per capita to equalise its fiscal capacity than other states. In recent years, Western Australia has had the smallest gap, due to its high revenue capacity. Consequently, it required less GST per capita than other states to achieve fiscal equalisation.</w:t>
      </w:r>
      <w:r w:rsidR="000D52A4" w:rsidRPr="0019705C">
        <w:rPr>
          <w:rFonts w:ascii="Work Sans" w:hAnsi="Work Sans"/>
          <w:noProof/>
          <w:sz w:val="24"/>
          <w:szCs w:val="24"/>
        </w:rPr>
        <w:t xml:space="preserve"> </w:t>
      </w:r>
    </w:p>
    <w:p w14:paraId="4F97B029" w14:textId="613474A8" w:rsidR="00D01CFF" w:rsidRPr="0019705C" w:rsidRDefault="00AE4C90" w:rsidP="00AE4C90">
      <w:pPr>
        <w:rPr>
          <w:rFonts w:ascii="Work Sans" w:hAnsi="Work Sans"/>
          <w:sz w:val="24"/>
          <w:szCs w:val="24"/>
        </w:rPr>
      </w:pPr>
      <w:r w:rsidRPr="0019705C">
        <w:rPr>
          <w:rFonts w:ascii="Work Sans" w:hAnsi="Work Sans"/>
          <w:sz w:val="24"/>
          <w:szCs w:val="24"/>
        </w:rPr>
        <w:fldChar w:fldCharType="begin"/>
      </w:r>
      <w:r w:rsidRPr="0019705C">
        <w:rPr>
          <w:rFonts w:ascii="Work Sans" w:hAnsi="Work Sans"/>
          <w:sz w:val="24"/>
          <w:szCs w:val="24"/>
        </w:rPr>
        <w:instrText xml:space="preserve"> REF _Ref80257258 \h </w:instrText>
      </w:r>
      <w:r w:rsidR="0019705C" w:rsidRPr="0019705C">
        <w:rPr>
          <w:rFonts w:ascii="Work Sans" w:hAnsi="Work Sans"/>
          <w:sz w:val="24"/>
          <w:szCs w:val="24"/>
        </w:rPr>
        <w:instrText xml:space="preserve"> \* MERGEFORMAT </w:instrText>
      </w:r>
      <w:r w:rsidRPr="0019705C">
        <w:rPr>
          <w:rFonts w:ascii="Work Sans" w:hAnsi="Work Sans"/>
          <w:sz w:val="24"/>
          <w:szCs w:val="24"/>
        </w:rPr>
      </w:r>
      <w:r w:rsidRPr="0019705C">
        <w:rPr>
          <w:rFonts w:ascii="Work Sans" w:hAnsi="Work Sans"/>
          <w:sz w:val="24"/>
          <w:szCs w:val="24"/>
        </w:rPr>
        <w:fldChar w:fldCharType="separate"/>
      </w:r>
      <w:r w:rsidR="00CD752D" w:rsidRPr="00CD752D">
        <w:rPr>
          <w:rFonts w:ascii="Work Sans" w:hAnsi="Work Sans"/>
          <w:sz w:val="24"/>
          <w:szCs w:val="24"/>
        </w:rPr>
        <w:t>Table 1</w:t>
      </w:r>
      <w:r w:rsidRPr="0019705C">
        <w:rPr>
          <w:rFonts w:ascii="Work Sans" w:hAnsi="Work Sans"/>
          <w:sz w:val="24"/>
          <w:szCs w:val="24"/>
        </w:rPr>
        <w:fldChar w:fldCharType="end"/>
      </w:r>
      <w:r w:rsidRPr="0019705C">
        <w:rPr>
          <w:rFonts w:ascii="Work Sans" w:hAnsi="Work Sans"/>
          <w:sz w:val="24"/>
          <w:szCs w:val="24"/>
        </w:rPr>
        <w:t xml:space="preserve"> sets out the proportion of each state’s assessed expenditure covered by its assessed revenue sources. Western Australia’s high revenue capacity is a reflection of its mining revenue capacity, which sets it apart from other states. Its mining capacity is also the main driver of its low GST share — less GST is required to equalise Western Australia’s fiscal capacity with the other states.</w:t>
      </w:r>
    </w:p>
    <w:p w14:paraId="36E6B720" w14:textId="78ECB1D0" w:rsidR="00840B4E" w:rsidRPr="005035ED" w:rsidRDefault="00840B4E" w:rsidP="005035ED">
      <w:pPr>
        <w:pStyle w:val="Caption"/>
      </w:pPr>
      <w:bookmarkStart w:id="0" w:name="_Ref80257012"/>
      <w:r w:rsidRPr="005035ED">
        <w:lastRenderedPageBreak/>
        <w:t>Figure </w:t>
      </w:r>
      <w:r w:rsidRPr="005035ED">
        <w:fldChar w:fldCharType="begin"/>
      </w:r>
      <w:r w:rsidRPr="005035ED">
        <w:instrText>SEQ Figure \* ARABIC</w:instrText>
      </w:r>
      <w:r w:rsidRPr="005035ED">
        <w:fldChar w:fldCharType="separate"/>
      </w:r>
      <w:r w:rsidR="00CD752D">
        <w:rPr>
          <w:noProof/>
        </w:rPr>
        <w:t>1</w:t>
      </w:r>
      <w:r w:rsidRPr="005035ED">
        <w:fldChar w:fldCharType="end"/>
      </w:r>
      <w:bookmarkEnd w:id="0"/>
      <w:r w:rsidRPr="005035ED">
        <w:tab/>
        <w:t>Estimated assessed budgets per capita, 2021-22</w:t>
      </w:r>
    </w:p>
    <w:p w14:paraId="4C0C28DB" w14:textId="4933E494" w:rsidR="00840B4E" w:rsidRDefault="00B15E6D" w:rsidP="003548B9">
      <w:pPr>
        <w:keepNext/>
      </w:pPr>
      <w:r>
        <w:rPr>
          <w:noProof/>
        </w:rPr>
        <w:drawing>
          <wp:inline distT="0" distB="0" distL="0" distR="0" wp14:anchorId="66D4D768" wp14:editId="0E58A23A">
            <wp:extent cx="5619825" cy="3564000"/>
            <wp:effectExtent l="0" t="0" r="0" b="17780"/>
            <wp:docPr id="2" name="Chart 2">
              <a:extLst xmlns:a="http://schemas.openxmlformats.org/drawingml/2006/main">
                <a:ext uri="{FF2B5EF4-FFF2-40B4-BE49-F238E27FC236}">
                  <a16:creationId xmlns:a16="http://schemas.microsoft.com/office/drawing/2014/main" id="{49C20FE8-8269-4F17-8AD7-5481C3108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88386C" w14:textId="77777777" w:rsidR="00840B4E" w:rsidRPr="009D1342" w:rsidRDefault="00840B4E" w:rsidP="009D1342">
      <w:pPr>
        <w:pStyle w:val="CGCTablenote"/>
      </w:pPr>
      <w:r w:rsidRPr="009D1342">
        <w:t>Note:</w:t>
      </w:r>
      <w:r w:rsidRPr="009D1342">
        <w:tab/>
      </w:r>
      <w:r w:rsidRPr="009D1342">
        <w:tab/>
        <w:t>These are assessed expenses, own-source revenue, net borrowings, Commonwealth payments and GST revenue.</w:t>
      </w:r>
    </w:p>
    <w:p w14:paraId="49E93910" w14:textId="77777777" w:rsidR="00840B4E" w:rsidRPr="009D1342" w:rsidRDefault="00840B4E" w:rsidP="009D1342">
      <w:pPr>
        <w:pStyle w:val="CGCTablenote"/>
      </w:pPr>
      <w:r w:rsidRPr="009D1342">
        <w:tab/>
      </w:r>
      <w:r w:rsidRPr="009D1342">
        <w:tab/>
        <w:t>Assessed expenses and investment.</w:t>
      </w:r>
    </w:p>
    <w:p w14:paraId="133EECA3" w14:textId="52329A68" w:rsidR="006167F7" w:rsidRPr="009D1342" w:rsidRDefault="00840B4E" w:rsidP="009D1342">
      <w:pPr>
        <w:pStyle w:val="CGCTablenote"/>
      </w:pPr>
      <w:r w:rsidRPr="009D1342">
        <w:t>Source:</w:t>
      </w:r>
      <w:r w:rsidRPr="009D1342">
        <w:tab/>
        <w:t>Commission calculation, 2021 Update.</w:t>
      </w:r>
    </w:p>
    <w:p w14:paraId="63AF2980" w14:textId="77777777" w:rsidR="00BC260C" w:rsidRPr="00BC260C" w:rsidRDefault="00BC260C" w:rsidP="00BC260C"/>
    <w:p w14:paraId="7008EA2D" w14:textId="33EFE83F" w:rsidR="00840B4E" w:rsidRDefault="00840B4E" w:rsidP="005035ED">
      <w:pPr>
        <w:pStyle w:val="Caption"/>
      </w:pPr>
      <w:bookmarkStart w:id="1" w:name="_Ref80257258"/>
      <w:r>
        <w:t>Table </w:t>
      </w:r>
      <w:r>
        <w:fldChar w:fldCharType="begin"/>
      </w:r>
      <w:r>
        <w:instrText>SEQ Table \* ARABIC</w:instrText>
      </w:r>
      <w:r>
        <w:fldChar w:fldCharType="separate"/>
      </w:r>
      <w:r w:rsidR="00CD752D">
        <w:rPr>
          <w:noProof/>
        </w:rPr>
        <w:t>1</w:t>
      </w:r>
      <w:r>
        <w:fldChar w:fldCharType="end"/>
      </w:r>
      <w:bookmarkEnd w:id="1"/>
      <w:r>
        <w:tab/>
        <w:t>Proportion of assessed expenditure covered by assessed revenue sources, 2021-22</w:t>
      </w:r>
    </w:p>
    <w:tbl>
      <w:tblPr>
        <w:tblW w:w="8900" w:type="dxa"/>
        <w:tblLook w:val="04A0" w:firstRow="1" w:lastRow="0" w:firstColumn="1" w:lastColumn="0" w:noHBand="0" w:noVBand="1"/>
      </w:tblPr>
      <w:tblGrid>
        <w:gridCol w:w="1520"/>
        <w:gridCol w:w="820"/>
        <w:gridCol w:w="820"/>
        <w:gridCol w:w="820"/>
        <w:gridCol w:w="820"/>
        <w:gridCol w:w="820"/>
        <w:gridCol w:w="820"/>
        <w:gridCol w:w="820"/>
        <w:gridCol w:w="820"/>
        <w:gridCol w:w="820"/>
      </w:tblGrid>
      <w:tr w:rsidR="00840B4E" w:rsidRPr="00F868C6" w14:paraId="79AEAAEE" w14:textId="77777777" w:rsidTr="00A8350B">
        <w:trPr>
          <w:trHeight w:val="375"/>
        </w:trPr>
        <w:tc>
          <w:tcPr>
            <w:tcW w:w="1520" w:type="dxa"/>
            <w:tcBorders>
              <w:top w:val="single" w:sz="4" w:space="0" w:color="ADD6EA"/>
              <w:left w:val="nil"/>
              <w:bottom w:val="single" w:sz="4" w:space="0" w:color="ADD6EA"/>
              <w:right w:val="nil"/>
            </w:tcBorders>
            <w:shd w:val="clear" w:color="000000" w:fill="008069"/>
            <w:noWrap/>
            <w:vAlign w:val="center"/>
            <w:hideMark/>
          </w:tcPr>
          <w:p w14:paraId="210CACB2" w14:textId="77777777" w:rsidR="00840B4E" w:rsidRPr="00F868C6" w:rsidRDefault="00840B4E" w:rsidP="005324A3">
            <w:pPr>
              <w:tabs>
                <w:tab w:val="clear" w:pos="567"/>
              </w:tabs>
              <w:spacing w:before="0" w:line="240" w:lineRule="auto"/>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8069"/>
            <w:noWrap/>
            <w:vAlign w:val="center"/>
            <w:hideMark/>
          </w:tcPr>
          <w:p w14:paraId="7E49F550" w14:textId="77777777" w:rsidR="00840B4E" w:rsidRPr="00F868C6" w:rsidRDefault="00840B4E"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NSW</w:t>
            </w:r>
          </w:p>
        </w:tc>
        <w:tc>
          <w:tcPr>
            <w:tcW w:w="820" w:type="dxa"/>
            <w:tcBorders>
              <w:top w:val="single" w:sz="4" w:space="0" w:color="ADD6EA"/>
              <w:left w:val="nil"/>
              <w:bottom w:val="single" w:sz="4" w:space="0" w:color="ADD6EA"/>
              <w:right w:val="nil"/>
            </w:tcBorders>
            <w:shd w:val="clear" w:color="000000" w:fill="008069"/>
            <w:noWrap/>
            <w:vAlign w:val="center"/>
            <w:hideMark/>
          </w:tcPr>
          <w:p w14:paraId="7654F74B" w14:textId="77777777" w:rsidR="00840B4E" w:rsidRPr="00F868C6" w:rsidRDefault="00840B4E"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Vic</w:t>
            </w:r>
          </w:p>
        </w:tc>
        <w:tc>
          <w:tcPr>
            <w:tcW w:w="820" w:type="dxa"/>
            <w:tcBorders>
              <w:top w:val="single" w:sz="4" w:space="0" w:color="ADD6EA"/>
              <w:left w:val="nil"/>
              <w:bottom w:val="single" w:sz="4" w:space="0" w:color="ADD6EA"/>
              <w:right w:val="nil"/>
            </w:tcBorders>
            <w:shd w:val="clear" w:color="000000" w:fill="008069"/>
            <w:noWrap/>
            <w:vAlign w:val="center"/>
            <w:hideMark/>
          </w:tcPr>
          <w:p w14:paraId="349FF48E" w14:textId="77777777" w:rsidR="00840B4E" w:rsidRPr="00F868C6" w:rsidRDefault="00840B4E"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Qld</w:t>
            </w:r>
          </w:p>
        </w:tc>
        <w:tc>
          <w:tcPr>
            <w:tcW w:w="820" w:type="dxa"/>
            <w:tcBorders>
              <w:top w:val="single" w:sz="4" w:space="0" w:color="ADD6EA"/>
              <w:left w:val="nil"/>
              <w:bottom w:val="single" w:sz="4" w:space="0" w:color="ADD6EA"/>
              <w:right w:val="nil"/>
            </w:tcBorders>
            <w:shd w:val="clear" w:color="000000" w:fill="008069"/>
            <w:noWrap/>
            <w:vAlign w:val="center"/>
            <w:hideMark/>
          </w:tcPr>
          <w:p w14:paraId="7775AC3F" w14:textId="77777777" w:rsidR="00840B4E" w:rsidRPr="00F868C6" w:rsidRDefault="00840B4E"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WA</w:t>
            </w:r>
          </w:p>
        </w:tc>
        <w:tc>
          <w:tcPr>
            <w:tcW w:w="820" w:type="dxa"/>
            <w:tcBorders>
              <w:top w:val="single" w:sz="4" w:space="0" w:color="ADD6EA"/>
              <w:left w:val="nil"/>
              <w:bottom w:val="single" w:sz="4" w:space="0" w:color="ADD6EA"/>
              <w:right w:val="nil"/>
            </w:tcBorders>
            <w:shd w:val="clear" w:color="000000" w:fill="008069"/>
            <w:noWrap/>
            <w:vAlign w:val="center"/>
            <w:hideMark/>
          </w:tcPr>
          <w:p w14:paraId="785DE3B8" w14:textId="77777777" w:rsidR="00840B4E" w:rsidRPr="00F868C6" w:rsidRDefault="00840B4E"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SA</w:t>
            </w:r>
          </w:p>
        </w:tc>
        <w:tc>
          <w:tcPr>
            <w:tcW w:w="820" w:type="dxa"/>
            <w:tcBorders>
              <w:top w:val="single" w:sz="4" w:space="0" w:color="ADD6EA"/>
              <w:left w:val="nil"/>
              <w:bottom w:val="single" w:sz="4" w:space="0" w:color="ADD6EA"/>
              <w:right w:val="nil"/>
            </w:tcBorders>
            <w:shd w:val="clear" w:color="000000" w:fill="008069"/>
            <w:noWrap/>
            <w:vAlign w:val="center"/>
            <w:hideMark/>
          </w:tcPr>
          <w:p w14:paraId="44F60D58" w14:textId="77777777" w:rsidR="00840B4E" w:rsidRPr="00F868C6" w:rsidRDefault="00840B4E"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Tas</w:t>
            </w:r>
          </w:p>
        </w:tc>
        <w:tc>
          <w:tcPr>
            <w:tcW w:w="820" w:type="dxa"/>
            <w:tcBorders>
              <w:top w:val="single" w:sz="4" w:space="0" w:color="ADD6EA"/>
              <w:left w:val="nil"/>
              <w:bottom w:val="single" w:sz="4" w:space="0" w:color="ADD6EA"/>
              <w:right w:val="nil"/>
            </w:tcBorders>
            <w:shd w:val="clear" w:color="000000" w:fill="008069"/>
            <w:noWrap/>
            <w:vAlign w:val="center"/>
            <w:hideMark/>
          </w:tcPr>
          <w:p w14:paraId="2E6ABA6B" w14:textId="77777777" w:rsidR="00840B4E" w:rsidRPr="00F868C6" w:rsidRDefault="00840B4E"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ACT</w:t>
            </w:r>
          </w:p>
        </w:tc>
        <w:tc>
          <w:tcPr>
            <w:tcW w:w="820" w:type="dxa"/>
            <w:tcBorders>
              <w:top w:val="single" w:sz="4" w:space="0" w:color="ADD6EA"/>
              <w:left w:val="nil"/>
              <w:bottom w:val="single" w:sz="4" w:space="0" w:color="ADD6EA"/>
              <w:right w:val="nil"/>
            </w:tcBorders>
            <w:shd w:val="clear" w:color="000000" w:fill="008069"/>
            <w:noWrap/>
            <w:vAlign w:val="center"/>
            <w:hideMark/>
          </w:tcPr>
          <w:p w14:paraId="4F7E5F5B" w14:textId="77777777" w:rsidR="00840B4E" w:rsidRPr="00F868C6" w:rsidRDefault="00840B4E"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NT</w:t>
            </w:r>
          </w:p>
        </w:tc>
        <w:tc>
          <w:tcPr>
            <w:tcW w:w="820" w:type="dxa"/>
            <w:tcBorders>
              <w:top w:val="single" w:sz="4" w:space="0" w:color="ADD6EA"/>
              <w:left w:val="nil"/>
              <w:bottom w:val="single" w:sz="4" w:space="0" w:color="ADD6EA"/>
              <w:right w:val="nil"/>
            </w:tcBorders>
            <w:shd w:val="clear" w:color="000000" w:fill="008069"/>
            <w:vAlign w:val="center"/>
            <w:hideMark/>
          </w:tcPr>
          <w:p w14:paraId="3E1D00A6" w14:textId="77777777" w:rsidR="00840B4E" w:rsidRPr="00F868C6" w:rsidRDefault="00840B4E"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Ave</w:t>
            </w:r>
          </w:p>
        </w:tc>
      </w:tr>
      <w:tr w:rsidR="00840B4E" w:rsidRPr="00F868C6" w14:paraId="51403311" w14:textId="77777777" w:rsidTr="00A8350B">
        <w:trPr>
          <w:trHeight w:val="259"/>
        </w:trPr>
        <w:tc>
          <w:tcPr>
            <w:tcW w:w="1520" w:type="dxa"/>
            <w:tcBorders>
              <w:top w:val="nil"/>
              <w:left w:val="nil"/>
              <w:bottom w:val="nil"/>
              <w:right w:val="nil"/>
            </w:tcBorders>
            <w:shd w:val="clear" w:color="000000" w:fill="99CCC3"/>
            <w:noWrap/>
            <w:vAlign w:val="center"/>
            <w:hideMark/>
          </w:tcPr>
          <w:p w14:paraId="3CE0695E"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 </w:t>
            </w:r>
          </w:p>
        </w:tc>
        <w:tc>
          <w:tcPr>
            <w:tcW w:w="820" w:type="dxa"/>
            <w:tcBorders>
              <w:top w:val="nil"/>
              <w:left w:val="nil"/>
              <w:bottom w:val="nil"/>
              <w:right w:val="nil"/>
            </w:tcBorders>
            <w:shd w:val="clear" w:color="000000" w:fill="99CCC3"/>
            <w:noWrap/>
            <w:vAlign w:val="center"/>
            <w:hideMark/>
          </w:tcPr>
          <w:p w14:paraId="08370D33"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w:t>
            </w:r>
          </w:p>
        </w:tc>
        <w:tc>
          <w:tcPr>
            <w:tcW w:w="820" w:type="dxa"/>
            <w:tcBorders>
              <w:top w:val="nil"/>
              <w:left w:val="nil"/>
              <w:bottom w:val="nil"/>
              <w:right w:val="nil"/>
            </w:tcBorders>
            <w:shd w:val="clear" w:color="000000" w:fill="99CCC3"/>
            <w:noWrap/>
            <w:vAlign w:val="center"/>
            <w:hideMark/>
          </w:tcPr>
          <w:p w14:paraId="43020D08"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w:t>
            </w:r>
          </w:p>
        </w:tc>
        <w:tc>
          <w:tcPr>
            <w:tcW w:w="820" w:type="dxa"/>
            <w:tcBorders>
              <w:top w:val="nil"/>
              <w:left w:val="nil"/>
              <w:bottom w:val="nil"/>
              <w:right w:val="nil"/>
            </w:tcBorders>
            <w:shd w:val="clear" w:color="000000" w:fill="99CCC3"/>
            <w:noWrap/>
            <w:vAlign w:val="center"/>
            <w:hideMark/>
          </w:tcPr>
          <w:p w14:paraId="40BACBE4"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w:t>
            </w:r>
          </w:p>
        </w:tc>
        <w:tc>
          <w:tcPr>
            <w:tcW w:w="820" w:type="dxa"/>
            <w:tcBorders>
              <w:top w:val="nil"/>
              <w:left w:val="nil"/>
              <w:bottom w:val="nil"/>
              <w:right w:val="nil"/>
            </w:tcBorders>
            <w:shd w:val="clear" w:color="000000" w:fill="99CCC3"/>
            <w:noWrap/>
            <w:vAlign w:val="center"/>
            <w:hideMark/>
          </w:tcPr>
          <w:p w14:paraId="592CB774"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w:t>
            </w:r>
          </w:p>
        </w:tc>
        <w:tc>
          <w:tcPr>
            <w:tcW w:w="820" w:type="dxa"/>
            <w:tcBorders>
              <w:top w:val="nil"/>
              <w:left w:val="nil"/>
              <w:bottom w:val="nil"/>
              <w:right w:val="nil"/>
            </w:tcBorders>
            <w:shd w:val="clear" w:color="000000" w:fill="99CCC3"/>
            <w:noWrap/>
            <w:vAlign w:val="center"/>
            <w:hideMark/>
          </w:tcPr>
          <w:p w14:paraId="2386BDE0"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w:t>
            </w:r>
          </w:p>
        </w:tc>
        <w:tc>
          <w:tcPr>
            <w:tcW w:w="820" w:type="dxa"/>
            <w:tcBorders>
              <w:top w:val="nil"/>
              <w:left w:val="nil"/>
              <w:bottom w:val="nil"/>
              <w:right w:val="nil"/>
            </w:tcBorders>
            <w:shd w:val="clear" w:color="000000" w:fill="99CCC3"/>
            <w:noWrap/>
            <w:vAlign w:val="center"/>
            <w:hideMark/>
          </w:tcPr>
          <w:p w14:paraId="032F00F6"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w:t>
            </w:r>
          </w:p>
        </w:tc>
        <w:tc>
          <w:tcPr>
            <w:tcW w:w="820" w:type="dxa"/>
            <w:tcBorders>
              <w:top w:val="nil"/>
              <w:left w:val="nil"/>
              <w:bottom w:val="nil"/>
              <w:right w:val="nil"/>
            </w:tcBorders>
            <w:shd w:val="clear" w:color="000000" w:fill="99CCC3"/>
            <w:noWrap/>
            <w:vAlign w:val="center"/>
            <w:hideMark/>
          </w:tcPr>
          <w:p w14:paraId="3D4494E4"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w:t>
            </w:r>
          </w:p>
        </w:tc>
        <w:tc>
          <w:tcPr>
            <w:tcW w:w="820" w:type="dxa"/>
            <w:tcBorders>
              <w:top w:val="nil"/>
              <w:left w:val="nil"/>
              <w:bottom w:val="nil"/>
              <w:right w:val="nil"/>
            </w:tcBorders>
            <w:shd w:val="clear" w:color="000000" w:fill="99CCC3"/>
            <w:noWrap/>
            <w:vAlign w:val="center"/>
            <w:hideMark/>
          </w:tcPr>
          <w:p w14:paraId="0B10B92A"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w:t>
            </w:r>
          </w:p>
        </w:tc>
        <w:tc>
          <w:tcPr>
            <w:tcW w:w="820" w:type="dxa"/>
            <w:tcBorders>
              <w:top w:val="nil"/>
              <w:left w:val="nil"/>
              <w:bottom w:val="nil"/>
              <w:right w:val="nil"/>
            </w:tcBorders>
            <w:shd w:val="clear" w:color="000000" w:fill="99CCC3"/>
            <w:noWrap/>
            <w:vAlign w:val="center"/>
            <w:hideMark/>
          </w:tcPr>
          <w:p w14:paraId="1B9C2B92"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w:t>
            </w:r>
          </w:p>
        </w:tc>
      </w:tr>
      <w:tr w:rsidR="00840B4E" w:rsidRPr="00F868C6" w14:paraId="3F592D6A" w14:textId="77777777" w:rsidTr="00A8350B">
        <w:trPr>
          <w:trHeight w:val="315"/>
        </w:trPr>
        <w:tc>
          <w:tcPr>
            <w:tcW w:w="1520" w:type="dxa"/>
            <w:tcBorders>
              <w:top w:val="single" w:sz="4" w:space="0" w:color="CEE7B3"/>
              <w:left w:val="nil"/>
              <w:bottom w:val="nil"/>
              <w:right w:val="nil"/>
            </w:tcBorders>
            <w:shd w:val="clear" w:color="auto" w:fill="auto"/>
            <w:noWrap/>
            <w:vAlign w:val="bottom"/>
            <w:hideMark/>
          </w:tcPr>
          <w:p w14:paraId="26F3E167" w14:textId="77777777" w:rsidR="00840B4E" w:rsidRPr="00A8350B" w:rsidRDefault="00840B4E" w:rsidP="005324A3">
            <w:pPr>
              <w:tabs>
                <w:tab w:val="clear" w:pos="567"/>
              </w:tabs>
              <w:spacing w:before="0" w:line="240" w:lineRule="auto"/>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Mining revenue</w:t>
            </w:r>
          </w:p>
        </w:tc>
        <w:tc>
          <w:tcPr>
            <w:tcW w:w="820" w:type="dxa"/>
            <w:tcBorders>
              <w:top w:val="single" w:sz="4" w:space="0" w:color="CEE7B3"/>
              <w:left w:val="nil"/>
              <w:bottom w:val="nil"/>
              <w:right w:val="nil"/>
            </w:tcBorders>
            <w:shd w:val="clear" w:color="auto" w:fill="auto"/>
            <w:noWrap/>
            <w:vAlign w:val="bottom"/>
            <w:hideMark/>
          </w:tcPr>
          <w:p w14:paraId="751AF82B"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2</w:t>
            </w:r>
          </w:p>
        </w:tc>
        <w:tc>
          <w:tcPr>
            <w:tcW w:w="820" w:type="dxa"/>
            <w:tcBorders>
              <w:top w:val="single" w:sz="4" w:space="0" w:color="CEE7B3"/>
              <w:left w:val="nil"/>
              <w:bottom w:val="nil"/>
              <w:right w:val="nil"/>
            </w:tcBorders>
            <w:shd w:val="clear" w:color="auto" w:fill="auto"/>
            <w:noWrap/>
            <w:vAlign w:val="bottom"/>
            <w:hideMark/>
          </w:tcPr>
          <w:p w14:paraId="26AF7BF7"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0</w:t>
            </w:r>
          </w:p>
        </w:tc>
        <w:tc>
          <w:tcPr>
            <w:tcW w:w="820" w:type="dxa"/>
            <w:tcBorders>
              <w:top w:val="single" w:sz="4" w:space="0" w:color="CEE7B3"/>
              <w:left w:val="nil"/>
              <w:bottom w:val="nil"/>
              <w:right w:val="nil"/>
            </w:tcBorders>
            <w:shd w:val="clear" w:color="auto" w:fill="auto"/>
            <w:noWrap/>
            <w:vAlign w:val="bottom"/>
            <w:hideMark/>
          </w:tcPr>
          <w:p w14:paraId="35336D66"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8</w:t>
            </w:r>
          </w:p>
        </w:tc>
        <w:tc>
          <w:tcPr>
            <w:tcW w:w="820" w:type="dxa"/>
            <w:tcBorders>
              <w:top w:val="single" w:sz="4" w:space="0" w:color="CEE7B3"/>
              <w:left w:val="nil"/>
              <w:bottom w:val="nil"/>
              <w:right w:val="nil"/>
            </w:tcBorders>
            <w:shd w:val="clear" w:color="auto" w:fill="auto"/>
            <w:noWrap/>
            <w:vAlign w:val="bottom"/>
            <w:hideMark/>
          </w:tcPr>
          <w:p w14:paraId="10F8C483"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24</w:t>
            </w:r>
          </w:p>
        </w:tc>
        <w:tc>
          <w:tcPr>
            <w:tcW w:w="820" w:type="dxa"/>
            <w:tcBorders>
              <w:top w:val="single" w:sz="4" w:space="0" w:color="CEE7B3"/>
              <w:left w:val="nil"/>
              <w:bottom w:val="nil"/>
              <w:right w:val="nil"/>
            </w:tcBorders>
            <w:shd w:val="clear" w:color="auto" w:fill="auto"/>
            <w:noWrap/>
            <w:vAlign w:val="bottom"/>
            <w:hideMark/>
          </w:tcPr>
          <w:p w14:paraId="3297A2FE"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2</w:t>
            </w:r>
          </w:p>
        </w:tc>
        <w:tc>
          <w:tcPr>
            <w:tcW w:w="820" w:type="dxa"/>
            <w:tcBorders>
              <w:top w:val="single" w:sz="4" w:space="0" w:color="CEE7B3"/>
              <w:left w:val="nil"/>
              <w:bottom w:val="nil"/>
              <w:right w:val="nil"/>
            </w:tcBorders>
            <w:shd w:val="clear" w:color="auto" w:fill="auto"/>
            <w:noWrap/>
            <w:vAlign w:val="bottom"/>
            <w:hideMark/>
          </w:tcPr>
          <w:p w14:paraId="7E54B619"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w:t>
            </w:r>
          </w:p>
        </w:tc>
        <w:tc>
          <w:tcPr>
            <w:tcW w:w="820" w:type="dxa"/>
            <w:tcBorders>
              <w:top w:val="single" w:sz="4" w:space="0" w:color="CEE7B3"/>
              <w:left w:val="nil"/>
              <w:bottom w:val="nil"/>
              <w:right w:val="nil"/>
            </w:tcBorders>
            <w:shd w:val="clear" w:color="auto" w:fill="auto"/>
            <w:noWrap/>
            <w:vAlign w:val="bottom"/>
            <w:hideMark/>
          </w:tcPr>
          <w:p w14:paraId="12DAD665"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0</w:t>
            </w:r>
          </w:p>
        </w:tc>
        <w:tc>
          <w:tcPr>
            <w:tcW w:w="820" w:type="dxa"/>
            <w:tcBorders>
              <w:top w:val="single" w:sz="4" w:space="0" w:color="CEE7B3"/>
              <w:left w:val="nil"/>
              <w:bottom w:val="nil"/>
              <w:right w:val="nil"/>
            </w:tcBorders>
            <w:shd w:val="clear" w:color="auto" w:fill="auto"/>
            <w:noWrap/>
            <w:vAlign w:val="bottom"/>
            <w:hideMark/>
          </w:tcPr>
          <w:p w14:paraId="705F9729"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4</w:t>
            </w:r>
          </w:p>
        </w:tc>
        <w:tc>
          <w:tcPr>
            <w:tcW w:w="820" w:type="dxa"/>
            <w:tcBorders>
              <w:top w:val="single" w:sz="4" w:space="0" w:color="CEE7B3"/>
              <w:left w:val="nil"/>
              <w:bottom w:val="nil"/>
              <w:right w:val="nil"/>
            </w:tcBorders>
            <w:shd w:val="clear" w:color="auto" w:fill="auto"/>
            <w:noWrap/>
            <w:vAlign w:val="bottom"/>
            <w:hideMark/>
          </w:tcPr>
          <w:p w14:paraId="1E37021F"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5</w:t>
            </w:r>
          </w:p>
        </w:tc>
      </w:tr>
      <w:tr w:rsidR="00840B4E" w:rsidRPr="00F868C6" w14:paraId="2C1AD49E" w14:textId="77777777" w:rsidTr="00A8350B">
        <w:trPr>
          <w:trHeight w:val="315"/>
        </w:trPr>
        <w:tc>
          <w:tcPr>
            <w:tcW w:w="1520" w:type="dxa"/>
            <w:tcBorders>
              <w:top w:val="single" w:sz="4" w:space="0" w:color="CEE7B3"/>
              <w:left w:val="nil"/>
              <w:bottom w:val="nil"/>
              <w:right w:val="nil"/>
            </w:tcBorders>
            <w:shd w:val="clear" w:color="auto" w:fill="auto"/>
            <w:noWrap/>
            <w:vAlign w:val="bottom"/>
            <w:hideMark/>
          </w:tcPr>
          <w:p w14:paraId="5B30004A" w14:textId="77777777" w:rsidR="00840B4E" w:rsidRPr="00A8350B" w:rsidRDefault="00840B4E" w:rsidP="005324A3">
            <w:pPr>
              <w:tabs>
                <w:tab w:val="clear" w:pos="567"/>
              </w:tabs>
              <w:spacing w:before="0" w:line="240" w:lineRule="auto"/>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Other revenues</w:t>
            </w:r>
          </w:p>
        </w:tc>
        <w:tc>
          <w:tcPr>
            <w:tcW w:w="820" w:type="dxa"/>
            <w:tcBorders>
              <w:top w:val="single" w:sz="4" w:space="0" w:color="CEE7B3"/>
              <w:left w:val="nil"/>
              <w:bottom w:val="nil"/>
              <w:right w:val="nil"/>
            </w:tcBorders>
            <w:shd w:val="clear" w:color="auto" w:fill="auto"/>
            <w:noWrap/>
            <w:vAlign w:val="bottom"/>
            <w:hideMark/>
          </w:tcPr>
          <w:p w14:paraId="5B880D58"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48</w:t>
            </w:r>
          </w:p>
        </w:tc>
        <w:tc>
          <w:tcPr>
            <w:tcW w:w="820" w:type="dxa"/>
            <w:tcBorders>
              <w:top w:val="single" w:sz="4" w:space="0" w:color="CEE7B3"/>
              <w:left w:val="nil"/>
              <w:bottom w:val="nil"/>
              <w:right w:val="nil"/>
            </w:tcBorders>
            <w:shd w:val="clear" w:color="auto" w:fill="auto"/>
            <w:noWrap/>
            <w:vAlign w:val="bottom"/>
            <w:hideMark/>
          </w:tcPr>
          <w:p w14:paraId="0D74C97B"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49</w:t>
            </w:r>
          </w:p>
        </w:tc>
        <w:tc>
          <w:tcPr>
            <w:tcW w:w="820" w:type="dxa"/>
            <w:tcBorders>
              <w:top w:val="single" w:sz="4" w:space="0" w:color="CEE7B3"/>
              <w:left w:val="nil"/>
              <w:bottom w:val="nil"/>
              <w:right w:val="nil"/>
            </w:tcBorders>
            <w:shd w:val="clear" w:color="auto" w:fill="auto"/>
            <w:noWrap/>
            <w:vAlign w:val="bottom"/>
            <w:hideMark/>
          </w:tcPr>
          <w:p w14:paraId="5462255C"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39</w:t>
            </w:r>
          </w:p>
        </w:tc>
        <w:tc>
          <w:tcPr>
            <w:tcW w:w="820" w:type="dxa"/>
            <w:tcBorders>
              <w:top w:val="single" w:sz="4" w:space="0" w:color="CEE7B3"/>
              <w:left w:val="nil"/>
              <w:bottom w:val="nil"/>
              <w:right w:val="nil"/>
            </w:tcBorders>
            <w:shd w:val="clear" w:color="auto" w:fill="auto"/>
            <w:noWrap/>
            <w:vAlign w:val="bottom"/>
            <w:hideMark/>
          </w:tcPr>
          <w:p w14:paraId="544024AB"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44</w:t>
            </w:r>
          </w:p>
        </w:tc>
        <w:tc>
          <w:tcPr>
            <w:tcW w:w="820" w:type="dxa"/>
            <w:tcBorders>
              <w:top w:val="single" w:sz="4" w:space="0" w:color="CEE7B3"/>
              <w:left w:val="nil"/>
              <w:bottom w:val="nil"/>
              <w:right w:val="nil"/>
            </w:tcBorders>
            <w:shd w:val="clear" w:color="auto" w:fill="auto"/>
            <w:noWrap/>
            <w:vAlign w:val="bottom"/>
            <w:hideMark/>
          </w:tcPr>
          <w:p w14:paraId="3BCBA3B1"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38</w:t>
            </w:r>
          </w:p>
        </w:tc>
        <w:tc>
          <w:tcPr>
            <w:tcW w:w="820" w:type="dxa"/>
            <w:tcBorders>
              <w:top w:val="single" w:sz="4" w:space="0" w:color="CEE7B3"/>
              <w:left w:val="nil"/>
              <w:bottom w:val="nil"/>
              <w:right w:val="nil"/>
            </w:tcBorders>
            <w:shd w:val="clear" w:color="auto" w:fill="auto"/>
            <w:noWrap/>
            <w:vAlign w:val="bottom"/>
            <w:hideMark/>
          </w:tcPr>
          <w:p w14:paraId="0E53828A"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32</w:t>
            </w:r>
          </w:p>
        </w:tc>
        <w:tc>
          <w:tcPr>
            <w:tcW w:w="820" w:type="dxa"/>
            <w:tcBorders>
              <w:top w:val="single" w:sz="4" w:space="0" w:color="CEE7B3"/>
              <w:left w:val="nil"/>
              <w:bottom w:val="nil"/>
              <w:right w:val="nil"/>
            </w:tcBorders>
            <w:shd w:val="clear" w:color="auto" w:fill="auto"/>
            <w:noWrap/>
            <w:vAlign w:val="bottom"/>
            <w:hideMark/>
          </w:tcPr>
          <w:p w14:paraId="34C39551"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43</w:t>
            </w:r>
          </w:p>
        </w:tc>
        <w:tc>
          <w:tcPr>
            <w:tcW w:w="820" w:type="dxa"/>
            <w:tcBorders>
              <w:top w:val="single" w:sz="4" w:space="0" w:color="CEE7B3"/>
              <w:left w:val="nil"/>
              <w:bottom w:val="nil"/>
              <w:right w:val="nil"/>
            </w:tcBorders>
            <w:shd w:val="clear" w:color="auto" w:fill="auto"/>
            <w:noWrap/>
            <w:vAlign w:val="bottom"/>
            <w:hideMark/>
          </w:tcPr>
          <w:p w14:paraId="4E440C35"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20</w:t>
            </w:r>
          </w:p>
        </w:tc>
        <w:tc>
          <w:tcPr>
            <w:tcW w:w="820" w:type="dxa"/>
            <w:tcBorders>
              <w:top w:val="single" w:sz="4" w:space="0" w:color="CEE7B3"/>
              <w:left w:val="nil"/>
              <w:bottom w:val="nil"/>
              <w:right w:val="nil"/>
            </w:tcBorders>
            <w:shd w:val="clear" w:color="auto" w:fill="auto"/>
            <w:noWrap/>
            <w:vAlign w:val="bottom"/>
            <w:hideMark/>
          </w:tcPr>
          <w:p w14:paraId="2395278B"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44</w:t>
            </w:r>
          </w:p>
        </w:tc>
      </w:tr>
      <w:tr w:rsidR="00840B4E" w:rsidRPr="00F868C6" w14:paraId="023D28B8" w14:textId="77777777" w:rsidTr="00A8350B">
        <w:trPr>
          <w:trHeight w:val="315"/>
        </w:trPr>
        <w:tc>
          <w:tcPr>
            <w:tcW w:w="1520" w:type="dxa"/>
            <w:tcBorders>
              <w:top w:val="single" w:sz="4" w:space="0" w:color="CEE7B3"/>
              <w:left w:val="nil"/>
              <w:bottom w:val="nil"/>
              <w:right w:val="nil"/>
            </w:tcBorders>
            <w:shd w:val="clear" w:color="auto" w:fill="auto"/>
            <w:noWrap/>
            <w:vAlign w:val="bottom"/>
            <w:hideMark/>
          </w:tcPr>
          <w:p w14:paraId="1C5B7210" w14:textId="77777777" w:rsidR="00840B4E" w:rsidRPr="00A8350B" w:rsidRDefault="00840B4E" w:rsidP="005324A3">
            <w:pPr>
              <w:tabs>
                <w:tab w:val="clear" w:pos="567"/>
              </w:tabs>
              <w:spacing w:before="0" w:line="240" w:lineRule="auto"/>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Net borrowing</w:t>
            </w:r>
          </w:p>
        </w:tc>
        <w:tc>
          <w:tcPr>
            <w:tcW w:w="820" w:type="dxa"/>
            <w:tcBorders>
              <w:top w:val="single" w:sz="4" w:space="0" w:color="CEE7B3"/>
              <w:left w:val="nil"/>
              <w:bottom w:val="nil"/>
              <w:right w:val="nil"/>
            </w:tcBorders>
            <w:shd w:val="clear" w:color="auto" w:fill="auto"/>
            <w:noWrap/>
            <w:vAlign w:val="bottom"/>
            <w:hideMark/>
          </w:tcPr>
          <w:p w14:paraId="7B33A048"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w:t>
            </w:r>
          </w:p>
        </w:tc>
        <w:tc>
          <w:tcPr>
            <w:tcW w:w="820" w:type="dxa"/>
            <w:tcBorders>
              <w:top w:val="single" w:sz="4" w:space="0" w:color="CEE7B3"/>
              <w:left w:val="nil"/>
              <w:bottom w:val="nil"/>
              <w:right w:val="nil"/>
            </w:tcBorders>
            <w:shd w:val="clear" w:color="auto" w:fill="auto"/>
            <w:noWrap/>
            <w:vAlign w:val="bottom"/>
            <w:hideMark/>
          </w:tcPr>
          <w:p w14:paraId="0698ED82"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11</w:t>
            </w:r>
          </w:p>
        </w:tc>
        <w:tc>
          <w:tcPr>
            <w:tcW w:w="820" w:type="dxa"/>
            <w:tcBorders>
              <w:top w:val="single" w:sz="4" w:space="0" w:color="CEE7B3"/>
              <w:left w:val="nil"/>
              <w:bottom w:val="nil"/>
              <w:right w:val="nil"/>
            </w:tcBorders>
            <w:shd w:val="clear" w:color="auto" w:fill="auto"/>
            <w:noWrap/>
            <w:vAlign w:val="bottom"/>
            <w:hideMark/>
          </w:tcPr>
          <w:p w14:paraId="33DC57BD"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w:t>
            </w:r>
          </w:p>
        </w:tc>
        <w:tc>
          <w:tcPr>
            <w:tcW w:w="820" w:type="dxa"/>
            <w:tcBorders>
              <w:top w:val="single" w:sz="4" w:space="0" w:color="CEE7B3"/>
              <w:left w:val="nil"/>
              <w:bottom w:val="nil"/>
              <w:right w:val="nil"/>
            </w:tcBorders>
            <w:shd w:val="clear" w:color="auto" w:fill="auto"/>
            <w:noWrap/>
            <w:vAlign w:val="bottom"/>
            <w:hideMark/>
          </w:tcPr>
          <w:p w14:paraId="271EBA63"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9</w:t>
            </w:r>
          </w:p>
        </w:tc>
        <w:tc>
          <w:tcPr>
            <w:tcW w:w="820" w:type="dxa"/>
            <w:tcBorders>
              <w:top w:val="single" w:sz="4" w:space="0" w:color="CEE7B3"/>
              <w:left w:val="nil"/>
              <w:bottom w:val="nil"/>
              <w:right w:val="nil"/>
            </w:tcBorders>
            <w:shd w:val="clear" w:color="auto" w:fill="auto"/>
            <w:noWrap/>
            <w:vAlign w:val="bottom"/>
            <w:hideMark/>
          </w:tcPr>
          <w:p w14:paraId="60E141CD"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w:t>
            </w:r>
          </w:p>
        </w:tc>
        <w:tc>
          <w:tcPr>
            <w:tcW w:w="820" w:type="dxa"/>
            <w:tcBorders>
              <w:top w:val="single" w:sz="4" w:space="0" w:color="CEE7B3"/>
              <w:left w:val="nil"/>
              <w:bottom w:val="nil"/>
              <w:right w:val="nil"/>
            </w:tcBorders>
            <w:shd w:val="clear" w:color="auto" w:fill="auto"/>
            <w:noWrap/>
            <w:vAlign w:val="bottom"/>
            <w:hideMark/>
          </w:tcPr>
          <w:p w14:paraId="3CA64D82"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9</w:t>
            </w:r>
          </w:p>
        </w:tc>
        <w:tc>
          <w:tcPr>
            <w:tcW w:w="820" w:type="dxa"/>
            <w:tcBorders>
              <w:top w:val="single" w:sz="4" w:space="0" w:color="CEE7B3"/>
              <w:left w:val="nil"/>
              <w:bottom w:val="nil"/>
              <w:right w:val="nil"/>
            </w:tcBorders>
            <w:shd w:val="clear" w:color="auto" w:fill="auto"/>
            <w:noWrap/>
            <w:vAlign w:val="bottom"/>
            <w:hideMark/>
          </w:tcPr>
          <w:p w14:paraId="52F84D9D"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11</w:t>
            </w:r>
          </w:p>
        </w:tc>
        <w:tc>
          <w:tcPr>
            <w:tcW w:w="820" w:type="dxa"/>
            <w:tcBorders>
              <w:top w:val="single" w:sz="4" w:space="0" w:color="CEE7B3"/>
              <w:left w:val="nil"/>
              <w:bottom w:val="nil"/>
              <w:right w:val="nil"/>
            </w:tcBorders>
            <w:shd w:val="clear" w:color="auto" w:fill="auto"/>
            <w:noWrap/>
            <w:vAlign w:val="bottom"/>
            <w:hideMark/>
          </w:tcPr>
          <w:p w14:paraId="1AC674A0"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4</w:t>
            </w:r>
          </w:p>
        </w:tc>
        <w:tc>
          <w:tcPr>
            <w:tcW w:w="820" w:type="dxa"/>
            <w:tcBorders>
              <w:top w:val="single" w:sz="4" w:space="0" w:color="CEE7B3"/>
              <w:left w:val="nil"/>
              <w:bottom w:val="nil"/>
              <w:right w:val="nil"/>
            </w:tcBorders>
            <w:shd w:val="clear" w:color="auto" w:fill="auto"/>
            <w:noWrap/>
            <w:vAlign w:val="bottom"/>
            <w:hideMark/>
          </w:tcPr>
          <w:p w14:paraId="4A74E9E1"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w:t>
            </w:r>
          </w:p>
        </w:tc>
      </w:tr>
      <w:tr w:rsidR="00840B4E" w:rsidRPr="00F868C6" w14:paraId="2BD238FB" w14:textId="77777777" w:rsidTr="00A8350B">
        <w:trPr>
          <w:trHeight w:val="555"/>
        </w:trPr>
        <w:tc>
          <w:tcPr>
            <w:tcW w:w="1520" w:type="dxa"/>
            <w:tcBorders>
              <w:top w:val="single" w:sz="4" w:space="0" w:color="CEE7B3"/>
              <w:left w:val="nil"/>
              <w:bottom w:val="single" w:sz="4" w:space="0" w:color="94EA9E"/>
              <w:right w:val="nil"/>
            </w:tcBorders>
            <w:shd w:val="clear" w:color="auto" w:fill="auto"/>
            <w:vAlign w:val="bottom"/>
            <w:hideMark/>
          </w:tcPr>
          <w:p w14:paraId="7F4FD55C" w14:textId="77777777" w:rsidR="00840B4E" w:rsidRPr="00A8350B" w:rsidRDefault="00840B4E" w:rsidP="005324A3">
            <w:pPr>
              <w:tabs>
                <w:tab w:val="clear" w:pos="567"/>
              </w:tabs>
              <w:spacing w:before="0" w:line="240" w:lineRule="auto"/>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Commonwealth payments</w:t>
            </w:r>
          </w:p>
        </w:tc>
        <w:tc>
          <w:tcPr>
            <w:tcW w:w="820" w:type="dxa"/>
            <w:tcBorders>
              <w:top w:val="single" w:sz="4" w:space="0" w:color="CEE7B3"/>
              <w:left w:val="nil"/>
              <w:bottom w:val="single" w:sz="4" w:space="0" w:color="94EA9E"/>
              <w:right w:val="nil"/>
            </w:tcBorders>
            <w:shd w:val="clear" w:color="auto" w:fill="auto"/>
            <w:noWrap/>
            <w:vAlign w:val="bottom"/>
            <w:hideMark/>
          </w:tcPr>
          <w:p w14:paraId="34B9254F"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16</w:t>
            </w:r>
          </w:p>
        </w:tc>
        <w:tc>
          <w:tcPr>
            <w:tcW w:w="820" w:type="dxa"/>
            <w:tcBorders>
              <w:top w:val="single" w:sz="4" w:space="0" w:color="CEE7B3"/>
              <w:left w:val="nil"/>
              <w:bottom w:val="single" w:sz="4" w:space="0" w:color="94EA9E"/>
              <w:right w:val="nil"/>
            </w:tcBorders>
            <w:shd w:val="clear" w:color="auto" w:fill="auto"/>
            <w:noWrap/>
            <w:vAlign w:val="bottom"/>
            <w:hideMark/>
          </w:tcPr>
          <w:p w14:paraId="3DD90E0F"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15</w:t>
            </w:r>
          </w:p>
        </w:tc>
        <w:tc>
          <w:tcPr>
            <w:tcW w:w="820" w:type="dxa"/>
            <w:tcBorders>
              <w:top w:val="single" w:sz="4" w:space="0" w:color="CEE7B3"/>
              <w:left w:val="nil"/>
              <w:bottom w:val="single" w:sz="4" w:space="0" w:color="94EA9E"/>
              <w:right w:val="nil"/>
            </w:tcBorders>
            <w:shd w:val="clear" w:color="auto" w:fill="auto"/>
            <w:noWrap/>
            <w:vAlign w:val="bottom"/>
            <w:hideMark/>
          </w:tcPr>
          <w:p w14:paraId="4AFD1E6E"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17</w:t>
            </w:r>
          </w:p>
        </w:tc>
        <w:tc>
          <w:tcPr>
            <w:tcW w:w="820" w:type="dxa"/>
            <w:tcBorders>
              <w:top w:val="single" w:sz="4" w:space="0" w:color="CEE7B3"/>
              <w:left w:val="nil"/>
              <w:bottom w:val="single" w:sz="4" w:space="0" w:color="94EA9E"/>
              <w:right w:val="nil"/>
            </w:tcBorders>
            <w:shd w:val="clear" w:color="auto" w:fill="auto"/>
            <w:noWrap/>
            <w:vAlign w:val="bottom"/>
            <w:hideMark/>
          </w:tcPr>
          <w:p w14:paraId="6B8538A7"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15</w:t>
            </w:r>
          </w:p>
        </w:tc>
        <w:tc>
          <w:tcPr>
            <w:tcW w:w="820" w:type="dxa"/>
            <w:tcBorders>
              <w:top w:val="single" w:sz="4" w:space="0" w:color="CEE7B3"/>
              <w:left w:val="nil"/>
              <w:bottom w:val="single" w:sz="4" w:space="0" w:color="94EA9E"/>
              <w:right w:val="nil"/>
            </w:tcBorders>
            <w:shd w:val="clear" w:color="auto" w:fill="auto"/>
            <w:noWrap/>
            <w:vAlign w:val="bottom"/>
            <w:hideMark/>
          </w:tcPr>
          <w:p w14:paraId="70DB3E93"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17</w:t>
            </w:r>
          </w:p>
        </w:tc>
        <w:tc>
          <w:tcPr>
            <w:tcW w:w="820" w:type="dxa"/>
            <w:tcBorders>
              <w:top w:val="single" w:sz="4" w:space="0" w:color="CEE7B3"/>
              <w:left w:val="nil"/>
              <w:bottom w:val="single" w:sz="4" w:space="0" w:color="94EA9E"/>
              <w:right w:val="nil"/>
            </w:tcBorders>
            <w:shd w:val="clear" w:color="auto" w:fill="auto"/>
            <w:noWrap/>
            <w:vAlign w:val="bottom"/>
            <w:hideMark/>
          </w:tcPr>
          <w:p w14:paraId="25FC7A6D"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16</w:t>
            </w:r>
          </w:p>
        </w:tc>
        <w:tc>
          <w:tcPr>
            <w:tcW w:w="820" w:type="dxa"/>
            <w:tcBorders>
              <w:top w:val="single" w:sz="4" w:space="0" w:color="CEE7B3"/>
              <w:left w:val="nil"/>
              <w:bottom w:val="single" w:sz="4" w:space="0" w:color="94EA9E"/>
              <w:right w:val="nil"/>
            </w:tcBorders>
            <w:shd w:val="clear" w:color="auto" w:fill="auto"/>
            <w:noWrap/>
            <w:vAlign w:val="bottom"/>
            <w:hideMark/>
          </w:tcPr>
          <w:p w14:paraId="61F16629"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15</w:t>
            </w:r>
          </w:p>
        </w:tc>
        <w:tc>
          <w:tcPr>
            <w:tcW w:w="820" w:type="dxa"/>
            <w:tcBorders>
              <w:top w:val="single" w:sz="4" w:space="0" w:color="CEE7B3"/>
              <w:left w:val="nil"/>
              <w:bottom w:val="single" w:sz="4" w:space="0" w:color="94EA9E"/>
              <w:right w:val="nil"/>
            </w:tcBorders>
            <w:shd w:val="clear" w:color="auto" w:fill="auto"/>
            <w:noWrap/>
            <w:vAlign w:val="bottom"/>
            <w:hideMark/>
          </w:tcPr>
          <w:p w14:paraId="04E92670" w14:textId="34EE0479"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15</w:t>
            </w:r>
          </w:p>
        </w:tc>
        <w:tc>
          <w:tcPr>
            <w:tcW w:w="820" w:type="dxa"/>
            <w:tcBorders>
              <w:top w:val="single" w:sz="4" w:space="0" w:color="CEE7B3"/>
              <w:left w:val="nil"/>
              <w:bottom w:val="single" w:sz="4" w:space="0" w:color="94EA9E"/>
              <w:right w:val="nil"/>
            </w:tcBorders>
            <w:shd w:val="clear" w:color="auto" w:fill="auto"/>
            <w:noWrap/>
            <w:vAlign w:val="bottom"/>
            <w:hideMark/>
          </w:tcPr>
          <w:p w14:paraId="7F744D9B"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16</w:t>
            </w:r>
          </w:p>
        </w:tc>
      </w:tr>
      <w:tr w:rsidR="00840B4E" w:rsidRPr="00F868C6" w14:paraId="3B4DF88A" w14:textId="77777777" w:rsidTr="005324A3">
        <w:trPr>
          <w:trHeight w:val="315"/>
        </w:trPr>
        <w:tc>
          <w:tcPr>
            <w:tcW w:w="1520" w:type="dxa"/>
            <w:tcBorders>
              <w:top w:val="nil"/>
              <w:left w:val="nil"/>
              <w:bottom w:val="single" w:sz="4" w:space="0" w:color="ADD6EA"/>
              <w:right w:val="nil"/>
            </w:tcBorders>
            <w:shd w:val="clear" w:color="auto" w:fill="auto"/>
            <w:noWrap/>
            <w:vAlign w:val="bottom"/>
            <w:hideMark/>
          </w:tcPr>
          <w:p w14:paraId="3AE0D0D2" w14:textId="77777777" w:rsidR="00840B4E" w:rsidRPr="00A8350B" w:rsidRDefault="00840B4E" w:rsidP="005324A3">
            <w:pPr>
              <w:tabs>
                <w:tab w:val="clear" w:pos="567"/>
              </w:tabs>
              <w:spacing w:before="0" w:line="240" w:lineRule="auto"/>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GST required</w:t>
            </w:r>
          </w:p>
        </w:tc>
        <w:tc>
          <w:tcPr>
            <w:tcW w:w="820" w:type="dxa"/>
            <w:tcBorders>
              <w:top w:val="nil"/>
              <w:left w:val="nil"/>
              <w:bottom w:val="single" w:sz="4" w:space="0" w:color="ADD6EA"/>
              <w:right w:val="nil"/>
            </w:tcBorders>
            <w:shd w:val="clear" w:color="auto" w:fill="auto"/>
            <w:noWrap/>
            <w:vAlign w:val="bottom"/>
            <w:hideMark/>
          </w:tcPr>
          <w:p w14:paraId="5DB7E7BF"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24</w:t>
            </w:r>
          </w:p>
        </w:tc>
        <w:tc>
          <w:tcPr>
            <w:tcW w:w="820" w:type="dxa"/>
            <w:tcBorders>
              <w:top w:val="nil"/>
              <w:left w:val="nil"/>
              <w:bottom w:val="single" w:sz="4" w:space="0" w:color="ADD6EA"/>
              <w:right w:val="nil"/>
            </w:tcBorders>
            <w:shd w:val="clear" w:color="auto" w:fill="auto"/>
            <w:noWrap/>
            <w:vAlign w:val="bottom"/>
            <w:hideMark/>
          </w:tcPr>
          <w:p w14:paraId="734273F5"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24</w:t>
            </w:r>
          </w:p>
        </w:tc>
        <w:tc>
          <w:tcPr>
            <w:tcW w:w="820" w:type="dxa"/>
            <w:tcBorders>
              <w:top w:val="nil"/>
              <w:left w:val="nil"/>
              <w:bottom w:val="single" w:sz="4" w:space="0" w:color="ADD6EA"/>
              <w:right w:val="nil"/>
            </w:tcBorders>
            <w:shd w:val="clear" w:color="auto" w:fill="auto"/>
            <w:noWrap/>
            <w:vAlign w:val="bottom"/>
            <w:hideMark/>
          </w:tcPr>
          <w:p w14:paraId="57677B95"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25</w:t>
            </w:r>
          </w:p>
        </w:tc>
        <w:tc>
          <w:tcPr>
            <w:tcW w:w="820" w:type="dxa"/>
            <w:tcBorders>
              <w:top w:val="nil"/>
              <w:left w:val="nil"/>
              <w:bottom w:val="single" w:sz="4" w:space="0" w:color="ADD6EA"/>
              <w:right w:val="nil"/>
            </w:tcBorders>
            <w:shd w:val="clear" w:color="auto" w:fill="auto"/>
            <w:noWrap/>
            <w:vAlign w:val="bottom"/>
            <w:hideMark/>
          </w:tcPr>
          <w:p w14:paraId="37FCED74"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7</w:t>
            </w:r>
          </w:p>
        </w:tc>
        <w:tc>
          <w:tcPr>
            <w:tcW w:w="820" w:type="dxa"/>
            <w:tcBorders>
              <w:top w:val="nil"/>
              <w:left w:val="nil"/>
              <w:bottom w:val="single" w:sz="4" w:space="0" w:color="ADD6EA"/>
              <w:right w:val="nil"/>
            </w:tcBorders>
            <w:shd w:val="clear" w:color="auto" w:fill="auto"/>
            <w:noWrap/>
            <w:vAlign w:val="bottom"/>
            <w:hideMark/>
          </w:tcPr>
          <w:p w14:paraId="7D2E4B4F"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33</w:t>
            </w:r>
          </w:p>
        </w:tc>
        <w:tc>
          <w:tcPr>
            <w:tcW w:w="820" w:type="dxa"/>
            <w:tcBorders>
              <w:top w:val="nil"/>
              <w:left w:val="nil"/>
              <w:bottom w:val="single" w:sz="4" w:space="0" w:color="ADD6EA"/>
              <w:right w:val="nil"/>
            </w:tcBorders>
            <w:shd w:val="clear" w:color="auto" w:fill="auto"/>
            <w:noWrap/>
            <w:vAlign w:val="bottom"/>
            <w:hideMark/>
          </w:tcPr>
          <w:p w14:paraId="740C2389"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42</w:t>
            </w:r>
          </w:p>
        </w:tc>
        <w:tc>
          <w:tcPr>
            <w:tcW w:w="820" w:type="dxa"/>
            <w:tcBorders>
              <w:top w:val="nil"/>
              <w:left w:val="nil"/>
              <w:bottom w:val="single" w:sz="4" w:space="0" w:color="ADD6EA"/>
              <w:right w:val="nil"/>
            </w:tcBorders>
            <w:shd w:val="clear" w:color="auto" w:fill="auto"/>
            <w:noWrap/>
            <w:vAlign w:val="bottom"/>
            <w:hideMark/>
          </w:tcPr>
          <w:p w14:paraId="10BC3921"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30</w:t>
            </w:r>
          </w:p>
        </w:tc>
        <w:tc>
          <w:tcPr>
            <w:tcW w:w="820" w:type="dxa"/>
            <w:tcBorders>
              <w:top w:val="nil"/>
              <w:left w:val="nil"/>
              <w:bottom w:val="single" w:sz="4" w:space="0" w:color="ADD6EA"/>
              <w:right w:val="nil"/>
            </w:tcBorders>
            <w:shd w:val="clear" w:color="auto" w:fill="auto"/>
            <w:noWrap/>
            <w:vAlign w:val="bottom"/>
            <w:hideMark/>
          </w:tcPr>
          <w:p w14:paraId="1FE8724B"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56</w:t>
            </w:r>
          </w:p>
        </w:tc>
        <w:tc>
          <w:tcPr>
            <w:tcW w:w="820" w:type="dxa"/>
            <w:tcBorders>
              <w:top w:val="nil"/>
              <w:left w:val="nil"/>
              <w:bottom w:val="single" w:sz="4" w:space="0" w:color="ADD6EA"/>
              <w:right w:val="nil"/>
            </w:tcBorders>
            <w:shd w:val="clear" w:color="auto" w:fill="auto"/>
            <w:noWrap/>
            <w:vAlign w:val="bottom"/>
            <w:hideMark/>
          </w:tcPr>
          <w:p w14:paraId="33756FC7"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24</w:t>
            </w:r>
          </w:p>
        </w:tc>
      </w:tr>
      <w:tr w:rsidR="00840B4E" w:rsidRPr="00F868C6" w14:paraId="6F816F1B" w14:textId="77777777" w:rsidTr="00A8350B">
        <w:trPr>
          <w:trHeight w:val="315"/>
        </w:trPr>
        <w:tc>
          <w:tcPr>
            <w:tcW w:w="1520" w:type="dxa"/>
            <w:tcBorders>
              <w:top w:val="nil"/>
              <w:left w:val="nil"/>
              <w:bottom w:val="single" w:sz="4" w:space="0" w:color="ADD6EA"/>
              <w:right w:val="nil"/>
            </w:tcBorders>
            <w:shd w:val="clear" w:color="000000" w:fill="99CCC3"/>
            <w:noWrap/>
            <w:vAlign w:val="center"/>
            <w:hideMark/>
          </w:tcPr>
          <w:p w14:paraId="39449868" w14:textId="77777777" w:rsidR="00840B4E" w:rsidRPr="00A8350B" w:rsidRDefault="00840B4E" w:rsidP="005324A3">
            <w:pPr>
              <w:tabs>
                <w:tab w:val="clear" w:pos="567"/>
              </w:tabs>
              <w:spacing w:before="0" w:line="240" w:lineRule="auto"/>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Total</w:t>
            </w:r>
          </w:p>
        </w:tc>
        <w:tc>
          <w:tcPr>
            <w:tcW w:w="820" w:type="dxa"/>
            <w:tcBorders>
              <w:top w:val="nil"/>
              <w:left w:val="nil"/>
              <w:bottom w:val="single" w:sz="4" w:space="0" w:color="ADD6EA"/>
              <w:right w:val="nil"/>
            </w:tcBorders>
            <w:shd w:val="clear" w:color="000000" w:fill="99CCC3"/>
            <w:noWrap/>
            <w:vAlign w:val="center"/>
            <w:hideMark/>
          </w:tcPr>
          <w:p w14:paraId="17979232"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100</w:t>
            </w:r>
          </w:p>
        </w:tc>
        <w:tc>
          <w:tcPr>
            <w:tcW w:w="820" w:type="dxa"/>
            <w:tcBorders>
              <w:top w:val="nil"/>
              <w:left w:val="nil"/>
              <w:bottom w:val="single" w:sz="4" w:space="0" w:color="ADD6EA"/>
              <w:right w:val="nil"/>
            </w:tcBorders>
            <w:shd w:val="clear" w:color="000000" w:fill="99CCC3"/>
            <w:noWrap/>
            <w:vAlign w:val="center"/>
            <w:hideMark/>
          </w:tcPr>
          <w:p w14:paraId="2CD0356C"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100</w:t>
            </w:r>
          </w:p>
        </w:tc>
        <w:tc>
          <w:tcPr>
            <w:tcW w:w="820" w:type="dxa"/>
            <w:tcBorders>
              <w:top w:val="nil"/>
              <w:left w:val="nil"/>
              <w:bottom w:val="single" w:sz="4" w:space="0" w:color="ADD6EA"/>
              <w:right w:val="nil"/>
            </w:tcBorders>
            <w:shd w:val="clear" w:color="000000" w:fill="99CCC3"/>
            <w:noWrap/>
            <w:vAlign w:val="center"/>
            <w:hideMark/>
          </w:tcPr>
          <w:p w14:paraId="4A9E3EFC"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100</w:t>
            </w:r>
          </w:p>
        </w:tc>
        <w:tc>
          <w:tcPr>
            <w:tcW w:w="820" w:type="dxa"/>
            <w:tcBorders>
              <w:top w:val="nil"/>
              <w:left w:val="nil"/>
              <w:bottom w:val="single" w:sz="4" w:space="0" w:color="ADD6EA"/>
              <w:right w:val="nil"/>
            </w:tcBorders>
            <w:shd w:val="clear" w:color="000000" w:fill="99CCC3"/>
            <w:noWrap/>
            <w:vAlign w:val="center"/>
            <w:hideMark/>
          </w:tcPr>
          <w:p w14:paraId="33E31FB7"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100</w:t>
            </w:r>
          </w:p>
        </w:tc>
        <w:tc>
          <w:tcPr>
            <w:tcW w:w="820" w:type="dxa"/>
            <w:tcBorders>
              <w:top w:val="nil"/>
              <w:left w:val="nil"/>
              <w:bottom w:val="single" w:sz="4" w:space="0" w:color="ADD6EA"/>
              <w:right w:val="nil"/>
            </w:tcBorders>
            <w:shd w:val="clear" w:color="000000" w:fill="99CCC3"/>
            <w:noWrap/>
            <w:vAlign w:val="center"/>
            <w:hideMark/>
          </w:tcPr>
          <w:p w14:paraId="2B4484FA"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100</w:t>
            </w:r>
          </w:p>
        </w:tc>
        <w:tc>
          <w:tcPr>
            <w:tcW w:w="820" w:type="dxa"/>
            <w:tcBorders>
              <w:top w:val="nil"/>
              <w:left w:val="nil"/>
              <w:bottom w:val="single" w:sz="4" w:space="0" w:color="ADD6EA"/>
              <w:right w:val="nil"/>
            </w:tcBorders>
            <w:shd w:val="clear" w:color="000000" w:fill="99CCC3"/>
            <w:noWrap/>
            <w:vAlign w:val="center"/>
            <w:hideMark/>
          </w:tcPr>
          <w:p w14:paraId="7EAE27F5"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100</w:t>
            </w:r>
          </w:p>
        </w:tc>
        <w:tc>
          <w:tcPr>
            <w:tcW w:w="820" w:type="dxa"/>
            <w:tcBorders>
              <w:top w:val="nil"/>
              <w:left w:val="nil"/>
              <w:bottom w:val="single" w:sz="4" w:space="0" w:color="ADD6EA"/>
              <w:right w:val="nil"/>
            </w:tcBorders>
            <w:shd w:val="clear" w:color="000000" w:fill="99CCC3"/>
            <w:noWrap/>
            <w:vAlign w:val="center"/>
            <w:hideMark/>
          </w:tcPr>
          <w:p w14:paraId="7A3FEA98"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100</w:t>
            </w:r>
          </w:p>
        </w:tc>
        <w:tc>
          <w:tcPr>
            <w:tcW w:w="820" w:type="dxa"/>
            <w:tcBorders>
              <w:top w:val="nil"/>
              <w:left w:val="nil"/>
              <w:bottom w:val="single" w:sz="4" w:space="0" w:color="ADD6EA"/>
              <w:right w:val="nil"/>
            </w:tcBorders>
            <w:shd w:val="clear" w:color="000000" w:fill="99CCC3"/>
            <w:noWrap/>
            <w:vAlign w:val="center"/>
            <w:hideMark/>
          </w:tcPr>
          <w:p w14:paraId="0117CE85"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100</w:t>
            </w:r>
          </w:p>
        </w:tc>
        <w:tc>
          <w:tcPr>
            <w:tcW w:w="820" w:type="dxa"/>
            <w:tcBorders>
              <w:top w:val="nil"/>
              <w:left w:val="nil"/>
              <w:bottom w:val="single" w:sz="4" w:space="0" w:color="ADD6EA"/>
              <w:right w:val="nil"/>
            </w:tcBorders>
            <w:shd w:val="clear" w:color="000000" w:fill="99CCC3"/>
            <w:noWrap/>
            <w:vAlign w:val="center"/>
            <w:hideMark/>
          </w:tcPr>
          <w:p w14:paraId="095A7D31" w14:textId="77777777" w:rsidR="00840B4E" w:rsidRPr="00A8350B" w:rsidRDefault="00840B4E" w:rsidP="005324A3">
            <w:pPr>
              <w:tabs>
                <w:tab w:val="clear" w:pos="567"/>
              </w:tabs>
              <w:spacing w:before="0" w:line="240" w:lineRule="auto"/>
              <w:jc w:val="right"/>
              <w:rPr>
                <w:rFonts w:ascii="Open Sans" w:eastAsia="Times New Roman" w:hAnsi="Open Sans" w:cs="Open Sans"/>
                <w:color w:val="000000"/>
                <w:sz w:val="16"/>
                <w:szCs w:val="16"/>
                <w:lang w:eastAsia="en-AU"/>
              </w:rPr>
            </w:pPr>
            <w:r w:rsidRPr="00A8350B">
              <w:rPr>
                <w:rFonts w:ascii="Open Sans" w:eastAsia="Times New Roman" w:hAnsi="Open Sans" w:cs="Open Sans"/>
                <w:color w:val="000000"/>
                <w:sz w:val="16"/>
                <w:szCs w:val="16"/>
                <w:lang w:eastAsia="en-AU"/>
              </w:rPr>
              <w:t>100</w:t>
            </w:r>
          </w:p>
        </w:tc>
      </w:tr>
    </w:tbl>
    <w:p w14:paraId="53904DE4" w14:textId="77777777" w:rsidR="00840B4E" w:rsidRDefault="00840B4E" w:rsidP="009D1342">
      <w:pPr>
        <w:pStyle w:val="CGCTablenote"/>
        <w:numPr>
          <w:ilvl w:val="0"/>
          <w:numId w:val="3"/>
        </w:numPr>
      </w:pPr>
      <w:r>
        <w:tab/>
      </w:r>
      <w:r>
        <w:tab/>
        <w:t>This is the GST a state requires to equalise its fiscal capacity.</w:t>
      </w:r>
    </w:p>
    <w:p w14:paraId="6208F56C" w14:textId="77777777" w:rsidR="00840B4E" w:rsidRDefault="00840B4E" w:rsidP="009D1342">
      <w:pPr>
        <w:pStyle w:val="CGCTablenote"/>
      </w:pPr>
      <w:r>
        <w:t>Source:</w:t>
      </w:r>
      <w:r>
        <w:tab/>
        <w:t>Commission calculation, 2021 Update.</w:t>
      </w:r>
    </w:p>
    <w:p w14:paraId="4B874ADE" w14:textId="4AE3B013" w:rsidR="00AE4C90" w:rsidRDefault="0054173A" w:rsidP="000C6077">
      <w:pPr>
        <w:pStyle w:val="Heading2"/>
      </w:pPr>
      <w:r>
        <w:t>Mining is a key component of revenue capacity</w:t>
      </w:r>
    </w:p>
    <w:p w14:paraId="153F5164" w14:textId="5D20CDE9" w:rsidR="00840B4E" w:rsidRPr="00070FB7" w:rsidRDefault="002D423F" w:rsidP="00AE4C90">
      <w:pPr>
        <w:rPr>
          <w:rFonts w:ascii="Work Sans" w:hAnsi="Work Sans"/>
          <w:sz w:val="24"/>
          <w:szCs w:val="24"/>
        </w:rPr>
      </w:pPr>
      <w:r w:rsidRPr="00070FB7">
        <w:rPr>
          <w:rFonts w:ascii="Work Sans" w:hAnsi="Work Sans"/>
          <w:sz w:val="24"/>
          <w:szCs w:val="24"/>
        </w:rPr>
        <w:t xml:space="preserve">In assessing state revenue raising capacity, for each of the main tax bases, the Commission calculates the amount of revenue each state would collect if it were to apply the (national) average tax rate. In the case of mining revenue, the tax base is the value of mineral production. The major </w:t>
      </w:r>
      <w:r w:rsidRPr="00070FB7">
        <w:rPr>
          <w:rFonts w:ascii="Work Sans" w:hAnsi="Work Sans"/>
          <w:sz w:val="24"/>
          <w:szCs w:val="24"/>
        </w:rPr>
        <w:lastRenderedPageBreak/>
        <w:t>minerals are assessed individually.</w:t>
      </w:r>
      <w:r w:rsidRPr="00070FB7">
        <w:rPr>
          <w:rFonts w:ascii="Work Sans" w:hAnsi="Work Sans"/>
          <w:sz w:val="24"/>
          <w:szCs w:val="24"/>
          <w:vertAlign w:val="superscript"/>
          <w:lang w:val="en-GB"/>
        </w:rPr>
        <w:footnoteReference w:id="3"/>
      </w:r>
      <w:r w:rsidRPr="00070FB7">
        <w:rPr>
          <w:rFonts w:ascii="Work Sans" w:hAnsi="Work Sans"/>
          <w:sz w:val="24"/>
          <w:szCs w:val="24"/>
        </w:rPr>
        <w:t xml:space="preserve"> This approach recognises that major minerals are concentrated in different states. The two minerals that generate most royalties (iron ore and coal) are concentrated in Western Australia and Queensland respectively (</w:t>
      </w:r>
      <w:r w:rsidRPr="00070FB7">
        <w:rPr>
          <w:rFonts w:ascii="Work Sans" w:hAnsi="Work Sans"/>
          <w:sz w:val="24"/>
          <w:szCs w:val="24"/>
        </w:rPr>
        <w:fldChar w:fldCharType="begin"/>
      </w:r>
      <w:r w:rsidRPr="00070FB7">
        <w:rPr>
          <w:rFonts w:ascii="Work Sans" w:hAnsi="Work Sans"/>
          <w:sz w:val="24"/>
          <w:szCs w:val="24"/>
        </w:rPr>
        <w:instrText xml:space="preserve"> REF _Ref80265781 \h </w:instrText>
      </w:r>
      <w:r w:rsidR="00070FB7" w:rsidRPr="00070FB7">
        <w:rPr>
          <w:rFonts w:ascii="Work Sans" w:hAnsi="Work Sans"/>
          <w:sz w:val="24"/>
          <w:szCs w:val="24"/>
        </w:rPr>
        <w:instrText xml:space="preserve"> \* MERGEFORMAT </w:instrText>
      </w:r>
      <w:r w:rsidRPr="00070FB7">
        <w:rPr>
          <w:rFonts w:ascii="Work Sans" w:hAnsi="Work Sans"/>
          <w:sz w:val="24"/>
          <w:szCs w:val="24"/>
        </w:rPr>
      </w:r>
      <w:r w:rsidRPr="00070FB7">
        <w:rPr>
          <w:rFonts w:ascii="Work Sans" w:hAnsi="Work Sans"/>
          <w:sz w:val="24"/>
          <w:szCs w:val="24"/>
        </w:rPr>
        <w:fldChar w:fldCharType="separate"/>
      </w:r>
      <w:r w:rsidR="00CD752D" w:rsidRPr="00CD752D">
        <w:rPr>
          <w:rFonts w:ascii="Work Sans" w:hAnsi="Work Sans"/>
          <w:sz w:val="24"/>
          <w:szCs w:val="24"/>
        </w:rPr>
        <w:t>Table 2</w:t>
      </w:r>
      <w:r w:rsidRPr="00070FB7">
        <w:rPr>
          <w:rFonts w:ascii="Work Sans" w:hAnsi="Work Sans"/>
          <w:sz w:val="24"/>
          <w:szCs w:val="24"/>
        </w:rPr>
        <w:fldChar w:fldCharType="end"/>
      </w:r>
      <w:r w:rsidRPr="00070FB7">
        <w:rPr>
          <w:rFonts w:ascii="Work Sans" w:hAnsi="Work Sans"/>
          <w:sz w:val="24"/>
          <w:szCs w:val="24"/>
        </w:rPr>
        <w:t>).</w:t>
      </w:r>
    </w:p>
    <w:p w14:paraId="68501936" w14:textId="5ED8B779" w:rsidR="00646513" w:rsidRDefault="00646513" w:rsidP="005035ED">
      <w:pPr>
        <w:pStyle w:val="Caption"/>
      </w:pPr>
      <w:bookmarkStart w:id="2" w:name="_Ref80265781"/>
      <w:r>
        <w:t>Table </w:t>
      </w:r>
      <w:r>
        <w:fldChar w:fldCharType="begin"/>
      </w:r>
      <w:r>
        <w:instrText>SEQ Table \* ARABIC</w:instrText>
      </w:r>
      <w:r>
        <w:fldChar w:fldCharType="separate"/>
      </w:r>
      <w:r w:rsidR="00CD752D">
        <w:rPr>
          <w:noProof/>
        </w:rPr>
        <w:t>2</w:t>
      </w:r>
      <w:r>
        <w:fldChar w:fldCharType="end"/>
      </w:r>
      <w:bookmarkEnd w:id="2"/>
      <w:r>
        <w:tab/>
        <w:t>Royalty revenue and share of value of production, by mineral, and population share, 2019-20</w:t>
      </w:r>
    </w:p>
    <w:tbl>
      <w:tblPr>
        <w:tblW w:w="8951" w:type="dxa"/>
        <w:tblLook w:val="04A0" w:firstRow="1" w:lastRow="0" w:firstColumn="1" w:lastColumn="0" w:noHBand="0" w:noVBand="1"/>
      </w:tblPr>
      <w:tblGrid>
        <w:gridCol w:w="1380"/>
        <w:gridCol w:w="840"/>
        <w:gridCol w:w="840"/>
        <w:gridCol w:w="840"/>
        <w:gridCol w:w="840"/>
        <w:gridCol w:w="840"/>
        <w:gridCol w:w="840"/>
        <w:gridCol w:w="840"/>
        <w:gridCol w:w="840"/>
        <w:gridCol w:w="851"/>
      </w:tblGrid>
      <w:tr w:rsidR="00646513" w:rsidRPr="00F868C6" w14:paraId="250FB94B" w14:textId="77777777" w:rsidTr="00E70F89">
        <w:trPr>
          <w:trHeight w:val="570"/>
        </w:trPr>
        <w:tc>
          <w:tcPr>
            <w:tcW w:w="1380" w:type="dxa"/>
            <w:tcBorders>
              <w:top w:val="single" w:sz="4" w:space="0" w:color="ADD6EA"/>
              <w:left w:val="nil"/>
              <w:bottom w:val="single" w:sz="4" w:space="0" w:color="ADD6EA"/>
              <w:right w:val="nil"/>
            </w:tcBorders>
            <w:shd w:val="clear" w:color="000000" w:fill="008069"/>
            <w:noWrap/>
            <w:vAlign w:val="center"/>
            <w:hideMark/>
          </w:tcPr>
          <w:p w14:paraId="08A8E85C" w14:textId="77777777" w:rsidR="00646513" w:rsidRPr="00F868C6" w:rsidRDefault="00646513" w:rsidP="005324A3">
            <w:pPr>
              <w:tabs>
                <w:tab w:val="clear" w:pos="567"/>
              </w:tabs>
              <w:spacing w:before="0" w:line="240" w:lineRule="auto"/>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 </w:t>
            </w:r>
          </w:p>
        </w:tc>
        <w:tc>
          <w:tcPr>
            <w:tcW w:w="840" w:type="dxa"/>
            <w:tcBorders>
              <w:top w:val="single" w:sz="4" w:space="0" w:color="ADD6EA"/>
              <w:left w:val="nil"/>
              <w:bottom w:val="single" w:sz="4" w:space="0" w:color="ADD6EA"/>
              <w:right w:val="nil"/>
            </w:tcBorders>
            <w:shd w:val="clear" w:color="000000" w:fill="008069"/>
            <w:noWrap/>
            <w:vAlign w:val="center"/>
            <w:hideMark/>
          </w:tcPr>
          <w:p w14:paraId="52E6C57F" w14:textId="77777777" w:rsidR="00646513" w:rsidRPr="00F868C6" w:rsidRDefault="00646513"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NSW</w:t>
            </w:r>
          </w:p>
        </w:tc>
        <w:tc>
          <w:tcPr>
            <w:tcW w:w="840" w:type="dxa"/>
            <w:tcBorders>
              <w:top w:val="single" w:sz="4" w:space="0" w:color="ADD6EA"/>
              <w:left w:val="nil"/>
              <w:bottom w:val="single" w:sz="4" w:space="0" w:color="ADD6EA"/>
              <w:right w:val="nil"/>
            </w:tcBorders>
            <w:shd w:val="clear" w:color="000000" w:fill="008069"/>
            <w:noWrap/>
            <w:vAlign w:val="center"/>
            <w:hideMark/>
          </w:tcPr>
          <w:p w14:paraId="7A337C30" w14:textId="77777777" w:rsidR="00646513" w:rsidRPr="00F868C6" w:rsidRDefault="00646513"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Vic</w:t>
            </w:r>
          </w:p>
        </w:tc>
        <w:tc>
          <w:tcPr>
            <w:tcW w:w="840" w:type="dxa"/>
            <w:tcBorders>
              <w:top w:val="single" w:sz="4" w:space="0" w:color="ADD6EA"/>
              <w:left w:val="nil"/>
              <w:bottom w:val="single" w:sz="4" w:space="0" w:color="ADD6EA"/>
              <w:right w:val="nil"/>
            </w:tcBorders>
            <w:shd w:val="clear" w:color="000000" w:fill="008069"/>
            <w:noWrap/>
            <w:vAlign w:val="center"/>
            <w:hideMark/>
          </w:tcPr>
          <w:p w14:paraId="24304296" w14:textId="77777777" w:rsidR="00646513" w:rsidRPr="00F868C6" w:rsidRDefault="00646513"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Qld</w:t>
            </w:r>
          </w:p>
        </w:tc>
        <w:tc>
          <w:tcPr>
            <w:tcW w:w="840" w:type="dxa"/>
            <w:tcBorders>
              <w:top w:val="single" w:sz="4" w:space="0" w:color="ADD6EA"/>
              <w:left w:val="nil"/>
              <w:bottom w:val="single" w:sz="4" w:space="0" w:color="ADD6EA"/>
              <w:right w:val="nil"/>
            </w:tcBorders>
            <w:shd w:val="clear" w:color="000000" w:fill="008069"/>
            <w:noWrap/>
            <w:vAlign w:val="center"/>
            <w:hideMark/>
          </w:tcPr>
          <w:p w14:paraId="6A7745CA" w14:textId="77777777" w:rsidR="00646513" w:rsidRPr="00F868C6" w:rsidRDefault="00646513"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WA</w:t>
            </w:r>
          </w:p>
        </w:tc>
        <w:tc>
          <w:tcPr>
            <w:tcW w:w="840" w:type="dxa"/>
            <w:tcBorders>
              <w:top w:val="single" w:sz="4" w:space="0" w:color="ADD6EA"/>
              <w:left w:val="nil"/>
              <w:bottom w:val="single" w:sz="4" w:space="0" w:color="ADD6EA"/>
              <w:right w:val="nil"/>
            </w:tcBorders>
            <w:shd w:val="clear" w:color="000000" w:fill="008069"/>
            <w:noWrap/>
            <w:vAlign w:val="center"/>
            <w:hideMark/>
          </w:tcPr>
          <w:p w14:paraId="7CBD334A" w14:textId="77777777" w:rsidR="00646513" w:rsidRPr="00F868C6" w:rsidRDefault="00646513"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SA</w:t>
            </w:r>
          </w:p>
        </w:tc>
        <w:tc>
          <w:tcPr>
            <w:tcW w:w="840" w:type="dxa"/>
            <w:tcBorders>
              <w:top w:val="single" w:sz="4" w:space="0" w:color="ADD6EA"/>
              <w:left w:val="nil"/>
              <w:bottom w:val="single" w:sz="4" w:space="0" w:color="ADD6EA"/>
              <w:right w:val="nil"/>
            </w:tcBorders>
            <w:shd w:val="clear" w:color="000000" w:fill="008069"/>
            <w:noWrap/>
            <w:vAlign w:val="center"/>
            <w:hideMark/>
          </w:tcPr>
          <w:p w14:paraId="0165A715" w14:textId="77777777" w:rsidR="00646513" w:rsidRPr="00F868C6" w:rsidRDefault="00646513"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Tas</w:t>
            </w:r>
          </w:p>
        </w:tc>
        <w:tc>
          <w:tcPr>
            <w:tcW w:w="840" w:type="dxa"/>
            <w:tcBorders>
              <w:top w:val="single" w:sz="4" w:space="0" w:color="ADD6EA"/>
              <w:left w:val="nil"/>
              <w:bottom w:val="single" w:sz="4" w:space="0" w:color="ADD6EA"/>
              <w:right w:val="nil"/>
            </w:tcBorders>
            <w:shd w:val="clear" w:color="000000" w:fill="008069"/>
            <w:noWrap/>
            <w:vAlign w:val="center"/>
            <w:hideMark/>
          </w:tcPr>
          <w:p w14:paraId="33C77439" w14:textId="77777777" w:rsidR="00646513" w:rsidRPr="00F868C6" w:rsidRDefault="00646513"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ACT</w:t>
            </w:r>
          </w:p>
        </w:tc>
        <w:tc>
          <w:tcPr>
            <w:tcW w:w="840" w:type="dxa"/>
            <w:tcBorders>
              <w:top w:val="single" w:sz="4" w:space="0" w:color="ADD6EA"/>
              <w:left w:val="nil"/>
              <w:bottom w:val="single" w:sz="4" w:space="0" w:color="ADD6EA"/>
              <w:right w:val="nil"/>
            </w:tcBorders>
            <w:shd w:val="clear" w:color="000000" w:fill="008069"/>
            <w:noWrap/>
            <w:vAlign w:val="center"/>
            <w:hideMark/>
          </w:tcPr>
          <w:p w14:paraId="05C26CE7" w14:textId="77777777" w:rsidR="00646513" w:rsidRPr="00F868C6" w:rsidRDefault="00646513"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NT</w:t>
            </w:r>
          </w:p>
        </w:tc>
        <w:tc>
          <w:tcPr>
            <w:tcW w:w="851" w:type="dxa"/>
            <w:tcBorders>
              <w:top w:val="single" w:sz="4" w:space="0" w:color="ADD6EA"/>
              <w:left w:val="nil"/>
              <w:bottom w:val="single" w:sz="4" w:space="0" w:color="ADD6EA"/>
              <w:right w:val="nil"/>
            </w:tcBorders>
            <w:shd w:val="clear" w:color="000000" w:fill="008069"/>
            <w:vAlign w:val="center"/>
            <w:hideMark/>
          </w:tcPr>
          <w:p w14:paraId="0ED88FC2" w14:textId="77777777" w:rsidR="00646513" w:rsidRPr="00F868C6" w:rsidRDefault="00646513"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68C6">
              <w:rPr>
                <w:rFonts w:ascii="Open Sans Semibold" w:eastAsia="Times New Roman" w:hAnsi="Open Sans Semibold" w:cs="Open Sans Semibold"/>
                <w:color w:val="FFFFFF"/>
                <w:sz w:val="16"/>
                <w:szCs w:val="16"/>
                <w:lang w:eastAsia="en-AU"/>
              </w:rPr>
              <w:t>Royalty revenue</w:t>
            </w:r>
          </w:p>
        </w:tc>
      </w:tr>
      <w:tr w:rsidR="00646513" w:rsidRPr="00F868C6" w14:paraId="3B372D38" w14:textId="77777777" w:rsidTr="00E70F89">
        <w:trPr>
          <w:trHeight w:val="300"/>
        </w:trPr>
        <w:tc>
          <w:tcPr>
            <w:tcW w:w="1380" w:type="dxa"/>
            <w:tcBorders>
              <w:top w:val="nil"/>
              <w:left w:val="nil"/>
              <w:bottom w:val="nil"/>
              <w:right w:val="nil"/>
            </w:tcBorders>
            <w:shd w:val="clear" w:color="000000" w:fill="99CCC3"/>
            <w:noWrap/>
            <w:vAlign w:val="center"/>
            <w:hideMark/>
          </w:tcPr>
          <w:p w14:paraId="674429BA"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 </w:t>
            </w:r>
          </w:p>
        </w:tc>
        <w:tc>
          <w:tcPr>
            <w:tcW w:w="840" w:type="dxa"/>
            <w:tcBorders>
              <w:top w:val="nil"/>
              <w:left w:val="nil"/>
              <w:bottom w:val="nil"/>
              <w:right w:val="nil"/>
            </w:tcBorders>
            <w:shd w:val="clear" w:color="000000" w:fill="99CCC3"/>
            <w:noWrap/>
            <w:vAlign w:val="center"/>
            <w:hideMark/>
          </w:tcPr>
          <w:p w14:paraId="3D01C4F6"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07EDE13F"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4BE6D320"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713E5707"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7F9D90AA"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5AC3C3F7"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2341BE76"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2C3485A4"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w:t>
            </w:r>
          </w:p>
        </w:tc>
        <w:tc>
          <w:tcPr>
            <w:tcW w:w="851" w:type="dxa"/>
            <w:tcBorders>
              <w:top w:val="nil"/>
              <w:left w:val="nil"/>
              <w:bottom w:val="nil"/>
              <w:right w:val="nil"/>
            </w:tcBorders>
            <w:shd w:val="clear" w:color="000000" w:fill="99CCC3"/>
            <w:noWrap/>
            <w:vAlign w:val="center"/>
            <w:hideMark/>
          </w:tcPr>
          <w:p w14:paraId="75F7B712"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$m</w:t>
            </w:r>
          </w:p>
        </w:tc>
      </w:tr>
      <w:tr w:rsidR="00646513" w:rsidRPr="00F868C6" w14:paraId="2C0D908A" w14:textId="77777777" w:rsidTr="00E70F89">
        <w:trPr>
          <w:trHeight w:val="300"/>
        </w:trPr>
        <w:tc>
          <w:tcPr>
            <w:tcW w:w="1380" w:type="dxa"/>
            <w:tcBorders>
              <w:top w:val="single" w:sz="4" w:space="0" w:color="00CE87"/>
              <w:left w:val="nil"/>
              <w:bottom w:val="single" w:sz="4" w:space="0" w:color="00CE87"/>
              <w:right w:val="nil"/>
            </w:tcBorders>
            <w:shd w:val="clear" w:color="auto" w:fill="auto"/>
            <w:noWrap/>
            <w:vAlign w:val="bottom"/>
            <w:hideMark/>
          </w:tcPr>
          <w:p w14:paraId="4ECE849A" w14:textId="77777777" w:rsidR="00646513" w:rsidRPr="00E70F89" w:rsidRDefault="00646513" w:rsidP="005324A3">
            <w:pPr>
              <w:tabs>
                <w:tab w:val="clear" w:pos="567"/>
              </w:tabs>
              <w:spacing w:before="0" w:line="240" w:lineRule="auto"/>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Iron ore</w:t>
            </w:r>
          </w:p>
        </w:tc>
        <w:tc>
          <w:tcPr>
            <w:tcW w:w="840" w:type="dxa"/>
            <w:tcBorders>
              <w:top w:val="single" w:sz="4" w:space="0" w:color="00CE87"/>
              <w:left w:val="nil"/>
              <w:bottom w:val="single" w:sz="4" w:space="0" w:color="00CE87"/>
              <w:right w:val="nil"/>
            </w:tcBorders>
            <w:shd w:val="clear" w:color="auto" w:fill="auto"/>
            <w:noWrap/>
            <w:vAlign w:val="bottom"/>
            <w:hideMark/>
          </w:tcPr>
          <w:p w14:paraId="63C1D7D1"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40" w:type="dxa"/>
            <w:tcBorders>
              <w:top w:val="single" w:sz="4" w:space="0" w:color="00CE87"/>
              <w:left w:val="nil"/>
              <w:bottom w:val="single" w:sz="4" w:space="0" w:color="00CE87"/>
              <w:right w:val="nil"/>
            </w:tcBorders>
            <w:shd w:val="clear" w:color="auto" w:fill="auto"/>
            <w:noWrap/>
            <w:vAlign w:val="bottom"/>
            <w:hideMark/>
          </w:tcPr>
          <w:p w14:paraId="1E815EE5"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40" w:type="dxa"/>
            <w:tcBorders>
              <w:top w:val="single" w:sz="4" w:space="0" w:color="00CE87"/>
              <w:left w:val="nil"/>
              <w:bottom w:val="single" w:sz="4" w:space="0" w:color="00CE87"/>
              <w:right w:val="nil"/>
            </w:tcBorders>
            <w:shd w:val="clear" w:color="auto" w:fill="auto"/>
            <w:noWrap/>
            <w:vAlign w:val="bottom"/>
            <w:hideMark/>
          </w:tcPr>
          <w:p w14:paraId="6422353B"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40" w:type="dxa"/>
            <w:tcBorders>
              <w:top w:val="single" w:sz="4" w:space="0" w:color="00CE87"/>
              <w:left w:val="nil"/>
              <w:bottom w:val="single" w:sz="4" w:space="0" w:color="00CE87"/>
              <w:right w:val="nil"/>
            </w:tcBorders>
            <w:shd w:val="clear" w:color="auto" w:fill="auto"/>
            <w:noWrap/>
            <w:vAlign w:val="bottom"/>
            <w:hideMark/>
          </w:tcPr>
          <w:p w14:paraId="0F610190"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99</w:t>
            </w:r>
          </w:p>
        </w:tc>
        <w:tc>
          <w:tcPr>
            <w:tcW w:w="840" w:type="dxa"/>
            <w:tcBorders>
              <w:top w:val="single" w:sz="4" w:space="0" w:color="00CE87"/>
              <w:left w:val="nil"/>
              <w:bottom w:val="single" w:sz="4" w:space="0" w:color="00CE87"/>
              <w:right w:val="nil"/>
            </w:tcBorders>
            <w:shd w:val="clear" w:color="auto" w:fill="auto"/>
            <w:noWrap/>
            <w:vAlign w:val="bottom"/>
            <w:hideMark/>
          </w:tcPr>
          <w:p w14:paraId="17859EB9"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1</w:t>
            </w:r>
          </w:p>
        </w:tc>
        <w:tc>
          <w:tcPr>
            <w:tcW w:w="840" w:type="dxa"/>
            <w:tcBorders>
              <w:top w:val="single" w:sz="4" w:space="0" w:color="00CE87"/>
              <w:left w:val="nil"/>
              <w:bottom w:val="single" w:sz="4" w:space="0" w:color="00CE87"/>
              <w:right w:val="nil"/>
            </w:tcBorders>
            <w:shd w:val="clear" w:color="auto" w:fill="auto"/>
            <w:noWrap/>
            <w:vAlign w:val="bottom"/>
            <w:hideMark/>
          </w:tcPr>
          <w:p w14:paraId="7C26D587"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40" w:type="dxa"/>
            <w:tcBorders>
              <w:top w:val="single" w:sz="4" w:space="0" w:color="00CE87"/>
              <w:left w:val="nil"/>
              <w:bottom w:val="single" w:sz="4" w:space="0" w:color="00CE87"/>
              <w:right w:val="nil"/>
            </w:tcBorders>
            <w:shd w:val="clear" w:color="auto" w:fill="auto"/>
            <w:noWrap/>
            <w:vAlign w:val="bottom"/>
            <w:hideMark/>
          </w:tcPr>
          <w:p w14:paraId="78DA9054"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40" w:type="dxa"/>
            <w:tcBorders>
              <w:top w:val="single" w:sz="4" w:space="0" w:color="00CE87"/>
              <w:left w:val="nil"/>
              <w:bottom w:val="single" w:sz="4" w:space="0" w:color="00CE87"/>
              <w:right w:val="nil"/>
            </w:tcBorders>
            <w:shd w:val="clear" w:color="auto" w:fill="auto"/>
            <w:noWrap/>
            <w:vAlign w:val="bottom"/>
            <w:hideMark/>
          </w:tcPr>
          <w:p w14:paraId="73DFE31E"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51" w:type="dxa"/>
            <w:tcBorders>
              <w:top w:val="single" w:sz="4" w:space="0" w:color="00CE87"/>
              <w:left w:val="nil"/>
              <w:bottom w:val="single" w:sz="4" w:space="0" w:color="00CE87"/>
              <w:right w:val="nil"/>
            </w:tcBorders>
            <w:shd w:val="clear" w:color="auto" w:fill="auto"/>
            <w:noWrap/>
            <w:vAlign w:val="bottom"/>
            <w:hideMark/>
          </w:tcPr>
          <w:p w14:paraId="6F18F8CC"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7,577</w:t>
            </w:r>
          </w:p>
        </w:tc>
      </w:tr>
      <w:tr w:rsidR="00646513" w:rsidRPr="00F868C6" w14:paraId="75AFE1DB" w14:textId="77777777" w:rsidTr="00E70F89">
        <w:trPr>
          <w:trHeight w:val="300"/>
        </w:trPr>
        <w:tc>
          <w:tcPr>
            <w:tcW w:w="1380" w:type="dxa"/>
            <w:tcBorders>
              <w:top w:val="nil"/>
              <w:left w:val="nil"/>
              <w:bottom w:val="single" w:sz="4" w:space="0" w:color="00CE87"/>
              <w:right w:val="nil"/>
            </w:tcBorders>
            <w:shd w:val="clear" w:color="auto" w:fill="auto"/>
            <w:noWrap/>
            <w:vAlign w:val="bottom"/>
            <w:hideMark/>
          </w:tcPr>
          <w:p w14:paraId="1F6EBD4D" w14:textId="77777777" w:rsidR="00646513" w:rsidRPr="00E70F89" w:rsidRDefault="00646513" w:rsidP="005324A3">
            <w:pPr>
              <w:tabs>
                <w:tab w:val="clear" w:pos="567"/>
              </w:tabs>
              <w:spacing w:before="0" w:line="240" w:lineRule="auto"/>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Coal</w:t>
            </w:r>
          </w:p>
        </w:tc>
        <w:tc>
          <w:tcPr>
            <w:tcW w:w="840" w:type="dxa"/>
            <w:tcBorders>
              <w:top w:val="nil"/>
              <w:left w:val="nil"/>
              <w:bottom w:val="single" w:sz="4" w:space="0" w:color="00CE87"/>
              <w:right w:val="nil"/>
            </w:tcBorders>
            <w:shd w:val="clear" w:color="auto" w:fill="auto"/>
            <w:noWrap/>
            <w:vAlign w:val="bottom"/>
            <w:hideMark/>
          </w:tcPr>
          <w:p w14:paraId="7660EB2A"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33</w:t>
            </w:r>
          </w:p>
        </w:tc>
        <w:tc>
          <w:tcPr>
            <w:tcW w:w="840" w:type="dxa"/>
            <w:tcBorders>
              <w:top w:val="nil"/>
              <w:left w:val="nil"/>
              <w:bottom w:val="single" w:sz="4" w:space="0" w:color="00CE87"/>
              <w:right w:val="nil"/>
            </w:tcBorders>
            <w:shd w:val="clear" w:color="auto" w:fill="auto"/>
            <w:noWrap/>
            <w:vAlign w:val="bottom"/>
            <w:hideMark/>
          </w:tcPr>
          <w:p w14:paraId="7F2AB34C"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3</w:t>
            </w:r>
          </w:p>
        </w:tc>
        <w:tc>
          <w:tcPr>
            <w:tcW w:w="840" w:type="dxa"/>
            <w:tcBorders>
              <w:top w:val="nil"/>
              <w:left w:val="nil"/>
              <w:bottom w:val="single" w:sz="4" w:space="0" w:color="00CE87"/>
              <w:right w:val="nil"/>
            </w:tcBorders>
            <w:shd w:val="clear" w:color="auto" w:fill="auto"/>
            <w:noWrap/>
            <w:vAlign w:val="bottom"/>
            <w:hideMark/>
          </w:tcPr>
          <w:p w14:paraId="242D735B"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64</w:t>
            </w:r>
          </w:p>
        </w:tc>
        <w:tc>
          <w:tcPr>
            <w:tcW w:w="840" w:type="dxa"/>
            <w:tcBorders>
              <w:top w:val="nil"/>
              <w:left w:val="nil"/>
              <w:bottom w:val="single" w:sz="4" w:space="0" w:color="00CE87"/>
              <w:right w:val="nil"/>
            </w:tcBorders>
            <w:shd w:val="clear" w:color="auto" w:fill="auto"/>
            <w:noWrap/>
            <w:vAlign w:val="bottom"/>
            <w:hideMark/>
          </w:tcPr>
          <w:p w14:paraId="7EAF3090"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1</w:t>
            </w:r>
          </w:p>
        </w:tc>
        <w:tc>
          <w:tcPr>
            <w:tcW w:w="840" w:type="dxa"/>
            <w:tcBorders>
              <w:top w:val="nil"/>
              <w:left w:val="nil"/>
              <w:bottom w:val="single" w:sz="4" w:space="0" w:color="00CE87"/>
              <w:right w:val="nil"/>
            </w:tcBorders>
            <w:shd w:val="clear" w:color="auto" w:fill="auto"/>
            <w:noWrap/>
            <w:vAlign w:val="bottom"/>
            <w:hideMark/>
          </w:tcPr>
          <w:p w14:paraId="21E70198"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40" w:type="dxa"/>
            <w:tcBorders>
              <w:top w:val="nil"/>
              <w:left w:val="nil"/>
              <w:bottom w:val="single" w:sz="4" w:space="0" w:color="00CE87"/>
              <w:right w:val="nil"/>
            </w:tcBorders>
            <w:shd w:val="clear" w:color="auto" w:fill="auto"/>
            <w:noWrap/>
            <w:vAlign w:val="bottom"/>
            <w:hideMark/>
          </w:tcPr>
          <w:p w14:paraId="3634F2AB"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40" w:type="dxa"/>
            <w:tcBorders>
              <w:top w:val="nil"/>
              <w:left w:val="nil"/>
              <w:bottom w:val="single" w:sz="4" w:space="0" w:color="00CE87"/>
              <w:right w:val="nil"/>
            </w:tcBorders>
            <w:shd w:val="clear" w:color="auto" w:fill="auto"/>
            <w:noWrap/>
            <w:vAlign w:val="bottom"/>
            <w:hideMark/>
          </w:tcPr>
          <w:p w14:paraId="284E6AC8"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40" w:type="dxa"/>
            <w:tcBorders>
              <w:top w:val="nil"/>
              <w:left w:val="nil"/>
              <w:bottom w:val="single" w:sz="4" w:space="0" w:color="00CE87"/>
              <w:right w:val="nil"/>
            </w:tcBorders>
            <w:shd w:val="clear" w:color="auto" w:fill="auto"/>
            <w:noWrap/>
            <w:vAlign w:val="bottom"/>
            <w:hideMark/>
          </w:tcPr>
          <w:p w14:paraId="63633A45"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51" w:type="dxa"/>
            <w:tcBorders>
              <w:top w:val="nil"/>
              <w:left w:val="nil"/>
              <w:bottom w:val="single" w:sz="4" w:space="0" w:color="00CE87"/>
              <w:right w:val="nil"/>
            </w:tcBorders>
            <w:shd w:val="clear" w:color="auto" w:fill="auto"/>
            <w:noWrap/>
            <w:vAlign w:val="bottom"/>
            <w:hideMark/>
          </w:tcPr>
          <w:p w14:paraId="70BF4B12"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5,017</w:t>
            </w:r>
          </w:p>
        </w:tc>
      </w:tr>
      <w:tr w:rsidR="00646513" w:rsidRPr="00F868C6" w14:paraId="0C642E93" w14:textId="77777777" w:rsidTr="00E70F89">
        <w:trPr>
          <w:trHeight w:val="300"/>
        </w:trPr>
        <w:tc>
          <w:tcPr>
            <w:tcW w:w="1380" w:type="dxa"/>
            <w:tcBorders>
              <w:top w:val="nil"/>
              <w:left w:val="nil"/>
              <w:bottom w:val="single" w:sz="4" w:space="0" w:color="00CE87"/>
              <w:right w:val="nil"/>
            </w:tcBorders>
            <w:shd w:val="clear" w:color="auto" w:fill="auto"/>
            <w:noWrap/>
            <w:vAlign w:val="bottom"/>
            <w:hideMark/>
          </w:tcPr>
          <w:p w14:paraId="7778732F" w14:textId="77777777" w:rsidR="00646513" w:rsidRPr="00E70F89" w:rsidRDefault="00646513" w:rsidP="005324A3">
            <w:pPr>
              <w:tabs>
                <w:tab w:val="clear" w:pos="567"/>
              </w:tabs>
              <w:spacing w:before="0" w:line="240" w:lineRule="auto"/>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Other minerals</w:t>
            </w:r>
          </w:p>
        </w:tc>
        <w:tc>
          <w:tcPr>
            <w:tcW w:w="840" w:type="dxa"/>
            <w:tcBorders>
              <w:top w:val="nil"/>
              <w:left w:val="nil"/>
              <w:bottom w:val="single" w:sz="4" w:space="0" w:color="00CE87"/>
              <w:right w:val="nil"/>
            </w:tcBorders>
            <w:shd w:val="clear" w:color="auto" w:fill="auto"/>
            <w:noWrap/>
            <w:vAlign w:val="bottom"/>
            <w:hideMark/>
          </w:tcPr>
          <w:p w14:paraId="62E7D02D"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9</w:t>
            </w:r>
          </w:p>
        </w:tc>
        <w:tc>
          <w:tcPr>
            <w:tcW w:w="840" w:type="dxa"/>
            <w:tcBorders>
              <w:top w:val="nil"/>
              <w:left w:val="nil"/>
              <w:bottom w:val="single" w:sz="4" w:space="0" w:color="00CE87"/>
              <w:right w:val="nil"/>
            </w:tcBorders>
            <w:shd w:val="clear" w:color="auto" w:fill="auto"/>
            <w:noWrap/>
            <w:vAlign w:val="bottom"/>
            <w:hideMark/>
          </w:tcPr>
          <w:p w14:paraId="722A4328"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5</w:t>
            </w:r>
          </w:p>
        </w:tc>
        <w:tc>
          <w:tcPr>
            <w:tcW w:w="840" w:type="dxa"/>
            <w:tcBorders>
              <w:top w:val="nil"/>
              <w:left w:val="nil"/>
              <w:bottom w:val="single" w:sz="4" w:space="0" w:color="00CE87"/>
              <w:right w:val="nil"/>
            </w:tcBorders>
            <w:shd w:val="clear" w:color="auto" w:fill="auto"/>
            <w:noWrap/>
            <w:vAlign w:val="bottom"/>
            <w:hideMark/>
          </w:tcPr>
          <w:p w14:paraId="5A5F5C8D"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23</w:t>
            </w:r>
          </w:p>
        </w:tc>
        <w:tc>
          <w:tcPr>
            <w:tcW w:w="840" w:type="dxa"/>
            <w:tcBorders>
              <w:top w:val="nil"/>
              <w:left w:val="nil"/>
              <w:bottom w:val="single" w:sz="4" w:space="0" w:color="00CE87"/>
              <w:right w:val="nil"/>
            </w:tcBorders>
            <w:shd w:val="clear" w:color="auto" w:fill="auto"/>
            <w:noWrap/>
            <w:vAlign w:val="bottom"/>
            <w:hideMark/>
          </w:tcPr>
          <w:p w14:paraId="176E735A"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44</w:t>
            </w:r>
          </w:p>
        </w:tc>
        <w:tc>
          <w:tcPr>
            <w:tcW w:w="840" w:type="dxa"/>
            <w:tcBorders>
              <w:top w:val="nil"/>
              <w:left w:val="nil"/>
              <w:bottom w:val="single" w:sz="4" w:space="0" w:color="00CE87"/>
              <w:right w:val="nil"/>
            </w:tcBorders>
            <w:shd w:val="clear" w:color="auto" w:fill="auto"/>
            <w:noWrap/>
            <w:vAlign w:val="bottom"/>
            <w:hideMark/>
          </w:tcPr>
          <w:p w14:paraId="034C0D47"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10</w:t>
            </w:r>
          </w:p>
        </w:tc>
        <w:tc>
          <w:tcPr>
            <w:tcW w:w="840" w:type="dxa"/>
            <w:tcBorders>
              <w:top w:val="nil"/>
              <w:left w:val="nil"/>
              <w:bottom w:val="single" w:sz="4" w:space="0" w:color="00CE87"/>
              <w:right w:val="nil"/>
            </w:tcBorders>
            <w:shd w:val="clear" w:color="auto" w:fill="auto"/>
            <w:noWrap/>
            <w:vAlign w:val="bottom"/>
            <w:hideMark/>
          </w:tcPr>
          <w:p w14:paraId="17A61E82"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2</w:t>
            </w:r>
          </w:p>
        </w:tc>
        <w:tc>
          <w:tcPr>
            <w:tcW w:w="840" w:type="dxa"/>
            <w:tcBorders>
              <w:top w:val="nil"/>
              <w:left w:val="nil"/>
              <w:bottom w:val="single" w:sz="4" w:space="0" w:color="00CE87"/>
              <w:right w:val="nil"/>
            </w:tcBorders>
            <w:shd w:val="clear" w:color="auto" w:fill="auto"/>
            <w:noWrap/>
            <w:vAlign w:val="bottom"/>
            <w:hideMark/>
          </w:tcPr>
          <w:p w14:paraId="5AED202B"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0</w:t>
            </w:r>
          </w:p>
        </w:tc>
        <w:tc>
          <w:tcPr>
            <w:tcW w:w="840" w:type="dxa"/>
            <w:tcBorders>
              <w:top w:val="nil"/>
              <w:left w:val="nil"/>
              <w:bottom w:val="single" w:sz="4" w:space="0" w:color="00CE87"/>
              <w:right w:val="nil"/>
            </w:tcBorders>
            <w:shd w:val="clear" w:color="auto" w:fill="auto"/>
            <w:noWrap/>
            <w:vAlign w:val="bottom"/>
            <w:hideMark/>
          </w:tcPr>
          <w:p w14:paraId="55F7F247"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7</w:t>
            </w:r>
          </w:p>
        </w:tc>
        <w:tc>
          <w:tcPr>
            <w:tcW w:w="851" w:type="dxa"/>
            <w:tcBorders>
              <w:top w:val="nil"/>
              <w:left w:val="nil"/>
              <w:bottom w:val="single" w:sz="4" w:space="0" w:color="00CE87"/>
              <w:right w:val="nil"/>
            </w:tcBorders>
            <w:shd w:val="clear" w:color="auto" w:fill="auto"/>
            <w:noWrap/>
            <w:vAlign w:val="bottom"/>
            <w:hideMark/>
          </w:tcPr>
          <w:p w14:paraId="241673C6"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2,732</w:t>
            </w:r>
          </w:p>
        </w:tc>
      </w:tr>
      <w:tr w:rsidR="00646513" w:rsidRPr="00F868C6" w14:paraId="14393FFF" w14:textId="77777777" w:rsidTr="00E70F89">
        <w:trPr>
          <w:trHeight w:val="300"/>
        </w:trPr>
        <w:tc>
          <w:tcPr>
            <w:tcW w:w="1380" w:type="dxa"/>
            <w:tcBorders>
              <w:top w:val="nil"/>
              <w:left w:val="nil"/>
              <w:bottom w:val="single" w:sz="4" w:space="0" w:color="00CE87"/>
              <w:right w:val="nil"/>
            </w:tcBorders>
            <w:shd w:val="clear" w:color="auto" w:fill="auto"/>
            <w:noWrap/>
            <w:vAlign w:val="bottom"/>
            <w:hideMark/>
          </w:tcPr>
          <w:p w14:paraId="7A5B875A" w14:textId="3E53B0B9" w:rsidR="00646513" w:rsidRPr="00E70F89" w:rsidRDefault="00646513" w:rsidP="005324A3">
            <w:pPr>
              <w:tabs>
                <w:tab w:val="clear" w:pos="567"/>
              </w:tabs>
              <w:spacing w:before="0" w:line="240" w:lineRule="auto"/>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Population</w:t>
            </w:r>
            <w:r w:rsidR="00304431">
              <w:rPr>
                <w:rFonts w:ascii="Open Sans" w:eastAsia="Times New Roman" w:hAnsi="Open Sans" w:cs="Open Sans"/>
                <w:color w:val="000000"/>
                <w:sz w:val="16"/>
                <w:szCs w:val="16"/>
                <w:lang w:eastAsia="en-AU"/>
              </w:rPr>
              <w:t xml:space="preserve"> (%)</w:t>
            </w:r>
          </w:p>
        </w:tc>
        <w:tc>
          <w:tcPr>
            <w:tcW w:w="840" w:type="dxa"/>
            <w:tcBorders>
              <w:top w:val="nil"/>
              <w:left w:val="nil"/>
              <w:bottom w:val="single" w:sz="4" w:space="0" w:color="00CE87"/>
              <w:right w:val="nil"/>
            </w:tcBorders>
            <w:shd w:val="clear" w:color="auto" w:fill="auto"/>
            <w:noWrap/>
            <w:vAlign w:val="bottom"/>
            <w:hideMark/>
          </w:tcPr>
          <w:p w14:paraId="2464929D"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32</w:t>
            </w:r>
          </w:p>
        </w:tc>
        <w:tc>
          <w:tcPr>
            <w:tcW w:w="840" w:type="dxa"/>
            <w:tcBorders>
              <w:top w:val="nil"/>
              <w:left w:val="nil"/>
              <w:bottom w:val="single" w:sz="4" w:space="0" w:color="00CE87"/>
              <w:right w:val="nil"/>
            </w:tcBorders>
            <w:shd w:val="clear" w:color="auto" w:fill="auto"/>
            <w:noWrap/>
            <w:vAlign w:val="bottom"/>
            <w:hideMark/>
          </w:tcPr>
          <w:p w14:paraId="415961E2"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26</w:t>
            </w:r>
          </w:p>
        </w:tc>
        <w:tc>
          <w:tcPr>
            <w:tcW w:w="840" w:type="dxa"/>
            <w:tcBorders>
              <w:top w:val="nil"/>
              <w:left w:val="nil"/>
              <w:bottom w:val="single" w:sz="4" w:space="0" w:color="00CE87"/>
              <w:right w:val="nil"/>
            </w:tcBorders>
            <w:shd w:val="clear" w:color="auto" w:fill="auto"/>
            <w:noWrap/>
            <w:vAlign w:val="bottom"/>
            <w:hideMark/>
          </w:tcPr>
          <w:p w14:paraId="1D0CF492"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20</w:t>
            </w:r>
          </w:p>
        </w:tc>
        <w:tc>
          <w:tcPr>
            <w:tcW w:w="840" w:type="dxa"/>
            <w:tcBorders>
              <w:top w:val="nil"/>
              <w:left w:val="nil"/>
              <w:bottom w:val="single" w:sz="4" w:space="0" w:color="00CE87"/>
              <w:right w:val="nil"/>
            </w:tcBorders>
            <w:shd w:val="clear" w:color="auto" w:fill="auto"/>
            <w:noWrap/>
            <w:vAlign w:val="bottom"/>
            <w:hideMark/>
          </w:tcPr>
          <w:p w14:paraId="150F33DF"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10</w:t>
            </w:r>
          </w:p>
        </w:tc>
        <w:tc>
          <w:tcPr>
            <w:tcW w:w="840" w:type="dxa"/>
            <w:tcBorders>
              <w:top w:val="nil"/>
              <w:left w:val="nil"/>
              <w:bottom w:val="single" w:sz="4" w:space="0" w:color="00CE87"/>
              <w:right w:val="nil"/>
            </w:tcBorders>
            <w:shd w:val="clear" w:color="auto" w:fill="auto"/>
            <w:noWrap/>
            <w:vAlign w:val="bottom"/>
            <w:hideMark/>
          </w:tcPr>
          <w:p w14:paraId="0345B9A6"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7</w:t>
            </w:r>
          </w:p>
        </w:tc>
        <w:tc>
          <w:tcPr>
            <w:tcW w:w="840" w:type="dxa"/>
            <w:tcBorders>
              <w:top w:val="nil"/>
              <w:left w:val="nil"/>
              <w:bottom w:val="single" w:sz="4" w:space="0" w:color="00CE87"/>
              <w:right w:val="nil"/>
            </w:tcBorders>
            <w:shd w:val="clear" w:color="auto" w:fill="auto"/>
            <w:noWrap/>
            <w:vAlign w:val="bottom"/>
            <w:hideMark/>
          </w:tcPr>
          <w:p w14:paraId="24EFBB4C"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2</w:t>
            </w:r>
          </w:p>
        </w:tc>
        <w:tc>
          <w:tcPr>
            <w:tcW w:w="840" w:type="dxa"/>
            <w:tcBorders>
              <w:top w:val="nil"/>
              <w:left w:val="nil"/>
              <w:bottom w:val="single" w:sz="4" w:space="0" w:color="00CE87"/>
              <w:right w:val="nil"/>
            </w:tcBorders>
            <w:shd w:val="clear" w:color="auto" w:fill="auto"/>
            <w:noWrap/>
            <w:vAlign w:val="bottom"/>
            <w:hideMark/>
          </w:tcPr>
          <w:p w14:paraId="1BF1099D"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2</w:t>
            </w:r>
          </w:p>
        </w:tc>
        <w:tc>
          <w:tcPr>
            <w:tcW w:w="840" w:type="dxa"/>
            <w:tcBorders>
              <w:top w:val="nil"/>
              <w:left w:val="nil"/>
              <w:bottom w:val="single" w:sz="4" w:space="0" w:color="00CE87"/>
              <w:right w:val="nil"/>
            </w:tcBorders>
            <w:shd w:val="clear" w:color="auto" w:fill="auto"/>
            <w:noWrap/>
            <w:vAlign w:val="bottom"/>
            <w:hideMark/>
          </w:tcPr>
          <w:p w14:paraId="090A7C98"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1</w:t>
            </w:r>
          </w:p>
        </w:tc>
        <w:tc>
          <w:tcPr>
            <w:tcW w:w="851" w:type="dxa"/>
            <w:tcBorders>
              <w:top w:val="nil"/>
              <w:left w:val="nil"/>
              <w:bottom w:val="single" w:sz="4" w:space="0" w:color="00CE87"/>
              <w:right w:val="nil"/>
            </w:tcBorders>
            <w:shd w:val="clear" w:color="auto" w:fill="auto"/>
            <w:noWrap/>
            <w:vAlign w:val="bottom"/>
            <w:hideMark/>
          </w:tcPr>
          <w:p w14:paraId="725A7B4D" w14:textId="77777777" w:rsidR="00646513" w:rsidRPr="00E70F89" w:rsidRDefault="00646513" w:rsidP="005324A3">
            <w:pPr>
              <w:tabs>
                <w:tab w:val="clear" w:pos="567"/>
              </w:tabs>
              <w:spacing w:before="0" w:line="240" w:lineRule="auto"/>
              <w:jc w:val="right"/>
              <w:rPr>
                <w:rFonts w:ascii="Open Sans" w:eastAsia="Times New Roman" w:hAnsi="Open Sans" w:cs="Open Sans"/>
                <w:color w:val="000000"/>
                <w:sz w:val="16"/>
                <w:szCs w:val="16"/>
                <w:lang w:eastAsia="en-AU"/>
              </w:rPr>
            </w:pPr>
            <w:r w:rsidRPr="00E70F89">
              <w:rPr>
                <w:rFonts w:ascii="Open Sans" w:eastAsia="Times New Roman" w:hAnsi="Open Sans" w:cs="Open Sans"/>
                <w:color w:val="000000"/>
                <w:sz w:val="16"/>
                <w:szCs w:val="16"/>
                <w:lang w:eastAsia="en-AU"/>
              </w:rPr>
              <w:t>100</w:t>
            </w:r>
          </w:p>
        </w:tc>
      </w:tr>
    </w:tbl>
    <w:p w14:paraId="5DB79D4D" w14:textId="6A342F62" w:rsidR="00646513" w:rsidRDefault="00646513" w:rsidP="009D1342">
      <w:pPr>
        <w:pStyle w:val="CGCTablenote"/>
      </w:pPr>
      <w:r>
        <w:t>Source:</w:t>
      </w:r>
      <w:r>
        <w:tab/>
        <w:t>State provided data. Australian Bureau of Statistics, mean resident population.</w:t>
      </w:r>
    </w:p>
    <w:p w14:paraId="681A7175" w14:textId="77777777" w:rsidR="00646513" w:rsidRPr="00070FB7" w:rsidRDefault="00646513" w:rsidP="00646513">
      <w:pPr>
        <w:rPr>
          <w:rFonts w:ascii="Work Sans" w:hAnsi="Work Sans"/>
          <w:sz w:val="24"/>
          <w:szCs w:val="24"/>
        </w:rPr>
      </w:pPr>
      <w:r w:rsidRPr="00070FB7">
        <w:rPr>
          <w:rFonts w:ascii="Work Sans" w:hAnsi="Work Sans"/>
          <w:sz w:val="24"/>
          <w:szCs w:val="24"/>
        </w:rPr>
        <w:t>Assessing the major minerals individually means GST outcomes react to changes in the royalty streams for each mineral. If iron ore royalties increase as a result of strong growth in iron ore prices, the largest GST impacts will be on Western Australia. If coal royalties increase, Queensland will experience the largest GST impacts</w:t>
      </w:r>
      <w:r w:rsidRPr="00070FB7">
        <w:rPr>
          <w:rFonts w:ascii="Work Sans" w:hAnsi="Work Sans"/>
          <w:sz w:val="24"/>
          <w:szCs w:val="24"/>
          <w:vertAlign w:val="superscript"/>
          <w:lang w:val="en-GB"/>
        </w:rPr>
        <w:footnoteReference w:id="4"/>
      </w:r>
      <w:r w:rsidRPr="00070FB7">
        <w:rPr>
          <w:rFonts w:ascii="Work Sans" w:hAnsi="Work Sans"/>
          <w:sz w:val="24"/>
          <w:szCs w:val="24"/>
        </w:rPr>
        <w:t>.</w:t>
      </w:r>
    </w:p>
    <w:p w14:paraId="597F7137" w14:textId="1210AF5A" w:rsidR="00646513" w:rsidRPr="001F52A8" w:rsidRDefault="00646513" w:rsidP="00070FB7">
      <w:pPr>
        <w:pStyle w:val="Heading2"/>
      </w:pPr>
      <w:r w:rsidRPr="001F52A8">
        <w:t>Mining booms have been concentrated in a few</w:t>
      </w:r>
      <w:r>
        <w:t xml:space="preserve"> state</w:t>
      </w:r>
      <w:r w:rsidRPr="001F52A8">
        <w:t>s</w:t>
      </w:r>
    </w:p>
    <w:p w14:paraId="09273169" w14:textId="79A75DDF" w:rsidR="00646513" w:rsidRPr="00070FB7" w:rsidRDefault="00646513" w:rsidP="00646513">
      <w:pPr>
        <w:rPr>
          <w:rFonts w:ascii="Work Sans" w:hAnsi="Work Sans"/>
          <w:sz w:val="24"/>
          <w:szCs w:val="24"/>
        </w:rPr>
      </w:pPr>
      <w:r w:rsidRPr="00070FB7">
        <w:rPr>
          <w:rFonts w:ascii="Work Sans" w:hAnsi="Work Sans"/>
          <w:sz w:val="24"/>
          <w:szCs w:val="24"/>
        </w:rPr>
        <w:t>Australia has experienced a series of mining booms, which</w:t>
      </w:r>
      <w:r w:rsidRPr="00070FB7" w:rsidDel="00292D7A">
        <w:rPr>
          <w:rFonts w:ascii="Work Sans" w:hAnsi="Work Sans"/>
          <w:sz w:val="24"/>
          <w:szCs w:val="24"/>
        </w:rPr>
        <w:t xml:space="preserve"> commenced</w:t>
      </w:r>
      <w:r w:rsidRPr="00070FB7">
        <w:rPr>
          <w:rFonts w:ascii="Work Sans" w:hAnsi="Work Sans"/>
          <w:sz w:val="24"/>
          <w:szCs w:val="24"/>
        </w:rPr>
        <w:t xml:space="preserve"> around 2003, when coal and iron ore prices started rising in response to a surge in global demand. Since the GST was introduced, royalties have grown ninefold from $1.6 billion in 2000</w:t>
      </w:r>
      <w:r w:rsidRPr="00070FB7">
        <w:rPr>
          <w:rFonts w:ascii="Work Sans" w:hAnsi="Work Sans"/>
          <w:sz w:val="24"/>
          <w:szCs w:val="24"/>
        </w:rPr>
        <w:noBreakHyphen/>
        <w:t>01 to $15.4 billion in 2019</w:t>
      </w:r>
      <w:r w:rsidRPr="00070FB7">
        <w:rPr>
          <w:rFonts w:ascii="Work Sans" w:hAnsi="Work Sans"/>
          <w:sz w:val="24"/>
          <w:szCs w:val="24"/>
        </w:rPr>
        <w:noBreakHyphen/>
        <w:t>20 (</w:t>
      </w:r>
      <w:r w:rsidRPr="00070FB7">
        <w:rPr>
          <w:rFonts w:ascii="Work Sans" w:hAnsi="Work Sans"/>
          <w:sz w:val="24"/>
          <w:szCs w:val="24"/>
        </w:rPr>
        <w:fldChar w:fldCharType="begin"/>
      </w:r>
      <w:r w:rsidRPr="00070FB7">
        <w:rPr>
          <w:rFonts w:ascii="Work Sans" w:hAnsi="Work Sans"/>
          <w:sz w:val="24"/>
          <w:szCs w:val="24"/>
        </w:rPr>
        <w:instrText xml:space="preserve"> REF _Ref80267444 \h </w:instrText>
      </w:r>
      <w:r w:rsidR="00070FB7" w:rsidRPr="00070FB7">
        <w:rPr>
          <w:rFonts w:ascii="Work Sans" w:hAnsi="Work Sans"/>
          <w:sz w:val="24"/>
          <w:szCs w:val="24"/>
        </w:rPr>
        <w:instrText xml:space="preserve"> \* MERGEFORMAT </w:instrText>
      </w:r>
      <w:r w:rsidRPr="00070FB7">
        <w:rPr>
          <w:rFonts w:ascii="Work Sans" w:hAnsi="Work Sans"/>
          <w:sz w:val="24"/>
          <w:szCs w:val="24"/>
        </w:rPr>
      </w:r>
      <w:r w:rsidRPr="00070FB7">
        <w:rPr>
          <w:rFonts w:ascii="Work Sans" w:hAnsi="Work Sans"/>
          <w:sz w:val="24"/>
          <w:szCs w:val="24"/>
        </w:rPr>
        <w:fldChar w:fldCharType="separate"/>
      </w:r>
      <w:r w:rsidR="00CD752D" w:rsidRPr="00CD752D">
        <w:rPr>
          <w:rFonts w:ascii="Work Sans" w:hAnsi="Work Sans"/>
          <w:sz w:val="24"/>
          <w:szCs w:val="24"/>
        </w:rPr>
        <w:t>Figure 2</w:t>
      </w:r>
      <w:r w:rsidRPr="00070FB7">
        <w:rPr>
          <w:rFonts w:ascii="Work Sans" w:hAnsi="Work Sans"/>
          <w:sz w:val="24"/>
          <w:szCs w:val="24"/>
        </w:rPr>
        <w:fldChar w:fldCharType="end"/>
      </w:r>
      <w:r w:rsidRPr="00070FB7">
        <w:rPr>
          <w:rFonts w:ascii="Work Sans" w:hAnsi="Work Sans"/>
          <w:sz w:val="24"/>
          <w:szCs w:val="24"/>
        </w:rPr>
        <w:t>).</w:t>
      </w:r>
    </w:p>
    <w:p w14:paraId="2EA1E3CB" w14:textId="3550BF7D" w:rsidR="00CE09B9" w:rsidRDefault="00CE09B9" w:rsidP="005035ED">
      <w:pPr>
        <w:pStyle w:val="Caption"/>
      </w:pPr>
      <w:bookmarkStart w:id="3" w:name="_Ref80267444"/>
      <w:bookmarkStart w:id="4" w:name="_Ref80267438"/>
      <w:r>
        <w:lastRenderedPageBreak/>
        <w:t>Figure </w:t>
      </w:r>
      <w:r>
        <w:fldChar w:fldCharType="begin"/>
      </w:r>
      <w:r>
        <w:instrText>SEQ Figure \* ARABIC</w:instrText>
      </w:r>
      <w:r>
        <w:fldChar w:fldCharType="separate"/>
      </w:r>
      <w:r w:rsidR="00CD752D">
        <w:rPr>
          <w:noProof/>
        </w:rPr>
        <w:t>2</w:t>
      </w:r>
      <w:r>
        <w:fldChar w:fldCharType="end"/>
      </w:r>
      <w:bookmarkEnd w:id="3"/>
      <w:r>
        <w:tab/>
        <w:t>Total royalty revenue, 2000-01 to 2019-20</w:t>
      </w:r>
      <w:bookmarkEnd w:id="4"/>
    </w:p>
    <w:p w14:paraId="0A6A2853" w14:textId="22F92E6F" w:rsidR="00CE09B9" w:rsidRDefault="000F07E5" w:rsidP="00CE09B9">
      <w:r w:rsidRPr="000F07E5">
        <w:rPr>
          <w:noProof/>
        </w:rPr>
        <w:drawing>
          <wp:inline distT="0" distB="0" distL="0" distR="0" wp14:anchorId="080E2775" wp14:editId="4F810066">
            <wp:extent cx="5666105" cy="3564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6105" cy="3564890"/>
                    </a:xfrm>
                    <a:prstGeom prst="rect">
                      <a:avLst/>
                    </a:prstGeom>
                    <a:noFill/>
                    <a:ln>
                      <a:noFill/>
                    </a:ln>
                  </pic:spPr>
                </pic:pic>
              </a:graphicData>
            </a:graphic>
          </wp:inline>
        </w:drawing>
      </w:r>
    </w:p>
    <w:p w14:paraId="61C37B15" w14:textId="77777777" w:rsidR="00CE09B9" w:rsidRDefault="00CE09B9" w:rsidP="009D1342">
      <w:pPr>
        <w:pStyle w:val="CGCTablenote"/>
      </w:pPr>
      <w:r>
        <w:t>Source:</w:t>
      </w:r>
      <w:r>
        <w:tab/>
        <w:t>State provided data, various inquiries.</w:t>
      </w:r>
    </w:p>
    <w:p w14:paraId="2355AE2C" w14:textId="77777777" w:rsidR="00CE09B9" w:rsidRPr="00070FB7" w:rsidRDefault="00CE09B9" w:rsidP="00CE09B9">
      <w:pPr>
        <w:rPr>
          <w:rFonts w:ascii="Work Sans" w:hAnsi="Work Sans"/>
          <w:sz w:val="24"/>
          <w:szCs w:val="24"/>
        </w:rPr>
      </w:pPr>
      <w:r w:rsidRPr="00070FB7">
        <w:rPr>
          <w:rFonts w:ascii="Work Sans" w:hAnsi="Work Sans"/>
          <w:sz w:val="24"/>
          <w:szCs w:val="24"/>
        </w:rPr>
        <w:t>Over this period, the importance of the mining industry to the Australian economy has also grown. At the turn of the millennium, the industry contributed approximately 6 per cent to the country’s Gross Value Added; by 2019-20, this had risen to 11 per cent.</w:t>
      </w:r>
    </w:p>
    <w:p w14:paraId="290783C9" w14:textId="0CC40055" w:rsidR="00CE09B9" w:rsidRPr="00070FB7" w:rsidRDefault="00CE09B9" w:rsidP="00CE09B9">
      <w:pPr>
        <w:rPr>
          <w:rFonts w:ascii="Work Sans" w:hAnsi="Work Sans"/>
          <w:sz w:val="24"/>
          <w:szCs w:val="24"/>
        </w:rPr>
      </w:pPr>
      <w:r w:rsidRPr="00070FB7">
        <w:rPr>
          <w:rFonts w:ascii="Work Sans" w:hAnsi="Work Sans"/>
          <w:sz w:val="24"/>
          <w:szCs w:val="24"/>
        </w:rPr>
        <w:t xml:space="preserve">Growth in demand for coal and iron ore has been an important factor behind the increasing contribution of the Australian mining industry. As a result, royalties have risen faster in the states where those minerals are produced (Queensland and Western Australia). </w:t>
      </w:r>
      <w:r w:rsidRPr="00070FB7">
        <w:rPr>
          <w:rFonts w:ascii="Work Sans" w:hAnsi="Work Sans"/>
          <w:sz w:val="24"/>
          <w:szCs w:val="24"/>
        </w:rPr>
        <w:fldChar w:fldCharType="begin"/>
      </w:r>
      <w:r w:rsidRPr="00070FB7">
        <w:rPr>
          <w:rFonts w:ascii="Work Sans" w:hAnsi="Work Sans"/>
          <w:sz w:val="24"/>
          <w:szCs w:val="24"/>
        </w:rPr>
        <w:instrText xml:space="preserve"> REF _Ref80266359 \h </w:instrText>
      </w:r>
      <w:r w:rsidR="00070FB7" w:rsidRPr="00070FB7">
        <w:rPr>
          <w:rFonts w:ascii="Work Sans" w:hAnsi="Work Sans"/>
          <w:sz w:val="24"/>
          <w:szCs w:val="24"/>
        </w:rPr>
        <w:instrText xml:space="preserve"> \* MERGEFORMAT </w:instrText>
      </w:r>
      <w:r w:rsidRPr="00070FB7">
        <w:rPr>
          <w:rFonts w:ascii="Work Sans" w:hAnsi="Work Sans"/>
          <w:sz w:val="24"/>
          <w:szCs w:val="24"/>
        </w:rPr>
      </w:r>
      <w:r w:rsidRPr="00070FB7">
        <w:rPr>
          <w:rFonts w:ascii="Work Sans" w:hAnsi="Work Sans"/>
          <w:sz w:val="24"/>
          <w:szCs w:val="24"/>
        </w:rPr>
        <w:fldChar w:fldCharType="separate"/>
      </w:r>
      <w:r w:rsidR="00CD752D" w:rsidRPr="00CD752D">
        <w:rPr>
          <w:rFonts w:ascii="Work Sans" w:hAnsi="Work Sans"/>
          <w:sz w:val="24"/>
          <w:szCs w:val="24"/>
        </w:rPr>
        <w:t>Table 3</w:t>
      </w:r>
      <w:r w:rsidRPr="00070FB7">
        <w:rPr>
          <w:rFonts w:ascii="Work Sans" w:hAnsi="Work Sans"/>
          <w:sz w:val="24"/>
          <w:szCs w:val="24"/>
        </w:rPr>
        <w:fldChar w:fldCharType="end"/>
      </w:r>
      <w:r w:rsidRPr="00070FB7">
        <w:rPr>
          <w:rFonts w:ascii="Work Sans" w:hAnsi="Work Sans"/>
          <w:sz w:val="24"/>
          <w:szCs w:val="24"/>
        </w:rPr>
        <w:t xml:space="preserve"> shows mining’s share of Total Factor Income has fallen in all states over the last two decades, except for Queensland and Western Australia.</w:t>
      </w:r>
    </w:p>
    <w:p w14:paraId="20577988" w14:textId="2736EA82" w:rsidR="00CE09B9" w:rsidRDefault="00CE09B9" w:rsidP="005035ED">
      <w:pPr>
        <w:pStyle w:val="Caption"/>
      </w:pPr>
      <w:bookmarkStart w:id="5" w:name="_Ref80266359"/>
      <w:r>
        <w:t>Table </w:t>
      </w:r>
      <w:r>
        <w:fldChar w:fldCharType="begin"/>
      </w:r>
      <w:r>
        <w:instrText>SEQ Table \* ARABIC</w:instrText>
      </w:r>
      <w:r>
        <w:fldChar w:fldCharType="separate"/>
      </w:r>
      <w:r w:rsidR="00CD752D">
        <w:rPr>
          <w:noProof/>
        </w:rPr>
        <w:t>3</w:t>
      </w:r>
      <w:r>
        <w:fldChar w:fldCharType="end"/>
      </w:r>
      <w:bookmarkEnd w:id="5"/>
      <w:r>
        <w:tab/>
        <w:t>Share of total factor income — mining</w:t>
      </w:r>
    </w:p>
    <w:tbl>
      <w:tblPr>
        <w:tblW w:w="8940" w:type="dxa"/>
        <w:tblLook w:val="04A0" w:firstRow="1" w:lastRow="0" w:firstColumn="1" w:lastColumn="0" w:noHBand="0" w:noVBand="1"/>
      </w:tblPr>
      <w:tblGrid>
        <w:gridCol w:w="1380"/>
        <w:gridCol w:w="840"/>
        <w:gridCol w:w="840"/>
        <w:gridCol w:w="840"/>
        <w:gridCol w:w="840"/>
        <w:gridCol w:w="840"/>
        <w:gridCol w:w="840"/>
        <w:gridCol w:w="840"/>
        <w:gridCol w:w="840"/>
        <w:gridCol w:w="840"/>
      </w:tblGrid>
      <w:tr w:rsidR="00CE09B9" w:rsidRPr="00CE06DD" w14:paraId="4DB204BC" w14:textId="77777777" w:rsidTr="00505276">
        <w:trPr>
          <w:trHeight w:val="375"/>
        </w:trPr>
        <w:tc>
          <w:tcPr>
            <w:tcW w:w="1380" w:type="dxa"/>
            <w:tcBorders>
              <w:top w:val="single" w:sz="4" w:space="0" w:color="ADD6EA"/>
              <w:left w:val="nil"/>
              <w:bottom w:val="single" w:sz="4" w:space="0" w:color="ADD6EA"/>
              <w:right w:val="nil"/>
            </w:tcBorders>
            <w:shd w:val="clear" w:color="000000" w:fill="008069"/>
            <w:noWrap/>
            <w:vAlign w:val="center"/>
            <w:hideMark/>
          </w:tcPr>
          <w:p w14:paraId="113877D7" w14:textId="77777777" w:rsidR="00CE09B9" w:rsidRPr="00CE06DD" w:rsidRDefault="00CE09B9" w:rsidP="005324A3">
            <w:pPr>
              <w:tabs>
                <w:tab w:val="clear" w:pos="567"/>
              </w:tabs>
              <w:spacing w:before="0" w:line="240" w:lineRule="auto"/>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 </w:t>
            </w:r>
          </w:p>
        </w:tc>
        <w:tc>
          <w:tcPr>
            <w:tcW w:w="840" w:type="dxa"/>
            <w:tcBorders>
              <w:top w:val="single" w:sz="4" w:space="0" w:color="ADD6EA"/>
              <w:left w:val="nil"/>
              <w:bottom w:val="single" w:sz="4" w:space="0" w:color="ADD6EA"/>
              <w:right w:val="nil"/>
            </w:tcBorders>
            <w:shd w:val="clear" w:color="000000" w:fill="008069"/>
            <w:noWrap/>
            <w:vAlign w:val="center"/>
            <w:hideMark/>
          </w:tcPr>
          <w:p w14:paraId="3E5A3604" w14:textId="77777777" w:rsidR="00CE09B9" w:rsidRPr="00CE06DD" w:rsidRDefault="00CE09B9"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NSW</w:t>
            </w:r>
          </w:p>
        </w:tc>
        <w:tc>
          <w:tcPr>
            <w:tcW w:w="840" w:type="dxa"/>
            <w:tcBorders>
              <w:top w:val="single" w:sz="4" w:space="0" w:color="ADD6EA"/>
              <w:left w:val="nil"/>
              <w:bottom w:val="single" w:sz="4" w:space="0" w:color="ADD6EA"/>
              <w:right w:val="nil"/>
            </w:tcBorders>
            <w:shd w:val="clear" w:color="000000" w:fill="008069"/>
            <w:noWrap/>
            <w:vAlign w:val="center"/>
            <w:hideMark/>
          </w:tcPr>
          <w:p w14:paraId="25D71929" w14:textId="77777777" w:rsidR="00CE09B9" w:rsidRPr="00CE06DD" w:rsidRDefault="00CE09B9"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Vic</w:t>
            </w:r>
          </w:p>
        </w:tc>
        <w:tc>
          <w:tcPr>
            <w:tcW w:w="840" w:type="dxa"/>
            <w:tcBorders>
              <w:top w:val="single" w:sz="4" w:space="0" w:color="ADD6EA"/>
              <w:left w:val="nil"/>
              <w:bottom w:val="single" w:sz="4" w:space="0" w:color="ADD6EA"/>
              <w:right w:val="nil"/>
            </w:tcBorders>
            <w:shd w:val="clear" w:color="000000" w:fill="008069"/>
            <w:noWrap/>
            <w:vAlign w:val="center"/>
            <w:hideMark/>
          </w:tcPr>
          <w:p w14:paraId="47ED0E57" w14:textId="77777777" w:rsidR="00CE09B9" w:rsidRPr="00CE06DD" w:rsidRDefault="00CE09B9"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Qld</w:t>
            </w:r>
          </w:p>
        </w:tc>
        <w:tc>
          <w:tcPr>
            <w:tcW w:w="840" w:type="dxa"/>
            <w:tcBorders>
              <w:top w:val="single" w:sz="4" w:space="0" w:color="ADD6EA"/>
              <w:left w:val="nil"/>
              <w:bottom w:val="single" w:sz="4" w:space="0" w:color="ADD6EA"/>
              <w:right w:val="nil"/>
            </w:tcBorders>
            <w:shd w:val="clear" w:color="000000" w:fill="008069"/>
            <w:noWrap/>
            <w:vAlign w:val="center"/>
            <w:hideMark/>
          </w:tcPr>
          <w:p w14:paraId="6C4BEE47" w14:textId="77777777" w:rsidR="00CE09B9" w:rsidRPr="00CE06DD" w:rsidRDefault="00CE09B9"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WA</w:t>
            </w:r>
          </w:p>
        </w:tc>
        <w:tc>
          <w:tcPr>
            <w:tcW w:w="840" w:type="dxa"/>
            <w:tcBorders>
              <w:top w:val="single" w:sz="4" w:space="0" w:color="ADD6EA"/>
              <w:left w:val="nil"/>
              <w:bottom w:val="single" w:sz="4" w:space="0" w:color="ADD6EA"/>
              <w:right w:val="nil"/>
            </w:tcBorders>
            <w:shd w:val="clear" w:color="000000" w:fill="008069"/>
            <w:noWrap/>
            <w:vAlign w:val="center"/>
            <w:hideMark/>
          </w:tcPr>
          <w:p w14:paraId="38010F5B" w14:textId="77777777" w:rsidR="00CE09B9" w:rsidRPr="00CE06DD" w:rsidRDefault="00CE09B9"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SA</w:t>
            </w:r>
          </w:p>
        </w:tc>
        <w:tc>
          <w:tcPr>
            <w:tcW w:w="840" w:type="dxa"/>
            <w:tcBorders>
              <w:top w:val="single" w:sz="4" w:space="0" w:color="ADD6EA"/>
              <w:left w:val="nil"/>
              <w:bottom w:val="single" w:sz="4" w:space="0" w:color="ADD6EA"/>
              <w:right w:val="nil"/>
            </w:tcBorders>
            <w:shd w:val="clear" w:color="000000" w:fill="008069"/>
            <w:noWrap/>
            <w:vAlign w:val="center"/>
            <w:hideMark/>
          </w:tcPr>
          <w:p w14:paraId="1BB6EFC0" w14:textId="77777777" w:rsidR="00CE09B9" w:rsidRPr="00CE06DD" w:rsidRDefault="00CE09B9"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Tas</w:t>
            </w:r>
          </w:p>
        </w:tc>
        <w:tc>
          <w:tcPr>
            <w:tcW w:w="840" w:type="dxa"/>
            <w:tcBorders>
              <w:top w:val="single" w:sz="4" w:space="0" w:color="ADD6EA"/>
              <w:left w:val="nil"/>
              <w:bottom w:val="single" w:sz="4" w:space="0" w:color="ADD6EA"/>
              <w:right w:val="nil"/>
            </w:tcBorders>
            <w:shd w:val="clear" w:color="000000" w:fill="008069"/>
            <w:noWrap/>
            <w:vAlign w:val="center"/>
            <w:hideMark/>
          </w:tcPr>
          <w:p w14:paraId="54185C7C" w14:textId="77777777" w:rsidR="00CE09B9" w:rsidRPr="00CE06DD" w:rsidRDefault="00CE09B9"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ACT</w:t>
            </w:r>
          </w:p>
        </w:tc>
        <w:tc>
          <w:tcPr>
            <w:tcW w:w="840" w:type="dxa"/>
            <w:tcBorders>
              <w:top w:val="single" w:sz="4" w:space="0" w:color="ADD6EA"/>
              <w:left w:val="nil"/>
              <w:bottom w:val="single" w:sz="4" w:space="0" w:color="ADD6EA"/>
              <w:right w:val="nil"/>
            </w:tcBorders>
            <w:shd w:val="clear" w:color="000000" w:fill="008069"/>
            <w:noWrap/>
            <w:vAlign w:val="center"/>
            <w:hideMark/>
          </w:tcPr>
          <w:p w14:paraId="45A0E2AE" w14:textId="77777777" w:rsidR="00CE09B9" w:rsidRPr="00CE06DD" w:rsidRDefault="00CE09B9"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NT</w:t>
            </w:r>
          </w:p>
        </w:tc>
        <w:tc>
          <w:tcPr>
            <w:tcW w:w="840" w:type="dxa"/>
            <w:tcBorders>
              <w:top w:val="single" w:sz="4" w:space="0" w:color="ADD6EA"/>
              <w:left w:val="nil"/>
              <w:bottom w:val="single" w:sz="4" w:space="0" w:color="ADD6EA"/>
              <w:right w:val="nil"/>
            </w:tcBorders>
            <w:shd w:val="clear" w:color="000000" w:fill="008069"/>
            <w:vAlign w:val="center"/>
            <w:hideMark/>
          </w:tcPr>
          <w:p w14:paraId="4824FAB0" w14:textId="77777777" w:rsidR="00CE09B9" w:rsidRPr="00CE06DD" w:rsidRDefault="00CE09B9" w:rsidP="005324A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E06DD">
              <w:rPr>
                <w:rFonts w:ascii="Open Sans Semibold" w:eastAsia="Times New Roman" w:hAnsi="Open Sans Semibold" w:cs="Open Sans Semibold"/>
                <w:color w:val="FFFFFF"/>
                <w:sz w:val="16"/>
                <w:szCs w:val="16"/>
                <w:lang w:eastAsia="en-AU"/>
              </w:rPr>
              <w:t>Total</w:t>
            </w:r>
          </w:p>
        </w:tc>
      </w:tr>
      <w:tr w:rsidR="00CE09B9" w:rsidRPr="00CE06DD" w14:paraId="4E1CB181" w14:textId="77777777" w:rsidTr="00505276">
        <w:trPr>
          <w:trHeight w:val="259"/>
        </w:trPr>
        <w:tc>
          <w:tcPr>
            <w:tcW w:w="1380" w:type="dxa"/>
            <w:tcBorders>
              <w:top w:val="nil"/>
              <w:left w:val="nil"/>
              <w:bottom w:val="nil"/>
              <w:right w:val="nil"/>
            </w:tcBorders>
            <w:shd w:val="clear" w:color="000000" w:fill="99CCC3"/>
            <w:noWrap/>
            <w:vAlign w:val="center"/>
            <w:hideMark/>
          </w:tcPr>
          <w:p w14:paraId="416C6F1F"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 </w:t>
            </w:r>
          </w:p>
        </w:tc>
        <w:tc>
          <w:tcPr>
            <w:tcW w:w="840" w:type="dxa"/>
            <w:tcBorders>
              <w:top w:val="nil"/>
              <w:left w:val="nil"/>
              <w:bottom w:val="nil"/>
              <w:right w:val="nil"/>
            </w:tcBorders>
            <w:shd w:val="clear" w:color="000000" w:fill="99CCC3"/>
            <w:noWrap/>
            <w:vAlign w:val="center"/>
            <w:hideMark/>
          </w:tcPr>
          <w:p w14:paraId="77EFD565"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46DA7B6D"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46BDE8A0"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7E922EC4"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491923F1"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6484AF70"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514B4230"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4F3717DC"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w:t>
            </w:r>
          </w:p>
        </w:tc>
        <w:tc>
          <w:tcPr>
            <w:tcW w:w="840" w:type="dxa"/>
            <w:tcBorders>
              <w:top w:val="nil"/>
              <w:left w:val="nil"/>
              <w:bottom w:val="nil"/>
              <w:right w:val="nil"/>
            </w:tcBorders>
            <w:shd w:val="clear" w:color="000000" w:fill="99CCC3"/>
            <w:noWrap/>
            <w:vAlign w:val="center"/>
            <w:hideMark/>
          </w:tcPr>
          <w:p w14:paraId="0F9B2665" w14:textId="3F0627F7" w:rsidR="00CE09B9" w:rsidRPr="00505276" w:rsidRDefault="009A59A8" w:rsidP="005324A3">
            <w:pPr>
              <w:tabs>
                <w:tab w:val="clear" w:pos="567"/>
              </w:tabs>
              <w:spacing w:before="0" w:line="240" w:lineRule="auto"/>
              <w:jc w:val="right"/>
              <w:rPr>
                <w:rFonts w:ascii="Open Sans" w:eastAsia="Times New Roman" w:hAnsi="Open Sans" w:cs="Open Sans"/>
                <w:color w:val="000000"/>
                <w:sz w:val="16"/>
                <w:szCs w:val="16"/>
                <w:lang w:eastAsia="en-AU"/>
              </w:rPr>
            </w:pPr>
            <w:r>
              <w:rPr>
                <w:rFonts w:ascii="Open Sans" w:eastAsia="Times New Roman" w:hAnsi="Open Sans" w:cs="Open Sans"/>
                <w:color w:val="000000"/>
                <w:sz w:val="16"/>
                <w:szCs w:val="16"/>
                <w:lang w:eastAsia="en-AU"/>
              </w:rPr>
              <w:t>%</w:t>
            </w:r>
          </w:p>
        </w:tc>
      </w:tr>
      <w:tr w:rsidR="00CE09B9" w:rsidRPr="00CE06DD" w14:paraId="79801909" w14:textId="77777777" w:rsidTr="00505276">
        <w:trPr>
          <w:trHeight w:val="315"/>
        </w:trPr>
        <w:tc>
          <w:tcPr>
            <w:tcW w:w="1380" w:type="dxa"/>
            <w:tcBorders>
              <w:top w:val="single" w:sz="4" w:space="0" w:color="00CE87"/>
              <w:left w:val="nil"/>
              <w:bottom w:val="single" w:sz="4" w:space="0" w:color="00CE87"/>
              <w:right w:val="nil"/>
            </w:tcBorders>
            <w:shd w:val="clear" w:color="auto" w:fill="auto"/>
            <w:noWrap/>
            <w:vAlign w:val="bottom"/>
            <w:hideMark/>
          </w:tcPr>
          <w:p w14:paraId="3DD28046" w14:textId="77777777" w:rsidR="00CE09B9" w:rsidRPr="00505276" w:rsidRDefault="00CE09B9" w:rsidP="005324A3">
            <w:pPr>
              <w:tabs>
                <w:tab w:val="clear" w:pos="567"/>
              </w:tabs>
              <w:spacing w:before="0" w:line="240" w:lineRule="auto"/>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June 2001</w:t>
            </w:r>
          </w:p>
        </w:tc>
        <w:tc>
          <w:tcPr>
            <w:tcW w:w="840" w:type="dxa"/>
            <w:tcBorders>
              <w:top w:val="single" w:sz="4" w:space="0" w:color="00CE87"/>
              <w:left w:val="nil"/>
              <w:bottom w:val="single" w:sz="4" w:space="0" w:color="00CE87"/>
              <w:right w:val="nil"/>
            </w:tcBorders>
            <w:shd w:val="clear" w:color="auto" w:fill="auto"/>
            <w:noWrap/>
            <w:vAlign w:val="bottom"/>
            <w:hideMark/>
          </w:tcPr>
          <w:p w14:paraId="4F8FD22C"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11</w:t>
            </w:r>
          </w:p>
        </w:tc>
        <w:tc>
          <w:tcPr>
            <w:tcW w:w="840" w:type="dxa"/>
            <w:tcBorders>
              <w:top w:val="single" w:sz="4" w:space="0" w:color="00CE87"/>
              <w:left w:val="nil"/>
              <w:bottom w:val="single" w:sz="4" w:space="0" w:color="00CE87"/>
              <w:right w:val="nil"/>
            </w:tcBorders>
            <w:shd w:val="clear" w:color="auto" w:fill="auto"/>
            <w:noWrap/>
            <w:vAlign w:val="bottom"/>
            <w:hideMark/>
          </w:tcPr>
          <w:p w14:paraId="5B7ECC88"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11</w:t>
            </w:r>
          </w:p>
        </w:tc>
        <w:tc>
          <w:tcPr>
            <w:tcW w:w="840" w:type="dxa"/>
            <w:tcBorders>
              <w:top w:val="single" w:sz="4" w:space="0" w:color="00CE87"/>
              <w:left w:val="nil"/>
              <w:bottom w:val="single" w:sz="4" w:space="0" w:color="00CE87"/>
              <w:right w:val="nil"/>
            </w:tcBorders>
            <w:shd w:val="clear" w:color="auto" w:fill="auto"/>
            <w:noWrap/>
            <w:vAlign w:val="bottom"/>
            <w:hideMark/>
          </w:tcPr>
          <w:p w14:paraId="2A79627C"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19</w:t>
            </w:r>
          </w:p>
        </w:tc>
        <w:tc>
          <w:tcPr>
            <w:tcW w:w="840" w:type="dxa"/>
            <w:tcBorders>
              <w:top w:val="single" w:sz="4" w:space="0" w:color="00CE87"/>
              <w:left w:val="nil"/>
              <w:bottom w:val="single" w:sz="4" w:space="0" w:color="00CE87"/>
              <w:right w:val="nil"/>
            </w:tcBorders>
            <w:shd w:val="clear" w:color="auto" w:fill="auto"/>
            <w:noWrap/>
            <w:vAlign w:val="bottom"/>
            <w:hideMark/>
          </w:tcPr>
          <w:p w14:paraId="0DC40A2A"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47</w:t>
            </w:r>
          </w:p>
        </w:tc>
        <w:tc>
          <w:tcPr>
            <w:tcW w:w="840" w:type="dxa"/>
            <w:tcBorders>
              <w:top w:val="single" w:sz="4" w:space="0" w:color="00CE87"/>
              <w:left w:val="nil"/>
              <w:bottom w:val="single" w:sz="4" w:space="0" w:color="00CE87"/>
              <w:right w:val="nil"/>
            </w:tcBorders>
            <w:shd w:val="clear" w:color="auto" w:fill="auto"/>
            <w:noWrap/>
            <w:vAlign w:val="bottom"/>
            <w:hideMark/>
          </w:tcPr>
          <w:p w14:paraId="34C69BF0"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5</w:t>
            </w:r>
          </w:p>
        </w:tc>
        <w:tc>
          <w:tcPr>
            <w:tcW w:w="840" w:type="dxa"/>
            <w:tcBorders>
              <w:top w:val="single" w:sz="4" w:space="0" w:color="00CE87"/>
              <w:left w:val="nil"/>
              <w:bottom w:val="single" w:sz="4" w:space="0" w:color="00CE87"/>
              <w:right w:val="nil"/>
            </w:tcBorders>
            <w:shd w:val="clear" w:color="auto" w:fill="auto"/>
            <w:noWrap/>
            <w:vAlign w:val="bottom"/>
            <w:hideMark/>
          </w:tcPr>
          <w:p w14:paraId="4259263F"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1</w:t>
            </w:r>
          </w:p>
        </w:tc>
        <w:tc>
          <w:tcPr>
            <w:tcW w:w="840" w:type="dxa"/>
            <w:tcBorders>
              <w:top w:val="single" w:sz="4" w:space="0" w:color="00CE87"/>
              <w:left w:val="nil"/>
              <w:bottom w:val="single" w:sz="4" w:space="0" w:color="00CE87"/>
              <w:right w:val="nil"/>
            </w:tcBorders>
            <w:shd w:val="clear" w:color="auto" w:fill="auto"/>
            <w:noWrap/>
            <w:vAlign w:val="bottom"/>
            <w:hideMark/>
          </w:tcPr>
          <w:p w14:paraId="711D137A"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0</w:t>
            </w:r>
          </w:p>
        </w:tc>
        <w:tc>
          <w:tcPr>
            <w:tcW w:w="840" w:type="dxa"/>
            <w:tcBorders>
              <w:top w:val="single" w:sz="4" w:space="0" w:color="00CE87"/>
              <w:left w:val="nil"/>
              <w:bottom w:val="single" w:sz="4" w:space="0" w:color="00CE87"/>
              <w:right w:val="nil"/>
            </w:tcBorders>
            <w:shd w:val="clear" w:color="auto" w:fill="auto"/>
            <w:noWrap/>
            <w:vAlign w:val="bottom"/>
            <w:hideMark/>
          </w:tcPr>
          <w:p w14:paraId="0381324D"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6</w:t>
            </w:r>
          </w:p>
        </w:tc>
        <w:tc>
          <w:tcPr>
            <w:tcW w:w="840" w:type="dxa"/>
            <w:tcBorders>
              <w:top w:val="single" w:sz="4" w:space="0" w:color="00CE87"/>
              <w:left w:val="nil"/>
              <w:bottom w:val="single" w:sz="4" w:space="0" w:color="00CE87"/>
              <w:right w:val="nil"/>
            </w:tcBorders>
            <w:shd w:val="clear" w:color="auto" w:fill="auto"/>
            <w:noWrap/>
            <w:vAlign w:val="bottom"/>
            <w:hideMark/>
          </w:tcPr>
          <w:p w14:paraId="0E735492"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100</w:t>
            </w:r>
          </w:p>
        </w:tc>
      </w:tr>
      <w:tr w:rsidR="00CE09B9" w:rsidRPr="00CE06DD" w14:paraId="60FAB020" w14:textId="77777777" w:rsidTr="00505276">
        <w:trPr>
          <w:trHeight w:val="315"/>
        </w:trPr>
        <w:tc>
          <w:tcPr>
            <w:tcW w:w="1380" w:type="dxa"/>
            <w:tcBorders>
              <w:top w:val="nil"/>
              <w:left w:val="nil"/>
              <w:bottom w:val="single" w:sz="4" w:space="0" w:color="00CE87"/>
              <w:right w:val="nil"/>
            </w:tcBorders>
            <w:shd w:val="clear" w:color="auto" w:fill="auto"/>
            <w:noWrap/>
            <w:vAlign w:val="bottom"/>
            <w:hideMark/>
          </w:tcPr>
          <w:p w14:paraId="424D70B8" w14:textId="77777777" w:rsidR="00CE09B9" w:rsidRPr="00505276" w:rsidRDefault="00CE09B9" w:rsidP="005324A3">
            <w:pPr>
              <w:tabs>
                <w:tab w:val="clear" w:pos="567"/>
              </w:tabs>
              <w:spacing w:before="0" w:line="240" w:lineRule="auto"/>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June 2020</w:t>
            </w:r>
          </w:p>
        </w:tc>
        <w:tc>
          <w:tcPr>
            <w:tcW w:w="840" w:type="dxa"/>
            <w:tcBorders>
              <w:top w:val="nil"/>
              <w:left w:val="nil"/>
              <w:bottom w:val="single" w:sz="4" w:space="0" w:color="00CE87"/>
              <w:right w:val="nil"/>
            </w:tcBorders>
            <w:shd w:val="clear" w:color="auto" w:fill="auto"/>
            <w:noWrap/>
            <w:vAlign w:val="bottom"/>
            <w:hideMark/>
          </w:tcPr>
          <w:p w14:paraId="2FEA25D3"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7</w:t>
            </w:r>
          </w:p>
        </w:tc>
        <w:tc>
          <w:tcPr>
            <w:tcW w:w="840" w:type="dxa"/>
            <w:tcBorders>
              <w:top w:val="nil"/>
              <w:left w:val="nil"/>
              <w:bottom w:val="single" w:sz="4" w:space="0" w:color="00CE87"/>
              <w:right w:val="nil"/>
            </w:tcBorders>
            <w:shd w:val="clear" w:color="auto" w:fill="auto"/>
            <w:noWrap/>
            <w:vAlign w:val="bottom"/>
            <w:hideMark/>
          </w:tcPr>
          <w:p w14:paraId="44B9E778"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3</w:t>
            </w:r>
          </w:p>
        </w:tc>
        <w:tc>
          <w:tcPr>
            <w:tcW w:w="840" w:type="dxa"/>
            <w:tcBorders>
              <w:top w:val="nil"/>
              <w:left w:val="nil"/>
              <w:bottom w:val="single" w:sz="4" w:space="0" w:color="00CE87"/>
              <w:right w:val="nil"/>
            </w:tcBorders>
            <w:shd w:val="clear" w:color="auto" w:fill="auto"/>
            <w:noWrap/>
            <w:vAlign w:val="bottom"/>
            <w:hideMark/>
          </w:tcPr>
          <w:p w14:paraId="2AF1BBF0"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19</w:t>
            </w:r>
          </w:p>
        </w:tc>
        <w:tc>
          <w:tcPr>
            <w:tcW w:w="840" w:type="dxa"/>
            <w:tcBorders>
              <w:top w:val="nil"/>
              <w:left w:val="nil"/>
              <w:bottom w:val="single" w:sz="4" w:space="0" w:color="00CE87"/>
              <w:right w:val="nil"/>
            </w:tcBorders>
            <w:shd w:val="clear" w:color="auto" w:fill="auto"/>
            <w:noWrap/>
            <w:vAlign w:val="bottom"/>
            <w:hideMark/>
          </w:tcPr>
          <w:p w14:paraId="16C3BBC2"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65</w:t>
            </w:r>
          </w:p>
        </w:tc>
        <w:tc>
          <w:tcPr>
            <w:tcW w:w="840" w:type="dxa"/>
            <w:tcBorders>
              <w:top w:val="nil"/>
              <w:left w:val="nil"/>
              <w:bottom w:val="single" w:sz="4" w:space="0" w:color="00CE87"/>
              <w:right w:val="nil"/>
            </w:tcBorders>
            <w:shd w:val="clear" w:color="auto" w:fill="auto"/>
            <w:noWrap/>
            <w:vAlign w:val="bottom"/>
            <w:hideMark/>
          </w:tcPr>
          <w:p w14:paraId="6E06C595"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2</w:t>
            </w:r>
          </w:p>
        </w:tc>
        <w:tc>
          <w:tcPr>
            <w:tcW w:w="840" w:type="dxa"/>
            <w:tcBorders>
              <w:top w:val="nil"/>
              <w:left w:val="nil"/>
              <w:bottom w:val="single" w:sz="4" w:space="0" w:color="00CE87"/>
              <w:right w:val="nil"/>
            </w:tcBorders>
            <w:shd w:val="clear" w:color="auto" w:fill="auto"/>
            <w:noWrap/>
            <w:vAlign w:val="bottom"/>
            <w:hideMark/>
          </w:tcPr>
          <w:p w14:paraId="14D6E99B"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1</w:t>
            </w:r>
          </w:p>
        </w:tc>
        <w:tc>
          <w:tcPr>
            <w:tcW w:w="840" w:type="dxa"/>
            <w:tcBorders>
              <w:top w:val="nil"/>
              <w:left w:val="nil"/>
              <w:bottom w:val="single" w:sz="4" w:space="0" w:color="00CE87"/>
              <w:right w:val="nil"/>
            </w:tcBorders>
            <w:shd w:val="clear" w:color="auto" w:fill="auto"/>
            <w:noWrap/>
            <w:vAlign w:val="bottom"/>
            <w:hideMark/>
          </w:tcPr>
          <w:p w14:paraId="13CC982F"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0</w:t>
            </w:r>
          </w:p>
        </w:tc>
        <w:tc>
          <w:tcPr>
            <w:tcW w:w="840" w:type="dxa"/>
            <w:tcBorders>
              <w:top w:val="nil"/>
              <w:left w:val="nil"/>
              <w:bottom w:val="single" w:sz="4" w:space="0" w:color="00CE87"/>
              <w:right w:val="nil"/>
            </w:tcBorders>
            <w:shd w:val="clear" w:color="auto" w:fill="auto"/>
            <w:noWrap/>
            <w:vAlign w:val="bottom"/>
            <w:hideMark/>
          </w:tcPr>
          <w:p w14:paraId="2AF6F162"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3</w:t>
            </w:r>
          </w:p>
        </w:tc>
        <w:tc>
          <w:tcPr>
            <w:tcW w:w="840" w:type="dxa"/>
            <w:tcBorders>
              <w:top w:val="nil"/>
              <w:left w:val="nil"/>
              <w:bottom w:val="single" w:sz="4" w:space="0" w:color="00CE87"/>
              <w:right w:val="nil"/>
            </w:tcBorders>
            <w:shd w:val="clear" w:color="auto" w:fill="auto"/>
            <w:noWrap/>
            <w:vAlign w:val="bottom"/>
            <w:hideMark/>
          </w:tcPr>
          <w:p w14:paraId="5E96F9D1" w14:textId="77777777" w:rsidR="00CE09B9" w:rsidRPr="00505276" w:rsidRDefault="00CE09B9" w:rsidP="005324A3">
            <w:pPr>
              <w:tabs>
                <w:tab w:val="clear" w:pos="567"/>
              </w:tabs>
              <w:spacing w:before="0" w:line="240" w:lineRule="auto"/>
              <w:jc w:val="right"/>
              <w:rPr>
                <w:rFonts w:ascii="Open Sans" w:eastAsia="Times New Roman" w:hAnsi="Open Sans" w:cs="Open Sans"/>
                <w:color w:val="000000"/>
                <w:sz w:val="16"/>
                <w:szCs w:val="16"/>
                <w:lang w:eastAsia="en-AU"/>
              </w:rPr>
            </w:pPr>
            <w:r w:rsidRPr="00505276">
              <w:rPr>
                <w:rFonts w:ascii="Open Sans" w:eastAsia="Times New Roman" w:hAnsi="Open Sans" w:cs="Open Sans"/>
                <w:color w:val="000000"/>
                <w:sz w:val="16"/>
                <w:szCs w:val="16"/>
                <w:lang w:eastAsia="en-AU"/>
              </w:rPr>
              <w:t>100</w:t>
            </w:r>
          </w:p>
        </w:tc>
      </w:tr>
    </w:tbl>
    <w:p w14:paraId="254DA439" w14:textId="21DF303F" w:rsidR="00CE09B9" w:rsidRPr="00A5558A" w:rsidRDefault="00CE09B9" w:rsidP="00070FB7">
      <w:pPr>
        <w:pStyle w:val="CGCTablenote"/>
      </w:pPr>
      <w:r w:rsidRPr="00A5558A">
        <w:t>Source:</w:t>
      </w:r>
      <w:r w:rsidRPr="00A5558A">
        <w:tab/>
        <w:t>Australian Bureau of Statistics, Australian National Accounts: State Accounts, Table 2 Expenditure, Income and Industry Components of Gross State Product, 2019-20, Cat No 5220.0.</w:t>
      </w:r>
    </w:p>
    <w:p w14:paraId="07515CFE" w14:textId="2523CAF7" w:rsidR="00FC2485" w:rsidRPr="001F52A8" w:rsidRDefault="00FC2485" w:rsidP="00070FB7">
      <w:pPr>
        <w:pStyle w:val="Heading2"/>
        <w:keepNext/>
      </w:pPr>
      <w:r w:rsidRPr="001F52A8">
        <w:lastRenderedPageBreak/>
        <w:t>The GST effects of mining booms have been uneven</w:t>
      </w:r>
    </w:p>
    <w:p w14:paraId="57692A34" w14:textId="50EF0BC0" w:rsidR="00FC2485" w:rsidRPr="00070FB7" w:rsidRDefault="00FC2485" w:rsidP="00207EF8">
      <w:pPr>
        <w:keepNext/>
        <w:keepLines/>
        <w:rPr>
          <w:rFonts w:ascii="Work Sans" w:hAnsi="Work Sans"/>
          <w:sz w:val="24"/>
          <w:szCs w:val="24"/>
        </w:rPr>
      </w:pPr>
      <w:r w:rsidRPr="00070FB7">
        <w:rPr>
          <w:rFonts w:ascii="Work Sans" w:hAnsi="Work Sans"/>
          <w:sz w:val="24"/>
          <w:szCs w:val="24"/>
        </w:rPr>
        <w:t>The tax base for the mining assessment is the value of mineral production. If that base was evenly distributed (that is, if all states had the same per capita production of each mineral), a mining boom would not affect GST distributions. The more uneven the distribution of mineral production, the more uneven the tax base across states, the larger the impact a mining boom has on GST distributions.</w:t>
      </w:r>
    </w:p>
    <w:p w14:paraId="7884F3FD" w14:textId="351C10F2" w:rsidR="00FC2485" w:rsidRPr="00070FB7" w:rsidRDefault="00FC2485" w:rsidP="00FC2485">
      <w:pPr>
        <w:rPr>
          <w:rFonts w:ascii="Work Sans" w:hAnsi="Work Sans"/>
          <w:sz w:val="24"/>
          <w:szCs w:val="24"/>
        </w:rPr>
      </w:pPr>
      <w:r w:rsidRPr="00070FB7">
        <w:rPr>
          <w:rFonts w:ascii="Work Sans" w:hAnsi="Work Sans"/>
          <w:sz w:val="24"/>
          <w:szCs w:val="24"/>
        </w:rPr>
        <w:t>The mining assessment tends to reduce the GST required to equalise fiscal capacities in states with a high share of mining activity — currently Queensland, Western Australia, and the Northern Territory.</w:t>
      </w:r>
      <w:r w:rsidRPr="00070FB7">
        <w:rPr>
          <w:rFonts w:ascii="Work Sans" w:hAnsi="Work Sans"/>
          <w:sz w:val="24"/>
          <w:szCs w:val="24"/>
          <w:lang w:val="en-GB"/>
        </w:rPr>
        <w:t xml:space="preserve"> The strong growth in value of production (particularly, coal and iron ore) </w:t>
      </w:r>
      <w:r w:rsidRPr="00070FB7">
        <w:rPr>
          <w:rFonts w:ascii="Work Sans" w:hAnsi="Work Sans"/>
          <w:sz w:val="24"/>
          <w:szCs w:val="24"/>
        </w:rPr>
        <w:t>has caused the mining tax base to become more uneven. As a result, the mining assessment has become a major driver of GST distributions. The amount of GST required by the mining states to equalise their fiscal capacities has fallen as their mining revenue capacity has risen. For example, the mining assessment reduced the GST they required by $0.5 billion in 2000-01 and by $7.5 billion in 2021-22 (</w:t>
      </w:r>
      <w:r w:rsidRPr="00070FB7">
        <w:rPr>
          <w:rFonts w:ascii="Work Sans" w:hAnsi="Work Sans"/>
          <w:sz w:val="24"/>
          <w:szCs w:val="24"/>
        </w:rPr>
        <w:fldChar w:fldCharType="begin"/>
      </w:r>
      <w:r w:rsidRPr="00070FB7">
        <w:rPr>
          <w:rFonts w:ascii="Work Sans" w:hAnsi="Work Sans"/>
          <w:sz w:val="24"/>
          <w:szCs w:val="24"/>
        </w:rPr>
        <w:instrText xml:space="preserve"> REF _Ref80267476 \h </w:instrText>
      </w:r>
      <w:r w:rsidR="00070FB7" w:rsidRPr="00070FB7">
        <w:rPr>
          <w:rFonts w:ascii="Work Sans" w:hAnsi="Work Sans"/>
          <w:sz w:val="24"/>
          <w:szCs w:val="24"/>
        </w:rPr>
        <w:instrText xml:space="preserve"> \* MERGEFORMAT </w:instrText>
      </w:r>
      <w:r w:rsidRPr="00070FB7">
        <w:rPr>
          <w:rFonts w:ascii="Work Sans" w:hAnsi="Work Sans"/>
          <w:sz w:val="24"/>
          <w:szCs w:val="24"/>
        </w:rPr>
      </w:r>
      <w:r w:rsidRPr="00070FB7">
        <w:rPr>
          <w:rFonts w:ascii="Work Sans" w:hAnsi="Work Sans"/>
          <w:sz w:val="24"/>
          <w:szCs w:val="24"/>
        </w:rPr>
        <w:fldChar w:fldCharType="separate"/>
      </w:r>
      <w:r w:rsidR="00CD752D" w:rsidRPr="00CD752D">
        <w:rPr>
          <w:rFonts w:ascii="Work Sans" w:hAnsi="Work Sans"/>
          <w:sz w:val="24"/>
          <w:szCs w:val="24"/>
        </w:rPr>
        <w:t>Figure 3</w:t>
      </w:r>
      <w:r w:rsidRPr="00070FB7">
        <w:rPr>
          <w:rFonts w:ascii="Work Sans" w:hAnsi="Work Sans"/>
          <w:sz w:val="24"/>
          <w:szCs w:val="24"/>
        </w:rPr>
        <w:fldChar w:fldCharType="end"/>
      </w:r>
      <w:r w:rsidRPr="00070FB7">
        <w:rPr>
          <w:rFonts w:ascii="Work Sans" w:hAnsi="Work Sans"/>
          <w:sz w:val="24"/>
          <w:szCs w:val="24"/>
        </w:rPr>
        <w:t xml:space="preserve">). Western Australia experienced the largest reduction, reflecting both the increase in iron ore royalties and the uneven distribution of the iron ore tax base (see </w:t>
      </w:r>
      <w:r w:rsidRPr="00070FB7">
        <w:rPr>
          <w:rFonts w:ascii="Work Sans" w:hAnsi="Work Sans"/>
          <w:sz w:val="24"/>
          <w:szCs w:val="24"/>
        </w:rPr>
        <w:fldChar w:fldCharType="begin"/>
      </w:r>
      <w:r w:rsidRPr="00070FB7">
        <w:rPr>
          <w:rFonts w:ascii="Work Sans" w:hAnsi="Work Sans"/>
          <w:sz w:val="24"/>
          <w:szCs w:val="24"/>
        </w:rPr>
        <w:instrText xml:space="preserve"> REF _Ref80265781 \h </w:instrText>
      </w:r>
      <w:r w:rsidR="00070FB7" w:rsidRPr="00070FB7">
        <w:rPr>
          <w:rFonts w:ascii="Work Sans" w:hAnsi="Work Sans"/>
          <w:sz w:val="24"/>
          <w:szCs w:val="24"/>
        </w:rPr>
        <w:instrText xml:space="preserve"> \* MERGEFORMAT </w:instrText>
      </w:r>
      <w:r w:rsidRPr="00070FB7">
        <w:rPr>
          <w:rFonts w:ascii="Work Sans" w:hAnsi="Work Sans"/>
          <w:sz w:val="24"/>
          <w:szCs w:val="24"/>
        </w:rPr>
      </w:r>
      <w:r w:rsidRPr="00070FB7">
        <w:rPr>
          <w:rFonts w:ascii="Work Sans" w:hAnsi="Work Sans"/>
          <w:sz w:val="24"/>
          <w:szCs w:val="24"/>
        </w:rPr>
        <w:fldChar w:fldCharType="separate"/>
      </w:r>
      <w:r w:rsidR="00CD752D" w:rsidRPr="00CD752D">
        <w:rPr>
          <w:rFonts w:ascii="Work Sans" w:hAnsi="Work Sans"/>
          <w:sz w:val="24"/>
          <w:szCs w:val="24"/>
        </w:rPr>
        <w:t>Table 2</w:t>
      </w:r>
      <w:r w:rsidRPr="00070FB7">
        <w:rPr>
          <w:rFonts w:ascii="Work Sans" w:hAnsi="Work Sans"/>
          <w:sz w:val="24"/>
          <w:szCs w:val="24"/>
        </w:rPr>
        <w:fldChar w:fldCharType="end"/>
      </w:r>
      <w:r w:rsidRPr="00070FB7">
        <w:rPr>
          <w:rFonts w:ascii="Work Sans" w:hAnsi="Work Sans"/>
          <w:sz w:val="24"/>
          <w:szCs w:val="24"/>
        </w:rPr>
        <w:t>).</w:t>
      </w:r>
    </w:p>
    <w:p w14:paraId="45ED0C2C" w14:textId="4A9650AD" w:rsidR="00D248F0" w:rsidRDefault="00D248F0" w:rsidP="005035ED">
      <w:pPr>
        <w:pStyle w:val="Caption"/>
      </w:pPr>
      <w:bookmarkStart w:id="6" w:name="_Ref80267476"/>
      <w:r>
        <w:t>Figure </w:t>
      </w:r>
      <w:r>
        <w:fldChar w:fldCharType="begin"/>
      </w:r>
      <w:r>
        <w:instrText>SEQ Figure \* ARABIC</w:instrText>
      </w:r>
      <w:r>
        <w:fldChar w:fldCharType="separate"/>
      </w:r>
      <w:r w:rsidR="00CD752D">
        <w:rPr>
          <w:noProof/>
        </w:rPr>
        <w:t>3</w:t>
      </w:r>
      <w:r>
        <w:fldChar w:fldCharType="end"/>
      </w:r>
      <w:bookmarkEnd w:id="6"/>
      <w:r>
        <w:tab/>
        <w:t>Reduced GST requirement due to the mining assessment, 2000-01 to 2020-21</w:t>
      </w:r>
    </w:p>
    <w:p w14:paraId="31F8E008" w14:textId="40E30E27" w:rsidR="00D248F0" w:rsidRDefault="00111B7E" w:rsidP="00D248F0">
      <w:r w:rsidRPr="00111B7E">
        <w:rPr>
          <w:noProof/>
        </w:rPr>
        <w:drawing>
          <wp:inline distT="0" distB="0" distL="0" distR="0" wp14:anchorId="707F99CB" wp14:editId="2713A2F3">
            <wp:extent cx="5661660" cy="35648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1660" cy="3564890"/>
                    </a:xfrm>
                    <a:prstGeom prst="rect">
                      <a:avLst/>
                    </a:prstGeom>
                    <a:noFill/>
                    <a:ln>
                      <a:noFill/>
                    </a:ln>
                  </pic:spPr>
                </pic:pic>
              </a:graphicData>
            </a:graphic>
          </wp:inline>
        </w:drawing>
      </w:r>
    </w:p>
    <w:p w14:paraId="33B769E6" w14:textId="77777777" w:rsidR="00D248F0" w:rsidRDefault="00D248F0" w:rsidP="009D1342">
      <w:pPr>
        <w:pStyle w:val="CGCTablenote"/>
      </w:pPr>
      <w:r>
        <w:t>Source:</w:t>
      </w:r>
      <w:r>
        <w:tab/>
        <w:t>Commission simulation.</w:t>
      </w:r>
    </w:p>
    <w:p w14:paraId="1E6671FA" w14:textId="10EFEBAE" w:rsidR="00D248F0" w:rsidRPr="00070FB7" w:rsidRDefault="00D248F0" w:rsidP="00D248F0">
      <w:pPr>
        <w:rPr>
          <w:rFonts w:ascii="Work Sans" w:hAnsi="Work Sans"/>
          <w:sz w:val="24"/>
          <w:szCs w:val="24"/>
        </w:rPr>
      </w:pPr>
      <w:r w:rsidRPr="00070FB7">
        <w:rPr>
          <w:rFonts w:ascii="Work Sans" w:hAnsi="Work Sans"/>
          <w:sz w:val="24"/>
          <w:szCs w:val="24"/>
        </w:rPr>
        <w:t>While the revenue capacities of the mining states diverged from the non</w:t>
      </w:r>
      <w:r w:rsidR="00070FB7">
        <w:rPr>
          <w:rFonts w:ascii="Work Sans" w:hAnsi="Work Sans"/>
          <w:sz w:val="24"/>
          <w:szCs w:val="24"/>
        </w:rPr>
        <w:noBreakHyphen/>
      </w:r>
      <w:r w:rsidRPr="00070FB7">
        <w:rPr>
          <w:rFonts w:ascii="Work Sans" w:hAnsi="Work Sans"/>
          <w:sz w:val="24"/>
          <w:szCs w:val="24"/>
        </w:rPr>
        <w:t xml:space="preserve">mining states, they also diverged from each other. In more recent </w:t>
      </w:r>
      <w:r w:rsidRPr="00070FB7">
        <w:rPr>
          <w:rFonts w:ascii="Work Sans" w:hAnsi="Work Sans"/>
          <w:sz w:val="24"/>
          <w:szCs w:val="24"/>
        </w:rPr>
        <w:lastRenderedPageBreak/>
        <w:t>years, while iron ore royalties have continued to grow strongly because of the strong growth in iron ore prices, subdued growth in coal prices has led to a decline in coal royalties (</w:t>
      </w:r>
      <w:r w:rsidRPr="00070FB7">
        <w:rPr>
          <w:rFonts w:ascii="Work Sans" w:hAnsi="Work Sans"/>
          <w:sz w:val="24"/>
          <w:szCs w:val="24"/>
        </w:rPr>
        <w:fldChar w:fldCharType="begin"/>
      </w:r>
      <w:r w:rsidRPr="00070FB7">
        <w:rPr>
          <w:rFonts w:ascii="Work Sans" w:hAnsi="Work Sans"/>
          <w:sz w:val="24"/>
          <w:szCs w:val="24"/>
        </w:rPr>
        <w:instrText xml:space="preserve"> REF _Ref80267693 \h </w:instrText>
      </w:r>
      <w:r w:rsidR="00070FB7" w:rsidRPr="00070FB7">
        <w:rPr>
          <w:rFonts w:ascii="Work Sans" w:hAnsi="Work Sans"/>
          <w:sz w:val="24"/>
          <w:szCs w:val="24"/>
        </w:rPr>
        <w:instrText xml:space="preserve"> \* MERGEFORMAT </w:instrText>
      </w:r>
      <w:r w:rsidRPr="00070FB7">
        <w:rPr>
          <w:rFonts w:ascii="Work Sans" w:hAnsi="Work Sans"/>
          <w:sz w:val="24"/>
          <w:szCs w:val="24"/>
        </w:rPr>
      </w:r>
      <w:r w:rsidRPr="00070FB7">
        <w:rPr>
          <w:rFonts w:ascii="Work Sans" w:hAnsi="Work Sans"/>
          <w:sz w:val="24"/>
          <w:szCs w:val="24"/>
        </w:rPr>
        <w:fldChar w:fldCharType="separate"/>
      </w:r>
      <w:r w:rsidR="00CD752D" w:rsidRPr="00CD752D">
        <w:rPr>
          <w:rFonts w:ascii="Work Sans" w:hAnsi="Work Sans"/>
          <w:sz w:val="24"/>
          <w:szCs w:val="24"/>
        </w:rPr>
        <w:t>Figure 4</w:t>
      </w:r>
      <w:r w:rsidRPr="00070FB7">
        <w:rPr>
          <w:rFonts w:ascii="Work Sans" w:hAnsi="Work Sans"/>
          <w:sz w:val="24"/>
          <w:szCs w:val="24"/>
        </w:rPr>
        <w:fldChar w:fldCharType="end"/>
      </w:r>
      <w:r w:rsidRPr="00070FB7">
        <w:rPr>
          <w:rFonts w:ascii="Work Sans" w:hAnsi="Work Sans"/>
          <w:sz w:val="24"/>
          <w:szCs w:val="24"/>
        </w:rPr>
        <w:t>). The result is that there has been a significant increase in Western Australia’s revenue raising capacity from mining compared to states where coal is produced and states with minimal mining resources.</w:t>
      </w:r>
    </w:p>
    <w:p w14:paraId="5B2F39FE" w14:textId="5B428448" w:rsidR="00D248F0" w:rsidRDefault="00D248F0" w:rsidP="005035ED">
      <w:pPr>
        <w:pStyle w:val="Caption"/>
      </w:pPr>
      <w:bookmarkStart w:id="7" w:name="_Ref80267693"/>
      <w:r>
        <w:t>Figure </w:t>
      </w:r>
      <w:r>
        <w:fldChar w:fldCharType="begin"/>
      </w:r>
      <w:r>
        <w:instrText>SEQ Figure \* ARABIC</w:instrText>
      </w:r>
      <w:r>
        <w:fldChar w:fldCharType="separate"/>
      </w:r>
      <w:r w:rsidR="00CD752D">
        <w:rPr>
          <w:noProof/>
        </w:rPr>
        <w:t>4</w:t>
      </w:r>
      <w:r>
        <w:fldChar w:fldCharType="end"/>
      </w:r>
      <w:bookmarkEnd w:id="7"/>
      <w:r>
        <w:tab/>
        <w:t>Royalty revenue by mineral, 2010-11 to 2019-2020</w:t>
      </w:r>
    </w:p>
    <w:p w14:paraId="3DD0ABA0" w14:textId="61A2D126" w:rsidR="00D248F0" w:rsidRDefault="00083818" w:rsidP="00D248F0">
      <w:r w:rsidRPr="00083818">
        <w:rPr>
          <w:noProof/>
        </w:rPr>
        <w:drawing>
          <wp:inline distT="0" distB="0" distL="0" distR="0" wp14:anchorId="12A8F34B" wp14:editId="2E95A899">
            <wp:extent cx="5755640" cy="3641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640" cy="3641725"/>
                    </a:xfrm>
                    <a:prstGeom prst="rect">
                      <a:avLst/>
                    </a:prstGeom>
                    <a:noFill/>
                    <a:ln>
                      <a:noFill/>
                    </a:ln>
                  </pic:spPr>
                </pic:pic>
              </a:graphicData>
            </a:graphic>
          </wp:inline>
        </w:drawing>
      </w:r>
    </w:p>
    <w:p w14:paraId="0954F79D" w14:textId="77777777" w:rsidR="00D248F0" w:rsidRDefault="00D248F0" w:rsidP="009D1342">
      <w:pPr>
        <w:pStyle w:val="CGCTablenote"/>
      </w:pPr>
      <w:r>
        <w:t>Source:</w:t>
      </w:r>
      <w:r>
        <w:tab/>
        <w:t>State provided data, various inquiries.</w:t>
      </w:r>
    </w:p>
    <w:p w14:paraId="03A55164" w14:textId="7DA29A77" w:rsidR="00C9252A" w:rsidRPr="001F52A8" w:rsidRDefault="00C9252A" w:rsidP="00897612">
      <w:pPr>
        <w:pStyle w:val="Heading2"/>
      </w:pPr>
      <w:r w:rsidRPr="001F52A8">
        <w:t>The GST effects of mining booms are larger in</w:t>
      </w:r>
      <w:r>
        <w:t xml:space="preserve"> state</w:t>
      </w:r>
      <w:r w:rsidRPr="001F52A8">
        <w:t>s with smaller populations</w:t>
      </w:r>
    </w:p>
    <w:p w14:paraId="78300E90" w14:textId="77777777" w:rsidR="00C9252A" w:rsidRPr="00897612" w:rsidRDefault="00C9252A" w:rsidP="00C9252A">
      <w:pPr>
        <w:rPr>
          <w:rFonts w:ascii="Work Sans" w:hAnsi="Work Sans"/>
        </w:rPr>
      </w:pPr>
      <w:r w:rsidRPr="00897612">
        <w:rPr>
          <w:rFonts w:ascii="Work Sans" w:hAnsi="Work Sans"/>
        </w:rPr>
        <w:t>The effect of a revenue assessment on a state’s GST requirement reflects the difference between its population share and its share of the relevant tax base. The larger the difference, the larger the effect on its GST requirement.</w:t>
      </w:r>
    </w:p>
    <w:p w14:paraId="66ABB514" w14:textId="77777777" w:rsidR="00C9252A" w:rsidRPr="00897612" w:rsidRDefault="00C9252A" w:rsidP="00C9252A">
      <w:pPr>
        <w:rPr>
          <w:rFonts w:ascii="Work Sans" w:hAnsi="Work Sans"/>
        </w:rPr>
      </w:pPr>
      <w:r w:rsidRPr="00897612">
        <w:rPr>
          <w:rFonts w:ascii="Work Sans" w:hAnsi="Work Sans"/>
        </w:rPr>
        <w:t>Iron ore booms have had a significant effect on Western Australia’s GST requirement because it has a small share of Australia’s population (10%) but a large share of the iron ore tax base (99%). Had the equivalent iron ore production been located in New South Wales, Victoria or Queensland, the influence of the iron ore booms on the GST requirements of those states would have been substantially less.</w:t>
      </w:r>
    </w:p>
    <w:p w14:paraId="644EA963" w14:textId="77777777" w:rsidR="00C9252A" w:rsidRPr="00897612" w:rsidRDefault="00C9252A" w:rsidP="00C9252A">
      <w:pPr>
        <w:rPr>
          <w:rFonts w:ascii="Work Sans" w:hAnsi="Work Sans"/>
        </w:rPr>
      </w:pPr>
      <w:r w:rsidRPr="00897612">
        <w:rPr>
          <w:rFonts w:ascii="Work Sans" w:hAnsi="Work Sans"/>
        </w:rPr>
        <w:t>In 2019-20, Western Australia’s mining royalty revenue was more than five times the national average ($3,419 per capita compared to $632 per capita), with iron ore accounting for 90% of Western Australia’s royalties. The high concentration of iron ore in Western Australia, in conjunction with its small share of the national population, has meant that changes in its GST requirement has largely tracked changes in its iron ore royalties.</w:t>
      </w:r>
    </w:p>
    <w:p w14:paraId="38C53519" w14:textId="692E3334" w:rsidR="00C9252A" w:rsidRPr="00AC52BC" w:rsidRDefault="00C9252A" w:rsidP="006E545E">
      <w:pPr>
        <w:pStyle w:val="Heading2"/>
      </w:pPr>
      <w:r>
        <w:lastRenderedPageBreak/>
        <w:t xml:space="preserve">A high concentration of a mineral in one state can raise policy </w:t>
      </w:r>
      <w:r w:rsidRPr="006E545E">
        <w:t>neutrality</w:t>
      </w:r>
      <w:r>
        <w:t xml:space="preserve"> issues</w:t>
      </w:r>
    </w:p>
    <w:p w14:paraId="0092DCC6" w14:textId="4F87AF2A" w:rsidR="00C9252A" w:rsidRPr="006E545E" w:rsidRDefault="00C9252A" w:rsidP="00207EF8">
      <w:pPr>
        <w:keepNext/>
        <w:keepLines/>
        <w:rPr>
          <w:rFonts w:ascii="Work Sans" w:hAnsi="Work Sans"/>
          <w:sz w:val="24"/>
          <w:szCs w:val="24"/>
        </w:rPr>
      </w:pPr>
      <w:r w:rsidRPr="006E545E">
        <w:rPr>
          <w:rFonts w:ascii="Work Sans" w:hAnsi="Work Sans"/>
          <w:sz w:val="24"/>
          <w:szCs w:val="24"/>
        </w:rPr>
        <w:t>The concentration of a mineral in one state (such as iron ore in Western Australia) can raise issues about the potential for a state to influence its GST requirement by changing its royalty rate. This would be inconsistent with the Commission’s policy neutrality principle, which seeks to ensure that the assessment of a state’s GST requirement is not significantly affected by, and does not significantly influence, individual state policy choices. The</w:t>
      </w:r>
      <w:r w:rsidR="009941F4" w:rsidRPr="006E545E">
        <w:rPr>
          <w:rFonts w:ascii="Work Sans" w:hAnsi="Work Sans"/>
          <w:sz w:val="24"/>
          <w:szCs w:val="24"/>
        </w:rPr>
        <w:t xml:space="preserve"> Commission found</w:t>
      </w:r>
      <w:r w:rsidRPr="006E545E">
        <w:rPr>
          <w:rFonts w:ascii="Work Sans" w:hAnsi="Work Sans"/>
          <w:sz w:val="24"/>
          <w:szCs w:val="24"/>
        </w:rPr>
        <w:t xml:space="preserve"> little evidence of this happening with respect to iron ore. The concern is a dominant state can influence the average rate applied to a mineral. In the case of iron ore, the average rate is actually the rate chosen by Western Australia.</w:t>
      </w:r>
    </w:p>
    <w:p w14:paraId="1D2C3F7F" w14:textId="77777777" w:rsidR="00C9252A" w:rsidRPr="006E545E" w:rsidRDefault="00C9252A" w:rsidP="00C9252A">
      <w:pPr>
        <w:rPr>
          <w:rFonts w:ascii="Work Sans" w:hAnsi="Work Sans"/>
          <w:sz w:val="24"/>
          <w:szCs w:val="24"/>
        </w:rPr>
      </w:pPr>
      <w:r w:rsidRPr="006E545E">
        <w:rPr>
          <w:rFonts w:ascii="Work Sans" w:hAnsi="Work Sans"/>
          <w:sz w:val="24"/>
          <w:szCs w:val="24"/>
        </w:rPr>
        <w:t>The current approach of assessing major minerals individually means a state’s ability to raise revenue from a particular mineral is in proportion to its share of production. Thus, states that have no production of a particular mineral are assessed to have no ability to raise revenue from it. Given the significance of the series of mining booms, the Commission considered it important to choose an approach that more accurately reflected a state’s ability to raise mining revenue. It concluded its chosen approach provided a better equalisation outcome, even if the policy neutrality supporting principle may not be fully achieved.</w:t>
      </w:r>
    </w:p>
    <w:p w14:paraId="458C9B04" w14:textId="77777777" w:rsidR="00C9252A" w:rsidRPr="00AC52BC" w:rsidRDefault="00C9252A" w:rsidP="006E545E">
      <w:pPr>
        <w:pStyle w:val="Heading2"/>
      </w:pPr>
      <w:r>
        <w:t>The mining assessment is sensitive to volatility in production and prices</w:t>
      </w:r>
    </w:p>
    <w:p w14:paraId="3E23D06B" w14:textId="1C54AB04" w:rsidR="00C9252A" w:rsidRPr="006E545E" w:rsidRDefault="00C9252A" w:rsidP="00C9252A">
      <w:pPr>
        <w:rPr>
          <w:rFonts w:ascii="Work Sans" w:hAnsi="Work Sans"/>
          <w:sz w:val="24"/>
          <w:szCs w:val="24"/>
        </w:rPr>
      </w:pPr>
      <w:r w:rsidRPr="006E545E">
        <w:rPr>
          <w:rFonts w:ascii="Work Sans" w:hAnsi="Work Sans"/>
          <w:sz w:val="24"/>
          <w:szCs w:val="24"/>
        </w:rPr>
        <w:t>While iron ore royalties have expanded rapidly over the past decade, they have also fluctuated due to the volatility of iron ore prices. Monthly iron ore spot prices</w:t>
      </w:r>
      <w:r w:rsidRPr="006E545E">
        <w:rPr>
          <w:rFonts w:ascii="Work Sans" w:hAnsi="Work Sans"/>
          <w:sz w:val="24"/>
          <w:szCs w:val="24"/>
          <w:vertAlign w:val="superscript"/>
          <w:lang w:val="en-GB"/>
        </w:rPr>
        <w:footnoteReference w:id="5"/>
      </w:r>
      <w:r w:rsidRPr="006E545E">
        <w:rPr>
          <w:rFonts w:ascii="Work Sans" w:hAnsi="Work Sans"/>
          <w:sz w:val="24"/>
          <w:szCs w:val="24"/>
        </w:rPr>
        <w:t xml:space="preserve"> peaked at the start of the decade at around $186 AUD per metric tonne in 2010</w:t>
      </w:r>
      <w:r w:rsidRPr="006E545E">
        <w:rPr>
          <w:rFonts w:ascii="Work Sans" w:hAnsi="Work Sans"/>
          <w:sz w:val="24"/>
          <w:szCs w:val="24"/>
        </w:rPr>
        <w:noBreakHyphen/>
        <w:t>11, before falling to $58 AUD in 2015</w:t>
      </w:r>
      <w:r w:rsidRPr="006E545E">
        <w:rPr>
          <w:rFonts w:ascii="Work Sans" w:hAnsi="Work Sans"/>
          <w:sz w:val="24"/>
          <w:szCs w:val="24"/>
        </w:rPr>
        <w:noBreakHyphen/>
        <w:t>16, and then rising to reach record levels of $234 AUD in 2020</w:t>
      </w:r>
      <w:r w:rsidRPr="006E545E">
        <w:rPr>
          <w:rFonts w:ascii="Work Sans" w:hAnsi="Work Sans"/>
          <w:sz w:val="24"/>
          <w:szCs w:val="24"/>
        </w:rPr>
        <w:noBreakHyphen/>
        <w:t>21. This pattern is also evident in annual iron ore prices (</w:t>
      </w:r>
      <w:r w:rsidRPr="006E545E">
        <w:rPr>
          <w:rFonts w:ascii="Work Sans" w:hAnsi="Work Sans"/>
          <w:sz w:val="24"/>
          <w:szCs w:val="24"/>
        </w:rPr>
        <w:fldChar w:fldCharType="begin"/>
      </w:r>
      <w:r w:rsidRPr="006E545E">
        <w:rPr>
          <w:rFonts w:ascii="Work Sans" w:hAnsi="Work Sans"/>
          <w:sz w:val="24"/>
          <w:szCs w:val="24"/>
        </w:rPr>
        <w:instrText xml:space="preserve"> REF _Ref80268003 \h </w:instrText>
      </w:r>
      <w:r w:rsidR="006E545E" w:rsidRPr="006E545E">
        <w:rPr>
          <w:rFonts w:ascii="Work Sans" w:hAnsi="Work Sans"/>
          <w:sz w:val="24"/>
          <w:szCs w:val="24"/>
        </w:rPr>
        <w:instrText xml:space="preserve"> \* MERGEFORMAT </w:instrText>
      </w:r>
      <w:r w:rsidRPr="006E545E">
        <w:rPr>
          <w:rFonts w:ascii="Work Sans" w:hAnsi="Work Sans"/>
          <w:sz w:val="24"/>
          <w:szCs w:val="24"/>
        </w:rPr>
      </w:r>
      <w:r w:rsidRPr="006E545E">
        <w:rPr>
          <w:rFonts w:ascii="Work Sans" w:hAnsi="Work Sans"/>
          <w:sz w:val="24"/>
          <w:szCs w:val="24"/>
        </w:rPr>
        <w:fldChar w:fldCharType="separate"/>
      </w:r>
      <w:r w:rsidR="00CD752D" w:rsidRPr="00CD752D">
        <w:rPr>
          <w:rFonts w:ascii="Work Sans" w:hAnsi="Work Sans"/>
          <w:sz w:val="24"/>
          <w:szCs w:val="24"/>
        </w:rPr>
        <w:t>Figure 5</w:t>
      </w:r>
      <w:r w:rsidRPr="006E545E">
        <w:rPr>
          <w:rFonts w:ascii="Work Sans" w:hAnsi="Work Sans"/>
          <w:sz w:val="24"/>
          <w:szCs w:val="24"/>
        </w:rPr>
        <w:fldChar w:fldCharType="end"/>
      </w:r>
      <w:r w:rsidRPr="006E545E">
        <w:rPr>
          <w:rFonts w:ascii="Work Sans" w:hAnsi="Work Sans"/>
          <w:sz w:val="24"/>
          <w:szCs w:val="24"/>
        </w:rPr>
        <w:t>).</w:t>
      </w:r>
    </w:p>
    <w:p w14:paraId="3B65B7CD" w14:textId="4290E863" w:rsidR="00BC7A91" w:rsidRPr="006E545E" w:rsidRDefault="00BC7A91" w:rsidP="00BC7A91">
      <w:pPr>
        <w:rPr>
          <w:rFonts w:ascii="Work Sans" w:hAnsi="Work Sans"/>
          <w:sz w:val="24"/>
          <w:szCs w:val="24"/>
        </w:rPr>
      </w:pPr>
      <w:r w:rsidRPr="006E545E">
        <w:rPr>
          <w:rFonts w:ascii="Work Sans" w:hAnsi="Work Sans"/>
          <w:sz w:val="24"/>
          <w:szCs w:val="24"/>
        </w:rPr>
        <w:t>The high prices between 2010-11 and 2013-14 induced an expansion in production capacity (</w:t>
      </w:r>
      <w:r w:rsidRPr="006E545E">
        <w:rPr>
          <w:rFonts w:ascii="Work Sans" w:hAnsi="Work Sans"/>
          <w:sz w:val="24"/>
          <w:szCs w:val="24"/>
        </w:rPr>
        <w:fldChar w:fldCharType="begin"/>
      </w:r>
      <w:r w:rsidRPr="006E545E">
        <w:rPr>
          <w:rFonts w:ascii="Work Sans" w:hAnsi="Work Sans"/>
          <w:sz w:val="24"/>
          <w:szCs w:val="24"/>
        </w:rPr>
        <w:instrText xml:space="preserve"> REF _Ref80268227 \h </w:instrText>
      </w:r>
      <w:r w:rsidR="006E545E" w:rsidRPr="006E545E">
        <w:rPr>
          <w:rFonts w:ascii="Work Sans" w:hAnsi="Work Sans"/>
          <w:sz w:val="24"/>
          <w:szCs w:val="24"/>
        </w:rPr>
        <w:instrText xml:space="preserve"> \* MERGEFORMAT </w:instrText>
      </w:r>
      <w:r w:rsidRPr="006E545E">
        <w:rPr>
          <w:rFonts w:ascii="Work Sans" w:hAnsi="Work Sans"/>
          <w:sz w:val="24"/>
          <w:szCs w:val="24"/>
        </w:rPr>
      </w:r>
      <w:r w:rsidRPr="006E545E">
        <w:rPr>
          <w:rFonts w:ascii="Work Sans" w:hAnsi="Work Sans"/>
          <w:sz w:val="24"/>
          <w:szCs w:val="24"/>
        </w:rPr>
        <w:fldChar w:fldCharType="separate"/>
      </w:r>
      <w:r w:rsidR="00CD752D" w:rsidRPr="00CD752D">
        <w:rPr>
          <w:rFonts w:ascii="Work Sans" w:hAnsi="Work Sans"/>
          <w:sz w:val="24"/>
          <w:szCs w:val="24"/>
        </w:rPr>
        <w:t>Figure 6</w:t>
      </w:r>
      <w:r w:rsidRPr="006E545E">
        <w:rPr>
          <w:rFonts w:ascii="Work Sans" w:hAnsi="Work Sans"/>
          <w:sz w:val="24"/>
          <w:szCs w:val="24"/>
        </w:rPr>
        <w:fldChar w:fldCharType="end"/>
      </w:r>
      <w:r w:rsidRPr="006E545E">
        <w:rPr>
          <w:rFonts w:ascii="Work Sans" w:hAnsi="Work Sans"/>
          <w:sz w:val="24"/>
          <w:szCs w:val="24"/>
        </w:rPr>
        <w:t>). Fluctuations in the iron ore price and changes in production increased the volatility of Western Australia’s iron ore royalties.</w:t>
      </w:r>
      <w:r w:rsidR="000D52A4" w:rsidRPr="006E545E">
        <w:rPr>
          <w:rFonts w:ascii="Work Sans" w:hAnsi="Work Sans"/>
          <w:noProof/>
          <w:sz w:val="24"/>
          <w:szCs w:val="24"/>
        </w:rPr>
        <w:t xml:space="preserve"> </w:t>
      </w:r>
    </w:p>
    <w:p w14:paraId="484908F7" w14:textId="54CE14BC" w:rsidR="00BC7A91" w:rsidRDefault="00BC7A91" w:rsidP="005035ED">
      <w:pPr>
        <w:pStyle w:val="Caption"/>
      </w:pPr>
      <w:bookmarkStart w:id="8" w:name="_Ref80268003"/>
      <w:r>
        <w:lastRenderedPageBreak/>
        <w:t>Figure </w:t>
      </w:r>
      <w:r>
        <w:fldChar w:fldCharType="begin"/>
      </w:r>
      <w:r>
        <w:instrText>SEQ Figure \* ARABIC</w:instrText>
      </w:r>
      <w:r>
        <w:fldChar w:fldCharType="separate"/>
      </w:r>
      <w:r w:rsidR="00CD752D">
        <w:rPr>
          <w:noProof/>
        </w:rPr>
        <w:t>5</w:t>
      </w:r>
      <w:r>
        <w:fldChar w:fldCharType="end"/>
      </w:r>
      <w:bookmarkEnd w:id="8"/>
      <w:r>
        <w:tab/>
        <w:t>Annual iron ore prices, 1999-00 to 2019-2020</w:t>
      </w:r>
    </w:p>
    <w:p w14:paraId="34E9CF3C" w14:textId="3E3E769F" w:rsidR="00BC7A91" w:rsidRDefault="001A5202" w:rsidP="00BC7A91">
      <w:r w:rsidRPr="001A5202">
        <w:rPr>
          <w:noProof/>
        </w:rPr>
        <w:drawing>
          <wp:inline distT="0" distB="0" distL="0" distR="0" wp14:anchorId="600DD68F" wp14:editId="055E777E">
            <wp:extent cx="5661660" cy="35699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1660" cy="3569970"/>
                    </a:xfrm>
                    <a:prstGeom prst="rect">
                      <a:avLst/>
                    </a:prstGeom>
                    <a:noFill/>
                    <a:ln>
                      <a:noFill/>
                    </a:ln>
                  </pic:spPr>
                </pic:pic>
              </a:graphicData>
            </a:graphic>
          </wp:inline>
        </w:drawing>
      </w:r>
    </w:p>
    <w:p w14:paraId="08C01308" w14:textId="77777777" w:rsidR="00BC7A91" w:rsidRDefault="00BC7A91" w:rsidP="009D1342">
      <w:pPr>
        <w:pStyle w:val="CGCTablenote"/>
      </w:pPr>
      <w:r>
        <w:t>Source:</w:t>
      </w:r>
      <w:r>
        <w:tab/>
      </w:r>
      <w:r w:rsidRPr="00CE6FAE">
        <w:t xml:space="preserve">Government of Western Australia, Department of Mines, Industry Regulation and Safety, </w:t>
      </w:r>
      <w:r>
        <w:t>l</w:t>
      </w:r>
      <w:r w:rsidRPr="00CE6FAE">
        <w:t>atest statistics release, 2020 Major commodities resources data</w:t>
      </w:r>
      <w:r>
        <w:t>.</w:t>
      </w:r>
    </w:p>
    <w:p w14:paraId="23B493FE" w14:textId="33FD7288" w:rsidR="002C3A43" w:rsidRDefault="002C3A43" w:rsidP="005035ED">
      <w:pPr>
        <w:pStyle w:val="Caption"/>
      </w:pPr>
      <w:bookmarkStart w:id="9" w:name="_Ref80268227"/>
      <w:r>
        <w:t>Figure </w:t>
      </w:r>
      <w:r>
        <w:fldChar w:fldCharType="begin"/>
      </w:r>
      <w:r>
        <w:instrText>SEQ Figure \* ARABIC</w:instrText>
      </w:r>
      <w:r>
        <w:fldChar w:fldCharType="separate"/>
      </w:r>
      <w:r w:rsidR="00CD752D">
        <w:rPr>
          <w:noProof/>
        </w:rPr>
        <w:t>6</w:t>
      </w:r>
      <w:r>
        <w:fldChar w:fldCharType="end"/>
      </w:r>
      <w:bookmarkEnd w:id="9"/>
      <w:r>
        <w:tab/>
        <w:t>Iron ore quantity and value of production, 1999-00 to 2019-2020</w:t>
      </w:r>
    </w:p>
    <w:p w14:paraId="619E37DC" w14:textId="7D59871A" w:rsidR="002C3A43" w:rsidRDefault="001A5202" w:rsidP="002C3A43">
      <w:r w:rsidRPr="00131611">
        <w:rPr>
          <w:noProof/>
        </w:rPr>
        <w:drawing>
          <wp:inline distT="0" distB="0" distL="0" distR="0" wp14:anchorId="6001BE39" wp14:editId="3DEB7197">
            <wp:extent cx="5661660" cy="35699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1660" cy="3569970"/>
                    </a:xfrm>
                    <a:prstGeom prst="rect">
                      <a:avLst/>
                    </a:prstGeom>
                    <a:noFill/>
                    <a:ln>
                      <a:noFill/>
                    </a:ln>
                  </pic:spPr>
                </pic:pic>
              </a:graphicData>
            </a:graphic>
          </wp:inline>
        </w:drawing>
      </w:r>
    </w:p>
    <w:p w14:paraId="0DD1E2CB" w14:textId="77777777" w:rsidR="002C3A43" w:rsidRDefault="002C3A43" w:rsidP="009D1342">
      <w:pPr>
        <w:pStyle w:val="CGCTablenote"/>
      </w:pPr>
      <w:r>
        <w:t>Source:</w:t>
      </w:r>
      <w:r>
        <w:tab/>
      </w:r>
      <w:r w:rsidRPr="00CE6FAE">
        <w:t xml:space="preserve">Government of Western Australia, Department of Mines, Industry Regulation and Safety, </w:t>
      </w:r>
      <w:r>
        <w:t>l</w:t>
      </w:r>
      <w:r w:rsidRPr="00CE6FAE">
        <w:t>atest statistics release, 2020 Major commodities resources data</w:t>
      </w:r>
      <w:r>
        <w:t>.</w:t>
      </w:r>
    </w:p>
    <w:p w14:paraId="47F6407D" w14:textId="77777777" w:rsidR="002C3A43" w:rsidRPr="00AC52BC" w:rsidRDefault="002C3A43" w:rsidP="008B08F7">
      <w:pPr>
        <w:pStyle w:val="Heading2"/>
      </w:pPr>
      <w:r>
        <w:lastRenderedPageBreak/>
        <w:t>Volatility in mining revenue results in volatility in GST distributions</w:t>
      </w:r>
    </w:p>
    <w:p w14:paraId="4D14E4D5" w14:textId="23200823" w:rsidR="002C3A43" w:rsidRPr="008B08F7" w:rsidRDefault="002C3A43" w:rsidP="002C3A43">
      <w:pPr>
        <w:rPr>
          <w:rFonts w:ascii="Work Sans" w:hAnsi="Work Sans"/>
          <w:sz w:val="24"/>
          <w:szCs w:val="24"/>
        </w:rPr>
      </w:pPr>
      <w:r w:rsidRPr="008B08F7">
        <w:rPr>
          <w:rFonts w:ascii="Work Sans" w:hAnsi="Work Sans"/>
          <w:sz w:val="24"/>
          <w:szCs w:val="24"/>
        </w:rPr>
        <w:t>Volatility in iron ore prices has resulted in volatility in Western Australia’s GST distribution.</w:t>
      </w:r>
      <w:r w:rsidR="000D52A4" w:rsidRPr="008B08F7">
        <w:rPr>
          <w:rFonts w:ascii="Work Sans" w:hAnsi="Work Sans"/>
          <w:noProof/>
          <w:sz w:val="24"/>
          <w:szCs w:val="24"/>
        </w:rPr>
        <w:t xml:space="preserve"> </w:t>
      </w:r>
    </w:p>
    <w:p w14:paraId="2B12E12D" w14:textId="541E6B1F" w:rsidR="00CE09B9" w:rsidRPr="008B08F7" w:rsidRDefault="002C3A43" w:rsidP="002C3A43">
      <w:pPr>
        <w:rPr>
          <w:rFonts w:ascii="Work Sans" w:hAnsi="Work Sans"/>
          <w:sz w:val="24"/>
          <w:szCs w:val="24"/>
        </w:rPr>
      </w:pPr>
      <w:r w:rsidRPr="008B08F7">
        <w:rPr>
          <w:rFonts w:ascii="Work Sans" w:hAnsi="Work Sans"/>
          <w:sz w:val="24"/>
          <w:szCs w:val="24"/>
        </w:rPr>
        <w:t>The Commission expresses recommendations for the distribution of GST in terms of state relativities. If all states had the same fiscal capacity, they would all have a relativity of 1. Fiscally stronger states have a relativity below 1 and fiscally weaker states have a relativity above 1. Prior to the series of mining booms, Western Australia’s GST relativity was above 1. While the Commission’s approach of basing assessments on data for a 3-year moving average has moderated some of the fluctuations, Western Australia’s relativity fell to 0.3 in 2015-16, then rose to 0.5 in 2019</w:t>
      </w:r>
      <w:r w:rsidRPr="008B08F7">
        <w:rPr>
          <w:rFonts w:ascii="Work Sans" w:hAnsi="Work Sans"/>
          <w:sz w:val="24"/>
          <w:szCs w:val="24"/>
        </w:rPr>
        <w:noBreakHyphen/>
        <w:t>20 before falling back to 0.3 in 2021-22 (</w:t>
      </w:r>
      <w:r w:rsidRPr="008B08F7">
        <w:rPr>
          <w:rFonts w:ascii="Work Sans" w:hAnsi="Work Sans"/>
          <w:sz w:val="24"/>
          <w:szCs w:val="24"/>
        </w:rPr>
        <w:fldChar w:fldCharType="begin"/>
      </w:r>
      <w:r w:rsidRPr="008B08F7">
        <w:rPr>
          <w:rFonts w:ascii="Work Sans" w:hAnsi="Work Sans"/>
          <w:sz w:val="24"/>
          <w:szCs w:val="24"/>
        </w:rPr>
        <w:instrText xml:space="preserve"> REF _Ref80268479 \h </w:instrText>
      </w:r>
      <w:r w:rsidR="008B08F7" w:rsidRPr="008B08F7">
        <w:rPr>
          <w:rFonts w:ascii="Work Sans" w:hAnsi="Work Sans"/>
          <w:sz w:val="24"/>
          <w:szCs w:val="24"/>
        </w:rPr>
        <w:instrText xml:space="preserve"> \* MERGEFORMAT </w:instrText>
      </w:r>
      <w:r w:rsidRPr="008B08F7">
        <w:rPr>
          <w:rFonts w:ascii="Work Sans" w:hAnsi="Work Sans"/>
          <w:sz w:val="24"/>
          <w:szCs w:val="24"/>
        </w:rPr>
      </w:r>
      <w:r w:rsidRPr="008B08F7">
        <w:rPr>
          <w:rFonts w:ascii="Work Sans" w:hAnsi="Work Sans"/>
          <w:sz w:val="24"/>
          <w:szCs w:val="24"/>
        </w:rPr>
        <w:fldChar w:fldCharType="separate"/>
      </w:r>
      <w:r w:rsidR="00CD752D" w:rsidRPr="00CD752D">
        <w:rPr>
          <w:rFonts w:ascii="Work Sans" w:hAnsi="Work Sans"/>
          <w:sz w:val="24"/>
          <w:szCs w:val="24"/>
        </w:rPr>
        <w:t>Figure 7</w:t>
      </w:r>
      <w:r w:rsidRPr="008B08F7">
        <w:rPr>
          <w:rFonts w:ascii="Work Sans" w:hAnsi="Work Sans"/>
          <w:sz w:val="24"/>
          <w:szCs w:val="24"/>
        </w:rPr>
        <w:fldChar w:fldCharType="end"/>
      </w:r>
      <w:r w:rsidRPr="008B08F7">
        <w:rPr>
          <w:rFonts w:ascii="Work Sans" w:hAnsi="Work Sans"/>
          <w:sz w:val="24"/>
          <w:szCs w:val="24"/>
        </w:rPr>
        <w:t>).</w:t>
      </w:r>
    </w:p>
    <w:p w14:paraId="1A3EB8F1" w14:textId="0EDD2F45" w:rsidR="00FE4331" w:rsidRDefault="00FE4331" w:rsidP="005035ED">
      <w:pPr>
        <w:pStyle w:val="Caption"/>
      </w:pPr>
      <w:bookmarkStart w:id="10" w:name="_Ref80268479"/>
      <w:r>
        <w:t>Figure </w:t>
      </w:r>
      <w:r>
        <w:fldChar w:fldCharType="begin"/>
      </w:r>
      <w:r>
        <w:instrText>SEQ Figure \* ARABIC</w:instrText>
      </w:r>
      <w:r>
        <w:fldChar w:fldCharType="separate"/>
      </w:r>
      <w:r w:rsidR="00CD752D">
        <w:rPr>
          <w:noProof/>
        </w:rPr>
        <w:t>7</w:t>
      </w:r>
      <w:r>
        <w:fldChar w:fldCharType="end"/>
      </w:r>
      <w:bookmarkEnd w:id="10"/>
      <w:r>
        <w:tab/>
        <w:t>Western Australia’s relativity with and without royalties, 2000-01 to 2019</w:t>
      </w:r>
      <w:r>
        <w:noBreakHyphen/>
        <w:t>2020</w:t>
      </w:r>
    </w:p>
    <w:p w14:paraId="7349AD4B" w14:textId="6EA0EC60" w:rsidR="00FE4331" w:rsidRDefault="00AE16C3" w:rsidP="00FE4331">
      <w:r w:rsidRPr="00AE16C3">
        <w:rPr>
          <w:noProof/>
        </w:rPr>
        <w:drawing>
          <wp:inline distT="0" distB="0" distL="0" distR="0" wp14:anchorId="3FEAF11D" wp14:editId="180CEA86">
            <wp:extent cx="5564505" cy="35991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4505" cy="3599180"/>
                    </a:xfrm>
                    <a:prstGeom prst="rect">
                      <a:avLst/>
                    </a:prstGeom>
                    <a:noFill/>
                    <a:ln>
                      <a:noFill/>
                    </a:ln>
                  </pic:spPr>
                </pic:pic>
              </a:graphicData>
            </a:graphic>
          </wp:inline>
        </w:drawing>
      </w:r>
    </w:p>
    <w:p w14:paraId="6C8A1BD7" w14:textId="77777777" w:rsidR="00FE4331" w:rsidRDefault="00FE4331" w:rsidP="009D1342">
      <w:pPr>
        <w:pStyle w:val="CGCTablenote"/>
      </w:pPr>
      <w:r>
        <w:t>Source:</w:t>
      </w:r>
      <w:r>
        <w:tab/>
        <w:t>Commonwealth Grants Commission simulation, various inquiries.</w:t>
      </w:r>
    </w:p>
    <w:p w14:paraId="095B0237" w14:textId="6822802C" w:rsidR="00FE4331" w:rsidRPr="008B08F7" w:rsidRDefault="00FE4331" w:rsidP="00FE4331">
      <w:pPr>
        <w:rPr>
          <w:rFonts w:ascii="Work Sans" w:hAnsi="Work Sans"/>
          <w:sz w:val="24"/>
          <w:szCs w:val="24"/>
        </w:rPr>
      </w:pPr>
      <w:r w:rsidRPr="008B08F7">
        <w:rPr>
          <w:rFonts w:ascii="Work Sans" w:hAnsi="Work Sans"/>
          <w:sz w:val="24"/>
          <w:szCs w:val="24"/>
        </w:rPr>
        <w:t>The impact of the mining boom on Western Australia’s GST requirement over the last two decades can be gauged by comparing its relativity against its relativity without royalties (</w:t>
      </w:r>
      <w:r w:rsidRPr="008B08F7">
        <w:rPr>
          <w:rFonts w:ascii="Work Sans" w:hAnsi="Work Sans"/>
          <w:sz w:val="24"/>
          <w:szCs w:val="24"/>
        </w:rPr>
        <w:fldChar w:fldCharType="begin"/>
      </w:r>
      <w:r w:rsidRPr="008B08F7">
        <w:rPr>
          <w:rFonts w:ascii="Work Sans" w:hAnsi="Work Sans"/>
          <w:sz w:val="24"/>
          <w:szCs w:val="24"/>
        </w:rPr>
        <w:instrText xml:space="preserve"> REF _Ref80268479 \h </w:instrText>
      </w:r>
      <w:r w:rsidR="008B08F7" w:rsidRPr="008B08F7">
        <w:rPr>
          <w:rFonts w:ascii="Work Sans" w:hAnsi="Work Sans"/>
          <w:sz w:val="24"/>
          <w:szCs w:val="24"/>
        </w:rPr>
        <w:instrText xml:space="preserve"> \* MERGEFORMAT </w:instrText>
      </w:r>
      <w:r w:rsidRPr="008B08F7">
        <w:rPr>
          <w:rFonts w:ascii="Work Sans" w:hAnsi="Work Sans"/>
          <w:sz w:val="24"/>
          <w:szCs w:val="24"/>
        </w:rPr>
      </w:r>
      <w:r w:rsidRPr="008B08F7">
        <w:rPr>
          <w:rFonts w:ascii="Work Sans" w:hAnsi="Work Sans"/>
          <w:sz w:val="24"/>
          <w:szCs w:val="24"/>
        </w:rPr>
        <w:fldChar w:fldCharType="separate"/>
      </w:r>
      <w:r w:rsidR="00CD752D" w:rsidRPr="00CD752D">
        <w:rPr>
          <w:rFonts w:ascii="Work Sans" w:hAnsi="Work Sans"/>
          <w:sz w:val="24"/>
          <w:szCs w:val="24"/>
        </w:rPr>
        <w:t>Figure 7</w:t>
      </w:r>
      <w:r w:rsidRPr="008B08F7">
        <w:rPr>
          <w:rFonts w:ascii="Work Sans" w:hAnsi="Work Sans"/>
          <w:sz w:val="24"/>
          <w:szCs w:val="24"/>
        </w:rPr>
        <w:fldChar w:fldCharType="end"/>
      </w:r>
      <w:r w:rsidRPr="008B08F7">
        <w:rPr>
          <w:rFonts w:ascii="Work Sans" w:hAnsi="Work Sans"/>
          <w:sz w:val="24"/>
          <w:szCs w:val="24"/>
        </w:rPr>
        <w:t>). The inference is that the mining assessment has been a major contributor to the decline in its relativity and share of GST.</w:t>
      </w:r>
    </w:p>
    <w:p w14:paraId="0370BC3F" w14:textId="77777777" w:rsidR="00FE4331" w:rsidRPr="008B08F7" w:rsidRDefault="00FE4331" w:rsidP="00FE4331">
      <w:pPr>
        <w:rPr>
          <w:rFonts w:ascii="Work Sans" w:hAnsi="Work Sans"/>
          <w:sz w:val="24"/>
          <w:szCs w:val="24"/>
        </w:rPr>
      </w:pPr>
      <w:r w:rsidRPr="008B08F7">
        <w:rPr>
          <w:rFonts w:ascii="Work Sans" w:hAnsi="Work Sans"/>
          <w:sz w:val="24"/>
          <w:szCs w:val="24"/>
        </w:rPr>
        <w:t xml:space="preserve">Since states’ GST relativities are averaged to 1, fluctuations in Western Australia’s relativity necessarily cause fluctuations in the relativities of other states. Some states have expressed a concern that the mining </w:t>
      </w:r>
      <w:r w:rsidRPr="008B08F7">
        <w:rPr>
          <w:rFonts w:ascii="Work Sans" w:hAnsi="Work Sans"/>
          <w:sz w:val="24"/>
          <w:szCs w:val="24"/>
        </w:rPr>
        <w:lastRenderedPageBreak/>
        <w:t>assessment transmits the volatility of iron ore prices to their GST distributions and their budgets.</w:t>
      </w:r>
    </w:p>
    <w:p w14:paraId="52D94B62" w14:textId="1EE4E86E" w:rsidR="002C3A43" w:rsidRPr="008B08F7" w:rsidRDefault="00FE4331" w:rsidP="00FE4331">
      <w:pPr>
        <w:rPr>
          <w:rFonts w:ascii="Work Sans" w:hAnsi="Work Sans"/>
          <w:sz w:val="24"/>
          <w:szCs w:val="24"/>
        </w:rPr>
      </w:pPr>
      <w:r w:rsidRPr="008B08F7">
        <w:rPr>
          <w:rFonts w:ascii="Work Sans" w:hAnsi="Work Sans"/>
          <w:sz w:val="24"/>
          <w:szCs w:val="24"/>
        </w:rPr>
        <w:t>The Commission’s approach to assessing mining revenue captures the strong growth in Western Australia’s revenue capacity, which has risen faster than the capacities of other states. This approach means its higher capacity is reflected in the fiscal equalisation process, notwithstanding that iron ore royalties are volatile and this introduces volatility in the GST distribution. Other options the Commission considered to reduce volatility would not have captured states’ revenue capacity nor achieved the same degree of fiscal equalisation. For example, grouping major minerals together might dampen volatility in Western Australia’s GST distribution, but it would produce a poorer assessment of its revenue capacity because it would have diluted its iron ore capacity.</w:t>
      </w:r>
      <w:r w:rsidR="005D31DC" w:rsidRPr="008B08F7">
        <w:rPr>
          <w:rFonts w:ascii="Work Sans" w:hAnsi="Work Sans"/>
          <w:noProof/>
          <w:sz w:val="24"/>
          <w:szCs w:val="24"/>
        </w:rPr>
        <w:t xml:space="preserve"> </w:t>
      </w:r>
    </w:p>
    <w:p w14:paraId="1ACA5D44" w14:textId="77777777" w:rsidR="00F55BB4" w:rsidRPr="00AC52BC" w:rsidRDefault="00F55BB4" w:rsidP="008B08F7">
      <w:pPr>
        <w:pStyle w:val="Heading2"/>
      </w:pPr>
      <w:r>
        <w:t>The new equalisation arrangements will reduce volatility in GST distributions</w:t>
      </w:r>
    </w:p>
    <w:p w14:paraId="6068C694" w14:textId="77777777" w:rsidR="00F55BB4" w:rsidRPr="008B08F7" w:rsidRDefault="00F55BB4" w:rsidP="00F55BB4">
      <w:pPr>
        <w:rPr>
          <w:rFonts w:ascii="Work Sans" w:hAnsi="Work Sans"/>
          <w:sz w:val="24"/>
          <w:szCs w:val="24"/>
        </w:rPr>
      </w:pPr>
      <w:r w:rsidRPr="008B08F7">
        <w:rPr>
          <w:rFonts w:ascii="Work Sans" w:hAnsi="Work Sans"/>
          <w:sz w:val="24"/>
          <w:szCs w:val="24"/>
        </w:rPr>
        <w:t>New equalisation arrangements are being introduced over a transitional period commencing in 2021-22 and ending in 2026-27.</w:t>
      </w:r>
      <w:r w:rsidRPr="008B08F7">
        <w:rPr>
          <w:rFonts w:ascii="Work Sans" w:hAnsi="Work Sans"/>
          <w:sz w:val="24"/>
          <w:szCs w:val="24"/>
          <w:vertAlign w:val="superscript"/>
          <w:lang w:val="en-GB"/>
        </w:rPr>
        <w:footnoteReference w:id="6"/>
      </w:r>
      <w:r w:rsidRPr="008B08F7">
        <w:rPr>
          <w:rFonts w:ascii="Work Sans" w:hAnsi="Work Sans"/>
          <w:sz w:val="24"/>
          <w:szCs w:val="24"/>
        </w:rPr>
        <w:t xml:space="preserve"> The key elements of the new arrangements are set out in Box 1. The new arrangements will reduce the volatility in GST distributions, particularly for Western Australia.</w:t>
      </w:r>
      <w:r w:rsidRPr="008B08F7">
        <w:rPr>
          <w:rStyle w:val="FootnoteReference"/>
          <w:rFonts w:ascii="Work Sans" w:hAnsi="Work Sans"/>
          <w:sz w:val="24"/>
          <w:szCs w:val="24"/>
        </w:rPr>
        <w:footnoteReference w:id="7"/>
      </w:r>
    </w:p>
    <w:p w14:paraId="2E97038B" w14:textId="22E9D950" w:rsidR="00F55BB4" w:rsidRPr="008B08F7" w:rsidRDefault="00F55BB4" w:rsidP="008B08F7">
      <w:pPr>
        <w:pStyle w:val="Heading3"/>
      </w:pPr>
      <w:r w:rsidRPr="008B08F7">
        <w:rPr>
          <w:noProof/>
        </w:rPr>
        <mc:AlternateContent>
          <mc:Choice Requires="wps">
            <w:drawing>
              <wp:anchor distT="0" distB="0" distL="114300" distR="114300" simplePos="0" relativeHeight="251658246" behindDoc="1" locked="0" layoutInCell="1" allowOverlap="1" wp14:anchorId="0EFBFE59" wp14:editId="46893185">
                <wp:simplePos x="0" y="0"/>
                <wp:positionH relativeFrom="column">
                  <wp:posOffset>-69157</wp:posOffset>
                </wp:positionH>
                <wp:positionV relativeFrom="paragraph">
                  <wp:posOffset>84462</wp:posOffset>
                </wp:positionV>
                <wp:extent cx="5892800" cy="3651663"/>
                <wp:effectExtent l="0" t="0" r="0" b="63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2800" cy="3651663"/>
                        </a:xfrm>
                        <a:prstGeom prst="rect">
                          <a:avLst/>
                        </a:prstGeom>
                        <a:solidFill>
                          <a:srgbClr val="EBF5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C7DB" id="Rectangle 17" o:spid="_x0000_s1026" alt="&quot;&quot;" style="position:absolute;margin-left:-5.45pt;margin-top:6.65pt;width:464pt;height:287.5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" fillcolor="#ebf5e1" stroked="f" strokeweight="1pt"/>
            </w:pict>
          </mc:Fallback>
        </mc:AlternateContent>
      </w:r>
      <w:r w:rsidRPr="008B08F7">
        <w:t>Box 1: Legislated changes to the GST distribution</w:t>
      </w:r>
      <w:r w:rsidR="00C03006" w:rsidRPr="008B08F7">
        <w:tab/>
      </w:r>
    </w:p>
    <w:p w14:paraId="726FB4EC" w14:textId="77777777" w:rsidR="00F55BB4" w:rsidRPr="008B08F7" w:rsidRDefault="00F55BB4" w:rsidP="00F55BB4">
      <w:pPr>
        <w:rPr>
          <w:rFonts w:ascii="Work Sans" w:hAnsi="Work Sans"/>
          <w:sz w:val="24"/>
          <w:szCs w:val="24"/>
          <w:lang w:val="en-GB"/>
        </w:rPr>
      </w:pPr>
      <w:r w:rsidRPr="008B08F7">
        <w:rPr>
          <w:rFonts w:ascii="Work Sans" w:hAnsi="Work Sans"/>
          <w:sz w:val="24"/>
          <w:szCs w:val="24"/>
        </w:rPr>
        <w:t>Changes to the GST distribution were enacted in the Treasury Laws Amendment (Making Sure Every State and Territory Gets Their Fair Share of GST) ACT 2018. The new arrangements involve:</w:t>
      </w:r>
    </w:p>
    <w:p w14:paraId="427CC23D" w14:textId="77777777" w:rsidR="00F55BB4" w:rsidRPr="008B08F7" w:rsidRDefault="00F55BB4" w:rsidP="00F55BB4">
      <w:pPr>
        <w:pStyle w:val="CGCBullet1"/>
        <w:spacing w:before="0" w:after="120" w:line="240" w:lineRule="auto"/>
        <w:ind w:left="1134" w:hanging="567"/>
        <w:rPr>
          <w:rFonts w:ascii="Work Sans" w:hAnsi="Work Sans"/>
          <w:sz w:val="24"/>
          <w:szCs w:val="24"/>
          <w:lang w:val="en-GB"/>
        </w:rPr>
      </w:pPr>
      <w:r w:rsidRPr="008B08F7">
        <w:rPr>
          <w:rFonts w:ascii="Work Sans" w:hAnsi="Work Sans"/>
          <w:sz w:val="24"/>
          <w:szCs w:val="24"/>
        </w:rPr>
        <w:t>Introducing a minimum GST relativity (relativity floor) with an initial floor of 0.7 for 2022</w:t>
      </w:r>
      <w:r w:rsidRPr="008B08F7">
        <w:rPr>
          <w:rFonts w:ascii="Work Sans" w:hAnsi="Work Sans"/>
          <w:sz w:val="24"/>
          <w:szCs w:val="24"/>
        </w:rPr>
        <w:noBreakHyphen/>
        <w:t>23 and increasing to 0.75 from 2024-25. A state’s GST relativity cannot fall below the floor.</w:t>
      </w:r>
    </w:p>
    <w:p w14:paraId="4734656B" w14:textId="77777777" w:rsidR="00F55BB4" w:rsidRPr="008B08F7" w:rsidRDefault="00F55BB4" w:rsidP="00F55BB4">
      <w:pPr>
        <w:pStyle w:val="CGCBullet1"/>
        <w:spacing w:before="0" w:after="120" w:line="240" w:lineRule="auto"/>
        <w:ind w:left="1134" w:hanging="567"/>
        <w:rPr>
          <w:rFonts w:ascii="Work Sans" w:hAnsi="Work Sans"/>
          <w:sz w:val="24"/>
          <w:szCs w:val="24"/>
          <w:lang w:val="en-GB"/>
        </w:rPr>
      </w:pPr>
      <w:r w:rsidRPr="008B08F7">
        <w:rPr>
          <w:rFonts w:ascii="Work Sans" w:hAnsi="Work Sans"/>
          <w:sz w:val="24"/>
          <w:szCs w:val="24"/>
        </w:rPr>
        <w:t>From 2021-22, permanently boosting the GST revenue pool with additional Commonwealth financial assistance.</w:t>
      </w:r>
    </w:p>
    <w:p w14:paraId="402389BF" w14:textId="77777777" w:rsidR="00F55BB4" w:rsidRPr="008B08F7" w:rsidRDefault="00F55BB4" w:rsidP="00F55BB4">
      <w:pPr>
        <w:pStyle w:val="CGCBullet1"/>
        <w:spacing w:before="0" w:after="120" w:line="240" w:lineRule="auto"/>
        <w:ind w:left="1134" w:hanging="567"/>
        <w:rPr>
          <w:rFonts w:ascii="Work Sans" w:hAnsi="Work Sans"/>
          <w:sz w:val="24"/>
          <w:szCs w:val="24"/>
          <w:lang w:val="en-GB"/>
        </w:rPr>
      </w:pPr>
      <w:r w:rsidRPr="008B08F7">
        <w:rPr>
          <w:rFonts w:ascii="Work Sans" w:hAnsi="Work Sans"/>
          <w:sz w:val="24"/>
          <w:szCs w:val="24"/>
        </w:rPr>
        <w:t>Transitioning equalisation from a system based on the fiscal capacity of the strongest state to one based on the fiscal capacity of the stronger of New South Wales or Victoria.</w:t>
      </w:r>
    </w:p>
    <w:p w14:paraId="2E682FFE" w14:textId="77777777" w:rsidR="00F55BB4" w:rsidRPr="008B08F7" w:rsidRDefault="00F55BB4" w:rsidP="00F55BB4">
      <w:pPr>
        <w:pStyle w:val="CGCBullet1"/>
        <w:spacing w:before="0" w:after="120" w:line="240" w:lineRule="auto"/>
        <w:ind w:left="1134" w:hanging="567"/>
        <w:rPr>
          <w:rFonts w:ascii="Work Sans" w:hAnsi="Work Sans"/>
          <w:sz w:val="24"/>
          <w:szCs w:val="24"/>
          <w:lang w:val="en-GB"/>
        </w:rPr>
      </w:pPr>
      <w:r w:rsidRPr="008B08F7">
        <w:rPr>
          <w:rFonts w:ascii="Work Sans" w:hAnsi="Work Sans"/>
          <w:sz w:val="24"/>
          <w:szCs w:val="24"/>
        </w:rPr>
        <w:t>Until the transitional period ends in 2026-27, the Commonwealth is providing additional financial assistance to states to ensure that each receives total grants at least as much as it would have received had the new legislation not been enacted — a ‘no worse off provision’.</w:t>
      </w:r>
    </w:p>
    <w:p w14:paraId="6E05E150" w14:textId="19D6EED8" w:rsidR="00F55BB4" w:rsidRPr="008B08F7" w:rsidRDefault="00F55BB4" w:rsidP="00F55BB4">
      <w:pPr>
        <w:rPr>
          <w:rFonts w:ascii="Work Sans" w:hAnsi="Work Sans"/>
          <w:sz w:val="24"/>
          <w:szCs w:val="24"/>
        </w:rPr>
      </w:pPr>
      <w:r w:rsidRPr="008B08F7">
        <w:rPr>
          <w:rFonts w:ascii="Work Sans" w:hAnsi="Work Sans"/>
          <w:sz w:val="24"/>
          <w:szCs w:val="24"/>
        </w:rPr>
        <w:lastRenderedPageBreak/>
        <w:t>The new arrangements introduce a minimum relativity (relativity floor) of 0.7 for 2022</w:t>
      </w:r>
      <w:r w:rsidRPr="008B08F7">
        <w:rPr>
          <w:rFonts w:ascii="Work Sans" w:hAnsi="Work Sans"/>
          <w:sz w:val="24"/>
          <w:szCs w:val="24"/>
        </w:rPr>
        <w:noBreakHyphen/>
        <w:t>23, increasing to 0.75 from 2024-25. Currently, only Western Australia’s relativity lies below the floor.</w:t>
      </w:r>
    </w:p>
    <w:p w14:paraId="72A1A32F" w14:textId="7EF3B82B" w:rsidR="00F55BB4" w:rsidRPr="008B08F7" w:rsidRDefault="00F55BB4" w:rsidP="00F55BB4">
      <w:pPr>
        <w:rPr>
          <w:rFonts w:ascii="Work Sans" w:hAnsi="Work Sans"/>
          <w:sz w:val="24"/>
          <w:szCs w:val="24"/>
        </w:rPr>
      </w:pPr>
      <w:r w:rsidRPr="008B08F7">
        <w:rPr>
          <w:rFonts w:ascii="Work Sans" w:hAnsi="Work Sans"/>
          <w:sz w:val="24"/>
          <w:szCs w:val="24"/>
        </w:rPr>
        <w:t>The relativity floor means that Western Australia’s GST distribution is no longer impacted by strong growth in iron ore prices. Under the previous system, higher iron ore prices lowered Western Australia’s relativity to well below 1, which reduced its GST share. During the transitional period for the new arrangements, Western Australia’s share of GST cannot fall below the relativity floor, notwithstanding high iron ore prices.</w:t>
      </w:r>
    </w:p>
    <w:p w14:paraId="3DFE3C48" w14:textId="77777777" w:rsidR="00F55BB4" w:rsidRPr="008B08F7" w:rsidRDefault="00F55BB4" w:rsidP="00F55BB4">
      <w:pPr>
        <w:rPr>
          <w:rFonts w:ascii="Work Sans" w:hAnsi="Work Sans"/>
          <w:sz w:val="24"/>
          <w:szCs w:val="24"/>
        </w:rPr>
      </w:pPr>
      <w:r w:rsidRPr="008B08F7">
        <w:rPr>
          <w:rFonts w:ascii="Work Sans" w:hAnsi="Work Sans"/>
          <w:sz w:val="24"/>
          <w:szCs w:val="24"/>
        </w:rPr>
        <w:t>The implementation of a relativity floor also means Western Australia’s choice of royalty rate will no longer have the potential to affect its GST distribution. Previously, increases in its royalty rate would have reduced its relativity and lowered its GST share. The relativity floor ensures this will not happen.</w:t>
      </w:r>
    </w:p>
    <w:p w14:paraId="5D5B79E2" w14:textId="4EB582E6" w:rsidR="00F55BB4" w:rsidRPr="008B08F7" w:rsidRDefault="00F55BB4" w:rsidP="00F55BB4">
      <w:pPr>
        <w:rPr>
          <w:rFonts w:ascii="Work Sans" w:hAnsi="Work Sans"/>
          <w:sz w:val="24"/>
          <w:szCs w:val="24"/>
        </w:rPr>
      </w:pPr>
      <w:r w:rsidRPr="008B08F7">
        <w:rPr>
          <w:rFonts w:ascii="Work Sans" w:hAnsi="Work Sans"/>
          <w:sz w:val="24"/>
          <w:szCs w:val="24"/>
        </w:rPr>
        <w:t xml:space="preserve">The new arrangements provide that by the end of the transitional period (in 2026-27) no state’s relativity will fall below the lower of New South </w:t>
      </w:r>
      <w:proofErr w:type="spellStart"/>
      <w:r w:rsidRPr="008B08F7">
        <w:rPr>
          <w:rFonts w:ascii="Work Sans" w:hAnsi="Work Sans"/>
          <w:sz w:val="24"/>
          <w:szCs w:val="24"/>
        </w:rPr>
        <w:t>Wales’</w:t>
      </w:r>
      <w:proofErr w:type="spellEnd"/>
      <w:r w:rsidRPr="008B08F7">
        <w:rPr>
          <w:rFonts w:ascii="Work Sans" w:hAnsi="Work Sans"/>
          <w:sz w:val="24"/>
          <w:szCs w:val="24"/>
        </w:rPr>
        <w:t xml:space="preserve"> and Victoria’s relativity. Since the introduction of the GST, the lower of their relativities has fluctuated between 0.855 and 0.940. When the transition to the new arrangements is complete, Western Australia’s relativity will be considerably less volatile than it was under the previous approach to equalisation.</w:t>
      </w:r>
    </w:p>
    <w:p w14:paraId="195FCA3D" w14:textId="2ED9793B" w:rsidR="00F55BB4" w:rsidRPr="008B08F7" w:rsidRDefault="00F55BB4" w:rsidP="00F55BB4">
      <w:pPr>
        <w:rPr>
          <w:rFonts w:ascii="Work Sans" w:hAnsi="Work Sans"/>
          <w:sz w:val="24"/>
          <w:szCs w:val="24"/>
        </w:rPr>
      </w:pPr>
      <w:r w:rsidRPr="008B08F7">
        <w:rPr>
          <w:rFonts w:ascii="Work Sans" w:hAnsi="Work Sans"/>
          <w:sz w:val="24"/>
          <w:szCs w:val="24"/>
        </w:rPr>
        <w:t xml:space="preserve">The Commonwealth has introduced a ‘no worse off’ guarantee during the transitional period for the new arrangements. This guarantee ensures that, cumulatively over the transitional period, no state will receive a lower GST share than it would have received under the previous arrangements. This means that the cost of lifting Western Australia to the relativity floor (or eventually to the lower of New South </w:t>
      </w:r>
      <w:proofErr w:type="spellStart"/>
      <w:r w:rsidRPr="008B08F7">
        <w:rPr>
          <w:rFonts w:ascii="Work Sans" w:hAnsi="Work Sans"/>
          <w:sz w:val="24"/>
          <w:szCs w:val="24"/>
        </w:rPr>
        <w:t>Wales’</w:t>
      </w:r>
      <w:proofErr w:type="spellEnd"/>
      <w:r w:rsidRPr="008B08F7">
        <w:rPr>
          <w:rFonts w:ascii="Work Sans" w:hAnsi="Work Sans"/>
          <w:sz w:val="24"/>
          <w:szCs w:val="24"/>
        </w:rPr>
        <w:t xml:space="preserve"> or Victoria) is financed from the GST pool. If required, states will be reimbursed by the Commonwealth over the transitional period through the no worse off guarantee.</w:t>
      </w:r>
    </w:p>
    <w:p w14:paraId="0ADE58A9" w14:textId="6A0686EB" w:rsidR="00F55BB4" w:rsidRPr="008B08F7" w:rsidRDefault="00F55BB4" w:rsidP="00F55BB4">
      <w:pPr>
        <w:rPr>
          <w:rFonts w:ascii="Work Sans" w:hAnsi="Work Sans"/>
          <w:sz w:val="24"/>
          <w:szCs w:val="24"/>
        </w:rPr>
      </w:pPr>
      <w:r w:rsidRPr="008B08F7">
        <w:rPr>
          <w:rFonts w:ascii="Work Sans" w:hAnsi="Work Sans"/>
          <w:sz w:val="24"/>
          <w:szCs w:val="24"/>
        </w:rPr>
        <w:fldChar w:fldCharType="begin"/>
      </w:r>
      <w:r w:rsidRPr="008B08F7">
        <w:rPr>
          <w:rFonts w:ascii="Work Sans" w:hAnsi="Work Sans"/>
          <w:sz w:val="24"/>
          <w:szCs w:val="24"/>
        </w:rPr>
        <w:instrText xml:space="preserve"> REF _Ref80268905 \h </w:instrText>
      </w:r>
      <w:r w:rsidR="008B08F7" w:rsidRPr="008B08F7">
        <w:rPr>
          <w:rFonts w:ascii="Work Sans" w:hAnsi="Work Sans"/>
          <w:sz w:val="24"/>
          <w:szCs w:val="24"/>
        </w:rPr>
        <w:instrText xml:space="preserve"> \* MERGEFORMAT </w:instrText>
      </w:r>
      <w:r w:rsidRPr="008B08F7">
        <w:rPr>
          <w:rFonts w:ascii="Work Sans" w:hAnsi="Work Sans"/>
          <w:sz w:val="24"/>
          <w:szCs w:val="24"/>
        </w:rPr>
      </w:r>
      <w:r w:rsidRPr="008B08F7">
        <w:rPr>
          <w:rFonts w:ascii="Work Sans" w:hAnsi="Work Sans"/>
          <w:sz w:val="24"/>
          <w:szCs w:val="24"/>
        </w:rPr>
        <w:fldChar w:fldCharType="separate"/>
      </w:r>
      <w:r w:rsidR="00CD752D" w:rsidRPr="00CD752D">
        <w:rPr>
          <w:rFonts w:ascii="Work Sans" w:hAnsi="Work Sans"/>
          <w:sz w:val="24"/>
          <w:szCs w:val="24"/>
        </w:rPr>
        <w:t>Figure 8</w:t>
      </w:r>
      <w:r w:rsidRPr="008B08F7">
        <w:rPr>
          <w:rFonts w:ascii="Work Sans" w:hAnsi="Work Sans"/>
          <w:sz w:val="24"/>
          <w:szCs w:val="24"/>
        </w:rPr>
        <w:fldChar w:fldCharType="end"/>
      </w:r>
      <w:r w:rsidRPr="008B08F7">
        <w:rPr>
          <w:rFonts w:ascii="Work Sans" w:hAnsi="Work Sans"/>
          <w:sz w:val="24"/>
          <w:szCs w:val="24"/>
        </w:rPr>
        <w:t xml:space="preserve"> shows how the GST was distributed under the new arrangements in 2021</w:t>
      </w:r>
      <w:r w:rsidRPr="008B08F7">
        <w:rPr>
          <w:rFonts w:ascii="Work Sans" w:hAnsi="Work Sans"/>
          <w:sz w:val="24"/>
          <w:szCs w:val="24"/>
        </w:rPr>
        <w:noBreakHyphen/>
        <w:t xml:space="preserve">22. Its similarity to </w:t>
      </w:r>
      <w:r w:rsidRPr="008B08F7">
        <w:rPr>
          <w:rFonts w:ascii="Work Sans" w:hAnsi="Work Sans"/>
          <w:sz w:val="24"/>
          <w:szCs w:val="24"/>
        </w:rPr>
        <w:fldChar w:fldCharType="begin"/>
      </w:r>
      <w:r w:rsidRPr="008B08F7">
        <w:rPr>
          <w:rFonts w:ascii="Work Sans" w:hAnsi="Work Sans"/>
          <w:sz w:val="24"/>
          <w:szCs w:val="24"/>
        </w:rPr>
        <w:instrText xml:space="preserve"> REF _Ref80257012 \h </w:instrText>
      </w:r>
      <w:r w:rsidR="008B08F7" w:rsidRPr="008B08F7">
        <w:rPr>
          <w:rFonts w:ascii="Work Sans" w:hAnsi="Work Sans"/>
          <w:sz w:val="24"/>
          <w:szCs w:val="24"/>
        </w:rPr>
        <w:instrText xml:space="preserve"> \* MERGEFORMAT </w:instrText>
      </w:r>
      <w:r w:rsidRPr="008B08F7">
        <w:rPr>
          <w:rFonts w:ascii="Work Sans" w:hAnsi="Work Sans"/>
          <w:sz w:val="24"/>
          <w:szCs w:val="24"/>
        </w:rPr>
      </w:r>
      <w:r w:rsidRPr="008B08F7">
        <w:rPr>
          <w:rFonts w:ascii="Work Sans" w:hAnsi="Work Sans"/>
          <w:sz w:val="24"/>
          <w:szCs w:val="24"/>
        </w:rPr>
        <w:fldChar w:fldCharType="separate"/>
      </w:r>
      <w:r w:rsidR="00CD752D" w:rsidRPr="00CD752D">
        <w:rPr>
          <w:rFonts w:ascii="Work Sans" w:hAnsi="Work Sans"/>
          <w:sz w:val="24"/>
          <w:szCs w:val="24"/>
        </w:rPr>
        <w:t>Figure 1</w:t>
      </w:r>
      <w:r w:rsidRPr="008B08F7">
        <w:rPr>
          <w:rFonts w:ascii="Work Sans" w:hAnsi="Work Sans"/>
          <w:sz w:val="24"/>
          <w:szCs w:val="24"/>
        </w:rPr>
        <w:fldChar w:fldCharType="end"/>
      </w:r>
      <w:r w:rsidRPr="008B08F7">
        <w:rPr>
          <w:rFonts w:ascii="Work Sans" w:hAnsi="Work Sans"/>
          <w:sz w:val="24"/>
          <w:szCs w:val="24"/>
        </w:rPr>
        <w:t xml:space="preserve"> suggests the new arrangements only had a small effect in 2021-22. This was because the cost of lifting Western Australia to the relativity floor was financed outside the GST pool by the Commonwealth. From 2022-23, that cost will be financed from the GST pool. The differences between </w:t>
      </w:r>
      <w:r w:rsidRPr="008B08F7">
        <w:rPr>
          <w:rFonts w:ascii="Work Sans" w:hAnsi="Work Sans"/>
          <w:sz w:val="24"/>
          <w:szCs w:val="24"/>
        </w:rPr>
        <w:fldChar w:fldCharType="begin"/>
      </w:r>
      <w:r w:rsidRPr="008B08F7">
        <w:rPr>
          <w:rFonts w:ascii="Work Sans" w:hAnsi="Work Sans"/>
          <w:sz w:val="24"/>
          <w:szCs w:val="24"/>
        </w:rPr>
        <w:instrText xml:space="preserve"> REF _Ref80257012 \h </w:instrText>
      </w:r>
      <w:r w:rsidR="008B08F7" w:rsidRPr="008B08F7">
        <w:rPr>
          <w:rFonts w:ascii="Work Sans" w:hAnsi="Work Sans"/>
          <w:sz w:val="24"/>
          <w:szCs w:val="24"/>
        </w:rPr>
        <w:instrText xml:space="preserve"> \* MERGEFORMAT </w:instrText>
      </w:r>
      <w:r w:rsidRPr="008B08F7">
        <w:rPr>
          <w:rFonts w:ascii="Work Sans" w:hAnsi="Work Sans"/>
          <w:sz w:val="24"/>
          <w:szCs w:val="24"/>
        </w:rPr>
      </w:r>
      <w:r w:rsidRPr="008B08F7">
        <w:rPr>
          <w:rFonts w:ascii="Work Sans" w:hAnsi="Work Sans"/>
          <w:sz w:val="24"/>
          <w:szCs w:val="24"/>
        </w:rPr>
        <w:fldChar w:fldCharType="separate"/>
      </w:r>
      <w:r w:rsidR="00CD752D" w:rsidRPr="00CD752D">
        <w:rPr>
          <w:rFonts w:ascii="Work Sans" w:hAnsi="Work Sans"/>
          <w:sz w:val="24"/>
          <w:szCs w:val="24"/>
        </w:rPr>
        <w:t>Figure 1</w:t>
      </w:r>
      <w:r w:rsidRPr="008B08F7">
        <w:rPr>
          <w:rFonts w:ascii="Work Sans" w:hAnsi="Work Sans"/>
          <w:sz w:val="24"/>
          <w:szCs w:val="24"/>
        </w:rPr>
        <w:fldChar w:fldCharType="end"/>
      </w:r>
      <w:r w:rsidRPr="008B08F7">
        <w:rPr>
          <w:rFonts w:ascii="Work Sans" w:hAnsi="Work Sans"/>
          <w:sz w:val="24"/>
          <w:szCs w:val="24"/>
        </w:rPr>
        <w:t xml:space="preserve"> and </w:t>
      </w:r>
      <w:r w:rsidRPr="008B08F7">
        <w:rPr>
          <w:rFonts w:ascii="Work Sans" w:hAnsi="Work Sans"/>
          <w:sz w:val="24"/>
          <w:szCs w:val="24"/>
        </w:rPr>
        <w:fldChar w:fldCharType="begin"/>
      </w:r>
      <w:r w:rsidRPr="008B08F7">
        <w:rPr>
          <w:rFonts w:ascii="Work Sans" w:hAnsi="Work Sans"/>
          <w:sz w:val="24"/>
          <w:szCs w:val="24"/>
        </w:rPr>
        <w:instrText xml:space="preserve"> REF _Ref80268905 \h </w:instrText>
      </w:r>
      <w:r w:rsidR="008B08F7" w:rsidRPr="008B08F7">
        <w:rPr>
          <w:rFonts w:ascii="Work Sans" w:hAnsi="Work Sans"/>
          <w:sz w:val="24"/>
          <w:szCs w:val="24"/>
        </w:rPr>
        <w:instrText xml:space="preserve"> \* MERGEFORMAT </w:instrText>
      </w:r>
      <w:r w:rsidRPr="008B08F7">
        <w:rPr>
          <w:rFonts w:ascii="Work Sans" w:hAnsi="Work Sans"/>
          <w:sz w:val="24"/>
          <w:szCs w:val="24"/>
        </w:rPr>
      </w:r>
      <w:r w:rsidRPr="008B08F7">
        <w:rPr>
          <w:rFonts w:ascii="Work Sans" w:hAnsi="Work Sans"/>
          <w:sz w:val="24"/>
          <w:szCs w:val="24"/>
        </w:rPr>
        <w:fldChar w:fldCharType="separate"/>
      </w:r>
      <w:r w:rsidR="00CD752D" w:rsidRPr="00CD752D">
        <w:rPr>
          <w:rFonts w:ascii="Work Sans" w:hAnsi="Work Sans"/>
          <w:sz w:val="24"/>
          <w:szCs w:val="24"/>
        </w:rPr>
        <w:t>Figure 8</w:t>
      </w:r>
      <w:r w:rsidRPr="008B08F7">
        <w:rPr>
          <w:rFonts w:ascii="Work Sans" w:hAnsi="Work Sans"/>
          <w:sz w:val="24"/>
          <w:szCs w:val="24"/>
        </w:rPr>
        <w:fldChar w:fldCharType="end"/>
      </w:r>
      <w:r w:rsidRPr="008B08F7">
        <w:rPr>
          <w:rFonts w:ascii="Work Sans" w:hAnsi="Work Sans"/>
          <w:sz w:val="24"/>
          <w:szCs w:val="24"/>
        </w:rPr>
        <w:t xml:space="preserve"> will become more pronounced when </w:t>
      </w:r>
      <w:r w:rsidRPr="008B08F7">
        <w:rPr>
          <w:rFonts w:ascii="Work Sans" w:hAnsi="Work Sans"/>
          <w:sz w:val="24"/>
          <w:szCs w:val="24"/>
        </w:rPr>
        <w:fldChar w:fldCharType="begin"/>
      </w:r>
      <w:r w:rsidRPr="008B08F7">
        <w:rPr>
          <w:rFonts w:ascii="Work Sans" w:hAnsi="Work Sans"/>
          <w:sz w:val="24"/>
          <w:szCs w:val="24"/>
        </w:rPr>
        <w:instrText xml:space="preserve"> REF _Ref80268905 \h </w:instrText>
      </w:r>
      <w:r w:rsidR="008B08F7" w:rsidRPr="008B08F7">
        <w:rPr>
          <w:rFonts w:ascii="Work Sans" w:hAnsi="Work Sans"/>
          <w:sz w:val="24"/>
          <w:szCs w:val="24"/>
        </w:rPr>
        <w:instrText xml:space="preserve"> \* MERGEFORMAT </w:instrText>
      </w:r>
      <w:r w:rsidRPr="008B08F7">
        <w:rPr>
          <w:rFonts w:ascii="Work Sans" w:hAnsi="Work Sans"/>
          <w:sz w:val="24"/>
          <w:szCs w:val="24"/>
        </w:rPr>
      </w:r>
      <w:r w:rsidRPr="008B08F7">
        <w:rPr>
          <w:rFonts w:ascii="Work Sans" w:hAnsi="Work Sans"/>
          <w:sz w:val="24"/>
          <w:szCs w:val="24"/>
        </w:rPr>
        <w:fldChar w:fldCharType="separate"/>
      </w:r>
      <w:r w:rsidR="00CD752D" w:rsidRPr="00CD752D">
        <w:rPr>
          <w:rFonts w:ascii="Work Sans" w:hAnsi="Work Sans"/>
          <w:sz w:val="24"/>
          <w:szCs w:val="24"/>
        </w:rPr>
        <w:t>Figure 8</w:t>
      </w:r>
      <w:r w:rsidRPr="008B08F7">
        <w:rPr>
          <w:rFonts w:ascii="Work Sans" w:hAnsi="Work Sans"/>
          <w:sz w:val="24"/>
          <w:szCs w:val="24"/>
        </w:rPr>
        <w:fldChar w:fldCharType="end"/>
      </w:r>
      <w:r w:rsidRPr="008B08F7">
        <w:rPr>
          <w:rFonts w:ascii="Work Sans" w:hAnsi="Work Sans"/>
          <w:sz w:val="24"/>
          <w:szCs w:val="24"/>
        </w:rPr>
        <w:t xml:space="preserve"> reflects later years in the transitional period.</w:t>
      </w:r>
    </w:p>
    <w:p w14:paraId="236A2977" w14:textId="741E90D0" w:rsidR="00B70AE3" w:rsidRDefault="00B70AE3" w:rsidP="005035ED">
      <w:pPr>
        <w:pStyle w:val="Caption"/>
      </w:pPr>
      <w:bookmarkStart w:id="11" w:name="_Ref80268905"/>
      <w:r>
        <w:lastRenderedPageBreak/>
        <w:t>Figure </w:t>
      </w:r>
      <w:r>
        <w:fldChar w:fldCharType="begin"/>
      </w:r>
      <w:r>
        <w:instrText>SEQ Figure \* ARABIC</w:instrText>
      </w:r>
      <w:r>
        <w:fldChar w:fldCharType="separate"/>
      </w:r>
      <w:r w:rsidR="00CD752D">
        <w:rPr>
          <w:noProof/>
        </w:rPr>
        <w:t>8</w:t>
      </w:r>
      <w:r>
        <w:fldChar w:fldCharType="end"/>
      </w:r>
      <w:bookmarkEnd w:id="11"/>
      <w:r>
        <w:tab/>
        <w:t>Estimated assessed budgets per capita, after new arrangements, 2020</w:t>
      </w:r>
      <w:r>
        <w:noBreakHyphen/>
        <w:t>21</w:t>
      </w:r>
    </w:p>
    <w:p w14:paraId="3AC57606" w14:textId="7591D34F" w:rsidR="00B70AE3" w:rsidRDefault="00EE79CE" w:rsidP="00B70AE3">
      <w:r>
        <w:rPr>
          <w:noProof/>
        </w:rPr>
        <w:drawing>
          <wp:inline distT="0" distB="0" distL="0" distR="0" wp14:anchorId="766486D1" wp14:editId="0994E95B">
            <wp:extent cx="5619825" cy="3564000"/>
            <wp:effectExtent l="0" t="0" r="0" b="17780"/>
            <wp:docPr id="5" name="Chart 5">
              <a:extLst xmlns:a="http://schemas.openxmlformats.org/drawingml/2006/main">
                <a:ext uri="{FF2B5EF4-FFF2-40B4-BE49-F238E27FC236}">
                  <a16:creationId xmlns:a16="http://schemas.microsoft.com/office/drawing/2014/main" id="{EB99456E-81BE-44C6-B3C3-62368A597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4D9C12" w14:textId="77777777" w:rsidR="00B70AE3" w:rsidRDefault="00B70AE3" w:rsidP="009D1342">
      <w:pPr>
        <w:pStyle w:val="CGCTablenote"/>
      </w:pPr>
      <w:r>
        <w:t>Note:</w:t>
      </w:r>
      <w:r>
        <w:tab/>
      </w:r>
      <w:r>
        <w:tab/>
        <w:t>These are assessed expenses, own-source revenue, net borrowings, Commonwealth payments and GST revenue.</w:t>
      </w:r>
    </w:p>
    <w:p w14:paraId="70693AD9" w14:textId="77777777" w:rsidR="00B70AE3" w:rsidRDefault="00B70AE3" w:rsidP="009D1342">
      <w:pPr>
        <w:pStyle w:val="CGCTablenote"/>
        <w:numPr>
          <w:ilvl w:val="0"/>
          <w:numId w:val="2"/>
        </w:numPr>
      </w:pPr>
      <w:r>
        <w:tab/>
      </w:r>
      <w:r>
        <w:tab/>
        <w:t>Assessed expenses and investment.</w:t>
      </w:r>
    </w:p>
    <w:p w14:paraId="10038EA5" w14:textId="77777777" w:rsidR="00B70AE3" w:rsidRDefault="00B70AE3" w:rsidP="009D1342">
      <w:pPr>
        <w:pStyle w:val="CGCTablenote"/>
      </w:pPr>
      <w:r>
        <w:t>Source:</w:t>
      </w:r>
      <w:r>
        <w:tab/>
        <w:t>Commission calculation, 2021 Update.</w:t>
      </w:r>
    </w:p>
    <w:p w14:paraId="7384147F" w14:textId="77777777" w:rsidR="00B70AE3" w:rsidRPr="00AC52BC" w:rsidRDefault="00B70AE3" w:rsidP="00BE73AC">
      <w:pPr>
        <w:pStyle w:val="Heading2"/>
      </w:pPr>
      <w:bookmarkStart w:id="12" w:name="_Toc74234829"/>
      <w:bookmarkStart w:id="13" w:name="_Toc76141246"/>
      <w:r>
        <w:t>Conclusion</w:t>
      </w:r>
    </w:p>
    <w:p w14:paraId="2D13540F" w14:textId="77777777" w:rsidR="00B70AE3" w:rsidRPr="008B08F7" w:rsidRDefault="00B70AE3" w:rsidP="00B70AE3">
      <w:pPr>
        <w:rPr>
          <w:rStyle w:val="normaltextrun"/>
          <w:rFonts w:ascii="Work Sans" w:hAnsi="Work Sans"/>
          <w:sz w:val="24"/>
          <w:szCs w:val="24"/>
        </w:rPr>
      </w:pPr>
      <w:r w:rsidRPr="008B08F7">
        <w:rPr>
          <w:rFonts w:ascii="Work Sans" w:hAnsi="Work Sans"/>
          <w:sz w:val="24"/>
          <w:szCs w:val="24"/>
        </w:rPr>
        <w:t>A series of mining booms has increased the capacity of the mining states to raise royalty revenue. This has led to a fall in their GST share and a rise in the share of other states. In recent years, the historically high iron ore prices have significantly increased the revenue raising capacity of Western Australia which in turn has lowered its GST requirement.</w:t>
      </w:r>
    </w:p>
    <w:p w14:paraId="598C8A1B" w14:textId="77777777" w:rsidR="00B70AE3" w:rsidRPr="008B08F7" w:rsidRDefault="00B70AE3" w:rsidP="00B70AE3">
      <w:pPr>
        <w:rPr>
          <w:rStyle w:val="normaltextrun"/>
          <w:rFonts w:ascii="Work Sans" w:hAnsi="Work Sans"/>
          <w:sz w:val="24"/>
          <w:szCs w:val="24"/>
        </w:rPr>
      </w:pPr>
      <w:r w:rsidRPr="008B08F7">
        <w:rPr>
          <w:rFonts w:ascii="Work Sans" w:hAnsi="Work Sans"/>
          <w:sz w:val="24"/>
          <w:szCs w:val="24"/>
        </w:rPr>
        <w:t>While commodity prices generally increased over this period, they also fluctuated. These fluctuations have, through the mining assessment, led to volatility in GST distributions. Volatility in the value of iron ore production has resulted in significant volatility in Western Australia’s GST share. The new equalisation arrangements will reduce the volatility in GST distributions arising from the Commission’s mining assessment, particularly for Western Australia.</w:t>
      </w:r>
    </w:p>
    <w:p w14:paraId="7F9B12A9" w14:textId="77777777" w:rsidR="00B70AE3" w:rsidRPr="008B08F7" w:rsidRDefault="00B70AE3" w:rsidP="00B70AE3">
      <w:pPr>
        <w:rPr>
          <w:rStyle w:val="normaltextrun"/>
          <w:rFonts w:ascii="Work Sans" w:hAnsi="Work Sans"/>
          <w:sz w:val="24"/>
          <w:szCs w:val="24"/>
        </w:rPr>
      </w:pPr>
      <w:r w:rsidRPr="008B08F7">
        <w:rPr>
          <w:rFonts w:ascii="Work Sans" w:hAnsi="Work Sans"/>
          <w:sz w:val="24"/>
          <w:szCs w:val="24"/>
        </w:rPr>
        <w:t>When a mineral is concentrated in one state, as for iron ore in Western Australia, that state has the potential to influence its GST distribution by altering its royalty rate. Such an outcome is inconsistent with the principle that the GST distribution should not be significantly influenced by states’ policy choices. Under the new arrangements, a state will not have the same capacity to influence its GST distribution.</w:t>
      </w:r>
      <w:bookmarkEnd w:id="12"/>
      <w:bookmarkEnd w:id="13"/>
    </w:p>
    <w:sectPr w:rsidR="00B70AE3" w:rsidRPr="008B08F7" w:rsidSect="00A51F02">
      <w:pgSz w:w="11900" w:h="16840"/>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E0096" w14:textId="77777777" w:rsidR="003C5D84" w:rsidRDefault="003C5D84" w:rsidP="005C0550">
      <w:pPr>
        <w:spacing w:before="0" w:line="240" w:lineRule="auto"/>
      </w:pPr>
      <w:r>
        <w:separator/>
      </w:r>
    </w:p>
    <w:p w14:paraId="16895263" w14:textId="77777777" w:rsidR="003C5D84" w:rsidRDefault="003C5D84"/>
  </w:endnote>
  <w:endnote w:type="continuationSeparator" w:id="0">
    <w:p w14:paraId="4C2EC374" w14:textId="77777777" w:rsidR="003C5D84" w:rsidRDefault="003C5D84" w:rsidP="005C0550">
      <w:pPr>
        <w:spacing w:before="0" w:line="240" w:lineRule="auto"/>
      </w:pPr>
      <w:r>
        <w:continuationSeparator/>
      </w:r>
    </w:p>
    <w:p w14:paraId="390D23FD" w14:textId="77777777" w:rsidR="003C5D84" w:rsidRDefault="003C5D84"/>
  </w:endnote>
  <w:endnote w:type="continuationNotice" w:id="1">
    <w:p w14:paraId="20D0A821" w14:textId="77777777" w:rsidR="003C5D84" w:rsidRDefault="003C5D84">
      <w:pPr>
        <w:spacing w:before="0" w:line="240" w:lineRule="auto"/>
      </w:pPr>
    </w:p>
    <w:p w14:paraId="7FCED087" w14:textId="77777777" w:rsidR="003C5D84" w:rsidRDefault="003C5D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Work Sans">
    <w:altName w:val="Work Sans"/>
    <w:charset w:val="00"/>
    <w:family w:val="auto"/>
    <w:pitch w:val="variable"/>
    <w:sig w:usb0="A00000FF" w:usb1="5000E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5555125"/>
      <w:docPartObj>
        <w:docPartGallery w:val="Page Numbers (Bottom of Page)"/>
        <w:docPartUnique/>
      </w:docPartObj>
    </w:sdtPr>
    <w:sdtEndPr>
      <w:rPr>
        <w:rStyle w:val="PageNumber"/>
      </w:rPr>
    </w:sdtEndPr>
    <w:sdtContent>
      <w:p w14:paraId="74BA921F" w14:textId="6695127C" w:rsidR="008B3F9B" w:rsidRDefault="008B3F9B" w:rsidP="005324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F6A7F">
          <w:rPr>
            <w:rStyle w:val="PageNumber"/>
            <w:noProof/>
          </w:rPr>
          <w:t>2</w:t>
        </w:r>
        <w:r>
          <w:rPr>
            <w:rStyle w:val="PageNumber"/>
          </w:rPr>
          <w:fldChar w:fldCharType="end"/>
        </w:r>
      </w:p>
    </w:sdtContent>
  </w:sdt>
  <w:p w14:paraId="7003134E" w14:textId="77777777" w:rsidR="008B3F9B" w:rsidRDefault="008B3F9B" w:rsidP="008B3F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473943"/>
      <w:docPartObj>
        <w:docPartGallery w:val="Page Numbers (Bottom of Page)"/>
        <w:docPartUnique/>
      </w:docPartObj>
    </w:sdtPr>
    <w:sdtEndPr>
      <w:rPr>
        <w:rFonts w:ascii="Work Sans" w:hAnsi="Work Sans"/>
        <w:noProof/>
      </w:rPr>
    </w:sdtEndPr>
    <w:sdtContent>
      <w:p w14:paraId="7A273323" w14:textId="0DE28991" w:rsidR="00760E2C" w:rsidRPr="00CE3E1A" w:rsidRDefault="00760E2C">
        <w:pPr>
          <w:pStyle w:val="Footer"/>
          <w:jc w:val="right"/>
          <w:rPr>
            <w:rFonts w:ascii="Work Sans" w:hAnsi="Work Sans"/>
          </w:rPr>
        </w:pPr>
        <w:r w:rsidRPr="00CE3E1A">
          <w:rPr>
            <w:rFonts w:ascii="Work Sans" w:hAnsi="Work Sans"/>
          </w:rPr>
          <w:fldChar w:fldCharType="begin"/>
        </w:r>
        <w:r w:rsidRPr="00CE3E1A">
          <w:rPr>
            <w:rFonts w:ascii="Work Sans" w:hAnsi="Work Sans"/>
          </w:rPr>
          <w:instrText xml:space="preserve"> PAGE   \* MERGEFORMAT </w:instrText>
        </w:r>
        <w:r w:rsidRPr="00CE3E1A">
          <w:rPr>
            <w:rFonts w:ascii="Work Sans" w:hAnsi="Work Sans"/>
          </w:rPr>
          <w:fldChar w:fldCharType="separate"/>
        </w:r>
        <w:r w:rsidRPr="00CE3E1A">
          <w:rPr>
            <w:rFonts w:ascii="Work Sans" w:hAnsi="Work Sans"/>
            <w:noProof/>
          </w:rPr>
          <w:t>2</w:t>
        </w:r>
        <w:r w:rsidRPr="00CE3E1A">
          <w:rPr>
            <w:rFonts w:ascii="Work Sans" w:hAnsi="Work Sans"/>
            <w:noProof/>
          </w:rPr>
          <w:fldChar w:fldCharType="end"/>
        </w:r>
      </w:p>
    </w:sdtContent>
  </w:sdt>
  <w:p w14:paraId="7F855381" w14:textId="3EF97186" w:rsidR="008B3F9B" w:rsidRPr="00A51C53" w:rsidRDefault="003C5D84" w:rsidP="00C43095">
    <w:pPr>
      <w:pStyle w:val="Footer"/>
      <w:tabs>
        <w:tab w:val="clear" w:pos="567"/>
      </w:tabs>
      <w:ind w:right="357"/>
      <w:jc w:val="right"/>
      <w:rPr>
        <w:rStyle w:val="Hyperlink"/>
        <w:rFonts w:ascii="Work Sans" w:hAnsi="Work Sans"/>
        <w:color w:val="006991"/>
        <w:u w:val="none"/>
      </w:rPr>
    </w:pPr>
    <w:hyperlink r:id="rId1" w:history="1">
      <w:r w:rsidR="005D58A6" w:rsidRPr="00D156CD">
        <w:rPr>
          <w:rStyle w:val="Hyperlink"/>
          <w:rFonts w:ascii="Work Sans" w:hAnsi="Work Sans" w:cs="Open Sans"/>
          <w:bCs/>
          <w:color w:val="006991"/>
        </w:rPr>
        <w:t>www.cgc.gov.au</w:t>
      </w:r>
    </w:hyperlink>
    <w:r w:rsidR="00C43095" w:rsidRPr="00A51C53">
      <w:rPr>
        <w:rStyle w:val="Hyperlink"/>
        <w:rFonts w:ascii="Work Sans" w:hAnsi="Work Sans"/>
        <w:color w:val="006991"/>
        <w:u w:val="none"/>
      </w:rPr>
      <w:tab/>
    </w:r>
    <w:r w:rsidR="005D58A6" w:rsidRPr="00A51C53">
      <w:rPr>
        <w:rStyle w:val="Hyperlink"/>
        <w:rFonts w:ascii="Work Sans" w:hAnsi="Work Sans"/>
        <w:color w:val="006991"/>
        <w:u w:val="none"/>
      </w:rPr>
      <w:t>Research Paper Series</w:t>
    </w:r>
    <w:r w:rsidR="005D58A6" w:rsidRPr="00A51C53">
      <w:rPr>
        <w:rStyle w:val="Hyperlink"/>
        <w:rFonts w:ascii="Work Sans" w:hAnsi="Work Sans"/>
        <w:color w:val="006991"/>
        <w:u w:val="none"/>
      </w:rPr>
      <w:tab/>
    </w:r>
    <w:r w:rsidR="00E60829">
      <w:rPr>
        <w:rStyle w:val="Hyperlink"/>
        <w:rFonts w:ascii="Work Sans" w:hAnsi="Work Sans"/>
        <w:color w:val="006991"/>
        <w:u w:val="none"/>
      </w:rPr>
      <w:t>October</w:t>
    </w:r>
    <w:r w:rsidR="005D58A6" w:rsidRPr="00A51C53">
      <w:rPr>
        <w:rStyle w:val="Hyperlink"/>
        <w:rFonts w:ascii="Work Sans" w:hAnsi="Work Sans"/>
        <w:color w:val="006991"/>
        <w:u w:val="none"/>
      </w:rPr>
      <w:t xml:space="preserve"> 202</w:t>
    </w:r>
    <w:r w:rsidR="00E60829">
      <w:rPr>
        <w:rStyle w:val="Hyperlink"/>
        <w:rFonts w:ascii="Work Sans" w:hAnsi="Work Sans"/>
        <w:color w:val="006991"/>
        <w:u w:val="none"/>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8372F" w14:textId="77777777" w:rsidR="003C5D84" w:rsidRDefault="003C5D84" w:rsidP="005C0550">
      <w:pPr>
        <w:spacing w:before="0" w:line="240" w:lineRule="auto"/>
      </w:pPr>
      <w:r>
        <w:separator/>
      </w:r>
    </w:p>
    <w:p w14:paraId="5559D5DF" w14:textId="77777777" w:rsidR="003C5D84" w:rsidRDefault="003C5D84"/>
  </w:footnote>
  <w:footnote w:type="continuationSeparator" w:id="0">
    <w:p w14:paraId="1C6FB041" w14:textId="77777777" w:rsidR="003C5D84" w:rsidRDefault="003C5D84" w:rsidP="005C0550">
      <w:pPr>
        <w:spacing w:before="0" w:line="240" w:lineRule="auto"/>
      </w:pPr>
      <w:r>
        <w:continuationSeparator/>
      </w:r>
    </w:p>
    <w:p w14:paraId="03C97014" w14:textId="77777777" w:rsidR="003C5D84" w:rsidRDefault="003C5D84"/>
  </w:footnote>
  <w:footnote w:type="continuationNotice" w:id="1">
    <w:p w14:paraId="05CB7D12" w14:textId="77777777" w:rsidR="003C5D84" w:rsidRDefault="003C5D84">
      <w:pPr>
        <w:spacing w:before="0" w:line="240" w:lineRule="auto"/>
      </w:pPr>
    </w:p>
    <w:p w14:paraId="6A89C19A" w14:textId="77777777" w:rsidR="003C5D84" w:rsidRDefault="003C5D84"/>
  </w:footnote>
  <w:footnote w:id="2">
    <w:p w14:paraId="41FC6B02" w14:textId="77777777" w:rsidR="00AE4C90" w:rsidRPr="003548B9" w:rsidRDefault="00AE4C90" w:rsidP="003548B9">
      <w:pPr>
        <w:pStyle w:val="FootnoteText"/>
      </w:pPr>
      <w:r>
        <w:rPr>
          <w:rStyle w:val="FootnoteReference"/>
        </w:rPr>
        <w:footnoteRef/>
      </w:r>
      <w:r>
        <w:t xml:space="preserve"> </w:t>
      </w:r>
      <w:r>
        <w:tab/>
      </w:r>
      <w:r w:rsidRPr="003548B9">
        <w:t xml:space="preserve">These revenues comprise specific purpose payments and national partnership payments. </w:t>
      </w:r>
    </w:p>
  </w:footnote>
  <w:footnote w:id="3">
    <w:p w14:paraId="1A8018D1" w14:textId="0993BBF1" w:rsidR="002D423F" w:rsidRPr="00331B57" w:rsidRDefault="002D423F" w:rsidP="003548B9">
      <w:pPr>
        <w:pStyle w:val="FootnoteText"/>
        <w:rPr>
          <w:lang w:val="en-US"/>
        </w:rPr>
      </w:pPr>
      <w:r>
        <w:rPr>
          <w:rStyle w:val="FootnoteReference"/>
        </w:rPr>
        <w:footnoteRef/>
      </w:r>
      <w:r>
        <w:t xml:space="preserve"> </w:t>
      </w:r>
      <w:r>
        <w:tab/>
        <w:t xml:space="preserve">The major minerals are those that generate the largest royalty revenue — iron ore, coal, old, onshore oil and gas, bauxite, and copper. Gold and copper aside, they are the minerals that attract the highest royalty rates from </w:t>
      </w:r>
      <w:r w:rsidR="00C4226B">
        <w:t>s</w:t>
      </w:r>
      <w:r>
        <w:t xml:space="preserve">tates. </w:t>
      </w:r>
    </w:p>
  </w:footnote>
  <w:footnote w:id="4">
    <w:p w14:paraId="3F9F483C" w14:textId="77777777" w:rsidR="00646513" w:rsidRPr="00331B57" w:rsidRDefault="00646513" w:rsidP="003548B9">
      <w:pPr>
        <w:pStyle w:val="FootnoteText"/>
        <w:rPr>
          <w:lang w:val="en-US"/>
        </w:rPr>
      </w:pPr>
      <w:r>
        <w:rPr>
          <w:rStyle w:val="FootnoteReference"/>
        </w:rPr>
        <w:footnoteRef/>
      </w:r>
      <w:r>
        <w:t xml:space="preserve"> </w:t>
      </w:r>
      <w:r>
        <w:tab/>
        <w:t xml:space="preserve">While New South Wales has a large share of the coal tax base, its share is close to its population share. Thus, the GST effects of a coal royalty increase would be small. </w:t>
      </w:r>
    </w:p>
  </w:footnote>
  <w:footnote w:id="5">
    <w:p w14:paraId="7EFF6080" w14:textId="77777777" w:rsidR="00C9252A" w:rsidRPr="00331B57" w:rsidRDefault="00C9252A" w:rsidP="003548B9">
      <w:pPr>
        <w:pStyle w:val="FootnoteText"/>
        <w:rPr>
          <w:lang w:val="en-US"/>
        </w:rPr>
      </w:pPr>
      <w:r>
        <w:rPr>
          <w:rStyle w:val="FootnoteReference"/>
        </w:rPr>
        <w:footnoteRef/>
      </w:r>
      <w:r>
        <w:t xml:space="preserve"> </w:t>
      </w:r>
      <w:r>
        <w:tab/>
        <w:t xml:space="preserve">Iron ore spot prices were obtained from Government of Western Australia, Department of Mines, Industry Regulation and Safety, latest statistics release, major commodities resources data. </w:t>
      </w:r>
    </w:p>
  </w:footnote>
  <w:footnote w:id="6">
    <w:p w14:paraId="244E67BB" w14:textId="77777777" w:rsidR="00F55BB4" w:rsidRPr="00331B57" w:rsidRDefault="00F55BB4" w:rsidP="003548B9">
      <w:pPr>
        <w:pStyle w:val="FootnoteText"/>
        <w:rPr>
          <w:lang w:val="en-US"/>
        </w:rPr>
      </w:pPr>
      <w:r>
        <w:rPr>
          <w:rStyle w:val="FootnoteReference"/>
        </w:rPr>
        <w:footnoteRef/>
      </w:r>
      <w:r>
        <w:t xml:space="preserve"> </w:t>
      </w:r>
      <w:r>
        <w:tab/>
        <w:t xml:space="preserve">In addition, the Commonwealth financed a relativity of 0.70 between 2019-20 and 2021-22. </w:t>
      </w:r>
    </w:p>
  </w:footnote>
  <w:footnote w:id="7">
    <w:p w14:paraId="6EEE3CAF" w14:textId="77777777" w:rsidR="00F55BB4" w:rsidRDefault="00F55BB4" w:rsidP="003548B9">
      <w:pPr>
        <w:pStyle w:val="FootnoteText"/>
      </w:pPr>
      <w:r>
        <w:rPr>
          <w:rStyle w:val="FootnoteReference"/>
        </w:rPr>
        <w:footnoteRef/>
      </w:r>
      <w:r>
        <w:t xml:space="preserve"> </w:t>
      </w:r>
      <w:r>
        <w:tab/>
        <w:t xml:space="preserve">In its interim response to the Productivity Commission’s inquiry, the Commonwealth noted the mining boom created extraordinary volatility in the GST distribution, particularly for Western Australia. </w:t>
      </w:r>
      <w:r w:rsidRPr="00382AAB">
        <w:rPr>
          <w:i/>
          <w:iCs/>
        </w:rPr>
        <w:t>Productivity Commission inquiry into horizontal fiscal equalisation: Government interim response</w:t>
      </w:r>
      <w:r>
        <w:t>, Canberra, July 2018, page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0E423" w14:textId="4BE1BD4C" w:rsidR="00214752" w:rsidRDefault="00214752">
    <w:pPr>
      <w:pStyle w:val="Header"/>
    </w:pPr>
    <w:r w:rsidRPr="00B06E8C">
      <w:rPr>
        <w:noProof/>
        <w:lang w:val="de-CH" w:eastAsia="de-CH"/>
      </w:rPr>
      <w:drawing>
        <wp:anchor distT="0" distB="0" distL="114300" distR="114300" simplePos="0" relativeHeight="251660291" behindDoc="1" locked="1" layoutInCell="1" allowOverlap="1" wp14:anchorId="2E27FD14" wp14:editId="459AC090">
          <wp:simplePos x="0" y="0"/>
          <wp:positionH relativeFrom="page">
            <wp:align>right</wp:align>
          </wp:positionH>
          <wp:positionV relativeFrom="page">
            <wp:posOffset>3810</wp:posOffset>
          </wp:positionV>
          <wp:extent cx="7563485" cy="10737850"/>
          <wp:effectExtent l="0" t="0" r="0" b="6350"/>
          <wp:wrapNone/>
          <wp:docPr id="11" name="Picture 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7378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59C9" w14:textId="713926D7" w:rsidR="00C25219" w:rsidRDefault="00AB73C2">
    <w:pPr>
      <w:pStyle w:val="Header"/>
    </w:pPr>
    <w:r>
      <w:rPr>
        <w:noProof/>
      </w:rPr>
      <w:drawing>
        <wp:anchor distT="0" distB="0" distL="114300" distR="114300" simplePos="0" relativeHeight="251658240" behindDoc="1" locked="0" layoutInCell="1" allowOverlap="1" wp14:anchorId="3D0DD578" wp14:editId="34A479C4">
          <wp:simplePos x="0" y="0"/>
          <wp:positionH relativeFrom="column">
            <wp:posOffset>-899907</wp:posOffset>
          </wp:positionH>
          <wp:positionV relativeFrom="paragraph">
            <wp:posOffset>-469723</wp:posOffset>
          </wp:positionV>
          <wp:extent cx="7562789" cy="10689589"/>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62789" cy="10689589"/>
                  </a:xfrm>
                  <a:prstGeom prst="rect">
                    <a:avLst/>
                  </a:prstGeom>
                </pic:spPr>
              </pic:pic>
            </a:graphicData>
          </a:graphic>
          <wp14:sizeRelH relativeFrom="margin">
            <wp14:pctWidth>0</wp14:pctWidth>
          </wp14:sizeRelH>
          <wp14:sizeRelV relativeFrom="margin">
            <wp14:pctHeight>0</wp14:pctHeight>
          </wp14:sizeRelV>
        </wp:anchor>
      </w:drawing>
    </w:r>
    <w:r w:rsidR="003759A1">
      <w:rPr>
        <w:noProof/>
      </w:rPr>
      <w:drawing>
        <wp:anchor distT="0" distB="0" distL="114300" distR="114300" simplePos="0" relativeHeight="251658243" behindDoc="1" locked="0" layoutInCell="1" allowOverlap="1" wp14:anchorId="5E0448FF" wp14:editId="3893EFC1">
          <wp:simplePos x="0" y="0"/>
          <wp:positionH relativeFrom="column">
            <wp:posOffset>-923290</wp:posOffset>
          </wp:positionH>
          <wp:positionV relativeFrom="paragraph">
            <wp:posOffset>10351135</wp:posOffset>
          </wp:positionV>
          <wp:extent cx="7580630" cy="10691495"/>
          <wp:effectExtent l="0" t="0" r="127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A345CD">
      <w:rPr>
        <w:noProof/>
      </w:rPr>
      <w:drawing>
        <wp:anchor distT="0" distB="0" distL="114300" distR="114300" simplePos="0" relativeHeight="251658242" behindDoc="1" locked="0" layoutInCell="1" allowOverlap="1" wp14:anchorId="2CFE1E5C" wp14:editId="795823A5">
          <wp:simplePos x="0" y="0"/>
          <wp:positionH relativeFrom="column">
            <wp:posOffset>-900430</wp:posOffset>
          </wp:positionH>
          <wp:positionV relativeFrom="paragraph">
            <wp:posOffset>10362565</wp:posOffset>
          </wp:positionV>
          <wp:extent cx="7580630" cy="10691495"/>
          <wp:effectExtent l="0" t="0" r="127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C25219" w:rsidRPr="00410188">
      <w:rPr>
        <w:rFonts w:ascii="Open Sans Semibold" w:hAnsi="Open Sans Semibold" w:cs="Open Sans Semibold"/>
        <w:bCs/>
        <w:noProof/>
        <w:sz w:val="40"/>
        <w:szCs w:val="40"/>
        <w:lang w:val="en-US"/>
      </w:rPr>
      <w:drawing>
        <wp:anchor distT="0" distB="0" distL="114300" distR="114300" simplePos="0" relativeHeight="251658241" behindDoc="1" locked="0" layoutInCell="1" allowOverlap="1" wp14:anchorId="355101D3" wp14:editId="6682A560">
          <wp:simplePos x="0" y="0"/>
          <wp:positionH relativeFrom="column">
            <wp:posOffset>-1037590</wp:posOffset>
          </wp:positionH>
          <wp:positionV relativeFrom="paragraph">
            <wp:posOffset>10328275</wp:posOffset>
          </wp:positionV>
          <wp:extent cx="7683500" cy="10836275"/>
          <wp:effectExtent l="38100" t="38100" r="63500" b="349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8151E"/>
    <w:multiLevelType w:val="hybridMultilevel"/>
    <w:tmpl w:val="269CA4DE"/>
    <w:lvl w:ilvl="0" w:tplc="D3305C2A">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 w15:restartNumberingAfterBreak="0">
    <w:nsid w:val="17E71B9C"/>
    <w:multiLevelType w:val="hybridMultilevel"/>
    <w:tmpl w:val="C9DED85E"/>
    <w:lvl w:ilvl="0" w:tplc="BB94D04E">
      <w:start w:val="1"/>
      <w:numFmt w:val="bullet"/>
      <w:pStyle w:val="CGCBullet1"/>
      <w:lvlText w:val=""/>
      <w:lvlJc w:val="left"/>
      <w:pPr>
        <w:ind w:left="927" w:hanging="360"/>
      </w:pPr>
      <w:rPr>
        <w:rFonts w:ascii="Symbol" w:hAnsi="Symbol" w:hint="default"/>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511CFA"/>
    <w:multiLevelType w:val="hybridMultilevel"/>
    <w:tmpl w:val="BCC2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3057275"/>
    <w:multiLevelType w:val="hybridMultilevel"/>
    <w:tmpl w:val="269CA4DE"/>
    <w:lvl w:ilvl="0" w:tplc="D3305C2A">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50"/>
    <w:rsid w:val="00000BDE"/>
    <w:rsid w:val="00002F1D"/>
    <w:rsid w:val="000527CF"/>
    <w:rsid w:val="00070FB7"/>
    <w:rsid w:val="00074189"/>
    <w:rsid w:val="00083619"/>
    <w:rsid w:val="00083818"/>
    <w:rsid w:val="000A065C"/>
    <w:rsid w:val="000C6077"/>
    <w:rsid w:val="000C7E80"/>
    <w:rsid w:val="000D3258"/>
    <w:rsid w:val="000D52A4"/>
    <w:rsid w:val="000F07E5"/>
    <w:rsid w:val="000F52DC"/>
    <w:rsid w:val="00110C3B"/>
    <w:rsid w:val="00111B7E"/>
    <w:rsid w:val="00115DCB"/>
    <w:rsid w:val="00131611"/>
    <w:rsid w:val="00132154"/>
    <w:rsid w:val="001345A7"/>
    <w:rsid w:val="00147377"/>
    <w:rsid w:val="0016087A"/>
    <w:rsid w:val="00163B5F"/>
    <w:rsid w:val="00195727"/>
    <w:rsid w:val="001968D9"/>
    <w:rsid w:val="0019705C"/>
    <w:rsid w:val="00197207"/>
    <w:rsid w:val="001A5202"/>
    <w:rsid w:val="001D23ED"/>
    <w:rsid w:val="001D4EC5"/>
    <w:rsid w:val="001F12C7"/>
    <w:rsid w:val="00206B47"/>
    <w:rsid w:val="00207EF8"/>
    <w:rsid w:val="00211141"/>
    <w:rsid w:val="00214752"/>
    <w:rsid w:val="00224BA9"/>
    <w:rsid w:val="0022560F"/>
    <w:rsid w:val="0024078A"/>
    <w:rsid w:val="00241678"/>
    <w:rsid w:val="00250980"/>
    <w:rsid w:val="00276C04"/>
    <w:rsid w:val="002A242C"/>
    <w:rsid w:val="002B21C5"/>
    <w:rsid w:val="002C3A43"/>
    <w:rsid w:val="002D423F"/>
    <w:rsid w:val="002D77FA"/>
    <w:rsid w:val="002E00E2"/>
    <w:rsid w:val="00304431"/>
    <w:rsid w:val="003049F0"/>
    <w:rsid w:val="00313CC2"/>
    <w:rsid w:val="00317E24"/>
    <w:rsid w:val="00354329"/>
    <w:rsid w:val="00354523"/>
    <w:rsid w:val="003548B9"/>
    <w:rsid w:val="003740A7"/>
    <w:rsid w:val="003759A1"/>
    <w:rsid w:val="00377FE7"/>
    <w:rsid w:val="003A3A55"/>
    <w:rsid w:val="003C5D84"/>
    <w:rsid w:val="003E712E"/>
    <w:rsid w:val="003F70BD"/>
    <w:rsid w:val="0040170C"/>
    <w:rsid w:val="00440A17"/>
    <w:rsid w:val="00452B9A"/>
    <w:rsid w:val="004664DE"/>
    <w:rsid w:val="0047745E"/>
    <w:rsid w:val="004810F4"/>
    <w:rsid w:val="004858F6"/>
    <w:rsid w:val="004B5B98"/>
    <w:rsid w:val="004C070F"/>
    <w:rsid w:val="004C78B6"/>
    <w:rsid w:val="004D7A9C"/>
    <w:rsid w:val="004E5B5F"/>
    <w:rsid w:val="004F4630"/>
    <w:rsid w:val="005035ED"/>
    <w:rsid w:val="00505276"/>
    <w:rsid w:val="005129E3"/>
    <w:rsid w:val="0053033D"/>
    <w:rsid w:val="005324A3"/>
    <w:rsid w:val="0054173A"/>
    <w:rsid w:val="005433CA"/>
    <w:rsid w:val="005439CB"/>
    <w:rsid w:val="00555C70"/>
    <w:rsid w:val="00597C50"/>
    <w:rsid w:val="005B5ADD"/>
    <w:rsid w:val="005C0550"/>
    <w:rsid w:val="005D31DC"/>
    <w:rsid w:val="005D58A6"/>
    <w:rsid w:val="005D7039"/>
    <w:rsid w:val="005E4987"/>
    <w:rsid w:val="0060014B"/>
    <w:rsid w:val="00600974"/>
    <w:rsid w:val="006042BC"/>
    <w:rsid w:val="00615369"/>
    <w:rsid w:val="006167F7"/>
    <w:rsid w:val="00620C1E"/>
    <w:rsid w:val="00633EE7"/>
    <w:rsid w:val="00634970"/>
    <w:rsid w:val="00646513"/>
    <w:rsid w:val="00656980"/>
    <w:rsid w:val="00667FA9"/>
    <w:rsid w:val="00670411"/>
    <w:rsid w:val="00690053"/>
    <w:rsid w:val="006A1079"/>
    <w:rsid w:val="006E21FE"/>
    <w:rsid w:val="006E545E"/>
    <w:rsid w:val="006E6000"/>
    <w:rsid w:val="006F2939"/>
    <w:rsid w:val="006F7B83"/>
    <w:rsid w:val="007126C9"/>
    <w:rsid w:val="0071697C"/>
    <w:rsid w:val="007222A1"/>
    <w:rsid w:val="007468AA"/>
    <w:rsid w:val="00750796"/>
    <w:rsid w:val="00752D69"/>
    <w:rsid w:val="00753023"/>
    <w:rsid w:val="00754128"/>
    <w:rsid w:val="007563EC"/>
    <w:rsid w:val="00760E2C"/>
    <w:rsid w:val="007627A8"/>
    <w:rsid w:val="00774544"/>
    <w:rsid w:val="0079243C"/>
    <w:rsid w:val="00794A9E"/>
    <w:rsid w:val="007A4A32"/>
    <w:rsid w:val="007B0E44"/>
    <w:rsid w:val="007D1C63"/>
    <w:rsid w:val="007E6F0C"/>
    <w:rsid w:val="007F5CA1"/>
    <w:rsid w:val="008153B2"/>
    <w:rsid w:val="0081796D"/>
    <w:rsid w:val="00831124"/>
    <w:rsid w:val="0083514C"/>
    <w:rsid w:val="00840B4E"/>
    <w:rsid w:val="00873EF0"/>
    <w:rsid w:val="00897612"/>
    <w:rsid w:val="008A28B9"/>
    <w:rsid w:val="008B08F7"/>
    <w:rsid w:val="008B3F9B"/>
    <w:rsid w:val="008E0DBB"/>
    <w:rsid w:val="008F2357"/>
    <w:rsid w:val="0093510B"/>
    <w:rsid w:val="00961B1B"/>
    <w:rsid w:val="009678EB"/>
    <w:rsid w:val="009941F4"/>
    <w:rsid w:val="009A0BCF"/>
    <w:rsid w:val="009A2789"/>
    <w:rsid w:val="009A5775"/>
    <w:rsid w:val="009A59A8"/>
    <w:rsid w:val="009D1342"/>
    <w:rsid w:val="009E5002"/>
    <w:rsid w:val="009E7F4A"/>
    <w:rsid w:val="00A06770"/>
    <w:rsid w:val="00A1061E"/>
    <w:rsid w:val="00A26DB4"/>
    <w:rsid w:val="00A31DD6"/>
    <w:rsid w:val="00A345CD"/>
    <w:rsid w:val="00A460CB"/>
    <w:rsid w:val="00A502A2"/>
    <w:rsid w:val="00A51C53"/>
    <w:rsid w:val="00A51F02"/>
    <w:rsid w:val="00A5558A"/>
    <w:rsid w:val="00A80113"/>
    <w:rsid w:val="00A8350B"/>
    <w:rsid w:val="00AB5EF4"/>
    <w:rsid w:val="00AB62A3"/>
    <w:rsid w:val="00AB73C2"/>
    <w:rsid w:val="00AD4238"/>
    <w:rsid w:val="00AD53D2"/>
    <w:rsid w:val="00AE16C3"/>
    <w:rsid w:val="00AE4C90"/>
    <w:rsid w:val="00AF6A7F"/>
    <w:rsid w:val="00AF7C9B"/>
    <w:rsid w:val="00B00707"/>
    <w:rsid w:val="00B075B6"/>
    <w:rsid w:val="00B15E6D"/>
    <w:rsid w:val="00B35036"/>
    <w:rsid w:val="00B417A0"/>
    <w:rsid w:val="00B70AE3"/>
    <w:rsid w:val="00B821B8"/>
    <w:rsid w:val="00B95CA5"/>
    <w:rsid w:val="00BA3FE4"/>
    <w:rsid w:val="00BC260C"/>
    <w:rsid w:val="00BC7A91"/>
    <w:rsid w:val="00BE73AC"/>
    <w:rsid w:val="00C03006"/>
    <w:rsid w:val="00C25219"/>
    <w:rsid w:val="00C25C96"/>
    <w:rsid w:val="00C4226B"/>
    <w:rsid w:val="00C43095"/>
    <w:rsid w:val="00C9252A"/>
    <w:rsid w:val="00C9327A"/>
    <w:rsid w:val="00C96FBC"/>
    <w:rsid w:val="00C9717D"/>
    <w:rsid w:val="00CB1F84"/>
    <w:rsid w:val="00CB75B7"/>
    <w:rsid w:val="00CC302A"/>
    <w:rsid w:val="00CD752D"/>
    <w:rsid w:val="00CE09B9"/>
    <w:rsid w:val="00CE3E1A"/>
    <w:rsid w:val="00CE6225"/>
    <w:rsid w:val="00D01CFF"/>
    <w:rsid w:val="00D1559A"/>
    <w:rsid w:val="00D156CD"/>
    <w:rsid w:val="00D16CC5"/>
    <w:rsid w:val="00D17E0D"/>
    <w:rsid w:val="00D248F0"/>
    <w:rsid w:val="00D3069B"/>
    <w:rsid w:val="00D30BA4"/>
    <w:rsid w:val="00D30F4F"/>
    <w:rsid w:val="00D35A5B"/>
    <w:rsid w:val="00D44F6F"/>
    <w:rsid w:val="00D45D05"/>
    <w:rsid w:val="00D6519C"/>
    <w:rsid w:val="00D817DC"/>
    <w:rsid w:val="00D838D7"/>
    <w:rsid w:val="00D86B88"/>
    <w:rsid w:val="00DB6A41"/>
    <w:rsid w:val="00DE16F6"/>
    <w:rsid w:val="00E20E12"/>
    <w:rsid w:val="00E32EEC"/>
    <w:rsid w:val="00E33C15"/>
    <w:rsid w:val="00E54A46"/>
    <w:rsid w:val="00E60829"/>
    <w:rsid w:val="00E704ED"/>
    <w:rsid w:val="00E70F89"/>
    <w:rsid w:val="00EA2DE7"/>
    <w:rsid w:val="00EA36E1"/>
    <w:rsid w:val="00EB4F88"/>
    <w:rsid w:val="00EE084D"/>
    <w:rsid w:val="00EE487C"/>
    <w:rsid w:val="00EE498D"/>
    <w:rsid w:val="00EE79CE"/>
    <w:rsid w:val="00F10A30"/>
    <w:rsid w:val="00F215D8"/>
    <w:rsid w:val="00F43418"/>
    <w:rsid w:val="00F55BB4"/>
    <w:rsid w:val="00F66DED"/>
    <w:rsid w:val="00F7543A"/>
    <w:rsid w:val="00F81249"/>
    <w:rsid w:val="00F8281B"/>
    <w:rsid w:val="00F87E98"/>
    <w:rsid w:val="00F93517"/>
    <w:rsid w:val="00FA45F6"/>
    <w:rsid w:val="00FA7C41"/>
    <w:rsid w:val="00FB0B5C"/>
    <w:rsid w:val="00FB3FF7"/>
    <w:rsid w:val="00FB488C"/>
    <w:rsid w:val="00FC2485"/>
    <w:rsid w:val="00FD03E6"/>
    <w:rsid w:val="00FD0DCA"/>
    <w:rsid w:val="00FE43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6998"/>
  <w15:chartTrackingRefBased/>
  <w15:docId w15:val="{BB82ABE7-0299-43BC-AC73-BCA12D5A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550"/>
    <w:pPr>
      <w:tabs>
        <w:tab w:val="left" w:pos="567"/>
      </w:tabs>
      <w:spacing w:before="120" w:line="254" w:lineRule="auto"/>
    </w:pPr>
    <w:rPr>
      <w:rFonts w:ascii="Open Sans Light" w:hAnsi="Open Sans Light"/>
      <w:sz w:val="20"/>
      <w:szCs w:val="22"/>
    </w:rPr>
  </w:style>
  <w:style w:type="paragraph" w:styleId="Heading1">
    <w:name w:val="heading 1"/>
    <w:basedOn w:val="CGCSubHead"/>
    <w:next w:val="Normal"/>
    <w:link w:val="Heading1Char"/>
    <w:uiPriority w:val="9"/>
    <w:qFormat/>
    <w:rsid w:val="00600974"/>
    <w:pPr>
      <w:spacing w:before="360"/>
      <w:outlineLvl w:val="0"/>
    </w:pPr>
    <w:rPr>
      <w:sz w:val="40"/>
      <w:szCs w:val="40"/>
    </w:rPr>
  </w:style>
  <w:style w:type="paragraph" w:styleId="Heading2">
    <w:name w:val="heading 2"/>
    <w:basedOn w:val="CGCSubHead"/>
    <w:next w:val="Normal"/>
    <w:link w:val="Heading2Char"/>
    <w:uiPriority w:val="9"/>
    <w:unhideWhenUsed/>
    <w:qFormat/>
    <w:rsid w:val="00BE73AC"/>
    <w:pPr>
      <w:spacing w:before="200"/>
      <w:outlineLvl w:val="1"/>
    </w:pPr>
    <w:rPr>
      <w:sz w:val="36"/>
      <w:szCs w:val="36"/>
    </w:rPr>
  </w:style>
  <w:style w:type="paragraph" w:styleId="Heading3">
    <w:name w:val="heading 3"/>
    <w:basedOn w:val="CGCSubHead"/>
    <w:next w:val="Normal"/>
    <w:link w:val="Heading3Char"/>
    <w:uiPriority w:val="9"/>
    <w:unhideWhenUsed/>
    <w:qFormat/>
    <w:rsid w:val="0060097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550"/>
    <w:pPr>
      <w:tabs>
        <w:tab w:val="center" w:pos="4513"/>
        <w:tab w:val="right" w:pos="9026"/>
      </w:tabs>
    </w:pPr>
  </w:style>
  <w:style w:type="character" w:customStyle="1" w:styleId="HeaderChar">
    <w:name w:val="Header Char"/>
    <w:basedOn w:val="DefaultParagraphFont"/>
    <w:link w:val="Header"/>
    <w:uiPriority w:val="99"/>
    <w:rsid w:val="005C0550"/>
  </w:style>
  <w:style w:type="paragraph" w:styleId="Footer">
    <w:name w:val="footer"/>
    <w:basedOn w:val="Normal"/>
    <w:link w:val="FooterChar"/>
    <w:uiPriority w:val="99"/>
    <w:unhideWhenUsed/>
    <w:rsid w:val="005C0550"/>
    <w:pPr>
      <w:tabs>
        <w:tab w:val="center" w:pos="4513"/>
        <w:tab w:val="right" w:pos="9026"/>
      </w:tabs>
    </w:pPr>
  </w:style>
  <w:style w:type="character" w:customStyle="1" w:styleId="FooterChar">
    <w:name w:val="Footer Char"/>
    <w:basedOn w:val="DefaultParagraphFont"/>
    <w:link w:val="Footer"/>
    <w:uiPriority w:val="99"/>
    <w:rsid w:val="005C0550"/>
  </w:style>
  <w:style w:type="paragraph" w:styleId="Caption">
    <w:name w:val="caption"/>
    <w:basedOn w:val="Normal"/>
    <w:next w:val="Normal"/>
    <w:link w:val="CaptionChar"/>
    <w:qFormat/>
    <w:rsid w:val="005035ED"/>
    <w:pPr>
      <w:keepNext/>
      <w:keepLines/>
      <w:tabs>
        <w:tab w:val="clear" w:pos="567"/>
        <w:tab w:val="left" w:pos="1134"/>
        <w:tab w:val="left" w:pos="1418"/>
      </w:tabs>
      <w:spacing w:before="240" w:after="120" w:line="240" w:lineRule="auto"/>
      <w:ind w:left="1134" w:hanging="1134"/>
    </w:pPr>
    <w:rPr>
      <w:rFonts w:ascii="Work Sans" w:hAnsi="Work Sans"/>
      <w:b/>
      <w:bCs/>
      <w:szCs w:val="20"/>
    </w:rPr>
  </w:style>
  <w:style w:type="character" w:customStyle="1" w:styleId="CaptionChar">
    <w:name w:val="Caption Char"/>
    <w:basedOn w:val="DefaultParagraphFont"/>
    <w:link w:val="Caption"/>
    <w:rsid w:val="005035ED"/>
    <w:rPr>
      <w:rFonts w:ascii="Work Sans" w:hAnsi="Work Sans"/>
      <w:b/>
      <w:bCs/>
      <w:sz w:val="20"/>
      <w:szCs w:val="20"/>
    </w:rPr>
  </w:style>
  <w:style w:type="paragraph" w:customStyle="1" w:styleId="CGCTablenote">
    <w:name w:val="CGC Table note"/>
    <w:basedOn w:val="Normal"/>
    <w:next w:val="Normal"/>
    <w:qFormat/>
    <w:rsid w:val="009D1342"/>
    <w:pPr>
      <w:tabs>
        <w:tab w:val="left" w:pos="680"/>
      </w:tabs>
      <w:spacing w:before="40" w:line="240" w:lineRule="auto"/>
      <w:ind w:left="340" w:hanging="227"/>
    </w:pPr>
    <w:rPr>
      <w:rFonts w:ascii="Work Sans" w:hAnsi="Work Sans"/>
      <w:sz w:val="14"/>
      <w:szCs w:val="20"/>
    </w:rPr>
  </w:style>
  <w:style w:type="paragraph" w:styleId="BodyText">
    <w:name w:val="Body Text"/>
    <w:link w:val="BodyTextChar"/>
    <w:qFormat/>
    <w:rsid w:val="005C0550"/>
    <w:pPr>
      <w:spacing w:before="240" w:line="300" w:lineRule="atLeast"/>
      <w:jc w:val="both"/>
    </w:pPr>
    <w:rPr>
      <w:rFonts w:ascii="Open Sans Light" w:eastAsia="Times New Roman" w:hAnsi="Open Sans Light" w:cs="Times New Roman"/>
      <w:szCs w:val="20"/>
      <w:lang w:eastAsia="en-AU"/>
    </w:rPr>
  </w:style>
  <w:style w:type="character" w:customStyle="1" w:styleId="BodyTextChar">
    <w:name w:val="Body Text Char"/>
    <w:basedOn w:val="DefaultParagraphFont"/>
    <w:link w:val="BodyText"/>
    <w:rsid w:val="005C0550"/>
    <w:rPr>
      <w:rFonts w:ascii="Open Sans Light" w:eastAsia="Times New Roman" w:hAnsi="Open Sans Light" w:cs="Times New Roman"/>
      <w:szCs w:val="20"/>
      <w:lang w:eastAsia="en-AU"/>
    </w:rPr>
  </w:style>
  <w:style w:type="character" w:customStyle="1" w:styleId="normaltextrun">
    <w:name w:val="normaltextrun"/>
    <w:basedOn w:val="DefaultParagraphFont"/>
    <w:rsid w:val="005C0550"/>
  </w:style>
  <w:style w:type="paragraph" w:customStyle="1" w:styleId="CGCBodyCopy">
    <w:name w:val="CGC Body Copy"/>
    <w:basedOn w:val="Normal"/>
    <w:autoRedefine/>
    <w:qFormat/>
    <w:rsid w:val="005035ED"/>
    <w:pPr>
      <w:jc w:val="both"/>
    </w:pPr>
    <w:rPr>
      <w:rFonts w:ascii="Work Sans" w:hAnsi="Work Sans" w:cs="Cambria Math"/>
      <w:color w:val="000000"/>
      <w:sz w:val="24"/>
      <w:szCs w:val="21"/>
      <w:shd w:val="clear" w:color="auto" w:fill="FFFFFF"/>
    </w:rPr>
  </w:style>
  <w:style w:type="paragraph" w:customStyle="1" w:styleId="CGCSubHead">
    <w:name w:val="CGC Sub Head"/>
    <w:autoRedefine/>
    <w:qFormat/>
    <w:rsid w:val="004D7A9C"/>
    <w:pPr>
      <w:spacing w:before="240" w:after="200" w:line="276" w:lineRule="auto"/>
    </w:pPr>
    <w:rPr>
      <w:rFonts w:ascii="Work Sans" w:eastAsiaTheme="majorEastAsia" w:hAnsi="Work Sans" w:cs="Open Sans"/>
      <w:b/>
      <w:bCs/>
      <w:color w:val="008069" w:themeColor="accent5"/>
      <w:sz w:val="28"/>
      <w:szCs w:val="28"/>
    </w:rPr>
  </w:style>
  <w:style w:type="character" w:styleId="Hyperlink">
    <w:name w:val="Hyperlink"/>
    <w:basedOn w:val="DefaultParagraphFont"/>
    <w:uiPriority w:val="99"/>
    <w:unhideWhenUsed/>
    <w:qFormat/>
    <w:rsid w:val="008B3F9B"/>
    <w:rPr>
      <w:color w:val="006991" w:themeColor="hyperlink"/>
      <w:u w:val="single"/>
    </w:rPr>
  </w:style>
  <w:style w:type="character" w:styleId="UnresolvedMention">
    <w:name w:val="Unresolved Mention"/>
    <w:basedOn w:val="DefaultParagraphFont"/>
    <w:uiPriority w:val="99"/>
    <w:semiHidden/>
    <w:unhideWhenUsed/>
    <w:rsid w:val="008B3F9B"/>
    <w:rPr>
      <w:color w:val="605E5C"/>
      <w:shd w:val="clear" w:color="auto" w:fill="E1DFDD"/>
    </w:rPr>
  </w:style>
  <w:style w:type="character" w:styleId="PageNumber">
    <w:name w:val="page number"/>
    <w:basedOn w:val="DefaultParagraphFont"/>
    <w:uiPriority w:val="99"/>
    <w:semiHidden/>
    <w:unhideWhenUsed/>
    <w:rsid w:val="008B3F9B"/>
  </w:style>
  <w:style w:type="character" w:customStyle="1" w:styleId="Heading1Char">
    <w:name w:val="Heading 1 Char"/>
    <w:basedOn w:val="DefaultParagraphFont"/>
    <w:link w:val="Heading1"/>
    <w:uiPriority w:val="9"/>
    <w:rsid w:val="00600974"/>
    <w:rPr>
      <w:rFonts w:ascii="Work Sans" w:eastAsiaTheme="majorEastAsia" w:hAnsi="Work Sans" w:cs="Open Sans"/>
      <w:b/>
      <w:bCs/>
      <w:color w:val="008069" w:themeColor="accent5"/>
      <w:sz w:val="40"/>
      <w:szCs w:val="40"/>
    </w:rPr>
  </w:style>
  <w:style w:type="character" w:customStyle="1" w:styleId="Heading2Char">
    <w:name w:val="Heading 2 Char"/>
    <w:basedOn w:val="DefaultParagraphFont"/>
    <w:link w:val="Heading2"/>
    <w:uiPriority w:val="9"/>
    <w:rsid w:val="00BE73AC"/>
    <w:rPr>
      <w:rFonts w:ascii="Work Sans" w:eastAsiaTheme="majorEastAsia" w:hAnsi="Work Sans" w:cs="Open Sans"/>
      <w:b/>
      <w:bCs/>
      <w:color w:val="008069" w:themeColor="accent5"/>
      <w:sz w:val="36"/>
      <w:szCs w:val="36"/>
    </w:rPr>
  </w:style>
  <w:style w:type="character" w:customStyle="1" w:styleId="Heading3Char">
    <w:name w:val="Heading 3 Char"/>
    <w:basedOn w:val="DefaultParagraphFont"/>
    <w:link w:val="Heading3"/>
    <w:uiPriority w:val="9"/>
    <w:rsid w:val="00600974"/>
    <w:rPr>
      <w:rFonts w:ascii="Work Sans" w:eastAsiaTheme="majorEastAsia" w:hAnsi="Work Sans" w:cs="Open Sans"/>
      <w:b/>
      <w:bCs/>
      <w:color w:val="008069" w:themeColor="accent5"/>
      <w:sz w:val="28"/>
      <w:szCs w:val="28"/>
    </w:rPr>
  </w:style>
  <w:style w:type="character" w:styleId="FootnoteReference">
    <w:name w:val="footnote reference"/>
    <w:basedOn w:val="DefaultParagraphFont"/>
    <w:uiPriority w:val="99"/>
    <w:qFormat/>
    <w:rsid w:val="00AE4C90"/>
    <w:rPr>
      <w:vertAlign w:val="superscript"/>
    </w:rPr>
  </w:style>
  <w:style w:type="paragraph" w:styleId="FootnoteText">
    <w:name w:val="footnote text"/>
    <w:basedOn w:val="Normal"/>
    <w:link w:val="FootnoteTextChar"/>
    <w:qFormat/>
    <w:rsid w:val="003548B9"/>
    <w:pPr>
      <w:spacing w:before="40" w:line="240" w:lineRule="auto"/>
      <w:ind w:left="113" w:hanging="113"/>
    </w:pPr>
    <w:rPr>
      <w:rFonts w:ascii="Work Sans" w:hAnsi="Work Sans"/>
      <w:sz w:val="14"/>
      <w:szCs w:val="20"/>
    </w:rPr>
  </w:style>
  <w:style w:type="character" w:customStyle="1" w:styleId="FootnoteTextChar">
    <w:name w:val="Footnote Text Char"/>
    <w:basedOn w:val="DefaultParagraphFont"/>
    <w:link w:val="FootnoteText"/>
    <w:rsid w:val="003548B9"/>
    <w:rPr>
      <w:rFonts w:ascii="Work Sans" w:hAnsi="Work Sans"/>
      <w:sz w:val="14"/>
      <w:szCs w:val="20"/>
    </w:rPr>
  </w:style>
  <w:style w:type="paragraph" w:customStyle="1" w:styleId="CGCBullet1">
    <w:name w:val="CGC Bullet 1"/>
    <w:basedOn w:val="Normal"/>
    <w:qFormat/>
    <w:rsid w:val="00F55BB4"/>
    <w:pPr>
      <w:numPr>
        <w:numId w:val="4"/>
      </w:numPr>
    </w:pPr>
  </w:style>
  <w:style w:type="character" w:styleId="CommentReference">
    <w:name w:val="annotation reference"/>
    <w:basedOn w:val="DefaultParagraphFont"/>
    <w:uiPriority w:val="99"/>
    <w:semiHidden/>
    <w:unhideWhenUsed/>
    <w:rsid w:val="00FA7C41"/>
    <w:rPr>
      <w:sz w:val="16"/>
      <w:szCs w:val="16"/>
    </w:rPr>
  </w:style>
  <w:style w:type="paragraph" w:styleId="CommentText">
    <w:name w:val="annotation text"/>
    <w:basedOn w:val="Normal"/>
    <w:link w:val="CommentTextChar"/>
    <w:uiPriority w:val="99"/>
    <w:semiHidden/>
    <w:unhideWhenUsed/>
    <w:rsid w:val="00FA7C41"/>
    <w:pPr>
      <w:spacing w:line="240" w:lineRule="auto"/>
    </w:pPr>
    <w:rPr>
      <w:szCs w:val="20"/>
    </w:rPr>
  </w:style>
  <w:style w:type="character" w:customStyle="1" w:styleId="CommentTextChar">
    <w:name w:val="Comment Text Char"/>
    <w:basedOn w:val="DefaultParagraphFont"/>
    <w:link w:val="CommentText"/>
    <w:uiPriority w:val="99"/>
    <w:semiHidden/>
    <w:rsid w:val="00FA7C41"/>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FA7C41"/>
    <w:rPr>
      <w:b/>
      <w:bCs/>
    </w:rPr>
  </w:style>
  <w:style w:type="character" w:customStyle="1" w:styleId="CommentSubjectChar">
    <w:name w:val="Comment Subject Char"/>
    <w:basedOn w:val="CommentTextChar"/>
    <w:link w:val="CommentSubject"/>
    <w:uiPriority w:val="99"/>
    <w:semiHidden/>
    <w:rsid w:val="00FA7C41"/>
    <w:rPr>
      <w:rFonts w:ascii="Open Sans Light" w:hAnsi="Open Sans Light"/>
      <w:b/>
      <w:bCs/>
      <w:sz w:val="20"/>
      <w:szCs w:val="20"/>
    </w:rPr>
  </w:style>
  <w:style w:type="paragraph" w:styleId="NormalWeb">
    <w:name w:val="Normal (Web)"/>
    <w:basedOn w:val="Normal"/>
    <w:uiPriority w:val="99"/>
    <w:unhideWhenUsed/>
    <w:rsid w:val="00690053"/>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37949">
      <w:bodyDiv w:val="1"/>
      <w:marLeft w:val="0"/>
      <w:marRight w:val="0"/>
      <w:marTop w:val="0"/>
      <w:marBottom w:val="0"/>
      <w:divBdr>
        <w:top w:val="none" w:sz="0" w:space="0" w:color="auto"/>
        <w:left w:val="none" w:sz="0" w:space="0" w:color="auto"/>
        <w:bottom w:val="none" w:sz="0" w:space="0" w:color="auto"/>
        <w:right w:val="none" w:sz="0" w:space="0" w:color="auto"/>
      </w:divBdr>
    </w:div>
    <w:div w:id="940989270">
      <w:bodyDiv w:val="1"/>
      <w:marLeft w:val="0"/>
      <w:marRight w:val="0"/>
      <w:marTop w:val="0"/>
      <w:marBottom w:val="0"/>
      <w:divBdr>
        <w:top w:val="none" w:sz="0" w:space="0" w:color="auto"/>
        <w:left w:val="none" w:sz="0" w:space="0" w:color="auto"/>
        <w:bottom w:val="none" w:sz="0" w:space="0" w:color="auto"/>
        <w:right w:val="none" w:sz="0" w:space="0" w:color="auto"/>
      </w:divBdr>
    </w:div>
    <w:div w:id="176229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g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72806086341119"/>
          <c:y val="0.11519274376417234"/>
          <c:w val="0.78852563508825024"/>
          <c:h val="0.8077060657596371"/>
        </c:manualLayout>
      </c:layout>
      <c:barChart>
        <c:barDir val="col"/>
        <c:grouping val="stacked"/>
        <c:varyColors val="0"/>
        <c:ser>
          <c:idx val="0"/>
          <c:order val="0"/>
          <c:tx>
            <c:strRef>
              <c:f>'Method - rfc'!$AE$128</c:f>
              <c:strCache>
                <c:ptCount val="1"/>
                <c:pt idx="0">
                  <c:v>Expenditure (a)</c:v>
                </c:pt>
              </c:strCache>
            </c:strRef>
          </c:tx>
          <c:spPr>
            <a:solidFill>
              <a:srgbClr val="008069"/>
            </a:solidFill>
            <a:ln>
              <a:noFill/>
            </a:ln>
          </c:spPr>
          <c:invertIfNegative val="0"/>
          <c:cat>
            <c:strRef>
              <c:f>'Method - rfc'!$AD$129:$AD$155</c:f>
              <c:strCache>
                <c:ptCount val="25"/>
                <c:pt idx="0">
                  <c:v>NSW</c:v>
                </c:pt>
                <c:pt idx="3">
                  <c:v>Vic</c:v>
                </c:pt>
                <c:pt idx="6">
                  <c:v>Qld</c:v>
                </c:pt>
                <c:pt idx="9">
                  <c:v>WA</c:v>
                </c:pt>
                <c:pt idx="12">
                  <c:v>SA</c:v>
                </c:pt>
                <c:pt idx="15">
                  <c:v>Tas</c:v>
                </c:pt>
                <c:pt idx="18">
                  <c:v>ACT</c:v>
                </c:pt>
                <c:pt idx="21">
                  <c:v>NT</c:v>
                </c:pt>
                <c:pt idx="24">
                  <c:v>Total</c:v>
                </c:pt>
              </c:strCache>
            </c:strRef>
          </c:cat>
          <c:val>
            <c:numRef>
              <c:f>'Method - rfc'!$AE$129:$AE$155</c:f>
              <c:numCache>
                <c:formatCode>#,##0</c:formatCode>
                <c:ptCount val="27"/>
                <c:pt idx="0">
                  <c:v>10708.101027261282</c:v>
                </c:pt>
                <c:pt idx="1">
                  <c:v>0</c:v>
                </c:pt>
                <c:pt idx="2">
                  <c:v>0</c:v>
                </c:pt>
                <c:pt idx="3">
                  <c:v>10137.230659982673</c:v>
                </c:pt>
                <c:pt idx="4">
                  <c:v>0</c:v>
                </c:pt>
                <c:pt idx="5">
                  <c:v>0</c:v>
                </c:pt>
                <c:pt idx="6">
                  <c:v>11116.011778882865</c:v>
                </c:pt>
                <c:pt idx="7">
                  <c:v>0</c:v>
                </c:pt>
                <c:pt idx="8">
                  <c:v>0</c:v>
                </c:pt>
                <c:pt idx="9">
                  <c:v>11458.522173247875</c:v>
                </c:pt>
                <c:pt idx="10">
                  <c:v>0</c:v>
                </c:pt>
                <c:pt idx="11">
                  <c:v>0</c:v>
                </c:pt>
                <c:pt idx="12">
                  <c:v>10703.314176892574</c:v>
                </c:pt>
                <c:pt idx="13">
                  <c:v>0</c:v>
                </c:pt>
                <c:pt idx="14">
                  <c:v>0</c:v>
                </c:pt>
                <c:pt idx="15">
                  <c:v>12139.085987713426</c:v>
                </c:pt>
                <c:pt idx="16">
                  <c:v>0</c:v>
                </c:pt>
                <c:pt idx="17">
                  <c:v>0</c:v>
                </c:pt>
                <c:pt idx="18">
                  <c:v>10069.724348549724</c:v>
                </c:pt>
                <c:pt idx="19">
                  <c:v>0</c:v>
                </c:pt>
                <c:pt idx="20">
                  <c:v>0</c:v>
                </c:pt>
                <c:pt idx="21">
                  <c:v>22361.503855509443</c:v>
                </c:pt>
                <c:pt idx="22">
                  <c:v>0</c:v>
                </c:pt>
                <c:pt idx="23">
                  <c:v>0</c:v>
                </c:pt>
                <c:pt idx="24">
                  <c:v>10852.708607308779</c:v>
                </c:pt>
                <c:pt idx="25">
                  <c:v>0</c:v>
                </c:pt>
                <c:pt idx="26">
                  <c:v>0</c:v>
                </c:pt>
              </c:numCache>
            </c:numRef>
          </c:val>
          <c:extLst>
            <c:ext xmlns:c16="http://schemas.microsoft.com/office/drawing/2014/chart" uri="{C3380CC4-5D6E-409C-BE32-E72D297353CC}">
              <c16:uniqueId val="{00000000-3965-49BF-9F2F-D933027EFA2C}"/>
            </c:ext>
          </c:extLst>
        </c:ser>
        <c:ser>
          <c:idx val="1"/>
          <c:order val="1"/>
          <c:tx>
            <c:strRef>
              <c:f>'Method - rfc'!$AF$128</c:f>
              <c:strCache>
                <c:ptCount val="1"/>
                <c:pt idx="0">
                  <c:v>Own source revenue</c:v>
                </c:pt>
              </c:strCache>
            </c:strRef>
          </c:tx>
          <c:spPr>
            <a:solidFill>
              <a:srgbClr val="339A87"/>
            </a:solidFill>
            <a:ln>
              <a:noFill/>
            </a:ln>
          </c:spPr>
          <c:invertIfNegative val="0"/>
          <c:cat>
            <c:strRef>
              <c:f>'Method - rfc'!$AD$129:$AD$155</c:f>
              <c:strCache>
                <c:ptCount val="25"/>
                <c:pt idx="0">
                  <c:v>NSW</c:v>
                </c:pt>
                <c:pt idx="3">
                  <c:v>Vic</c:v>
                </c:pt>
                <c:pt idx="6">
                  <c:v>Qld</c:v>
                </c:pt>
                <c:pt idx="9">
                  <c:v>WA</c:v>
                </c:pt>
                <c:pt idx="12">
                  <c:v>SA</c:v>
                </c:pt>
                <c:pt idx="15">
                  <c:v>Tas</c:v>
                </c:pt>
                <c:pt idx="18">
                  <c:v>ACT</c:v>
                </c:pt>
                <c:pt idx="21">
                  <c:v>NT</c:v>
                </c:pt>
                <c:pt idx="24">
                  <c:v>Total</c:v>
                </c:pt>
              </c:strCache>
            </c:strRef>
          </c:cat>
          <c:val>
            <c:numRef>
              <c:f>'Method - rfc'!$AF$129:$AF$155</c:f>
              <c:numCache>
                <c:formatCode>#,##0</c:formatCode>
                <c:ptCount val="27"/>
                <c:pt idx="0">
                  <c:v>0</c:v>
                </c:pt>
                <c:pt idx="1">
                  <c:v>5419.4517322983556</c:v>
                </c:pt>
                <c:pt idx="2">
                  <c:v>0</c:v>
                </c:pt>
                <c:pt idx="3">
                  <c:v>0</c:v>
                </c:pt>
                <c:pt idx="4">
                  <c:v>5007.2110524502559</c:v>
                </c:pt>
                <c:pt idx="5">
                  <c:v>0</c:v>
                </c:pt>
                <c:pt idx="6">
                  <c:v>0</c:v>
                </c:pt>
                <c:pt idx="7">
                  <c:v>5292.6256284805768</c:v>
                </c:pt>
                <c:pt idx="8">
                  <c:v>0</c:v>
                </c:pt>
                <c:pt idx="9">
                  <c:v>0</c:v>
                </c:pt>
                <c:pt idx="10">
                  <c:v>7759.1879222548996</c:v>
                </c:pt>
                <c:pt idx="11">
                  <c:v>0</c:v>
                </c:pt>
                <c:pt idx="12">
                  <c:v>0</c:v>
                </c:pt>
                <c:pt idx="13">
                  <c:v>4251.0497541023342</c:v>
                </c:pt>
                <c:pt idx="14">
                  <c:v>0</c:v>
                </c:pt>
                <c:pt idx="15">
                  <c:v>0</c:v>
                </c:pt>
                <c:pt idx="16">
                  <c:v>4017.8416110073426</c:v>
                </c:pt>
                <c:pt idx="17">
                  <c:v>0</c:v>
                </c:pt>
                <c:pt idx="18">
                  <c:v>0</c:v>
                </c:pt>
                <c:pt idx="19">
                  <c:v>4365.9844552798231</c:v>
                </c:pt>
                <c:pt idx="20">
                  <c:v>0</c:v>
                </c:pt>
                <c:pt idx="21">
                  <c:v>0</c:v>
                </c:pt>
                <c:pt idx="22">
                  <c:v>5420.0625374827814</c:v>
                </c:pt>
                <c:pt idx="23">
                  <c:v>0</c:v>
                </c:pt>
                <c:pt idx="24">
                  <c:v>0</c:v>
                </c:pt>
                <c:pt idx="25">
                  <c:v>5401.4664885715756</c:v>
                </c:pt>
                <c:pt idx="26">
                  <c:v>0</c:v>
                </c:pt>
              </c:numCache>
            </c:numRef>
          </c:val>
          <c:extLst>
            <c:ext xmlns:c16="http://schemas.microsoft.com/office/drawing/2014/chart" uri="{C3380CC4-5D6E-409C-BE32-E72D297353CC}">
              <c16:uniqueId val="{00000001-3965-49BF-9F2F-D933027EFA2C}"/>
            </c:ext>
          </c:extLst>
        </c:ser>
        <c:ser>
          <c:idx val="2"/>
          <c:order val="2"/>
          <c:tx>
            <c:strRef>
              <c:f>'Method - rfc'!$AG$128</c:f>
              <c:strCache>
                <c:ptCount val="1"/>
                <c:pt idx="0">
                  <c:v>Net borrowing</c:v>
                </c:pt>
              </c:strCache>
            </c:strRef>
          </c:tx>
          <c:spPr>
            <a:solidFill>
              <a:srgbClr val="00CE87"/>
            </a:solidFill>
            <a:ln>
              <a:noFill/>
            </a:ln>
          </c:spPr>
          <c:invertIfNegative val="0"/>
          <c:cat>
            <c:strRef>
              <c:f>'Method - rfc'!$AD$129:$AD$155</c:f>
              <c:strCache>
                <c:ptCount val="25"/>
                <c:pt idx="0">
                  <c:v>NSW</c:v>
                </c:pt>
                <c:pt idx="3">
                  <c:v>Vic</c:v>
                </c:pt>
                <c:pt idx="6">
                  <c:v>Qld</c:v>
                </c:pt>
                <c:pt idx="9">
                  <c:v>WA</c:v>
                </c:pt>
                <c:pt idx="12">
                  <c:v>SA</c:v>
                </c:pt>
                <c:pt idx="15">
                  <c:v>Tas</c:v>
                </c:pt>
                <c:pt idx="18">
                  <c:v>ACT</c:v>
                </c:pt>
                <c:pt idx="21">
                  <c:v>NT</c:v>
                </c:pt>
                <c:pt idx="24">
                  <c:v>Total</c:v>
                </c:pt>
              </c:strCache>
            </c:strRef>
          </c:cat>
          <c:val>
            <c:numRef>
              <c:f>'Method - rfc'!$AG$129:$AG$155</c:f>
              <c:numCache>
                <c:formatCode>#,##0</c:formatCode>
                <c:ptCount val="27"/>
                <c:pt idx="0">
                  <c:v>0</c:v>
                </c:pt>
                <c:pt idx="1">
                  <c:v>1083.1770204747879</c:v>
                </c:pt>
                <c:pt idx="2">
                  <c:v>0</c:v>
                </c:pt>
                <c:pt idx="3">
                  <c:v>0</c:v>
                </c:pt>
                <c:pt idx="4">
                  <c:v>1133.4302790396086</c:v>
                </c:pt>
                <c:pt idx="5">
                  <c:v>0</c:v>
                </c:pt>
                <c:pt idx="6">
                  <c:v>0</c:v>
                </c:pt>
                <c:pt idx="7">
                  <c:v>1106.7244242839445</c:v>
                </c:pt>
                <c:pt idx="8">
                  <c:v>0</c:v>
                </c:pt>
                <c:pt idx="9">
                  <c:v>0</c:v>
                </c:pt>
                <c:pt idx="10">
                  <c:v>1074.0323573864857</c:v>
                </c:pt>
                <c:pt idx="11">
                  <c:v>0</c:v>
                </c:pt>
                <c:pt idx="12">
                  <c:v>0</c:v>
                </c:pt>
                <c:pt idx="13">
                  <c:v>1054.1350493960965</c:v>
                </c:pt>
                <c:pt idx="14">
                  <c:v>0</c:v>
                </c:pt>
                <c:pt idx="15">
                  <c:v>0</c:v>
                </c:pt>
                <c:pt idx="16">
                  <c:v>1073.3246178195207</c:v>
                </c:pt>
                <c:pt idx="17">
                  <c:v>0</c:v>
                </c:pt>
                <c:pt idx="18">
                  <c:v>0</c:v>
                </c:pt>
                <c:pt idx="19">
                  <c:v>1091.5099667149436</c:v>
                </c:pt>
                <c:pt idx="20">
                  <c:v>0</c:v>
                </c:pt>
                <c:pt idx="21">
                  <c:v>0</c:v>
                </c:pt>
                <c:pt idx="22">
                  <c:v>978.87587243177438</c:v>
                </c:pt>
                <c:pt idx="23">
                  <c:v>0</c:v>
                </c:pt>
                <c:pt idx="24">
                  <c:v>0</c:v>
                </c:pt>
                <c:pt idx="25">
                  <c:v>1096.9211684714178</c:v>
                </c:pt>
                <c:pt idx="26">
                  <c:v>0</c:v>
                </c:pt>
              </c:numCache>
            </c:numRef>
          </c:val>
          <c:extLst>
            <c:ext xmlns:c16="http://schemas.microsoft.com/office/drawing/2014/chart" uri="{C3380CC4-5D6E-409C-BE32-E72D297353CC}">
              <c16:uniqueId val="{00000002-3965-49BF-9F2F-D933027EFA2C}"/>
            </c:ext>
          </c:extLst>
        </c:ser>
        <c:ser>
          <c:idx val="3"/>
          <c:order val="3"/>
          <c:tx>
            <c:strRef>
              <c:f>'Method - rfc'!$AH$128</c:f>
              <c:strCache>
                <c:ptCount val="1"/>
                <c:pt idx="0">
                  <c:v>Commonwealth payments</c:v>
                </c:pt>
              </c:strCache>
            </c:strRef>
          </c:tx>
          <c:spPr>
            <a:solidFill>
              <a:srgbClr val="94EA9E"/>
            </a:solidFill>
            <a:ln>
              <a:noFill/>
            </a:ln>
          </c:spPr>
          <c:invertIfNegative val="0"/>
          <c:cat>
            <c:strRef>
              <c:f>'Method - rfc'!$AD$129:$AD$155</c:f>
              <c:strCache>
                <c:ptCount val="25"/>
                <c:pt idx="0">
                  <c:v>NSW</c:v>
                </c:pt>
                <c:pt idx="3">
                  <c:v>Vic</c:v>
                </c:pt>
                <c:pt idx="6">
                  <c:v>Qld</c:v>
                </c:pt>
                <c:pt idx="9">
                  <c:v>WA</c:v>
                </c:pt>
                <c:pt idx="12">
                  <c:v>SA</c:v>
                </c:pt>
                <c:pt idx="15">
                  <c:v>Tas</c:v>
                </c:pt>
                <c:pt idx="18">
                  <c:v>ACT</c:v>
                </c:pt>
                <c:pt idx="21">
                  <c:v>NT</c:v>
                </c:pt>
                <c:pt idx="24">
                  <c:v>Total</c:v>
                </c:pt>
              </c:strCache>
            </c:strRef>
          </c:cat>
          <c:val>
            <c:numRef>
              <c:f>'Method - rfc'!$AH$129:$AH$155</c:f>
              <c:numCache>
                <c:formatCode>#,##0</c:formatCode>
                <c:ptCount val="27"/>
                <c:pt idx="0">
                  <c:v>0</c:v>
                </c:pt>
                <c:pt idx="1">
                  <c:v>1684.9766512690751</c:v>
                </c:pt>
                <c:pt idx="2">
                  <c:v>0</c:v>
                </c:pt>
                <c:pt idx="3">
                  <c:v>0</c:v>
                </c:pt>
                <c:pt idx="4">
                  <c:v>1561.7904855791517</c:v>
                </c:pt>
                <c:pt idx="5">
                  <c:v>0</c:v>
                </c:pt>
                <c:pt idx="6">
                  <c:v>0</c:v>
                </c:pt>
                <c:pt idx="7">
                  <c:v>1926.948960691559</c:v>
                </c:pt>
                <c:pt idx="8">
                  <c:v>0</c:v>
                </c:pt>
                <c:pt idx="9">
                  <c:v>0</c:v>
                </c:pt>
                <c:pt idx="10">
                  <c:v>1766.6560729167977</c:v>
                </c:pt>
                <c:pt idx="11">
                  <c:v>0</c:v>
                </c:pt>
                <c:pt idx="12">
                  <c:v>0</c:v>
                </c:pt>
                <c:pt idx="13">
                  <c:v>1855.8095631502404</c:v>
                </c:pt>
                <c:pt idx="14">
                  <c:v>0</c:v>
                </c:pt>
                <c:pt idx="15">
                  <c:v>0</c:v>
                </c:pt>
                <c:pt idx="16">
                  <c:v>1902.4413029906495</c:v>
                </c:pt>
                <c:pt idx="17">
                  <c:v>0</c:v>
                </c:pt>
                <c:pt idx="18">
                  <c:v>0</c:v>
                </c:pt>
                <c:pt idx="19">
                  <c:v>1552.053607157507</c:v>
                </c:pt>
                <c:pt idx="20">
                  <c:v>0</c:v>
                </c:pt>
                <c:pt idx="21">
                  <c:v>0</c:v>
                </c:pt>
                <c:pt idx="22">
                  <c:v>3397.6164980654953</c:v>
                </c:pt>
                <c:pt idx="23">
                  <c:v>0</c:v>
                </c:pt>
                <c:pt idx="24">
                  <c:v>0</c:v>
                </c:pt>
                <c:pt idx="25">
                  <c:v>1741.0497226082864</c:v>
                </c:pt>
                <c:pt idx="26">
                  <c:v>0</c:v>
                </c:pt>
              </c:numCache>
            </c:numRef>
          </c:val>
          <c:extLst>
            <c:ext xmlns:c16="http://schemas.microsoft.com/office/drawing/2014/chart" uri="{C3380CC4-5D6E-409C-BE32-E72D297353CC}">
              <c16:uniqueId val="{00000003-3965-49BF-9F2F-D933027EFA2C}"/>
            </c:ext>
          </c:extLst>
        </c:ser>
        <c:ser>
          <c:idx val="4"/>
          <c:order val="4"/>
          <c:tx>
            <c:strRef>
              <c:f>'Method - rfc'!$AI$128</c:f>
              <c:strCache>
                <c:ptCount val="1"/>
                <c:pt idx="0">
                  <c:v>GST</c:v>
                </c:pt>
              </c:strCache>
            </c:strRef>
          </c:tx>
          <c:spPr>
            <a:solidFill>
              <a:srgbClr val="EDAB16"/>
            </a:solidFill>
            <a:ln>
              <a:noFill/>
            </a:ln>
          </c:spPr>
          <c:invertIfNegative val="0"/>
          <c:cat>
            <c:strRef>
              <c:f>'Method - rfc'!$AD$129:$AD$155</c:f>
              <c:strCache>
                <c:ptCount val="25"/>
                <c:pt idx="0">
                  <c:v>NSW</c:v>
                </c:pt>
                <c:pt idx="3">
                  <c:v>Vic</c:v>
                </c:pt>
                <c:pt idx="6">
                  <c:v>Qld</c:v>
                </c:pt>
                <c:pt idx="9">
                  <c:v>WA</c:v>
                </c:pt>
                <c:pt idx="12">
                  <c:v>SA</c:v>
                </c:pt>
                <c:pt idx="15">
                  <c:v>Tas</c:v>
                </c:pt>
                <c:pt idx="18">
                  <c:v>ACT</c:v>
                </c:pt>
                <c:pt idx="21">
                  <c:v>NT</c:v>
                </c:pt>
                <c:pt idx="24">
                  <c:v>Total</c:v>
                </c:pt>
              </c:strCache>
            </c:strRef>
          </c:cat>
          <c:val>
            <c:numRef>
              <c:f>'Method - rfc'!$AI$129:$AI$155</c:f>
              <c:numCache>
                <c:formatCode>#,##0</c:formatCode>
                <c:ptCount val="27"/>
                <c:pt idx="0">
                  <c:v>0</c:v>
                </c:pt>
                <c:pt idx="1">
                  <c:v>2520.4956232190607</c:v>
                </c:pt>
                <c:pt idx="2">
                  <c:v>0</c:v>
                </c:pt>
                <c:pt idx="3">
                  <c:v>0</c:v>
                </c:pt>
                <c:pt idx="4">
                  <c:v>2434.7988429136535</c:v>
                </c:pt>
                <c:pt idx="5">
                  <c:v>0</c:v>
                </c:pt>
                <c:pt idx="6">
                  <c:v>0</c:v>
                </c:pt>
                <c:pt idx="7">
                  <c:v>2789.7127654267892</c:v>
                </c:pt>
                <c:pt idx="8">
                  <c:v>0</c:v>
                </c:pt>
                <c:pt idx="9">
                  <c:v>0</c:v>
                </c:pt>
                <c:pt idx="10">
                  <c:v>858.64582068969423</c:v>
                </c:pt>
                <c:pt idx="11">
                  <c:v>0</c:v>
                </c:pt>
                <c:pt idx="12">
                  <c:v>0</c:v>
                </c:pt>
                <c:pt idx="13">
                  <c:v>3542.3198102439046</c:v>
                </c:pt>
                <c:pt idx="14">
                  <c:v>0</c:v>
                </c:pt>
                <c:pt idx="15">
                  <c:v>0</c:v>
                </c:pt>
                <c:pt idx="16">
                  <c:v>5145.4784558959145</c:v>
                </c:pt>
                <c:pt idx="17">
                  <c:v>0</c:v>
                </c:pt>
                <c:pt idx="18">
                  <c:v>0</c:v>
                </c:pt>
                <c:pt idx="19">
                  <c:v>3060.1763193974552</c:v>
                </c:pt>
                <c:pt idx="20">
                  <c:v>0</c:v>
                </c:pt>
                <c:pt idx="21">
                  <c:v>0</c:v>
                </c:pt>
                <c:pt idx="22">
                  <c:v>12564.948947529394</c:v>
                </c:pt>
                <c:pt idx="23">
                  <c:v>0</c:v>
                </c:pt>
                <c:pt idx="24">
                  <c:v>0</c:v>
                </c:pt>
                <c:pt idx="25">
                  <c:v>2613.2712276574962</c:v>
                </c:pt>
                <c:pt idx="26">
                  <c:v>0</c:v>
                </c:pt>
              </c:numCache>
            </c:numRef>
          </c:val>
          <c:extLst>
            <c:ext xmlns:c16="http://schemas.microsoft.com/office/drawing/2014/chart" uri="{C3380CC4-5D6E-409C-BE32-E72D297353CC}">
              <c16:uniqueId val="{00000004-3965-49BF-9F2F-D933027EFA2C}"/>
            </c:ext>
          </c:extLst>
        </c:ser>
        <c:dLbls>
          <c:showLegendKey val="0"/>
          <c:showVal val="0"/>
          <c:showCatName val="0"/>
          <c:showSerName val="0"/>
          <c:showPercent val="0"/>
          <c:showBubbleSize val="0"/>
        </c:dLbls>
        <c:gapWidth val="10"/>
        <c:overlap val="100"/>
        <c:axId val="268169216"/>
        <c:axId val="268170752"/>
      </c:barChart>
      <c:catAx>
        <c:axId val="268169216"/>
        <c:scaling>
          <c:orientation val="minMax"/>
        </c:scaling>
        <c:delete val="0"/>
        <c:axPos val="b"/>
        <c:numFmt formatCode="#,##0" sourceLinked="0"/>
        <c:majorTickMark val="out"/>
        <c:minorTickMark val="none"/>
        <c:tickLblPos val="nextTo"/>
        <c:spPr>
          <a:ln>
            <a:noFill/>
          </a:ln>
        </c:spPr>
        <c:txPr>
          <a:bodyPr/>
          <a:lstStyle/>
          <a:p>
            <a:pPr>
              <a:defRPr sz="800">
                <a:latin typeface="Montserrat Ultra Light" panose="00000300000000000000" pitchFamily="50" charset="0"/>
              </a:defRPr>
            </a:pPr>
            <a:endParaRPr lang="en-US"/>
          </a:p>
        </c:txPr>
        <c:crossAx val="268170752"/>
        <c:crosses val="autoZero"/>
        <c:auto val="1"/>
        <c:lblAlgn val="ctr"/>
        <c:lblOffset val="100"/>
        <c:noMultiLvlLbl val="0"/>
      </c:catAx>
      <c:valAx>
        <c:axId val="268170752"/>
        <c:scaling>
          <c:orientation val="minMax"/>
        </c:scaling>
        <c:delete val="0"/>
        <c:axPos val="l"/>
        <c:majorGridlines>
          <c:spPr>
            <a:ln w="6350">
              <a:solidFill>
                <a:schemeClr val="bg1">
                  <a:lumMod val="85000"/>
                </a:schemeClr>
              </a:solidFill>
            </a:ln>
          </c:spPr>
        </c:majorGridlines>
        <c:title>
          <c:tx>
            <c:rich>
              <a:bodyPr rot="-5400000" vert="horz"/>
              <a:lstStyle/>
              <a:p>
                <a:pPr>
                  <a:defRPr sz="800">
                    <a:latin typeface="Montserrat Semi Bold" panose="00000700000000000000" pitchFamily="50" charset="0"/>
                  </a:defRPr>
                </a:pPr>
                <a:r>
                  <a:rPr lang="en-AU"/>
                  <a:t>$ per capita</a:t>
                </a:r>
              </a:p>
            </c:rich>
          </c:tx>
          <c:overlay val="0"/>
        </c:title>
        <c:numFmt formatCode="#,##0" sourceLinked="0"/>
        <c:majorTickMark val="out"/>
        <c:minorTickMark val="none"/>
        <c:tickLblPos val="nextTo"/>
        <c:spPr>
          <a:ln>
            <a:noFill/>
          </a:ln>
        </c:spPr>
        <c:txPr>
          <a:bodyPr/>
          <a:lstStyle/>
          <a:p>
            <a:pPr>
              <a:defRPr sz="800">
                <a:latin typeface="Montserrat Ultra Light" panose="00000300000000000000" pitchFamily="50" charset="0"/>
              </a:defRPr>
            </a:pPr>
            <a:endParaRPr lang="en-US"/>
          </a:p>
        </c:txPr>
        <c:crossAx val="268169216"/>
        <c:crosses val="autoZero"/>
        <c:crossBetween val="between"/>
      </c:valAx>
    </c:plotArea>
    <c:legend>
      <c:legendPos val="t"/>
      <c:layout>
        <c:manualLayout>
          <c:xMode val="edge"/>
          <c:yMode val="edge"/>
          <c:x val="4.9999964647596637E-2"/>
          <c:y val="2.1598639455782314E-2"/>
          <c:w val="0.8999998939427899"/>
          <c:h val="7.4362244897959187E-2"/>
        </c:manualLayout>
      </c:layout>
      <c:overlay val="0"/>
      <c:spPr>
        <a:ln>
          <a:solidFill>
            <a:sysClr val="window" lastClr="FFFFFF">
              <a:lumMod val="85000"/>
            </a:sysClr>
          </a:solidFill>
        </a:ln>
      </c:spPr>
      <c:txPr>
        <a:bodyPr/>
        <a:lstStyle/>
        <a:p>
          <a:pPr>
            <a:defRPr sz="800">
              <a:latin typeface="Montserrat Ultra Light" panose="00000300000000000000" pitchFamily="50" charset="0"/>
            </a:defRPr>
          </a:pPr>
          <a:endParaRPr lang="en-US"/>
        </a:p>
      </c:txPr>
    </c:legend>
    <c:plotVisOnly val="1"/>
    <c:dispBlanksAs val="gap"/>
    <c:showDLblsOverMax val="0"/>
  </c:chart>
  <c:spPr>
    <a:ln>
      <a:solidFill>
        <a:srgbClr val="ADD6EA"/>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72806086341119"/>
          <c:y val="0.11519274376417234"/>
          <c:w val="0.78852563508825024"/>
          <c:h val="0.8077060657596371"/>
        </c:manualLayout>
      </c:layout>
      <c:barChart>
        <c:barDir val="col"/>
        <c:grouping val="stacked"/>
        <c:varyColors val="0"/>
        <c:ser>
          <c:idx val="0"/>
          <c:order val="0"/>
          <c:tx>
            <c:strRef>
              <c:f>Method!$AE$128</c:f>
              <c:strCache>
                <c:ptCount val="1"/>
                <c:pt idx="0">
                  <c:v>Expenditure</c:v>
                </c:pt>
              </c:strCache>
            </c:strRef>
          </c:tx>
          <c:spPr>
            <a:solidFill>
              <a:srgbClr val="008069"/>
            </a:solidFill>
            <a:ln>
              <a:noFill/>
            </a:ln>
          </c:spPr>
          <c:invertIfNegative val="0"/>
          <c:cat>
            <c:strRef>
              <c:f>Method!$AD$129:$AD$155</c:f>
              <c:strCache>
                <c:ptCount val="25"/>
                <c:pt idx="0">
                  <c:v>NSW</c:v>
                </c:pt>
                <c:pt idx="3">
                  <c:v>Vic</c:v>
                </c:pt>
                <c:pt idx="6">
                  <c:v>Qld</c:v>
                </c:pt>
                <c:pt idx="9">
                  <c:v>WA</c:v>
                </c:pt>
                <c:pt idx="12">
                  <c:v>SA</c:v>
                </c:pt>
                <c:pt idx="15">
                  <c:v>Tas</c:v>
                </c:pt>
                <c:pt idx="18">
                  <c:v>ACT</c:v>
                </c:pt>
                <c:pt idx="21">
                  <c:v>NT</c:v>
                </c:pt>
                <c:pt idx="24">
                  <c:v>Total</c:v>
                </c:pt>
              </c:strCache>
            </c:strRef>
          </c:cat>
          <c:val>
            <c:numRef>
              <c:f>Method!$AE$129:$AE$155</c:f>
              <c:numCache>
                <c:formatCode>#,##0</c:formatCode>
                <c:ptCount val="27"/>
                <c:pt idx="0">
                  <c:v>10708.101027261282</c:v>
                </c:pt>
                <c:pt idx="1">
                  <c:v>0</c:v>
                </c:pt>
                <c:pt idx="2">
                  <c:v>0</c:v>
                </c:pt>
                <c:pt idx="3">
                  <c:v>10137.230659982673</c:v>
                </c:pt>
                <c:pt idx="4">
                  <c:v>0</c:v>
                </c:pt>
                <c:pt idx="5">
                  <c:v>0</c:v>
                </c:pt>
                <c:pt idx="6">
                  <c:v>11116.011778882865</c:v>
                </c:pt>
                <c:pt idx="7">
                  <c:v>0</c:v>
                </c:pt>
                <c:pt idx="8">
                  <c:v>0</c:v>
                </c:pt>
                <c:pt idx="9">
                  <c:v>11458.522173247875</c:v>
                </c:pt>
                <c:pt idx="10">
                  <c:v>0</c:v>
                </c:pt>
                <c:pt idx="11">
                  <c:v>0</c:v>
                </c:pt>
                <c:pt idx="12">
                  <c:v>10703.314176892574</c:v>
                </c:pt>
                <c:pt idx="13">
                  <c:v>0</c:v>
                </c:pt>
                <c:pt idx="14">
                  <c:v>0</c:v>
                </c:pt>
                <c:pt idx="15">
                  <c:v>12139.085987713426</c:v>
                </c:pt>
                <c:pt idx="16">
                  <c:v>0</c:v>
                </c:pt>
                <c:pt idx="17">
                  <c:v>0</c:v>
                </c:pt>
                <c:pt idx="18">
                  <c:v>10069.724348549724</c:v>
                </c:pt>
                <c:pt idx="19">
                  <c:v>0</c:v>
                </c:pt>
                <c:pt idx="20">
                  <c:v>0</c:v>
                </c:pt>
                <c:pt idx="21">
                  <c:v>22361.503855509443</c:v>
                </c:pt>
                <c:pt idx="22">
                  <c:v>0</c:v>
                </c:pt>
                <c:pt idx="23">
                  <c:v>0</c:v>
                </c:pt>
                <c:pt idx="24">
                  <c:v>10852.708607308779</c:v>
                </c:pt>
                <c:pt idx="25">
                  <c:v>0</c:v>
                </c:pt>
                <c:pt idx="26">
                  <c:v>0</c:v>
                </c:pt>
              </c:numCache>
            </c:numRef>
          </c:val>
          <c:extLst>
            <c:ext xmlns:c16="http://schemas.microsoft.com/office/drawing/2014/chart" uri="{C3380CC4-5D6E-409C-BE32-E72D297353CC}">
              <c16:uniqueId val="{00000000-8ED4-4C81-8EDF-2FBF4943C8D8}"/>
            </c:ext>
          </c:extLst>
        </c:ser>
        <c:ser>
          <c:idx val="1"/>
          <c:order val="1"/>
          <c:tx>
            <c:strRef>
              <c:f>Method!$AF$128</c:f>
              <c:strCache>
                <c:ptCount val="1"/>
                <c:pt idx="0">
                  <c:v>Own source revenue</c:v>
                </c:pt>
              </c:strCache>
            </c:strRef>
          </c:tx>
          <c:spPr>
            <a:solidFill>
              <a:srgbClr val="339A87"/>
            </a:solidFill>
            <a:ln>
              <a:noFill/>
            </a:ln>
          </c:spPr>
          <c:invertIfNegative val="0"/>
          <c:cat>
            <c:strRef>
              <c:f>Method!$AD$129:$AD$155</c:f>
              <c:strCache>
                <c:ptCount val="25"/>
                <c:pt idx="0">
                  <c:v>NSW</c:v>
                </c:pt>
                <c:pt idx="3">
                  <c:v>Vic</c:v>
                </c:pt>
                <c:pt idx="6">
                  <c:v>Qld</c:v>
                </c:pt>
                <c:pt idx="9">
                  <c:v>WA</c:v>
                </c:pt>
                <c:pt idx="12">
                  <c:v>SA</c:v>
                </c:pt>
                <c:pt idx="15">
                  <c:v>Tas</c:v>
                </c:pt>
                <c:pt idx="18">
                  <c:v>ACT</c:v>
                </c:pt>
                <c:pt idx="21">
                  <c:v>NT</c:v>
                </c:pt>
                <c:pt idx="24">
                  <c:v>Total</c:v>
                </c:pt>
              </c:strCache>
            </c:strRef>
          </c:cat>
          <c:val>
            <c:numRef>
              <c:f>Method!$AF$129:$AF$155</c:f>
              <c:numCache>
                <c:formatCode>#,##0</c:formatCode>
                <c:ptCount val="27"/>
                <c:pt idx="0">
                  <c:v>0</c:v>
                </c:pt>
                <c:pt idx="1">
                  <c:v>5419.4517322983556</c:v>
                </c:pt>
                <c:pt idx="2">
                  <c:v>0</c:v>
                </c:pt>
                <c:pt idx="3">
                  <c:v>0</c:v>
                </c:pt>
                <c:pt idx="4">
                  <c:v>5007.2110524502559</c:v>
                </c:pt>
                <c:pt idx="5">
                  <c:v>0</c:v>
                </c:pt>
                <c:pt idx="6">
                  <c:v>0</c:v>
                </c:pt>
                <c:pt idx="7">
                  <c:v>5292.6256284805768</c:v>
                </c:pt>
                <c:pt idx="8">
                  <c:v>0</c:v>
                </c:pt>
                <c:pt idx="9">
                  <c:v>0</c:v>
                </c:pt>
                <c:pt idx="10">
                  <c:v>7759.1879222548996</c:v>
                </c:pt>
                <c:pt idx="11">
                  <c:v>0</c:v>
                </c:pt>
                <c:pt idx="12">
                  <c:v>0</c:v>
                </c:pt>
                <c:pt idx="13">
                  <c:v>4251.0497541023342</c:v>
                </c:pt>
                <c:pt idx="14">
                  <c:v>0</c:v>
                </c:pt>
                <c:pt idx="15">
                  <c:v>0</c:v>
                </c:pt>
                <c:pt idx="16">
                  <c:v>4017.8416110073426</c:v>
                </c:pt>
                <c:pt idx="17">
                  <c:v>0</c:v>
                </c:pt>
                <c:pt idx="18">
                  <c:v>0</c:v>
                </c:pt>
                <c:pt idx="19">
                  <c:v>4365.9844552798231</c:v>
                </c:pt>
                <c:pt idx="20">
                  <c:v>0</c:v>
                </c:pt>
                <c:pt idx="21">
                  <c:v>0</c:v>
                </c:pt>
                <c:pt idx="22">
                  <c:v>5420.0625374827814</c:v>
                </c:pt>
                <c:pt idx="23">
                  <c:v>0</c:v>
                </c:pt>
                <c:pt idx="24">
                  <c:v>0</c:v>
                </c:pt>
                <c:pt idx="25">
                  <c:v>5401.4664885715756</c:v>
                </c:pt>
                <c:pt idx="26">
                  <c:v>0</c:v>
                </c:pt>
              </c:numCache>
            </c:numRef>
          </c:val>
          <c:extLst>
            <c:ext xmlns:c16="http://schemas.microsoft.com/office/drawing/2014/chart" uri="{C3380CC4-5D6E-409C-BE32-E72D297353CC}">
              <c16:uniqueId val="{00000001-8ED4-4C81-8EDF-2FBF4943C8D8}"/>
            </c:ext>
          </c:extLst>
        </c:ser>
        <c:ser>
          <c:idx val="2"/>
          <c:order val="2"/>
          <c:tx>
            <c:strRef>
              <c:f>Method!$AG$128</c:f>
              <c:strCache>
                <c:ptCount val="1"/>
                <c:pt idx="0">
                  <c:v>Net borrowing</c:v>
                </c:pt>
              </c:strCache>
            </c:strRef>
          </c:tx>
          <c:spPr>
            <a:solidFill>
              <a:srgbClr val="00CE87"/>
            </a:solidFill>
            <a:ln>
              <a:noFill/>
            </a:ln>
          </c:spPr>
          <c:invertIfNegative val="0"/>
          <c:cat>
            <c:strRef>
              <c:f>Method!$AD$129:$AD$155</c:f>
              <c:strCache>
                <c:ptCount val="25"/>
                <c:pt idx="0">
                  <c:v>NSW</c:v>
                </c:pt>
                <c:pt idx="3">
                  <c:v>Vic</c:v>
                </c:pt>
                <c:pt idx="6">
                  <c:v>Qld</c:v>
                </c:pt>
                <c:pt idx="9">
                  <c:v>WA</c:v>
                </c:pt>
                <c:pt idx="12">
                  <c:v>SA</c:v>
                </c:pt>
                <c:pt idx="15">
                  <c:v>Tas</c:v>
                </c:pt>
                <c:pt idx="18">
                  <c:v>ACT</c:v>
                </c:pt>
                <c:pt idx="21">
                  <c:v>NT</c:v>
                </c:pt>
                <c:pt idx="24">
                  <c:v>Total</c:v>
                </c:pt>
              </c:strCache>
            </c:strRef>
          </c:cat>
          <c:val>
            <c:numRef>
              <c:f>Method!$AG$129:$AG$155</c:f>
              <c:numCache>
                <c:formatCode>#,##0</c:formatCode>
                <c:ptCount val="27"/>
                <c:pt idx="0">
                  <c:v>0</c:v>
                </c:pt>
                <c:pt idx="1">
                  <c:v>1083.1770204747879</c:v>
                </c:pt>
                <c:pt idx="2">
                  <c:v>0</c:v>
                </c:pt>
                <c:pt idx="3">
                  <c:v>0</c:v>
                </c:pt>
                <c:pt idx="4">
                  <c:v>1133.4302790396086</c:v>
                </c:pt>
                <c:pt idx="5">
                  <c:v>0</c:v>
                </c:pt>
                <c:pt idx="6">
                  <c:v>0</c:v>
                </c:pt>
                <c:pt idx="7">
                  <c:v>1106.7244242839445</c:v>
                </c:pt>
                <c:pt idx="8">
                  <c:v>0</c:v>
                </c:pt>
                <c:pt idx="9">
                  <c:v>0</c:v>
                </c:pt>
                <c:pt idx="10">
                  <c:v>1074.0323573864857</c:v>
                </c:pt>
                <c:pt idx="11">
                  <c:v>0</c:v>
                </c:pt>
                <c:pt idx="12">
                  <c:v>0</c:v>
                </c:pt>
                <c:pt idx="13">
                  <c:v>1054.1350493960965</c:v>
                </c:pt>
                <c:pt idx="14">
                  <c:v>0</c:v>
                </c:pt>
                <c:pt idx="15">
                  <c:v>0</c:v>
                </c:pt>
                <c:pt idx="16">
                  <c:v>1073.3246178195207</c:v>
                </c:pt>
                <c:pt idx="17">
                  <c:v>0</c:v>
                </c:pt>
                <c:pt idx="18">
                  <c:v>0</c:v>
                </c:pt>
                <c:pt idx="19">
                  <c:v>1091.5099667149436</c:v>
                </c:pt>
                <c:pt idx="20">
                  <c:v>0</c:v>
                </c:pt>
                <c:pt idx="21">
                  <c:v>0</c:v>
                </c:pt>
                <c:pt idx="22">
                  <c:v>978.87587243177438</c:v>
                </c:pt>
                <c:pt idx="23">
                  <c:v>0</c:v>
                </c:pt>
                <c:pt idx="24">
                  <c:v>0</c:v>
                </c:pt>
                <c:pt idx="25">
                  <c:v>1096.9211684714178</c:v>
                </c:pt>
                <c:pt idx="26">
                  <c:v>0</c:v>
                </c:pt>
              </c:numCache>
            </c:numRef>
          </c:val>
          <c:extLst>
            <c:ext xmlns:c16="http://schemas.microsoft.com/office/drawing/2014/chart" uri="{C3380CC4-5D6E-409C-BE32-E72D297353CC}">
              <c16:uniqueId val="{00000002-8ED4-4C81-8EDF-2FBF4943C8D8}"/>
            </c:ext>
          </c:extLst>
        </c:ser>
        <c:ser>
          <c:idx val="3"/>
          <c:order val="3"/>
          <c:tx>
            <c:strRef>
              <c:f>Method!$AH$128</c:f>
              <c:strCache>
                <c:ptCount val="1"/>
                <c:pt idx="0">
                  <c:v>Commonwealth payments</c:v>
                </c:pt>
              </c:strCache>
            </c:strRef>
          </c:tx>
          <c:spPr>
            <a:solidFill>
              <a:srgbClr val="94EA9E"/>
            </a:solidFill>
            <a:ln>
              <a:noFill/>
            </a:ln>
          </c:spPr>
          <c:invertIfNegative val="0"/>
          <c:cat>
            <c:strRef>
              <c:f>Method!$AD$129:$AD$155</c:f>
              <c:strCache>
                <c:ptCount val="25"/>
                <c:pt idx="0">
                  <c:v>NSW</c:v>
                </c:pt>
                <c:pt idx="3">
                  <c:v>Vic</c:v>
                </c:pt>
                <c:pt idx="6">
                  <c:v>Qld</c:v>
                </c:pt>
                <c:pt idx="9">
                  <c:v>WA</c:v>
                </c:pt>
                <c:pt idx="12">
                  <c:v>SA</c:v>
                </c:pt>
                <c:pt idx="15">
                  <c:v>Tas</c:v>
                </c:pt>
                <c:pt idx="18">
                  <c:v>ACT</c:v>
                </c:pt>
                <c:pt idx="21">
                  <c:v>NT</c:v>
                </c:pt>
                <c:pt idx="24">
                  <c:v>Total</c:v>
                </c:pt>
              </c:strCache>
            </c:strRef>
          </c:cat>
          <c:val>
            <c:numRef>
              <c:f>Method!$AH$129:$AH$155</c:f>
              <c:numCache>
                <c:formatCode>#,##0</c:formatCode>
                <c:ptCount val="27"/>
                <c:pt idx="0">
                  <c:v>0</c:v>
                </c:pt>
                <c:pt idx="1">
                  <c:v>1684.9766512690751</c:v>
                </c:pt>
                <c:pt idx="2">
                  <c:v>0</c:v>
                </c:pt>
                <c:pt idx="3">
                  <c:v>0</c:v>
                </c:pt>
                <c:pt idx="4">
                  <c:v>1561.7904855791517</c:v>
                </c:pt>
                <c:pt idx="5">
                  <c:v>0</c:v>
                </c:pt>
                <c:pt idx="6">
                  <c:v>0</c:v>
                </c:pt>
                <c:pt idx="7">
                  <c:v>1926.948960691559</c:v>
                </c:pt>
                <c:pt idx="8">
                  <c:v>0</c:v>
                </c:pt>
                <c:pt idx="9">
                  <c:v>0</c:v>
                </c:pt>
                <c:pt idx="10">
                  <c:v>1766.6560729167977</c:v>
                </c:pt>
                <c:pt idx="11">
                  <c:v>0</c:v>
                </c:pt>
                <c:pt idx="12">
                  <c:v>0</c:v>
                </c:pt>
                <c:pt idx="13">
                  <c:v>1855.8095631502404</c:v>
                </c:pt>
                <c:pt idx="14">
                  <c:v>0</c:v>
                </c:pt>
                <c:pt idx="15">
                  <c:v>0</c:v>
                </c:pt>
                <c:pt idx="16">
                  <c:v>1902.4413029906495</c:v>
                </c:pt>
                <c:pt idx="17">
                  <c:v>0</c:v>
                </c:pt>
                <c:pt idx="18">
                  <c:v>0</c:v>
                </c:pt>
                <c:pt idx="19">
                  <c:v>1552.053607157507</c:v>
                </c:pt>
                <c:pt idx="20">
                  <c:v>0</c:v>
                </c:pt>
                <c:pt idx="21">
                  <c:v>0</c:v>
                </c:pt>
                <c:pt idx="22">
                  <c:v>3397.6164980654953</c:v>
                </c:pt>
                <c:pt idx="23">
                  <c:v>0</c:v>
                </c:pt>
                <c:pt idx="24">
                  <c:v>0</c:v>
                </c:pt>
                <c:pt idx="25">
                  <c:v>1741.0497226082864</c:v>
                </c:pt>
                <c:pt idx="26">
                  <c:v>0</c:v>
                </c:pt>
              </c:numCache>
            </c:numRef>
          </c:val>
          <c:extLst>
            <c:ext xmlns:c16="http://schemas.microsoft.com/office/drawing/2014/chart" uri="{C3380CC4-5D6E-409C-BE32-E72D297353CC}">
              <c16:uniqueId val="{00000003-8ED4-4C81-8EDF-2FBF4943C8D8}"/>
            </c:ext>
          </c:extLst>
        </c:ser>
        <c:ser>
          <c:idx val="4"/>
          <c:order val="4"/>
          <c:tx>
            <c:strRef>
              <c:f>Method!$AI$128</c:f>
              <c:strCache>
                <c:ptCount val="1"/>
                <c:pt idx="0">
                  <c:v>GST</c:v>
                </c:pt>
              </c:strCache>
            </c:strRef>
          </c:tx>
          <c:spPr>
            <a:solidFill>
              <a:srgbClr val="EDAB16"/>
            </a:solidFill>
            <a:ln>
              <a:noFill/>
            </a:ln>
          </c:spPr>
          <c:invertIfNegative val="0"/>
          <c:cat>
            <c:strRef>
              <c:f>Method!$AD$129:$AD$155</c:f>
              <c:strCache>
                <c:ptCount val="25"/>
                <c:pt idx="0">
                  <c:v>NSW</c:v>
                </c:pt>
                <c:pt idx="3">
                  <c:v>Vic</c:v>
                </c:pt>
                <c:pt idx="6">
                  <c:v>Qld</c:v>
                </c:pt>
                <c:pt idx="9">
                  <c:v>WA</c:v>
                </c:pt>
                <c:pt idx="12">
                  <c:v>SA</c:v>
                </c:pt>
                <c:pt idx="15">
                  <c:v>Tas</c:v>
                </c:pt>
                <c:pt idx="18">
                  <c:v>ACT</c:v>
                </c:pt>
                <c:pt idx="21">
                  <c:v>NT</c:v>
                </c:pt>
                <c:pt idx="24">
                  <c:v>Total</c:v>
                </c:pt>
              </c:strCache>
            </c:strRef>
          </c:cat>
          <c:val>
            <c:numRef>
              <c:f>Method!$AI$129:$AI$155</c:f>
              <c:numCache>
                <c:formatCode>#,##0</c:formatCode>
                <c:ptCount val="27"/>
                <c:pt idx="0">
                  <c:v>0</c:v>
                </c:pt>
                <c:pt idx="1">
                  <c:v>2498.7332542971953</c:v>
                </c:pt>
                <c:pt idx="2">
                  <c:v>0</c:v>
                </c:pt>
                <c:pt idx="3">
                  <c:v>0</c:v>
                </c:pt>
                <c:pt idx="4">
                  <c:v>2412.9656340978236</c:v>
                </c:pt>
                <c:pt idx="5">
                  <c:v>0</c:v>
                </c:pt>
                <c:pt idx="6">
                  <c:v>0</c:v>
                </c:pt>
                <c:pt idx="7">
                  <c:v>2767.926507092362</c:v>
                </c:pt>
                <c:pt idx="8">
                  <c:v>0</c:v>
                </c:pt>
                <c:pt idx="9">
                  <c:v>0</c:v>
                </c:pt>
                <c:pt idx="10">
                  <c:v>1096.7122842495623</c:v>
                </c:pt>
                <c:pt idx="11">
                  <c:v>0</c:v>
                </c:pt>
                <c:pt idx="12">
                  <c:v>0</c:v>
                </c:pt>
                <c:pt idx="13">
                  <c:v>3520.5752668005052</c:v>
                </c:pt>
                <c:pt idx="14">
                  <c:v>0</c:v>
                </c:pt>
                <c:pt idx="15">
                  <c:v>0</c:v>
                </c:pt>
                <c:pt idx="16">
                  <c:v>5123.7659931841426</c:v>
                </c:pt>
                <c:pt idx="17">
                  <c:v>0</c:v>
                </c:pt>
                <c:pt idx="18">
                  <c:v>0</c:v>
                </c:pt>
                <c:pt idx="19">
                  <c:v>3038.3479982023882</c:v>
                </c:pt>
                <c:pt idx="20">
                  <c:v>0</c:v>
                </c:pt>
                <c:pt idx="21">
                  <c:v>0</c:v>
                </c:pt>
                <c:pt idx="22">
                  <c:v>12543.31845868245</c:v>
                </c:pt>
                <c:pt idx="23">
                  <c:v>0</c:v>
                </c:pt>
                <c:pt idx="24">
                  <c:v>0</c:v>
                </c:pt>
                <c:pt idx="25">
                  <c:v>2613.2712276574962</c:v>
                </c:pt>
                <c:pt idx="26">
                  <c:v>0</c:v>
                </c:pt>
              </c:numCache>
            </c:numRef>
          </c:val>
          <c:extLst>
            <c:ext xmlns:c16="http://schemas.microsoft.com/office/drawing/2014/chart" uri="{C3380CC4-5D6E-409C-BE32-E72D297353CC}">
              <c16:uniqueId val="{00000004-8ED4-4C81-8EDF-2FBF4943C8D8}"/>
            </c:ext>
          </c:extLst>
        </c:ser>
        <c:dLbls>
          <c:showLegendKey val="0"/>
          <c:showVal val="0"/>
          <c:showCatName val="0"/>
          <c:showSerName val="0"/>
          <c:showPercent val="0"/>
          <c:showBubbleSize val="0"/>
        </c:dLbls>
        <c:gapWidth val="10"/>
        <c:overlap val="100"/>
        <c:axId val="268169216"/>
        <c:axId val="268170752"/>
      </c:barChart>
      <c:catAx>
        <c:axId val="268169216"/>
        <c:scaling>
          <c:orientation val="minMax"/>
        </c:scaling>
        <c:delete val="0"/>
        <c:axPos val="b"/>
        <c:numFmt formatCode="#,##0" sourceLinked="0"/>
        <c:majorTickMark val="out"/>
        <c:minorTickMark val="none"/>
        <c:tickLblPos val="nextTo"/>
        <c:spPr>
          <a:ln>
            <a:noFill/>
          </a:ln>
        </c:spPr>
        <c:txPr>
          <a:bodyPr/>
          <a:lstStyle/>
          <a:p>
            <a:pPr>
              <a:defRPr sz="800">
                <a:latin typeface="Montserrat Ultra Light" panose="00000300000000000000" pitchFamily="50" charset="0"/>
              </a:defRPr>
            </a:pPr>
            <a:endParaRPr lang="en-US"/>
          </a:p>
        </c:txPr>
        <c:crossAx val="268170752"/>
        <c:crosses val="autoZero"/>
        <c:auto val="1"/>
        <c:lblAlgn val="ctr"/>
        <c:lblOffset val="100"/>
        <c:noMultiLvlLbl val="0"/>
      </c:catAx>
      <c:valAx>
        <c:axId val="268170752"/>
        <c:scaling>
          <c:orientation val="minMax"/>
        </c:scaling>
        <c:delete val="0"/>
        <c:axPos val="l"/>
        <c:majorGridlines>
          <c:spPr>
            <a:ln w="6350">
              <a:solidFill>
                <a:schemeClr val="bg1">
                  <a:lumMod val="85000"/>
                </a:schemeClr>
              </a:solidFill>
            </a:ln>
          </c:spPr>
        </c:majorGridlines>
        <c:title>
          <c:tx>
            <c:rich>
              <a:bodyPr rot="-5400000" vert="horz"/>
              <a:lstStyle/>
              <a:p>
                <a:pPr>
                  <a:defRPr sz="800">
                    <a:latin typeface="Montserrat Semi Bold" panose="00000700000000000000" pitchFamily="50" charset="0"/>
                  </a:defRPr>
                </a:pPr>
                <a:r>
                  <a:rPr lang="en-AU"/>
                  <a:t>$ per capita</a:t>
                </a:r>
              </a:p>
            </c:rich>
          </c:tx>
          <c:overlay val="0"/>
        </c:title>
        <c:numFmt formatCode="#,##0" sourceLinked="0"/>
        <c:majorTickMark val="out"/>
        <c:minorTickMark val="none"/>
        <c:tickLblPos val="nextTo"/>
        <c:spPr>
          <a:ln>
            <a:noFill/>
          </a:ln>
        </c:spPr>
        <c:txPr>
          <a:bodyPr/>
          <a:lstStyle/>
          <a:p>
            <a:pPr>
              <a:defRPr sz="800">
                <a:latin typeface="Montserrat Ultra Light" panose="00000300000000000000" pitchFamily="50" charset="0"/>
              </a:defRPr>
            </a:pPr>
            <a:endParaRPr lang="en-US"/>
          </a:p>
        </c:txPr>
        <c:crossAx val="268169216"/>
        <c:crosses val="autoZero"/>
        <c:crossBetween val="between"/>
      </c:valAx>
    </c:plotArea>
    <c:legend>
      <c:legendPos val="t"/>
      <c:layout>
        <c:manualLayout>
          <c:xMode val="edge"/>
          <c:yMode val="edge"/>
          <c:x val="4.9999964647596637E-2"/>
          <c:y val="2.1598639455782314E-2"/>
          <c:w val="0.8999998939427899"/>
          <c:h val="7.4362244897959187E-2"/>
        </c:manualLayout>
      </c:layout>
      <c:overlay val="0"/>
      <c:spPr>
        <a:ln>
          <a:solidFill>
            <a:sysClr val="window" lastClr="FFFFFF">
              <a:lumMod val="85000"/>
            </a:sysClr>
          </a:solidFill>
        </a:ln>
      </c:spPr>
      <c:txPr>
        <a:bodyPr/>
        <a:lstStyle/>
        <a:p>
          <a:pPr>
            <a:defRPr sz="800">
              <a:latin typeface="Montserrat Ultra Light" panose="00000300000000000000" pitchFamily="50" charset="0"/>
            </a:defRPr>
          </a:pPr>
          <a:endParaRPr lang="en-US"/>
        </a:p>
      </c:txPr>
    </c:legend>
    <c:plotVisOnly val="1"/>
    <c:dispBlanksAs val="gap"/>
    <c:showDLblsOverMax val="0"/>
  </c:chart>
  <c:spPr>
    <a:ln>
      <a:solidFill>
        <a:srgbClr val="ADD6EA"/>
      </a:solidFill>
    </a:ln>
  </c:spPr>
  <c:externalData r:id="rId2">
    <c:autoUpdate val="0"/>
  </c:externalData>
</c:chartSpace>
</file>

<file path=word/theme/theme1.xml><?xml version="1.0" encoding="utf-8"?>
<a:theme xmlns:a="http://schemas.openxmlformats.org/drawingml/2006/main" name="Office Theme">
  <a:themeElements>
    <a:clrScheme name="CGC Colour Themes">
      <a:dk1>
        <a:srgbClr val="004562"/>
      </a:dk1>
      <a:lt1>
        <a:srgbClr val="FFFFFF"/>
      </a:lt1>
      <a:dk2>
        <a:srgbClr val="004562"/>
      </a:dk2>
      <a:lt2>
        <a:srgbClr val="E7E6E6"/>
      </a:lt2>
      <a:accent1>
        <a:srgbClr val="004563"/>
      </a:accent1>
      <a:accent2>
        <a:srgbClr val="0092C8"/>
      </a:accent2>
      <a:accent3>
        <a:srgbClr val="CC5E12"/>
      </a:accent3>
      <a:accent4>
        <a:srgbClr val="EDAB16"/>
      </a:accent4>
      <a:accent5>
        <a:srgbClr val="008069"/>
      </a:accent5>
      <a:accent6>
        <a:srgbClr val="00CE87"/>
      </a:accent6>
      <a:hlink>
        <a:srgbClr val="006991"/>
      </a:hlink>
      <a:folHlink>
        <a:srgbClr val="93EA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0" ma:contentTypeDescription="Create a new document." ma:contentTypeScope="" ma:versionID="5d39d10a32ccba9c96e4777a503aeead">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77dc74ff3cf2b8b3397f2f35b7aae2c9"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A49F1-E6B0-485E-966F-62C9C5A7B5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229DE4-E501-4708-9A87-95C1CECAC394}">
  <ds:schemaRefs>
    <ds:schemaRef ds:uri="http://schemas.microsoft.com/sharepoint/v3/contenttype/forms"/>
  </ds:schemaRefs>
</ds:datastoreItem>
</file>

<file path=customXml/itemProps3.xml><?xml version="1.0" encoding="utf-8"?>
<ds:datastoreItem xmlns:ds="http://schemas.openxmlformats.org/officeDocument/2006/customXml" ds:itemID="{F975C404-594D-4F18-B9CB-9999E070B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AFEE77-DB88-48B5-976E-1D87DFA7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15</Pages>
  <Words>3406</Words>
  <Characters>19416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Warder</dc:creator>
  <cp:keywords/>
  <dc:description/>
  <cp:lastModifiedBy>Annie Abello</cp:lastModifiedBy>
  <cp:revision>144</cp:revision>
  <cp:lastPrinted>2022-04-22T00:01:00Z</cp:lastPrinted>
  <dcterms:created xsi:type="dcterms:W3CDTF">2021-10-02T03:04:00Z</dcterms:created>
  <dcterms:modified xsi:type="dcterms:W3CDTF">2022-04-22T04:44:00Z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ies>
</file>