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6846" w14:textId="3CC44493" w:rsidR="004C78B6" w:rsidRPr="00D91282" w:rsidRDefault="006E6000" w:rsidP="004C78B6">
      <w:bookmarkStart w:id="0" w:name="Content"/>
      <w:bookmarkEnd w:id="0"/>
      <w:r w:rsidRPr="00D91282">
        <w:rPr>
          <w:noProof/>
        </w:rPr>
        <w:drawing>
          <wp:anchor distT="0" distB="0" distL="114300" distR="114300" simplePos="0" relativeHeight="251658244" behindDoc="1" locked="0" layoutInCell="1" allowOverlap="1" wp14:anchorId="10314E4F" wp14:editId="51BC9545">
            <wp:simplePos x="0" y="0"/>
            <wp:positionH relativeFrom="column">
              <wp:posOffset>-921038</wp:posOffset>
            </wp:positionH>
            <wp:positionV relativeFrom="paragraph">
              <wp:posOffset>-1303036</wp:posOffset>
            </wp:positionV>
            <wp:extent cx="7725600" cy="10919713"/>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19713"/>
                    </a:xfrm>
                    <a:prstGeom prst="rect">
                      <a:avLst/>
                    </a:prstGeom>
                  </pic:spPr>
                </pic:pic>
              </a:graphicData>
            </a:graphic>
            <wp14:sizeRelH relativeFrom="margin">
              <wp14:pctWidth>0</wp14:pctWidth>
            </wp14:sizeRelH>
            <wp14:sizeRelV relativeFrom="margin">
              <wp14:pctHeight>0</wp14:pctHeight>
            </wp14:sizeRelV>
          </wp:anchor>
        </w:drawing>
      </w:r>
      <w:r w:rsidR="004C78B6" w:rsidRPr="00D91282">
        <w:rPr>
          <w:noProof/>
        </w:rPr>
        <w:drawing>
          <wp:inline distT="0" distB="0" distL="0" distR="0" wp14:anchorId="53D88FA4" wp14:editId="7CAF3C86">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56AA9408" w14:textId="68FDD22B" w:rsidR="004C78B6" w:rsidRPr="00D91282" w:rsidRDefault="004C78B6" w:rsidP="00D838D7">
      <w:pPr>
        <w:jc w:val="center"/>
      </w:pPr>
    </w:p>
    <w:p w14:paraId="6C749E99" w14:textId="7E1F7331" w:rsidR="004C78B6" w:rsidRPr="00D91282" w:rsidRDefault="004C78B6" w:rsidP="00D838D7">
      <w:pPr>
        <w:jc w:val="center"/>
      </w:pPr>
    </w:p>
    <w:p w14:paraId="00648F61" w14:textId="7627E11B" w:rsidR="00D838D7" w:rsidRPr="00D91282" w:rsidRDefault="00D838D7" w:rsidP="00D838D7">
      <w:pPr>
        <w:jc w:val="center"/>
      </w:pPr>
    </w:p>
    <w:p w14:paraId="1CD4EF8B" w14:textId="77777777" w:rsidR="00AD53D2" w:rsidRPr="00D91282" w:rsidRDefault="00AD53D2" w:rsidP="00D838D7"/>
    <w:p w14:paraId="1BD893EE" w14:textId="77777777" w:rsidR="00AD53D2" w:rsidRPr="00D91282" w:rsidRDefault="00AD53D2" w:rsidP="00D838D7"/>
    <w:p w14:paraId="19848CF4" w14:textId="77777777" w:rsidR="00AD53D2" w:rsidRPr="00D91282" w:rsidRDefault="00AD53D2" w:rsidP="00D838D7"/>
    <w:p w14:paraId="28F21D3B" w14:textId="77777777" w:rsidR="00AD53D2" w:rsidRPr="00D91282" w:rsidRDefault="00AD53D2" w:rsidP="00D838D7"/>
    <w:p w14:paraId="2EF7ACB0" w14:textId="77777777" w:rsidR="00AD53D2" w:rsidRPr="00D91282" w:rsidRDefault="00AD53D2" w:rsidP="00D838D7"/>
    <w:p w14:paraId="54AC5A81" w14:textId="18B871CD" w:rsidR="00AD53D2" w:rsidRPr="00D91282" w:rsidRDefault="0090624C" w:rsidP="00D838D7">
      <w:r w:rsidRPr="00D91282">
        <w:rPr>
          <w:noProof/>
        </w:rPr>
        <mc:AlternateContent>
          <mc:Choice Requires="wps">
            <w:drawing>
              <wp:anchor distT="0" distB="0" distL="114300" distR="114300" simplePos="0" relativeHeight="251658240" behindDoc="0" locked="0" layoutInCell="1" allowOverlap="1" wp14:anchorId="13874347" wp14:editId="3A6252A4">
                <wp:simplePos x="0" y="0"/>
                <wp:positionH relativeFrom="margin">
                  <wp:posOffset>1270</wp:posOffset>
                </wp:positionH>
                <wp:positionV relativeFrom="paragraph">
                  <wp:posOffset>260985</wp:posOffset>
                </wp:positionV>
                <wp:extent cx="6026150" cy="2139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26150" cy="2139950"/>
                        </a:xfrm>
                        <a:prstGeom prst="rect">
                          <a:avLst/>
                        </a:prstGeom>
                        <a:noFill/>
                        <a:ln w="6350">
                          <a:noFill/>
                        </a:ln>
                      </wps:spPr>
                      <wps:txbx>
                        <w:txbxContent>
                          <w:p w14:paraId="156C6AC0" w14:textId="77777777" w:rsidR="00EC70A4" w:rsidRDefault="0090624C" w:rsidP="00642CDD">
                            <w:pPr>
                              <w:rPr>
                                <w:rFonts w:ascii="Work Sans" w:hAnsi="Work Sans" w:cs="Open Sans"/>
                                <w:b/>
                                <w:bCs/>
                                <w:color w:val="FFFFFF"/>
                                <w:sz w:val="84"/>
                                <w:szCs w:val="84"/>
                              </w:rPr>
                            </w:pPr>
                            <w:r>
                              <w:rPr>
                                <w:rFonts w:ascii="Work Sans" w:hAnsi="Work Sans" w:cs="Open Sans"/>
                                <w:b/>
                                <w:bCs/>
                                <w:color w:val="FFFFFF"/>
                                <w:sz w:val="84"/>
                                <w:szCs w:val="84"/>
                              </w:rPr>
                              <w:t xml:space="preserve">Why states get different shares </w:t>
                            </w:r>
                          </w:p>
                          <w:p w14:paraId="2B443CCE" w14:textId="55FAE693" w:rsidR="00AD53D2" w:rsidRPr="00B417A0" w:rsidRDefault="0090624C" w:rsidP="00642CDD">
                            <w:pPr>
                              <w:rPr>
                                <w:rFonts w:ascii="Work Sans" w:hAnsi="Work Sans" w:cs="Open Sans"/>
                                <w:b/>
                                <w:bCs/>
                                <w:color w:val="FFFFFF"/>
                                <w:sz w:val="84"/>
                                <w:szCs w:val="84"/>
                              </w:rPr>
                            </w:pPr>
                            <w:r>
                              <w:rPr>
                                <w:rFonts w:ascii="Work Sans" w:hAnsi="Work Sans" w:cs="Open Sans"/>
                                <w:b/>
                                <w:bCs/>
                                <w:color w:val="FFFFFF"/>
                                <w:sz w:val="84"/>
                                <w:szCs w:val="84"/>
                              </w:rPr>
                              <w:t>of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74347" id="_x0000_t202" coordsize="21600,21600" o:spt="202" path="m,l,21600r21600,l21600,xe">
                <v:stroke joinstyle="miter"/>
                <v:path gradientshapeok="t" o:connecttype="rect"/>
              </v:shapetype>
              <v:shape id="Text Box 13" o:spid="_x0000_s1026" type="#_x0000_t202" style="position:absolute;margin-left:.1pt;margin-top:20.55pt;width:474.5pt;height:1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" filled="f" stroked="f" strokeweight=".5pt">
                <v:textbox>
                  <w:txbxContent>
                    <w:p w14:paraId="156C6AC0" w14:textId="77777777" w:rsidR="00EC70A4" w:rsidRDefault="0090624C" w:rsidP="00642CDD">
                      <w:pPr>
                        <w:rPr>
                          <w:rFonts w:ascii="Work Sans" w:hAnsi="Work Sans" w:cs="Open Sans"/>
                          <w:b/>
                          <w:bCs/>
                          <w:color w:val="FFFFFF"/>
                          <w:sz w:val="84"/>
                          <w:szCs w:val="84"/>
                        </w:rPr>
                      </w:pPr>
                      <w:r>
                        <w:rPr>
                          <w:rFonts w:ascii="Work Sans" w:hAnsi="Work Sans" w:cs="Open Sans"/>
                          <w:b/>
                          <w:bCs/>
                          <w:color w:val="FFFFFF"/>
                          <w:sz w:val="84"/>
                          <w:szCs w:val="84"/>
                        </w:rPr>
                        <w:t xml:space="preserve">Why states get different shares </w:t>
                      </w:r>
                    </w:p>
                    <w:p w14:paraId="2B443CCE" w14:textId="55FAE693" w:rsidR="00AD53D2" w:rsidRPr="00B417A0" w:rsidRDefault="0090624C" w:rsidP="00642CDD">
                      <w:pPr>
                        <w:rPr>
                          <w:rFonts w:ascii="Work Sans" w:hAnsi="Work Sans" w:cs="Open Sans"/>
                          <w:b/>
                          <w:bCs/>
                          <w:color w:val="FFFFFF"/>
                          <w:sz w:val="84"/>
                          <w:szCs w:val="84"/>
                        </w:rPr>
                      </w:pPr>
                      <w:r>
                        <w:rPr>
                          <w:rFonts w:ascii="Work Sans" w:hAnsi="Work Sans" w:cs="Open Sans"/>
                          <w:b/>
                          <w:bCs/>
                          <w:color w:val="FFFFFF"/>
                          <w:sz w:val="84"/>
                          <w:szCs w:val="84"/>
                        </w:rPr>
                        <w:t>of GST</w:t>
                      </w:r>
                    </w:p>
                  </w:txbxContent>
                </v:textbox>
                <w10:wrap anchorx="margin"/>
              </v:shape>
            </w:pict>
          </mc:Fallback>
        </mc:AlternateContent>
      </w:r>
    </w:p>
    <w:p w14:paraId="1F178C8B" w14:textId="2BF608B2" w:rsidR="00AD53D2" w:rsidRPr="00D91282" w:rsidRDefault="00AD53D2" w:rsidP="00D838D7"/>
    <w:p w14:paraId="33F1EEB6" w14:textId="216F4E29" w:rsidR="00AD53D2" w:rsidRPr="00D91282" w:rsidRDefault="00AD53D2" w:rsidP="00D838D7"/>
    <w:p w14:paraId="639E79F8" w14:textId="2D47B08F" w:rsidR="00AD53D2" w:rsidRPr="00D91282" w:rsidRDefault="00AD53D2" w:rsidP="00D838D7"/>
    <w:p w14:paraId="699217D6" w14:textId="21440090" w:rsidR="00AD53D2" w:rsidRPr="00D91282" w:rsidRDefault="00AD53D2" w:rsidP="00D838D7"/>
    <w:p w14:paraId="0E2AC69D" w14:textId="20A391F1" w:rsidR="00AD53D2" w:rsidRPr="00D91282" w:rsidRDefault="00AD53D2" w:rsidP="00D838D7"/>
    <w:p w14:paraId="45D6F931" w14:textId="3D0807E6" w:rsidR="00AD53D2" w:rsidRPr="00D91282" w:rsidRDefault="00AD53D2" w:rsidP="00D838D7"/>
    <w:p w14:paraId="0568BBED" w14:textId="00E674C0" w:rsidR="00AD53D2" w:rsidRPr="00D91282" w:rsidRDefault="00AD53D2" w:rsidP="00D838D7"/>
    <w:p w14:paraId="39A7AC3F" w14:textId="1E0AA021" w:rsidR="00AD53D2" w:rsidRPr="00D91282" w:rsidRDefault="00AD53D2" w:rsidP="00D838D7"/>
    <w:p w14:paraId="25834C5D" w14:textId="18ADDA26" w:rsidR="00AD53D2" w:rsidRPr="00D91282" w:rsidRDefault="0090624C" w:rsidP="00D838D7">
      <w:r w:rsidRPr="00D91282">
        <w:rPr>
          <w:noProof/>
        </w:rPr>
        <mc:AlternateContent>
          <mc:Choice Requires="wps">
            <w:drawing>
              <wp:anchor distT="0" distB="0" distL="114300" distR="114300" simplePos="0" relativeHeight="251658241" behindDoc="0" locked="0" layoutInCell="1" allowOverlap="1" wp14:anchorId="17BEE366" wp14:editId="4B92BA1E">
                <wp:simplePos x="0" y="0"/>
                <wp:positionH relativeFrom="margin">
                  <wp:posOffset>1270</wp:posOffset>
                </wp:positionH>
                <wp:positionV relativeFrom="paragraph">
                  <wp:posOffset>237490</wp:posOffset>
                </wp:positionV>
                <wp:extent cx="4178300" cy="6629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178300" cy="662940"/>
                        </a:xfrm>
                        <a:prstGeom prst="rect">
                          <a:avLst/>
                        </a:prstGeom>
                        <a:noFill/>
                        <a:ln w="6350">
                          <a:noFill/>
                        </a:ln>
                      </wps:spPr>
                      <wps:txbx>
                        <w:txbxContent>
                          <w:p w14:paraId="73DD6A39" w14:textId="19695D5C" w:rsidR="00AD53D2" w:rsidRPr="00B417A0" w:rsidRDefault="0090624C" w:rsidP="00AD53D2">
                            <w:pPr>
                              <w:rPr>
                                <w:rFonts w:ascii="Work Sans" w:hAnsi="Work Sans" w:cs="Open Sans"/>
                                <w:color w:val="FFFFFF"/>
                                <w:sz w:val="48"/>
                                <w:szCs w:val="48"/>
                              </w:rPr>
                            </w:pPr>
                            <w:r>
                              <w:rPr>
                                <w:rFonts w:ascii="Work Sans" w:hAnsi="Work Sans" w:cs="Open Sans"/>
                                <w:color w:val="FFFFFF"/>
                                <w:sz w:val="48"/>
                                <w:szCs w:val="48"/>
                              </w:rPr>
                              <w:t>Research paper</w:t>
                            </w:r>
                            <w:r w:rsidR="00FB1051">
                              <w:rPr>
                                <w:rFonts w:ascii="Work Sans" w:hAnsi="Work Sans" w:cs="Open Sans"/>
                                <w:color w:val="FFFFFF"/>
                                <w:sz w:val="48"/>
                                <w:szCs w:val="4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E366" id="Text Box 14" o:spid="_x0000_s1027" type="#_x0000_t202" style="position:absolute;margin-left:.1pt;margin-top:18.7pt;width:329pt;height:52.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" filled="f" stroked="f" strokeweight=".5pt">
                <v:textbox>
                  <w:txbxContent>
                    <w:p w14:paraId="73DD6A39" w14:textId="19695D5C" w:rsidR="00AD53D2" w:rsidRPr="00B417A0" w:rsidRDefault="0090624C" w:rsidP="00AD53D2">
                      <w:pPr>
                        <w:rPr>
                          <w:rFonts w:ascii="Work Sans" w:hAnsi="Work Sans" w:cs="Open Sans"/>
                          <w:color w:val="FFFFFF"/>
                          <w:sz w:val="48"/>
                          <w:szCs w:val="48"/>
                        </w:rPr>
                      </w:pPr>
                      <w:r>
                        <w:rPr>
                          <w:rFonts w:ascii="Work Sans" w:hAnsi="Work Sans" w:cs="Open Sans"/>
                          <w:color w:val="FFFFFF"/>
                          <w:sz w:val="48"/>
                          <w:szCs w:val="48"/>
                        </w:rPr>
                        <w:t>Research paper</w:t>
                      </w:r>
                      <w:r w:rsidR="00FB1051">
                        <w:rPr>
                          <w:rFonts w:ascii="Work Sans" w:hAnsi="Work Sans" w:cs="Open Sans"/>
                          <w:color w:val="FFFFFF"/>
                          <w:sz w:val="48"/>
                          <w:szCs w:val="48"/>
                        </w:rPr>
                        <w:t xml:space="preserve"> 2</w:t>
                      </w:r>
                    </w:p>
                  </w:txbxContent>
                </v:textbox>
                <w10:wrap anchorx="margin"/>
              </v:shape>
            </w:pict>
          </mc:Fallback>
        </mc:AlternateContent>
      </w:r>
    </w:p>
    <w:p w14:paraId="00E92AD7" w14:textId="7E550445" w:rsidR="00AD53D2" w:rsidRPr="00D91282" w:rsidRDefault="00AD53D2" w:rsidP="00D838D7"/>
    <w:p w14:paraId="57BDAF8A" w14:textId="573CD730" w:rsidR="00AD53D2" w:rsidRPr="00D91282" w:rsidRDefault="00AD53D2" w:rsidP="00D838D7"/>
    <w:p w14:paraId="7310BB9F" w14:textId="77777777" w:rsidR="00AD53D2" w:rsidRPr="00D91282" w:rsidRDefault="00AD53D2" w:rsidP="00D838D7"/>
    <w:p w14:paraId="22A6B70E" w14:textId="77777777" w:rsidR="00AD53D2" w:rsidRPr="00D91282" w:rsidRDefault="00AD53D2" w:rsidP="00D838D7"/>
    <w:p w14:paraId="75078E44" w14:textId="241991B0" w:rsidR="00AD53D2" w:rsidRPr="00D91282" w:rsidRDefault="00600974" w:rsidP="00D838D7">
      <w:r w:rsidRPr="00D91282">
        <w:rPr>
          <w:noProof/>
        </w:rPr>
        <mc:AlternateContent>
          <mc:Choice Requires="wps">
            <w:drawing>
              <wp:anchor distT="0" distB="0" distL="114300" distR="114300" simplePos="0" relativeHeight="251658242" behindDoc="0" locked="0" layoutInCell="1" allowOverlap="1" wp14:anchorId="0A5643A7" wp14:editId="59696D62">
                <wp:simplePos x="0" y="0"/>
                <wp:positionH relativeFrom="margin">
                  <wp:align>left</wp:align>
                </wp:positionH>
                <wp:positionV relativeFrom="paragraph">
                  <wp:posOffset>71755</wp:posOffset>
                </wp:positionV>
                <wp:extent cx="1778000" cy="476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8000" cy="476250"/>
                        </a:xfrm>
                        <a:prstGeom prst="rect">
                          <a:avLst/>
                        </a:prstGeom>
                        <a:noFill/>
                        <a:ln w="6350">
                          <a:noFill/>
                        </a:ln>
                      </wps:spPr>
                      <wps:txbx>
                        <w:txbxContent>
                          <w:p w14:paraId="1041002D" w14:textId="7411786F" w:rsidR="00AD53D2" w:rsidRPr="00600974" w:rsidRDefault="00BC7CEE" w:rsidP="00AD53D2">
                            <w:pPr>
                              <w:rPr>
                                <w:rFonts w:ascii="Work Sans" w:hAnsi="Work Sans" w:cs="Open Sans"/>
                                <w:color w:val="FFFFFF"/>
                                <w:sz w:val="28"/>
                                <w:szCs w:val="28"/>
                              </w:rPr>
                            </w:pPr>
                            <w:r>
                              <w:rPr>
                                <w:rFonts w:ascii="Work Sans" w:hAnsi="Work Sans" w:cs="Open Sans"/>
                                <w:color w:val="FFFFFF"/>
                                <w:sz w:val="28"/>
                                <w:szCs w:val="28"/>
                              </w:rPr>
                              <w:t>October</w:t>
                            </w:r>
                            <w:r w:rsidR="0090624C">
                              <w:rPr>
                                <w:rFonts w:ascii="Work Sans" w:hAnsi="Work Sans" w:cs="Open Sans"/>
                                <w:color w:val="FFFFFF"/>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43A7" id="Text Box 15" o:spid="_x0000_s1028" type="#_x0000_t202" style="position:absolute;margin-left:0;margin-top:5.65pt;width:140pt;height: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" filled="f" stroked="f" strokeweight=".5pt">
                <v:textbox>
                  <w:txbxContent>
                    <w:p w14:paraId="1041002D" w14:textId="7411786F" w:rsidR="00AD53D2" w:rsidRPr="00600974" w:rsidRDefault="00BC7CEE" w:rsidP="00AD53D2">
                      <w:pPr>
                        <w:rPr>
                          <w:rFonts w:ascii="Work Sans" w:hAnsi="Work Sans" w:cs="Open Sans"/>
                          <w:color w:val="FFFFFF"/>
                          <w:sz w:val="28"/>
                          <w:szCs w:val="28"/>
                        </w:rPr>
                      </w:pPr>
                      <w:r>
                        <w:rPr>
                          <w:rFonts w:ascii="Work Sans" w:hAnsi="Work Sans" w:cs="Open Sans"/>
                          <w:color w:val="FFFFFF"/>
                          <w:sz w:val="28"/>
                          <w:szCs w:val="28"/>
                        </w:rPr>
                        <w:t>October</w:t>
                      </w:r>
                      <w:r w:rsidR="0090624C">
                        <w:rPr>
                          <w:rFonts w:ascii="Work Sans" w:hAnsi="Work Sans" w:cs="Open Sans"/>
                          <w:color w:val="FFFFFF"/>
                          <w:sz w:val="28"/>
                          <w:szCs w:val="28"/>
                        </w:rPr>
                        <w:t xml:space="preserve"> 2021</w:t>
                      </w:r>
                    </w:p>
                  </w:txbxContent>
                </v:textbox>
                <w10:wrap anchorx="margin"/>
              </v:shape>
            </w:pict>
          </mc:Fallback>
        </mc:AlternateContent>
      </w:r>
    </w:p>
    <w:p w14:paraId="4AF9959E" w14:textId="77777777" w:rsidR="00AD53D2" w:rsidRPr="00D91282" w:rsidRDefault="00AD53D2" w:rsidP="00D838D7"/>
    <w:p w14:paraId="2E172C72" w14:textId="77777777" w:rsidR="00AD53D2" w:rsidRPr="00D91282" w:rsidRDefault="00AD53D2" w:rsidP="00D838D7"/>
    <w:p w14:paraId="06D8C5E2" w14:textId="77777777" w:rsidR="00AD53D2" w:rsidRPr="00D91282" w:rsidRDefault="00AD53D2" w:rsidP="00D838D7"/>
    <w:p w14:paraId="493FF90D" w14:textId="77777777" w:rsidR="00AD53D2" w:rsidRPr="00D91282" w:rsidRDefault="00AD53D2" w:rsidP="00D838D7"/>
    <w:p w14:paraId="24EE791A" w14:textId="77777777" w:rsidR="00AD53D2" w:rsidRPr="00D91282" w:rsidRDefault="00AD53D2" w:rsidP="00D838D7"/>
    <w:p w14:paraId="3E6770BD" w14:textId="77777777" w:rsidR="00AD53D2" w:rsidRPr="00D91282" w:rsidRDefault="00AD53D2" w:rsidP="00D838D7"/>
    <w:p w14:paraId="0C24EF44" w14:textId="77777777" w:rsidR="00E7664B" w:rsidRDefault="00E7664B" w:rsidP="00D838D7">
      <w:pPr>
        <w:sectPr w:rsidR="00E7664B" w:rsidSect="00B0742A">
          <w:headerReference w:type="default" r:id="rId13"/>
          <w:footerReference w:type="even" r:id="rId14"/>
          <w:footerReference w:type="default" r:id="rId15"/>
          <w:headerReference w:type="first" r:id="rId16"/>
          <w:pgSz w:w="11900" w:h="16840"/>
          <w:pgMar w:top="1702" w:right="1418" w:bottom="1418" w:left="1418" w:header="709" w:footer="284" w:gutter="0"/>
          <w:pgNumType w:start="1"/>
          <w:cols w:space="708"/>
          <w:docGrid w:linePitch="360"/>
        </w:sectPr>
      </w:pPr>
    </w:p>
    <w:p w14:paraId="4A82AE7B" w14:textId="77777777" w:rsidR="009F142D" w:rsidRDefault="009F142D" w:rsidP="00886DFD">
      <w:pPr>
        <w:pStyle w:val="NormalWeb"/>
        <w:rPr>
          <w:rFonts w:ascii="Work Sans" w:hAnsi="Work Sans"/>
        </w:rPr>
      </w:pPr>
    </w:p>
    <w:p w14:paraId="126C87E4" w14:textId="77777777" w:rsidR="009F142D" w:rsidRDefault="009F142D" w:rsidP="009F142D">
      <w:pPr>
        <w:pStyle w:val="NormalWeb"/>
        <w:rPr>
          <w:rFonts w:ascii="Work Sans" w:hAnsi="Work Sans"/>
        </w:rPr>
      </w:pPr>
    </w:p>
    <w:p w14:paraId="68A5FC2F" w14:textId="77777777" w:rsidR="009F142D" w:rsidRDefault="009F142D" w:rsidP="009F142D">
      <w:pPr>
        <w:pStyle w:val="NormalWeb"/>
        <w:rPr>
          <w:rFonts w:ascii="Work Sans" w:hAnsi="Work Sans"/>
        </w:rPr>
      </w:pPr>
    </w:p>
    <w:p w14:paraId="42C8866B" w14:textId="77777777" w:rsidR="009F142D" w:rsidRDefault="009F142D" w:rsidP="009F142D">
      <w:pPr>
        <w:pStyle w:val="NormalWeb"/>
        <w:rPr>
          <w:rFonts w:ascii="Work Sans" w:hAnsi="Work Sans"/>
        </w:rPr>
      </w:pPr>
    </w:p>
    <w:p w14:paraId="21D98D91" w14:textId="77777777" w:rsidR="009F142D" w:rsidRDefault="009F142D" w:rsidP="009F142D">
      <w:pPr>
        <w:pStyle w:val="NormalWeb"/>
        <w:rPr>
          <w:rFonts w:ascii="Work Sans" w:hAnsi="Work Sans"/>
        </w:rPr>
      </w:pPr>
    </w:p>
    <w:p w14:paraId="3218AD39" w14:textId="77777777" w:rsidR="009F142D" w:rsidRDefault="009F142D" w:rsidP="009F142D">
      <w:pPr>
        <w:pStyle w:val="NormalWeb"/>
        <w:rPr>
          <w:rFonts w:ascii="Work Sans" w:hAnsi="Work Sans"/>
        </w:rPr>
      </w:pPr>
    </w:p>
    <w:p w14:paraId="77BA2A5D" w14:textId="77777777" w:rsidR="009F142D" w:rsidRDefault="009F142D" w:rsidP="009F142D">
      <w:pPr>
        <w:pStyle w:val="NormalWeb"/>
        <w:rPr>
          <w:rFonts w:ascii="Work Sans" w:hAnsi="Work Sans"/>
        </w:rPr>
      </w:pPr>
    </w:p>
    <w:p w14:paraId="3BF816A4" w14:textId="77777777" w:rsidR="009F142D" w:rsidRDefault="009F142D" w:rsidP="009F142D">
      <w:pPr>
        <w:pStyle w:val="NormalWeb"/>
        <w:rPr>
          <w:rFonts w:ascii="Work Sans" w:hAnsi="Work Sans"/>
        </w:rPr>
      </w:pPr>
    </w:p>
    <w:p w14:paraId="378957F0" w14:textId="77777777" w:rsidR="009F142D" w:rsidRDefault="009F142D" w:rsidP="009F142D">
      <w:pPr>
        <w:pStyle w:val="NormalWeb"/>
        <w:rPr>
          <w:rFonts w:ascii="Work Sans" w:hAnsi="Work Sans"/>
        </w:rPr>
      </w:pPr>
    </w:p>
    <w:p w14:paraId="2AFF5B2B" w14:textId="77777777" w:rsidR="009F142D" w:rsidRPr="00C3472D" w:rsidRDefault="009F142D" w:rsidP="009F142D">
      <w:pPr>
        <w:pStyle w:val="NormalWeb"/>
        <w:rPr>
          <w:rFonts w:ascii="Work Sans" w:hAnsi="Work Sans"/>
          <w:b/>
          <w:bCs/>
          <w:color w:val="000000"/>
        </w:rPr>
      </w:pPr>
      <w:r w:rsidRPr="00C3472D">
        <w:rPr>
          <w:rFonts w:ascii="Work Sans" w:hAnsi="Work Sans"/>
          <w:b/>
          <w:bCs/>
          <w:color w:val="000000"/>
        </w:rPr>
        <w:t>Copyright</w:t>
      </w:r>
    </w:p>
    <w:p w14:paraId="21595751" w14:textId="10C88C33" w:rsidR="009F142D" w:rsidRPr="00C3472D" w:rsidRDefault="009F142D" w:rsidP="009F142D">
      <w:pPr>
        <w:pStyle w:val="NormalWeb"/>
        <w:rPr>
          <w:rFonts w:ascii="Work Sans" w:hAnsi="Work Sans"/>
          <w:color w:val="000000"/>
        </w:rPr>
      </w:pPr>
      <w:r w:rsidRPr="00C3472D">
        <w:rPr>
          <w:rFonts w:ascii="Work Sans" w:hAnsi="Work Sans"/>
          <w:color w:val="000000"/>
        </w:rPr>
        <w:t>© Commonwealth of Australia 202</w:t>
      </w:r>
      <w:r w:rsidR="00602179">
        <w:rPr>
          <w:rFonts w:ascii="Work Sans" w:hAnsi="Work Sans"/>
          <w:color w:val="000000"/>
        </w:rPr>
        <w:t>1</w:t>
      </w:r>
    </w:p>
    <w:p w14:paraId="7B7777F8" w14:textId="77777777" w:rsidR="009F142D" w:rsidRDefault="009F142D" w:rsidP="009F142D">
      <w:pPr>
        <w:pStyle w:val="NormalWeb"/>
        <w:rPr>
          <w:rFonts w:ascii="Work Sans" w:hAnsi="Work Sans"/>
          <w:color w:val="000000"/>
        </w:rPr>
      </w:pPr>
      <w:r w:rsidRPr="00C3472D">
        <w:rPr>
          <w:rFonts w:ascii="Work Sans" w:hAnsi="Work Sans"/>
          <w:color w:val="000000"/>
        </w:rPr>
        <w:t>With the exception of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r:id="rId17" w:history="1">
        <w:r w:rsidRPr="00DC711F">
          <w:rPr>
            <w:rStyle w:val="Hyperlink"/>
            <w:rFonts w:ascii="Work Sans" w:hAnsi="Work Sans"/>
          </w:rPr>
          <w:t>https://creativecommons.org/licenses/by/4.0/legalcode</w:t>
        </w:r>
      </w:hyperlink>
      <w:r w:rsidRPr="00C3472D">
        <w:rPr>
          <w:rFonts w:ascii="Work Sans" w:hAnsi="Work Sans"/>
          <w:color w:val="000000"/>
        </w:rPr>
        <w:t>).</w:t>
      </w:r>
    </w:p>
    <w:p w14:paraId="3142521E" w14:textId="77777777" w:rsidR="009F142D" w:rsidRPr="00C3472D" w:rsidRDefault="009F142D" w:rsidP="009F142D">
      <w:pPr>
        <w:pStyle w:val="NormalWeb"/>
        <w:rPr>
          <w:rFonts w:ascii="Work Sans" w:hAnsi="Work Sans"/>
          <w:color w:val="000000"/>
        </w:rPr>
      </w:pPr>
      <w:r w:rsidRPr="000A2C87">
        <w:rPr>
          <w:noProof/>
          <w:sz w:val="20"/>
          <w:szCs w:val="20"/>
        </w:rPr>
        <w:drawing>
          <wp:inline distT="0" distB="0" distL="0" distR="0" wp14:anchorId="1F0CC47C" wp14:editId="47DA8849">
            <wp:extent cx="828675" cy="295275"/>
            <wp:effectExtent l="19050" t="0" r="9525" b="0"/>
            <wp:docPr id="31"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8"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58550776" w14:textId="77777777" w:rsidR="009F142D" w:rsidRPr="00C3472D" w:rsidRDefault="009F142D" w:rsidP="009F142D">
      <w:pPr>
        <w:pStyle w:val="NormalWeb"/>
        <w:rPr>
          <w:rFonts w:ascii="Work Sans" w:hAnsi="Work Sans"/>
          <w:b/>
          <w:bCs/>
          <w:color w:val="000000"/>
        </w:rPr>
      </w:pPr>
      <w:r w:rsidRPr="00C3472D">
        <w:rPr>
          <w:rFonts w:ascii="Work Sans" w:hAnsi="Work Sans"/>
          <w:b/>
          <w:bCs/>
          <w:color w:val="000000"/>
        </w:rPr>
        <w:t>Attribution</w:t>
      </w:r>
    </w:p>
    <w:p w14:paraId="510C2D68" w14:textId="1057140B" w:rsidR="009F142D" w:rsidRPr="00C3472D" w:rsidRDefault="009F142D" w:rsidP="009F142D">
      <w:pPr>
        <w:pStyle w:val="NormalWeb"/>
        <w:rPr>
          <w:rFonts w:ascii="Work Sans" w:hAnsi="Work Sans"/>
          <w:color w:val="000000"/>
        </w:rPr>
      </w:pPr>
      <w:r w:rsidRPr="00C3472D">
        <w:rPr>
          <w:rFonts w:ascii="Work Sans" w:hAnsi="Work Sans"/>
          <w:color w:val="000000"/>
        </w:rPr>
        <w:t xml:space="preserve">The recommended attribution for this document is Commonwealth Grants Commission, </w:t>
      </w:r>
      <w:r>
        <w:rPr>
          <w:rFonts w:ascii="Work Sans" w:hAnsi="Work Sans"/>
          <w:color w:val="000000"/>
        </w:rPr>
        <w:t>Research</w:t>
      </w:r>
      <w:r w:rsidRPr="00C3472D">
        <w:rPr>
          <w:rFonts w:ascii="Work Sans" w:hAnsi="Work Sans"/>
          <w:color w:val="000000"/>
        </w:rPr>
        <w:t xml:space="preserve"> </w:t>
      </w:r>
      <w:r w:rsidR="00602179">
        <w:rPr>
          <w:rFonts w:ascii="Work Sans" w:hAnsi="Work Sans"/>
          <w:color w:val="000000"/>
        </w:rPr>
        <w:t>p</w:t>
      </w:r>
      <w:r w:rsidRPr="00C3472D">
        <w:rPr>
          <w:rFonts w:ascii="Work Sans" w:hAnsi="Work Sans"/>
          <w:color w:val="000000"/>
        </w:rPr>
        <w:t xml:space="preserve">aper </w:t>
      </w:r>
      <w:r>
        <w:rPr>
          <w:rFonts w:ascii="Work Sans" w:hAnsi="Work Sans"/>
          <w:color w:val="000000"/>
        </w:rPr>
        <w:t>2</w:t>
      </w:r>
      <w:r w:rsidRPr="00C3472D">
        <w:rPr>
          <w:rFonts w:ascii="Work Sans" w:hAnsi="Work Sans"/>
          <w:color w:val="000000"/>
        </w:rPr>
        <w:t xml:space="preserve">: </w:t>
      </w:r>
      <w:r>
        <w:rPr>
          <w:rFonts w:ascii="Work Sans" w:hAnsi="Work Sans"/>
          <w:color w:val="000000"/>
        </w:rPr>
        <w:t xml:space="preserve">Why states </w:t>
      </w:r>
      <w:r w:rsidR="00602179">
        <w:rPr>
          <w:rFonts w:ascii="Work Sans" w:hAnsi="Work Sans"/>
          <w:color w:val="000000"/>
        </w:rPr>
        <w:t>g</w:t>
      </w:r>
      <w:r>
        <w:rPr>
          <w:rFonts w:ascii="Work Sans" w:hAnsi="Work Sans"/>
          <w:color w:val="000000"/>
        </w:rPr>
        <w:t>et different shares of GST.</w:t>
      </w:r>
    </w:p>
    <w:p w14:paraId="5B36CC11" w14:textId="77777777" w:rsidR="009F142D" w:rsidRDefault="009F142D" w:rsidP="009F142D">
      <w:pPr>
        <w:pStyle w:val="NormalWeb"/>
        <w:rPr>
          <w:rFonts w:ascii="Work Sans" w:hAnsi="Work Sans"/>
          <w:color w:val="000000"/>
        </w:rPr>
      </w:pPr>
      <w:r w:rsidRPr="00C3472D">
        <w:rPr>
          <w:rFonts w:ascii="Work Sans" w:hAnsi="Work Sans"/>
          <w:b/>
          <w:bCs/>
          <w:color w:val="000000"/>
        </w:rPr>
        <w:t>Contact us</w:t>
      </w:r>
      <w:r w:rsidRPr="00C3472D">
        <w:rPr>
          <w:rFonts w:ascii="Work Sans" w:hAnsi="Work Sans"/>
          <w:color w:val="000000"/>
        </w:rPr>
        <w:t xml:space="preserve"> </w:t>
      </w:r>
    </w:p>
    <w:p w14:paraId="603F877C" w14:textId="77777777" w:rsidR="009F142D" w:rsidRPr="00C3472D" w:rsidRDefault="009F142D" w:rsidP="009F142D">
      <w:pPr>
        <w:pStyle w:val="NormalWeb"/>
        <w:rPr>
          <w:rFonts w:ascii="Work Sans" w:hAnsi="Work Sans"/>
          <w:color w:val="000000"/>
        </w:rPr>
      </w:pPr>
      <w:r w:rsidRPr="00C3472D">
        <w:rPr>
          <w:rFonts w:ascii="Work Sans" w:hAnsi="Work Sans"/>
          <w:color w:val="000000"/>
        </w:rPr>
        <w:t>Inquiries regarding the use of this document should be directed to secretary@cgc.gov.au.</w:t>
      </w:r>
    </w:p>
    <w:p w14:paraId="003D7BB0" w14:textId="77777777" w:rsidR="009F142D" w:rsidRPr="00D627B5" w:rsidRDefault="009F142D" w:rsidP="009F142D">
      <w:pPr>
        <w:pStyle w:val="NormalWeb"/>
        <w:rPr>
          <w:rFonts w:ascii="Work Sans" w:hAnsi="Work Sans"/>
          <w:b/>
          <w:bCs/>
          <w:color w:val="000000"/>
        </w:rPr>
      </w:pPr>
      <w:r w:rsidRPr="00D627B5">
        <w:rPr>
          <w:rFonts w:ascii="Work Sans" w:hAnsi="Work Sans"/>
          <w:b/>
          <w:bCs/>
          <w:color w:val="000000"/>
        </w:rPr>
        <w:t xml:space="preserve">Internet </w:t>
      </w:r>
    </w:p>
    <w:p w14:paraId="0E32E4F1" w14:textId="77777777" w:rsidR="0049032A" w:rsidRDefault="009F142D" w:rsidP="0049032A">
      <w:pPr>
        <w:pStyle w:val="NormalWeb"/>
        <w:rPr>
          <w:rFonts w:ascii="Work Sans" w:hAnsi="Work Sans"/>
          <w:color w:val="000000"/>
        </w:rPr>
        <w:sectPr w:rsidR="0049032A" w:rsidSect="0067340B">
          <w:pgSz w:w="11900" w:h="16840"/>
          <w:pgMar w:top="1702" w:right="1418" w:bottom="1418" w:left="1418" w:header="709" w:footer="284" w:gutter="0"/>
          <w:pgNumType w:fmt="lowerRoman" w:start="1"/>
          <w:cols w:space="708"/>
          <w:docGrid w:linePitch="360"/>
        </w:sectPr>
      </w:pPr>
      <w:r w:rsidRPr="00C3472D">
        <w:rPr>
          <w:rFonts w:ascii="Work Sans" w:hAnsi="Work Sans"/>
          <w:color w:val="000000"/>
        </w:rPr>
        <w:t>A copy of this paper is available on the Commission’s website (http://www.cgc.gov.au).</w:t>
      </w:r>
    </w:p>
    <w:p w14:paraId="3E0E53FC" w14:textId="08388C14" w:rsidR="00673C84" w:rsidRPr="008E7A05" w:rsidRDefault="00CA4051" w:rsidP="008E7A05">
      <w:pPr>
        <w:pStyle w:val="Heading2"/>
      </w:pPr>
      <w:r w:rsidRPr="008E7A05">
        <w:rPr>
          <w:noProof/>
        </w:rPr>
        <w:lastRenderedPageBreak/>
        <mc:AlternateContent>
          <mc:Choice Requires="wps">
            <w:drawing>
              <wp:anchor distT="0" distB="0" distL="114300" distR="114300" simplePos="0" relativeHeight="251658243" behindDoc="1" locked="0" layoutInCell="1" allowOverlap="1" wp14:anchorId="53B8A538" wp14:editId="4FA506AA">
                <wp:simplePos x="0" y="0"/>
                <wp:positionH relativeFrom="margin">
                  <wp:posOffset>-140409</wp:posOffset>
                </wp:positionH>
                <wp:positionV relativeFrom="paragraph">
                  <wp:posOffset>53324</wp:posOffset>
                </wp:positionV>
                <wp:extent cx="5994400" cy="8651174"/>
                <wp:effectExtent l="0" t="0" r="635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4400" cy="8651174"/>
                        </a:xfrm>
                        <a:prstGeom prst="rect">
                          <a:avLst/>
                        </a:prstGeom>
                        <a:solidFill>
                          <a:srgbClr val="EBF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297D4" id="Rectangle 3" o:spid="_x0000_s1026" alt="&quot;&quot;" style="position:absolute;margin-left:-11.05pt;margin-top:4.2pt;width:472pt;height:681.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" fillcolor="#ebfff5" stroked="f" strokeweight="1pt">
                <w10:wrap anchorx="margin"/>
              </v:rect>
            </w:pict>
          </mc:Fallback>
        </mc:AlternateContent>
      </w:r>
      <w:r w:rsidR="00673C84" w:rsidRPr="008E7A05">
        <w:t>Summary</w:t>
      </w:r>
    </w:p>
    <w:p w14:paraId="71175CA0" w14:textId="6F6FEB60" w:rsidR="00750FE6" w:rsidRPr="008E7A05" w:rsidRDefault="00B656E5" w:rsidP="00673C84">
      <w:pPr>
        <w:rPr>
          <w:rFonts w:ascii="Work Sans" w:hAnsi="Work Sans"/>
          <w:sz w:val="24"/>
          <w:szCs w:val="24"/>
        </w:rPr>
      </w:pPr>
      <w:r w:rsidRPr="008E7A05">
        <w:rPr>
          <w:rFonts w:ascii="Work Sans" w:hAnsi="Work Sans"/>
          <w:sz w:val="24"/>
          <w:szCs w:val="24"/>
        </w:rPr>
        <w:t xml:space="preserve">An important feature of Australia’s federation is that the Commonwealth provides </w:t>
      </w:r>
      <w:r w:rsidR="00981B5E" w:rsidRPr="008E7A05">
        <w:rPr>
          <w:rFonts w:ascii="Work Sans" w:hAnsi="Work Sans"/>
          <w:sz w:val="24"/>
          <w:szCs w:val="24"/>
        </w:rPr>
        <w:t xml:space="preserve">untied </w:t>
      </w:r>
      <w:r w:rsidRPr="008E7A05">
        <w:rPr>
          <w:rFonts w:ascii="Work Sans" w:hAnsi="Work Sans"/>
          <w:sz w:val="24"/>
          <w:szCs w:val="24"/>
        </w:rPr>
        <w:t>financial support to the states and territories (states)</w:t>
      </w:r>
      <w:r w:rsidR="00C37DFD" w:rsidRPr="008E7A05">
        <w:rPr>
          <w:rFonts w:ascii="Work Sans" w:hAnsi="Work Sans"/>
          <w:sz w:val="24"/>
          <w:szCs w:val="24"/>
        </w:rPr>
        <w:t>.</w:t>
      </w:r>
      <w:r w:rsidRPr="008E7A05">
        <w:rPr>
          <w:rFonts w:ascii="Work Sans" w:hAnsi="Work Sans"/>
          <w:sz w:val="24"/>
          <w:szCs w:val="24"/>
        </w:rPr>
        <w:t xml:space="preserve"> </w:t>
      </w:r>
      <w:r w:rsidR="00A5674A" w:rsidRPr="008E7A05">
        <w:rPr>
          <w:rFonts w:ascii="Work Sans" w:hAnsi="Work Sans"/>
          <w:sz w:val="24"/>
          <w:szCs w:val="24"/>
        </w:rPr>
        <w:t xml:space="preserve">Since 2000, the Commonwealth has used revenue from the Goods and Services Tax </w:t>
      </w:r>
      <w:r w:rsidR="00CE25B0" w:rsidRPr="008E7A05">
        <w:rPr>
          <w:rFonts w:ascii="Work Sans" w:hAnsi="Work Sans"/>
          <w:sz w:val="24"/>
          <w:szCs w:val="24"/>
        </w:rPr>
        <w:t xml:space="preserve">(GST) </w:t>
      </w:r>
      <w:r w:rsidR="00A5674A" w:rsidRPr="008E7A05">
        <w:rPr>
          <w:rFonts w:ascii="Work Sans" w:hAnsi="Work Sans"/>
          <w:sz w:val="24"/>
          <w:szCs w:val="24"/>
        </w:rPr>
        <w:t xml:space="preserve">to </w:t>
      </w:r>
      <w:r w:rsidR="00C37DFD" w:rsidRPr="008E7A05">
        <w:rPr>
          <w:rFonts w:ascii="Work Sans" w:hAnsi="Work Sans"/>
          <w:sz w:val="24"/>
          <w:szCs w:val="24"/>
        </w:rPr>
        <w:t>fund these transfers.</w:t>
      </w:r>
    </w:p>
    <w:p w14:paraId="46B8C270" w14:textId="0D5F50D1" w:rsidR="00673C84" w:rsidRPr="008E7A05" w:rsidRDefault="0004553A" w:rsidP="00673C84">
      <w:pPr>
        <w:rPr>
          <w:rFonts w:ascii="Work Sans" w:hAnsi="Work Sans"/>
          <w:sz w:val="24"/>
          <w:szCs w:val="24"/>
          <w:lang w:val="en-GB"/>
        </w:rPr>
      </w:pPr>
      <w:r w:rsidRPr="008E7A05">
        <w:rPr>
          <w:rFonts w:ascii="Work Sans" w:hAnsi="Work Sans"/>
          <w:sz w:val="24"/>
          <w:szCs w:val="24"/>
          <w:lang w:val="en-GB"/>
        </w:rPr>
        <w:t xml:space="preserve">GST allocation reflects </w:t>
      </w:r>
      <w:r w:rsidR="00981B5E" w:rsidRPr="008E7A05">
        <w:rPr>
          <w:rFonts w:ascii="Work Sans" w:hAnsi="Work Sans"/>
          <w:sz w:val="24"/>
          <w:szCs w:val="24"/>
        </w:rPr>
        <w:t>states’ different needs. This is known as horizontal fiscal equalisation.</w:t>
      </w:r>
    </w:p>
    <w:p w14:paraId="39081F00" w14:textId="3D7B0BB8" w:rsidR="00673C84" w:rsidRPr="008E7A05" w:rsidRDefault="00673C84" w:rsidP="00673C84">
      <w:pPr>
        <w:rPr>
          <w:rFonts w:ascii="Work Sans" w:hAnsi="Work Sans"/>
          <w:sz w:val="24"/>
          <w:szCs w:val="24"/>
          <w:lang w:val="en-GB"/>
        </w:rPr>
      </w:pPr>
      <w:r w:rsidRPr="008E7A05">
        <w:rPr>
          <w:rFonts w:ascii="Work Sans" w:hAnsi="Work Sans"/>
          <w:sz w:val="24"/>
          <w:szCs w:val="24"/>
          <w:lang w:val="en-GB"/>
        </w:rPr>
        <w:t>States vary in their costs of providing services, as well as the amount of revenue they are able to access to pay for these services. The Commission uses evidence to estimate these differences.</w:t>
      </w:r>
    </w:p>
    <w:p w14:paraId="079A1473" w14:textId="36C631AE" w:rsidR="00673C84" w:rsidRPr="008E7A05" w:rsidRDefault="00F826C6" w:rsidP="00673C84">
      <w:pPr>
        <w:rPr>
          <w:rFonts w:ascii="Work Sans" w:hAnsi="Work Sans"/>
          <w:sz w:val="24"/>
          <w:szCs w:val="24"/>
        </w:rPr>
      </w:pPr>
      <w:r w:rsidRPr="008E7A05">
        <w:rPr>
          <w:rFonts w:ascii="Work Sans" w:hAnsi="Work Sans"/>
          <w:sz w:val="24"/>
          <w:szCs w:val="24"/>
          <w:lang w:val="en-GB"/>
        </w:rPr>
        <w:t>The Commission</w:t>
      </w:r>
      <w:r w:rsidR="00673C84" w:rsidRPr="008E7A05">
        <w:rPr>
          <w:rFonts w:ascii="Work Sans" w:hAnsi="Work Sans"/>
          <w:sz w:val="24"/>
          <w:szCs w:val="24"/>
          <w:lang w:val="en-GB"/>
        </w:rPr>
        <w:t xml:space="preserve"> determines the amount each state needs to </w:t>
      </w:r>
      <w:r w:rsidR="005E3FA2" w:rsidRPr="008E7A05">
        <w:rPr>
          <w:rFonts w:ascii="Work Sans" w:hAnsi="Work Sans"/>
          <w:sz w:val="24"/>
          <w:szCs w:val="24"/>
          <w:lang w:val="en-GB"/>
        </w:rPr>
        <w:t>spend</w:t>
      </w:r>
      <w:r w:rsidR="00673C84" w:rsidRPr="008E7A05">
        <w:rPr>
          <w:rFonts w:ascii="Work Sans" w:hAnsi="Work Sans"/>
          <w:sz w:val="24"/>
          <w:szCs w:val="24"/>
          <w:lang w:val="en-GB"/>
        </w:rPr>
        <w:t xml:space="preserve">, and the revenue each can access. A state with a small gap between the amount it needs to spend and the revenue it can access </w:t>
      </w:r>
      <w:r w:rsidR="00627B98" w:rsidRPr="008E7A05">
        <w:rPr>
          <w:rFonts w:ascii="Work Sans" w:hAnsi="Work Sans"/>
          <w:sz w:val="24"/>
          <w:szCs w:val="24"/>
          <w:lang w:val="en-GB"/>
        </w:rPr>
        <w:t>needs</w:t>
      </w:r>
      <w:r w:rsidR="00673C84" w:rsidRPr="008E7A05">
        <w:rPr>
          <w:rFonts w:ascii="Work Sans" w:hAnsi="Work Sans"/>
          <w:sz w:val="24"/>
          <w:szCs w:val="24"/>
          <w:lang w:val="en-GB"/>
        </w:rPr>
        <w:t xml:space="preserve"> a smaller share of GST. A state with a large gap need</w:t>
      </w:r>
      <w:r w:rsidR="00627B98" w:rsidRPr="008E7A05">
        <w:rPr>
          <w:rFonts w:ascii="Work Sans" w:hAnsi="Work Sans"/>
          <w:sz w:val="24"/>
          <w:szCs w:val="24"/>
          <w:lang w:val="en-GB"/>
        </w:rPr>
        <w:t>s</w:t>
      </w:r>
      <w:r w:rsidR="00673C84" w:rsidRPr="008E7A05">
        <w:rPr>
          <w:rFonts w:ascii="Work Sans" w:hAnsi="Work Sans"/>
          <w:sz w:val="24"/>
          <w:szCs w:val="24"/>
          <w:lang w:val="en-GB"/>
        </w:rPr>
        <w:t xml:space="preserve"> a larger share.</w:t>
      </w:r>
      <w:r w:rsidR="00673C84" w:rsidRPr="008E7A05">
        <w:rPr>
          <w:rFonts w:ascii="Work Sans" w:hAnsi="Work Sans"/>
          <w:sz w:val="24"/>
          <w:szCs w:val="24"/>
        </w:rPr>
        <w:t xml:space="preserve"> </w:t>
      </w:r>
    </w:p>
    <w:p w14:paraId="3D0F4443" w14:textId="6D9520C6" w:rsidR="00673C84" w:rsidRPr="008E7A05" w:rsidRDefault="00673C84" w:rsidP="00673C84">
      <w:pPr>
        <w:rPr>
          <w:rFonts w:ascii="Work Sans" w:hAnsi="Work Sans"/>
          <w:sz w:val="24"/>
          <w:szCs w:val="24"/>
          <w:lang w:val="en-GB"/>
        </w:rPr>
      </w:pPr>
      <w:r w:rsidRPr="008E7A05">
        <w:rPr>
          <w:rFonts w:ascii="Work Sans" w:hAnsi="Work Sans"/>
          <w:sz w:val="24"/>
          <w:szCs w:val="24"/>
          <w:lang w:val="en-GB"/>
        </w:rPr>
        <w:t xml:space="preserve">As the GST pool </w:t>
      </w:r>
      <w:r w:rsidR="003140B8" w:rsidRPr="008E7A05">
        <w:rPr>
          <w:rFonts w:ascii="Work Sans" w:hAnsi="Work Sans"/>
          <w:sz w:val="24"/>
          <w:szCs w:val="24"/>
          <w:lang w:val="en-GB"/>
        </w:rPr>
        <w:t xml:space="preserve">in a given year </w:t>
      </w:r>
      <w:r w:rsidRPr="008E7A05">
        <w:rPr>
          <w:rFonts w:ascii="Work Sans" w:hAnsi="Work Sans"/>
          <w:sz w:val="24"/>
          <w:szCs w:val="24"/>
          <w:lang w:val="en-GB"/>
        </w:rPr>
        <w:t xml:space="preserve">is fixed, needs are calculated on a relative basis. A change in the </w:t>
      </w:r>
      <w:r w:rsidR="00E87189" w:rsidRPr="008E7A05">
        <w:rPr>
          <w:rFonts w:ascii="Work Sans" w:hAnsi="Work Sans"/>
          <w:sz w:val="24"/>
          <w:szCs w:val="24"/>
          <w:lang w:val="en-GB"/>
        </w:rPr>
        <w:t xml:space="preserve">relative </w:t>
      </w:r>
      <w:r w:rsidRPr="008E7A05">
        <w:rPr>
          <w:rFonts w:ascii="Work Sans" w:hAnsi="Work Sans"/>
          <w:sz w:val="24"/>
          <w:szCs w:val="24"/>
          <w:lang w:val="en-GB"/>
        </w:rPr>
        <w:t>expenditure needs or revenue raising capacity of any one state will affect the GST allocation of all states.</w:t>
      </w:r>
    </w:p>
    <w:p w14:paraId="0DBA98EE" w14:textId="77777777" w:rsidR="00673C84" w:rsidRPr="008E7A05" w:rsidRDefault="00673C84" w:rsidP="00673C84">
      <w:pPr>
        <w:rPr>
          <w:rFonts w:ascii="Work Sans" w:hAnsi="Work Sans"/>
          <w:sz w:val="24"/>
          <w:szCs w:val="24"/>
          <w:lang w:val="en-GB"/>
        </w:rPr>
      </w:pPr>
      <w:r w:rsidRPr="008E7A05">
        <w:rPr>
          <w:rFonts w:ascii="Work Sans" w:hAnsi="Work Sans"/>
          <w:sz w:val="24"/>
          <w:szCs w:val="24"/>
          <w:lang w:val="en-GB"/>
        </w:rPr>
        <w:t>Key reasons for differing GST shares include the following.</w:t>
      </w:r>
    </w:p>
    <w:p w14:paraId="4A89AD17" w14:textId="60A4FF36" w:rsidR="00673C84" w:rsidRPr="008E7A05" w:rsidRDefault="00673C84" w:rsidP="006D5C38">
      <w:pPr>
        <w:pStyle w:val="CGCBullet1"/>
        <w:rPr>
          <w:rFonts w:ascii="Work Sans" w:hAnsi="Work Sans"/>
          <w:sz w:val="24"/>
          <w:szCs w:val="24"/>
        </w:rPr>
      </w:pPr>
      <w:r w:rsidRPr="008E7A05">
        <w:rPr>
          <w:rFonts w:ascii="Work Sans" w:hAnsi="Work Sans"/>
          <w:sz w:val="24"/>
          <w:szCs w:val="24"/>
        </w:rPr>
        <w:t xml:space="preserve">Mining resources provide a state with the ability to raise revenue from royalties. </w:t>
      </w:r>
      <w:r w:rsidR="00C520D1" w:rsidRPr="008E7A05">
        <w:rPr>
          <w:rFonts w:ascii="Work Sans" w:hAnsi="Work Sans"/>
          <w:sz w:val="24"/>
          <w:szCs w:val="24"/>
        </w:rPr>
        <w:t xml:space="preserve">These </w:t>
      </w:r>
      <w:r w:rsidR="009276DE" w:rsidRPr="008E7A05">
        <w:rPr>
          <w:rFonts w:ascii="Work Sans" w:hAnsi="Work Sans"/>
          <w:sz w:val="24"/>
          <w:szCs w:val="24"/>
        </w:rPr>
        <w:t xml:space="preserve">resources </w:t>
      </w:r>
      <w:r w:rsidR="00C520D1" w:rsidRPr="008E7A05">
        <w:rPr>
          <w:rFonts w:ascii="Work Sans" w:hAnsi="Work Sans"/>
          <w:sz w:val="24"/>
          <w:szCs w:val="24"/>
        </w:rPr>
        <w:t>are distributed unevenly</w:t>
      </w:r>
      <w:r w:rsidR="009276DE" w:rsidRPr="008E7A05">
        <w:rPr>
          <w:rFonts w:ascii="Work Sans" w:hAnsi="Work Sans"/>
          <w:sz w:val="24"/>
          <w:szCs w:val="24"/>
        </w:rPr>
        <w:t xml:space="preserve"> across states.</w:t>
      </w:r>
    </w:p>
    <w:p w14:paraId="1EC221E6" w14:textId="12B0BDEC" w:rsidR="00673C84" w:rsidRPr="008E7A05" w:rsidRDefault="00673C84" w:rsidP="006D5C38">
      <w:pPr>
        <w:pStyle w:val="CGCBullet1"/>
        <w:rPr>
          <w:rFonts w:ascii="Work Sans" w:hAnsi="Work Sans"/>
          <w:sz w:val="24"/>
          <w:szCs w:val="24"/>
        </w:rPr>
      </w:pPr>
      <w:r w:rsidRPr="008E7A05">
        <w:rPr>
          <w:rFonts w:ascii="Work Sans" w:hAnsi="Work Sans"/>
          <w:sz w:val="24"/>
          <w:szCs w:val="24"/>
        </w:rPr>
        <w:t xml:space="preserve">Property prices affect a state’s ability to raise revenue from stamp duty on conveyances and land tax. Property prices differ between states and the pattern can change over time. </w:t>
      </w:r>
    </w:p>
    <w:p w14:paraId="189B4687" w14:textId="77F49267" w:rsidR="00673C84" w:rsidRPr="008E7A05" w:rsidRDefault="00673C84" w:rsidP="006D5C38">
      <w:pPr>
        <w:pStyle w:val="CGCBullet1"/>
        <w:rPr>
          <w:rFonts w:ascii="Work Sans" w:hAnsi="Work Sans"/>
          <w:sz w:val="24"/>
          <w:szCs w:val="24"/>
        </w:rPr>
      </w:pPr>
      <w:r w:rsidRPr="008E7A05">
        <w:rPr>
          <w:rFonts w:ascii="Work Sans" w:hAnsi="Work Sans"/>
          <w:sz w:val="24"/>
          <w:szCs w:val="24"/>
        </w:rPr>
        <w:t xml:space="preserve">Where people live, their Indigenous status and their socio-economic status are important influences on the cost of providing government services. </w:t>
      </w:r>
      <w:r w:rsidR="006265AE" w:rsidRPr="008E7A05">
        <w:rPr>
          <w:rFonts w:ascii="Work Sans" w:hAnsi="Work Sans"/>
          <w:sz w:val="24"/>
          <w:szCs w:val="24"/>
        </w:rPr>
        <w:t>States</w:t>
      </w:r>
      <w:r w:rsidRPr="008E7A05">
        <w:rPr>
          <w:rFonts w:ascii="Work Sans" w:hAnsi="Work Sans"/>
          <w:sz w:val="24"/>
          <w:szCs w:val="24"/>
        </w:rPr>
        <w:t xml:space="preserve"> have different proportions of these groups of people.</w:t>
      </w:r>
    </w:p>
    <w:p w14:paraId="17ED77F2" w14:textId="7DC559BB" w:rsidR="00673C84" w:rsidRPr="008E7A05" w:rsidRDefault="00673C84" w:rsidP="006D5C38">
      <w:pPr>
        <w:pStyle w:val="CGCBullet1"/>
        <w:rPr>
          <w:rFonts w:ascii="Work Sans" w:hAnsi="Work Sans"/>
          <w:sz w:val="24"/>
          <w:szCs w:val="24"/>
        </w:rPr>
      </w:pPr>
      <w:r w:rsidRPr="008E7A05">
        <w:rPr>
          <w:rFonts w:ascii="Work Sans" w:hAnsi="Work Sans"/>
          <w:sz w:val="24"/>
          <w:szCs w:val="24"/>
        </w:rPr>
        <w:t>The level of wages in a state affects its ability to raise revenue via payroll tax</w:t>
      </w:r>
      <w:r w:rsidR="001F6982" w:rsidRPr="008E7A05">
        <w:rPr>
          <w:rFonts w:ascii="Work Sans" w:hAnsi="Work Sans"/>
          <w:sz w:val="24"/>
          <w:szCs w:val="24"/>
        </w:rPr>
        <w:t>,</w:t>
      </w:r>
      <w:r w:rsidRPr="008E7A05">
        <w:rPr>
          <w:rFonts w:ascii="Work Sans" w:hAnsi="Work Sans"/>
          <w:sz w:val="24"/>
          <w:szCs w:val="24"/>
        </w:rPr>
        <w:t xml:space="preserve"> </w:t>
      </w:r>
      <w:r w:rsidR="00B6586D" w:rsidRPr="008E7A05">
        <w:rPr>
          <w:rFonts w:ascii="Work Sans" w:hAnsi="Work Sans"/>
          <w:sz w:val="24"/>
          <w:szCs w:val="24"/>
        </w:rPr>
        <w:t xml:space="preserve">while also </w:t>
      </w:r>
      <w:r w:rsidR="009B236B" w:rsidRPr="008E7A05">
        <w:rPr>
          <w:rFonts w:ascii="Work Sans" w:hAnsi="Work Sans"/>
          <w:sz w:val="24"/>
          <w:szCs w:val="24"/>
        </w:rPr>
        <w:t xml:space="preserve">affecting </w:t>
      </w:r>
      <w:r w:rsidRPr="008E7A05">
        <w:rPr>
          <w:rFonts w:ascii="Work Sans" w:hAnsi="Work Sans"/>
          <w:sz w:val="24"/>
          <w:szCs w:val="24"/>
        </w:rPr>
        <w:t>its cost of providing services. The two effects work in different directions.</w:t>
      </w:r>
    </w:p>
    <w:p w14:paraId="0C1F3CA9" w14:textId="588A4E4D" w:rsidR="00673C84" w:rsidRPr="008E7A05" w:rsidRDefault="00673C84" w:rsidP="006D5C38">
      <w:pPr>
        <w:pStyle w:val="CGCBullet1"/>
        <w:rPr>
          <w:rFonts w:ascii="Work Sans" w:hAnsi="Work Sans"/>
          <w:sz w:val="24"/>
          <w:szCs w:val="24"/>
        </w:rPr>
      </w:pPr>
      <w:r w:rsidRPr="008E7A05">
        <w:rPr>
          <w:rFonts w:ascii="Work Sans" w:hAnsi="Work Sans"/>
          <w:sz w:val="24"/>
          <w:szCs w:val="24"/>
        </w:rPr>
        <w:t>States with growing populations require more investment in schools, hospitals, public transport and road infrastructure.</w:t>
      </w:r>
    </w:p>
    <w:p w14:paraId="2566C649" w14:textId="78A8456C" w:rsidR="00673C84" w:rsidRPr="008E7A05" w:rsidRDefault="00673C84" w:rsidP="006D5C38">
      <w:pPr>
        <w:pStyle w:val="CGCBullet1"/>
        <w:rPr>
          <w:rFonts w:ascii="Work Sans" w:hAnsi="Work Sans"/>
          <w:sz w:val="24"/>
          <w:szCs w:val="24"/>
        </w:rPr>
      </w:pPr>
      <w:r w:rsidRPr="008E7A05">
        <w:rPr>
          <w:rFonts w:ascii="Work Sans" w:hAnsi="Work Sans"/>
          <w:sz w:val="24"/>
          <w:szCs w:val="24"/>
        </w:rPr>
        <w:t>States that receive lower levels of Commonwealth payments, relative to other states, need more GST to fund their services.</w:t>
      </w:r>
    </w:p>
    <w:p w14:paraId="44C3ADAC" w14:textId="6A7C3199" w:rsidR="00B0742A" w:rsidRPr="008E7A05" w:rsidRDefault="00673C84" w:rsidP="006D5C38">
      <w:pPr>
        <w:pStyle w:val="CGCBullet1"/>
        <w:rPr>
          <w:rFonts w:ascii="Work Sans" w:hAnsi="Work Sans"/>
          <w:sz w:val="24"/>
          <w:szCs w:val="24"/>
        </w:rPr>
      </w:pPr>
      <w:r w:rsidRPr="008E7A05">
        <w:rPr>
          <w:rFonts w:ascii="Work Sans" w:hAnsi="Work Sans"/>
          <w:sz w:val="24"/>
          <w:szCs w:val="24"/>
        </w:rPr>
        <w:t xml:space="preserve">States with high spending on natural disasters receive more GST. </w:t>
      </w:r>
    </w:p>
    <w:p w14:paraId="6E6A4354" w14:textId="77FA27A2" w:rsidR="00673C84" w:rsidRPr="008E7A05" w:rsidRDefault="00673C84" w:rsidP="006D5C38">
      <w:pPr>
        <w:pStyle w:val="CGCBullet1"/>
        <w:rPr>
          <w:rFonts w:ascii="Work Sans" w:hAnsi="Work Sans"/>
          <w:sz w:val="24"/>
          <w:szCs w:val="24"/>
        </w:rPr>
      </w:pPr>
      <w:r w:rsidRPr="008E7A05">
        <w:rPr>
          <w:rFonts w:ascii="Work Sans" w:hAnsi="Work Sans"/>
          <w:sz w:val="24"/>
          <w:szCs w:val="24"/>
          <w:lang w:val="en-GB"/>
        </w:rPr>
        <w:t>New arrangements for GST distribution ensure that a state’s GST share cannot fall below a given level. Notwithstanding this change, most states’ GST shares are strongly influenced by</w:t>
      </w:r>
      <w:r w:rsidRPr="008E7A05" w:rsidDel="00DA5962">
        <w:rPr>
          <w:rFonts w:ascii="Work Sans" w:hAnsi="Work Sans"/>
          <w:sz w:val="24"/>
          <w:szCs w:val="24"/>
          <w:lang w:val="en-GB"/>
        </w:rPr>
        <w:t xml:space="preserve"> </w:t>
      </w:r>
      <w:r w:rsidRPr="008E7A05">
        <w:rPr>
          <w:rFonts w:ascii="Work Sans" w:hAnsi="Work Sans"/>
          <w:sz w:val="24"/>
          <w:szCs w:val="24"/>
          <w:lang w:val="en-GB"/>
        </w:rPr>
        <w:t>their particular</w:t>
      </w:r>
      <w:r w:rsidR="00C6484C" w:rsidRPr="008E7A05">
        <w:rPr>
          <w:rFonts w:ascii="Work Sans" w:hAnsi="Work Sans"/>
          <w:sz w:val="24"/>
          <w:szCs w:val="24"/>
          <w:lang w:val="en-GB"/>
        </w:rPr>
        <w:t xml:space="preserve"> </w:t>
      </w:r>
      <w:r w:rsidRPr="008E7A05">
        <w:rPr>
          <w:rFonts w:ascii="Work Sans" w:hAnsi="Work Sans"/>
          <w:sz w:val="24"/>
          <w:szCs w:val="24"/>
          <w:lang w:val="en-GB"/>
        </w:rPr>
        <w:t xml:space="preserve">economic, demographic and social circumstances. </w:t>
      </w:r>
    </w:p>
    <w:p w14:paraId="5649EBD7" w14:textId="02021FC1" w:rsidR="00600974" w:rsidRPr="00D91282" w:rsidRDefault="00AE29E4" w:rsidP="00600974">
      <w:pPr>
        <w:pStyle w:val="Heading2"/>
      </w:pPr>
      <w:r>
        <w:br w:type="column"/>
      </w:r>
      <w:r w:rsidR="00221429" w:rsidRPr="00D91282">
        <w:lastRenderedPageBreak/>
        <w:t>Introduction</w:t>
      </w:r>
    </w:p>
    <w:p w14:paraId="0F964978" w14:textId="62547145" w:rsidR="00E22AF2" w:rsidRPr="00543264" w:rsidRDefault="00E22AF2" w:rsidP="00E22AF2">
      <w:pPr>
        <w:rPr>
          <w:rFonts w:ascii="Work Sans" w:hAnsi="Work Sans"/>
          <w:sz w:val="24"/>
          <w:szCs w:val="24"/>
          <w:lang w:val="en-GB"/>
        </w:rPr>
      </w:pPr>
      <w:r w:rsidRPr="00543264">
        <w:rPr>
          <w:rFonts w:ascii="Work Sans" w:hAnsi="Work Sans"/>
          <w:sz w:val="24"/>
          <w:szCs w:val="24"/>
          <w:lang w:val="en-GB"/>
        </w:rPr>
        <w:t xml:space="preserve">This paper explains how state circumstances differ, and how this drives </w:t>
      </w:r>
      <w:r w:rsidR="00E216E4" w:rsidRPr="00543264">
        <w:rPr>
          <w:rFonts w:ascii="Work Sans" w:hAnsi="Work Sans"/>
          <w:sz w:val="24"/>
          <w:szCs w:val="24"/>
          <w:lang w:val="en-GB"/>
        </w:rPr>
        <w:t xml:space="preserve">states’ differing </w:t>
      </w:r>
      <w:r w:rsidRPr="00543264">
        <w:rPr>
          <w:rFonts w:ascii="Work Sans" w:hAnsi="Work Sans"/>
          <w:sz w:val="24"/>
          <w:szCs w:val="24"/>
          <w:lang w:val="en-GB"/>
        </w:rPr>
        <w:t xml:space="preserve">shares of the GST pool. </w:t>
      </w:r>
      <w:r w:rsidRPr="00543264">
        <w:rPr>
          <w:rFonts w:ascii="Work Sans" w:hAnsi="Work Sans"/>
          <w:sz w:val="24"/>
          <w:szCs w:val="24"/>
        </w:rPr>
        <w:t>It explains:</w:t>
      </w:r>
    </w:p>
    <w:p w14:paraId="138D3DE3" w14:textId="77777777" w:rsidR="00E22AF2" w:rsidRPr="00543264" w:rsidRDefault="00E22AF2" w:rsidP="006D5C38">
      <w:pPr>
        <w:pStyle w:val="CGCBullet1"/>
        <w:rPr>
          <w:rFonts w:ascii="Work Sans" w:hAnsi="Work Sans"/>
          <w:sz w:val="24"/>
          <w:szCs w:val="24"/>
        </w:rPr>
      </w:pPr>
      <w:r w:rsidRPr="00543264">
        <w:rPr>
          <w:rFonts w:ascii="Work Sans" w:hAnsi="Work Sans"/>
          <w:sz w:val="24"/>
          <w:szCs w:val="24"/>
        </w:rPr>
        <w:t>how the Commission measures states’ different needs</w:t>
      </w:r>
    </w:p>
    <w:p w14:paraId="2C8BF745" w14:textId="77777777" w:rsidR="00E22AF2" w:rsidRPr="00543264" w:rsidRDefault="00E22AF2" w:rsidP="006D5C38">
      <w:pPr>
        <w:pStyle w:val="CGCBullet1"/>
        <w:rPr>
          <w:rFonts w:ascii="Work Sans" w:hAnsi="Work Sans"/>
          <w:sz w:val="24"/>
          <w:szCs w:val="24"/>
        </w:rPr>
      </w:pPr>
      <w:r w:rsidRPr="00543264">
        <w:rPr>
          <w:rFonts w:ascii="Work Sans" w:hAnsi="Work Sans"/>
          <w:sz w:val="24"/>
          <w:szCs w:val="24"/>
        </w:rPr>
        <w:t>the main drivers of different needs across the country.</w:t>
      </w:r>
    </w:p>
    <w:p w14:paraId="189C8CB2" w14:textId="4E60D8B5" w:rsidR="00AD53D2" w:rsidRPr="00D91282" w:rsidRDefault="00E22AF2" w:rsidP="00543264">
      <w:pPr>
        <w:pStyle w:val="Heading3"/>
      </w:pPr>
      <w:r w:rsidRPr="00D91282">
        <w:t>The basis of GST distribution to the states</w:t>
      </w:r>
    </w:p>
    <w:p w14:paraId="04B8C008" w14:textId="6EE049B0" w:rsidR="007D2731" w:rsidRPr="00543264" w:rsidRDefault="00C41067" w:rsidP="009102B1">
      <w:pPr>
        <w:rPr>
          <w:rFonts w:ascii="Work Sans" w:hAnsi="Work Sans"/>
          <w:sz w:val="24"/>
          <w:szCs w:val="24"/>
        </w:rPr>
      </w:pPr>
      <w:r w:rsidRPr="00543264">
        <w:rPr>
          <w:rFonts w:ascii="Work Sans" w:hAnsi="Work Sans"/>
          <w:sz w:val="24"/>
          <w:szCs w:val="24"/>
        </w:rPr>
        <w:t>Australia</w:t>
      </w:r>
      <w:r w:rsidR="00E072E4" w:rsidRPr="00543264">
        <w:rPr>
          <w:rFonts w:ascii="Work Sans" w:hAnsi="Work Sans"/>
          <w:sz w:val="24"/>
          <w:szCs w:val="24"/>
        </w:rPr>
        <w:t xml:space="preserve"> has a </w:t>
      </w:r>
      <w:r w:rsidR="00DB2F4C" w:rsidRPr="00543264">
        <w:rPr>
          <w:rFonts w:ascii="Work Sans" w:hAnsi="Work Sans"/>
          <w:sz w:val="24"/>
          <w:szCs w:val="24"/>
        </w:rPr>
        <w:t>well-</w:t>
      </w:r>
      <w:r w:rsidR="00E072E4" w:rsidRPr="00543264">
        <w:rPr>
          <w:rFonts w:ascii="Work Sans" w:hAnsi="Work Sans"/>
          <w:sz w:val="24"/>
          <w:szCs w:val="24"/>
        </w:rPr>
        <w:t xml:space="preserve">established system of horizontal fiscal equalisation, where </w:t>
      </w:r>
      <w:r w:rsidR="00507992" w:rsidRPr="00543264">
        <w:rPr>
          <w:rFonts w:ascii="Work Sans" w:hAnsi="Work Sans"/>
          <w:sz w:val="24"/>
          <w:szCs w:val="24"/>
        </w:rPr>
        <w:t xml:space="preserve">state governments are </w:t>
      </w:r>
      <w:r w:rsidR="007C5953" w:rsidRPr="00543264">
        <w:rPr>
          <w:rFonts w:ascii="Work Sans" w:hAnsi="Work Sans"/>
          <w:sz w:val="24"/>
          <w:szCs w:val="24"/>
        </w:rPr>
        <w:t xml:space="preserve">given a similar </w:t>
      </w:r>
      <w:r w:rsidR="00993C3F" w:rsidRPr="00543264">
        <w:rPr>
          <w:rFonts w:ascii="Work Sans" w:hAnsi="Work Sans"/>
          <w:sz w:val="24"/>
          <w:szCs w:val="24"/>
        </w:rPr>
        <w:t>ability to</w:t>
      </w:r>
      <w:r w:rsidR="00D43A1A" w:rsidRPr="00543264">
        <w:rPr>
          <w:rFonts w:ascii="Work Sans" w:hAnsi="Work Sans"/>
          <w:sz w:val="24"/>
          <w:szCs w:val="24"/>
        </w:rPr>
        <w:t xml:space="preserve"> </w:t>
      </w:r>
      <w:r w:rsidR="00EE5B72" w:rsidRPr="00543264">
        <w:rPr>
          <w:rFonts w:ascii="Work Sans" w:hAnsi="Work Sans"/>
          <w:sz w:val="24"/>
          <w:szCs w:val="24"/>
        </w:rPr>
        <w:t xml:space="preserve">fund </w:t>
      </w:r>
      <w:r w:rsidR="00A2433E" w:rsidRPr="00543264">
        <w:rPr>
          <w:rFonts w:ascii="Work Sans" w:hAnsi="Work Sans"/>
          <w:sz w:val="24"/>
          <w:szCs w:val="24"/>
        </w:rPr>
        <w:t xml:space="preserve">services to their residents. </w:t>
      </w:r>
      <w:r w:rsidR="007B486F" w:rsidRPr="00543264">
        <w:rPr>
          <w:rFonts w:ascii="Work Sans" w:hAnsi="Work Sans"/>
          <w:sz w:val="24"/>
          <w:szCs w:val="24"/>
        </w:rPr>
        <w:t>The Commonwealth Grants Commission</w:t>
      </w:r>
      <w:r w:rsidR="0038372C" w:rsidRPr="00543264">
        <w:rPr>
          <w:rFonts w:ascii="Work Sans" w:hAnsi="Work Sans"/>
          <w:sz w:val="24"/>
          <w:szCs w:val="24"/>
        </w:rPr>
        <w:t xml:space="preserve"> (the Commission)</w:t>
      </w:r>
      <w:r w:rsidR="007B486F" w:rsidRPr="00543264">
        <w:rPr>
          <w:rFonts w:ascii="Work Sans" w:hAnsi="Work Sans"/>
          <w:sz w:val="24"/>
          <w:szCs w:val="24"/>
        </w:rPr>
        <w:t xml:space="preserve"> is an independent agency that </w:t>
      </w:r>
      <w:r w:rsidR="00962BA2" w:rsidRPr="00543264">
        <w:rPr>
          <w:rFonts w:ascii="Work Sans" w:hAnsi="Work Sans"/>
          <w:sz w:val="24"/>
          <w:szCs w:val="24"/>
        </w:rPr>
        <w:t xml:space="preserve">considers each state’s </w:t>
      </w:r>
      <w:r w:rsidR="00EA7D1C" w:rsidRPr="00543264">
        <w:rPr>
          <w:rFonts w:ascii="Work Sans" w:hAnsi="Work Sans"/>
          <w:sz w:val="24"/>
          <w:szCs w:val="24"/>
        </w:rPr>
        <w:t xml:space="preserve">circumstances and </w:t>
      </w:r>
      <w:r w:rsidR="00871966" w:rsidRPr="00543264">
        <w:rPr>
          <w:rFonts w:ascii="Work Sans" w:hAnsi="Work Sans"/>
          <w:sz w:val="24"/>
          <w:szCs w:val="24"/>
        </w:rPr>
        <w:t xml:space="preserve">identifies </w:t>
      </w:r>
      <w:r w:rsidR="00EE48B5" w:rsidRPr="00543264">
        <w:rPr>
          <w:rFonts w:ascii="Work Sans" w:hAnsi="Work Sans"/>
          <w:sz w:val="24"/>
          <w:szCs w:val="24"/>
        </w:rPr>
        <w:t xml:space="preserve">how much </w:t>
      </w:r>
      <w:r w:rsidR="00B57AF9" w:rsidRPr="00543264">
        <w:rPr>
          <w:rFonts w:ascii="Work Sans" w:hAnsi="Work Sans"/>
          <w:sz w:val="24"/>
          <w:szCs w:val="24"/>
        </w:rPr>
        <w:t xml:space="preserve">of the GST pool it requires. </w:t>
      </w:r>
      <w:r w:rsidR="00757964" w:rsidRPr="00543264">
        <w:rPr>
          <w:rFonts w:ascii="Work Sans" w:hAnsi="Work Sans"/>
          <w:sz w:val="24"/>
          <w:szCs w:val="24"/>
        </w:rPr>
        <w:t xml:space="preserve">It assesses </w:t>
      </w:r>
      <w:r w:rsidR="000A0672" w:rsidRPr="00543264">
        <w:rPr>
          <w:rFonts w:ascii="Work Sans" w:hAnsi="Work Sans"/>
          <w:sz w:val="24"/>
          <w:szCs w:val="24"/>
        </w:rPr>
        <w:t xml:space="preserve">the circumstances of one state </w:t>
      </w:r>
      <w:r w:rsidR="00757964" w:rsidRPr="00543264">
        <w:rPr>
          <w:rFonts w:ascii="Work Sans" w:hAnsi="Work Sans"/>
          <w:i/>
          <w:sz w:val="24"/>
          <w:szCs w:val="24"/>
        </w:rPr>
        <w:t>relative</w:t>
      </w:r>
      <w:r w:rsidR="00757964" w:rsidRPr="00543264">
        <w:rPr>
          <w:rFonts w:ascii="Work Sans" w:hAnsi="Work Sans"/>
          <w:sz w:val="24"/>
          <w:szCs w:val="24"/>
        </w:rPr>
        <w:t xml:space="preserve"> </w:t>
      </w:r>
      <w:r w:rsidR="000A0672" w:rsidRPr="00543264">
        <w:rPr>
          <w:rFonts w:ascii="Work Sans" w:hAnsi="Work Sans"/>
          <w:sz w:val="24"/>
          <w:szCs w:val="24"/>
        </w:rPr>
        <w:t xml:space="preserve">to the circumstances of the others. This means that </w:t>
      </w:r>
      <w:r w:rsidR="0031617F" w:rsidRPr="00543264">
        <w:rPr>
          <w:rFonts w:ascii="Work Sans" w:hAnsi="Work Sans"/>
          <w:sz w:val="24"/>
          <w:szCs w:val="24"/>
        </w:rPr>
        <w:t xml:space="preserve">if some states can raise </w:t>
      </w:r>
      <w:r w:rsidR="003573CA" w:rsidRPr="00543264">
        <w:rPr>
          <w:rFonts w:ascii="Work Sans" w:hAnsi="Work Sans"/>
          <w:sz w:val="24"/>
          <w:szCs w:val="24"/>
        </w:rPr>
        <w:t>less</w:t>
      </w:r>
      <w:r w:rsidR="0031617F" w:rsidRPr="00543264">
        <w:rPr>
          <w:rFonts w:ascii="Work Sans" w:hAnsi="Work Sans"/>
          <w:sz w:val="24"/>
          <w:szCs w:val="24"/>
        </w:rPr>
        <w:t xml:space="preserve"> revenue</w:t>
      </w:r>
      <w:r w:rsidR="003C05D3" w:rsidRPr="00543264">
        <w:rPr>
          <w:rFonts w:ascii="Work Sans" w:hAnsi="Work Sans"/>
          <w:sz w:val="24"/>
          <w:szCs w:val="24"/>
        </w:rPr>
        <w:t xml:space="preserve"> than others</w:t>
      </w:r>
      <w:r w:rsidR="00B731E7" w:rsidRPr="00543264">
        <w:rPr>
          <w:rFonts w:ascii="Work Sans" w:hAnsi="Work Sans"/>
          <w:sz w:val="24"/>
          <w:szCs w:val="24"/>
        </w:rPr>
        <w:t xml:space="preserve"> with the same effort</w:t>
      </w:r>
      <w:r w:rsidR="0031617F" w:rsidRPr="00543264">
        <w:rPr>
          <w:rFonts w:ascii="Work Sans" w:hAnsi="Work Sans"/>
          <w:sz w:val="24"/>
          <w:szCs w:val="24"/>
        </w:rPr>
        <w:t xml:space="preserve">, </w:t>
      </w:r>
      <w:r w:rsidR="00667249" w:rsidRPr="00543264">
        <w:rPr>
          <w:rFonts w:ascii="Work Sans" w:hAnsi="Work Sans"/>
          <w:sz w:val="24"/>
          <w:szCs w:val="24"/>
        </w:rPr>
        <w:t>the</w:t>
      </w:r>
      <w:r w:rsidR="003573CA" w:rsidRPr="00543264">
        <w:rPr>
          <w:rFonts w:ascii="Work Sans" w:hAnsi="Work Sans"/>
          <w:sz w:val="24"/>
          <w:szCs w:val="24"/>
        </w:rPr>
        <w:t>y</w:t>
      </w:r>
      <w:r w:rsidR="00667249" w:rsidRPr="00543264">
        <w:rPr>
          <w:rFonts w:ascii="Work Sans" w:hAnsi="Work Sans"/>
          <w:sz w:val="24"/>
          <w:szCs w:val="24"/>
        </w:rPr>
        <w:t xml:space="preserve"> are </w:t>
      </w:r>
      <w:r w:rsidR="00DB2467" w:rsidRPr="00543264">
        <w:rPr>
          <w:rFonts w:ascii="Work Sans" w:hAnsi="Work Sans"/>
          <w:sz w:val="24"/>
          <w:szCs w:val="24"/>
        </w:rPr>
        <w:t xml:space="preserve">given more GST revenue. The same is true where some states </w:t>
      </w:r>
      <w:r w:rsidR="00DF7B9C" w:rsidRPr="00543264">
        <w:rPr>
          <w:rFonts w:ascii="Work Sans" w:hAnsi="Work Sans"/>
          <w:sz w:val="24"/>
          <w:szCs w:val="24"/>
        </w:rPr>
        <w:t>face higher service delivery</w:t>
      </w:r>
      <w:r w:rsidR="00DB2467" w:rsidRPr="00543264">
        <w:rPr>
          <w:rFonts w:ascii="Work Sans" w:hAnsi="Work Sans"/>
          <w:sz w:val="24"/>
          <w:szCs w:val="24"/>
        </w:rPr>
        <w:t xml:space="preserve"> </w:t>
      </w:r>
      <w:r w:rsidR="00EE4B5E" w:rsidRPr="00543264">
        <w:rPr>
          <w:rFonts w:ascii="Work Sans" w:hAnsi="Work Sans"/>
          <w:sz w:val="24"/>
          <w:szCs w:val="24"/>
        </w:rPr>
        <w:t>costs</w:t>
      </w:r>
      <w:r w:rsidR="001A0FF9" w:rsidRPr="00543264">
        <w:rPr>
          <w:rFonts w:ascii="Work Sans" w:hAnsi="Work Sans"/>
          <w:sz w:val="24"/>
          <w:szCs w:val="24"/>
        </w:rPr>
        <w:t>.</w:t>
      </w:r>
    </w:p>
    <w:p w14:paraId="4D6FFE48" w14:textId="26EBEE61" w:rsidR="009102B1" w:rsidRPr="00543264" w:rsidRDefault="009102B1" w:rsidP="009102B1">
      <w:pPr>
        <w:rPr>
          <w:rFonts w:ascii="Work Sans" w:hAnsi="Work Sans"/>
          <w:sz w:val="24"/>
          <w:szCs w:val="24"/>
        </w:rPr>
      </w:pPr>
      <w:r w:rsidRPr="00543264">
        <w:rPr>
          <w:rFonts w:ascii="Work Sans" w:hAnsi="Work Sans"/>
          <w:sz w:val="24"/>
          <w:szCs w:val="24"/>
        </w:rPr>
        <w:t>In 2018 the Australian Parliament legislated a change in the arrangements for distributing GST to the states. The transition to the new approach commenced in 2021-22.</w:t>
      </w:r>
      <w:r w:rsidRPr="00543264">
        <w:rPr>
          <w:rStyle w:val="FootnoteReference"/>
          <w:rFonts w:ascii="Work Sans" w:hAnsi="Work Sans"/>
          <w:sz w:val="24"/>
          <w:szCs w:val="24"/>
          <w:lang w:val="en-GB"/>
        </w:rPr>
        <w:footnoteReference w:id="2"/>
      </w:r>
      <w:r w:rsidRPr="00543264">
        <w:rPr>
          <w:rFonts w:ascii="Work Sans" w:hAnsi="Work Sans"/>
          <w:sz w:val="24"/>
          <w:szCs w:val="24"/>
          <w:lang w:val="en-GB"/>
        </w:rPr>
        <w:t xml:space="preserve"> </w:t>
      </w:r>
    </w:p>
    <w:p w14:paraId="5C7AF7C8" w14:textId="2A10B60C" w:rsidR="009102B1" w:rsidRPr="00543264" w:rsidRDefault="009102B1" w:rsidP="009102B1">
      <w:pPr>
        <w:rPr>
          <w:rFonts w:ascii="Work Sans" w:hAnsi="Work Sans"/>
          <w:sz w:val="24"/>
          <w:szCs w:val="24"/>
        </w:rPr>
      </w:pPr>
      <w:r w:rsidRPr="00543264">
        <w:rPr>
          <w:rFonts w:ascii="Work Sans" w:hAnsi="Work Sans"/>
          <w:sz w:val="24"/>
          <w:szCs w:val="24"/>
        </w:rPr>
        <w:t xml:space="preserve">Previously, equalisation gave each state the fiscal capacity of the fiscally strongest state to provide services. </w:t>
      </w:r>
    </w:p>
    <w:p w14:paraId="3E81AD72" w14:textId="77777777" w:rsidR="008610DF" w:rsidRPr="00543264" w:rsidRDefault="009102B1" w:rsidP="00EF5D85">
      <w:pPr>
        <w:pStyle w:val="CGCBullet1"/>
        <w:rPr>
          <w:rFonts w:ascii="Work Sans" w:hAnsi="Work Sans"/>
          <w:sz w:val="24"/>
          <w:szCs w:val="24"/>
        </w:rPr>
      </w:pPr>
      <w:r w:rsidRPr="00543264">
        <w:rPr>
          <w:rFonts w:ascii="Work Sans" w:hAnsi="Work Sans"/>
          <w:sz w:val="24"/>
          <w:szCs w:val="24"/>
        </w:rPr>
        <w:t>The new equalisation arrangements ensure that each state’s GST relativity is at least as high as the relativity of the fiscally stronger of New South Wales or Victoria (referred to as the ‘standard state’). This means no state will receive less GST per person than the standard state.</w:t>
      </w:r>
    </w:p>
    <w:p w14:paraId="41E833D5" w14:textId="7BC48DD2" w:rsidR="00AD53D2" w:rsidRPr="00D91282" w:rsidRDefault="009102B1" w:rsidP="00543264">
      <w:pPr>
        <w:pStyle w:val="Heading3"/>
      </w:pPr>
      <w:r w:rsidRPr="00D91282">
        <w:t xml:space="preserve">Calculating states’ </w:t>
      </w:r>
      <w:r w:rsidRPr="00543264">
        <w:t>different</w:t>
      </w:r>
      <w:r w:rsidRPr="00D91282">
        <w:t xml:space="preserve"> needs</w:t>
      </w:r>
    </w:p>
    <w:p w14:paraId="2B54AAC3" w14:textId="742C81DA" w:rsidR="00224A04" w:rsidRPr="00543264" w:rsidRDefault="00224A04" w:rsidP="00224A04">
      <w:pPr>
        <w:rPr>
          <w:rFonts w:ascii="Work Sans" w:hAnsi="Work Sans"/>
          <w:sz w:val="24"/>
          <w:szCs w:val="24"/>
        </w:rPr>
      </w:pPr>
      <w:r w:rsidRPr="00543264">
        <w:rPr>
          <w:rFonts w:ascii="Work Sans" w:hAnsi="Work Sans"/>
          <w:sz w:val="24"/>
          <w:szCs w:val="24"/>
        </w:rPr>
        <w:t xml:space="preserve">The Commission estimates the amount states </w:t>
      </w:r>
      <w:r w:rsidR="00155232" w:rsidRPr="00543264">
        <w:rPr>
          <w:rFonts w:ascii="Work Sans" w:hAnsi="Work Sans"/>
          <w:sz w:val="24"/>
          <w:szCs w:val="24"/>
        </w:rPr>
        <w:t xml:space="preserve">would </w:t>
      </w:r>
      <w:r w:rsidRPr="00543264">
        <w:rPr>
          <w:rFonts w:ascii="Work Sans" w:hAnsi="Work Sans"/>
          <w:sz w:val="24"/>
          <w:szCs w:val="24"/>
        </w:rPr>
        <w:t xml:space="preserve">need </w:t>
      </w:r>
      <w:r w:rsidR="00921B6F" w:rsidRPr="00543264">
        <w:rPr>
          <w:rFonts w:ascii="Work Sans" w:hAnsi="Work Sans"/>
          <w:sz w:val="24"/>
          <w:szCs w:val="24"/>
        </w:rPr>
        <w:t xml:space="preserve">if they are </w:t>
      </w:r>
      <w:r w:rsidRPr="00543264">
        <w:rPr>
          <w:rFonts w:ascii="Work Sans" w:hAnsi="Work Sans"/>
          <w:sz w:val="24"/>
          <w:szCs w:val="24"/>
        </w:rPr>
        <w:t xml:space="preserve">to </w:t>
      </w:r>
      <w:r w:rsidR="000B6411" w:rsidRPr="00543264">
        <w:rPr>
          <w:rFonts w:ascii="Work Sans" w:hAnsi="Work Sans"/>
          <w:sz w:val="24"/>
          <w:szCs w:val="24"/>
        </w:rPr>
        <w:t xml:space="preserve">have the </w:t>
      </w:r>
      <w:r w:rsidR="009B3D33" w:rsidRPr="00543264">
        <w:rPr>
          <w:rFonts w:ascii="Work Sans" w:hAnsi="Work Sans"/>
          <w:sz w:val="24"/>
          <w:szCs w:val="24"/>
        </w:rPr>
        <w:t xml:space="preserve">same </w:t>
      </w:r>
      <w:r w:rsidR="000B6411" w:rsidRPr="00543264">
        <w:rPr>
          <w:rFonts w:ascii="Work Sans" w:hAnsi="Work Sans"/>
          <w:sz w:val="24"/>
          <w:szCs w:val="24"/>
        </w:rPr>
        <w:t xml:space="preserve">capacity </w:t>
      </w:r>
      <w:r w:rsidR="009F34A8" w:rsidRPr="00543264">
        <w:rPr>
          <w:rFonts w:ascii="Work Sans" w:hAnsi="Work Sans"/>
          <w:sz w:val="24"/>
          <w:szCs w:val="24"/>
        </w:rPr>
        <w:t xml:space="preserve">to </w:t>
      </w:r>
      <w:r w:rsidRPr="00543264">
        <w:rPr>
          <w:rFonts w:ascii="Work Sans" w:hAnsi="Work Sans"/>
          <w:sz w:val="24"/>
          <w:szCs w:val="24"/>
        </w:rPr>
        <w:t>provide services, and the revenue each c</w:t>
      </w:r>
      <w:r w:rsidR="00155232" w:rsidRPr="00543264">
        <w:rPr>
          <w:rFonts w:ascii="Work Sans" w:hAnsi="Work Sans"/>
          <w:sz w:val="24"/>
          <w:szCs w:val="24"/>
        </w:rPr>
        <w:t>ould</w:t>
      </w:r>
      <w:r w:rsidRPr="00543264">
        <w:rPr>
          <w:rFonts w:ascii="Work Sans" w:hAnsi="Work Sans"/>
          <w:sz w:val="24"/>
          <w:szCs w:val="24"/>
        </w:rPr>
        <w:t xml:space="preserve"> access </w:t>
      </w:r>
      <w:r w:rsidR="00155232" w:rsidRPr="00543264">
        <w:rPr>
          <w:rFonts w:ascii="Work Sans" w:hAnsi="Work Sans"/>
          <w:sz w:val="24"/>
          <w:szCs w:val="24"/>
        </w:rPr>
        <w:t>with the same rev</w:t>
      </w:r>
      <w:r w:rsidR="00377BE4" w:rsidRPr="00543264">
        <w:rPr>
          <w:rFonts w:ascii="Work Sans" w:hAnsi="Work Sans"/>
          <w:sz w:val="24"/>
          <w:szCs w:val="24"/>
        </w:rPr>
        <w:t xml:space="preserve">enue effort </w:t>
      </w:r>
      <w:r w:rsidRPr="00543264">
        <w:rPr>
          <w:rFonts w:ascii="Work Sans" w:hAnsi="Work Sans"/>
          <w:sz w:val="24"/>
          <w:szCs w:val="24"/>
        </w:rPr>
        <w:t xml:space="preserve">(such as taxes and royalties, and Commonwealth payments for specific purposes). A state with a small gap between the amount it needs to spend and the revenue it can access will need a smaller share of GST. A state with a large gap will need a larger share. </w:t>
      </w:r>
    </w:p>
    <w:p w14:paraId="6A27D055" w14:textId="028E4474" w:rsidR="00224A04" w:rsidRPr="00543264" w:rsidRDefault="00224A04" w:rsidP="00224A04">
      <w:pPr>
        <w:rPr>
          <w:rFonts w:ascii="Work Sans" w:hAnsi="Work Sans"/>
          <w:sz w:val="24"/>
          <w:szCs w:val="24"/>
        </w:rPr>
      </w:pPr>
      <w:r w:rsidRPr="00543264">
        <w:rPr>
          <w:rFonts w:ascii="Work Sans" w:hAnsi="Work Sans"/>
          <w:sz w:val="24"/>
          <w:szCs w:val="24"/>
        </w:rPr>
        <w:t xml:space="preserve">As outlined in </w:t>
      </w:r>
      <w:r w:rsidRPr="00543264">
        <w:rPr>
          <w:rFonts w:ascii="Work Sans" w:hAnsi="Work Sans"/>
          <w:sz w:val="24"/>
          <w:szCs w:val="24"/>
        </w:rPr>
        <w:fldChar w:fldCharType="begin"/>
      </w:r>
      <w:r w:rsidRPr="00543264">
        <w:rPr>
          <w:rFonts w:ascii="Work Sans" w:hAnsi="Work Sans"/>
          <w:sz w:val="24"/>
          <w:szCs w:val="24"/>
        </w:rPr>
        <w:instrText xml:space="preserve"> REF _Ref78797834 \h  \* MERGEFORMAT </w:instrText>
      </w:r>
      <w:r w:rsidRPr="00543264">
        <w:rPr>
          <w:rFonts w:ascii="Work Sans" w:hAnsi="Work Sans"/>
          <w:sz w:val="24"/>
          <w:szCs w:val="24"/>
        </w:rPr>
      </w:r>
      <w:r w:rsidRPr="00543264">
        <w:rPr>
          <w:rFonts w:ascii="Work Sans" w:hAnsi="Work Sans"/>
          <w:sz w:val="24"/>
          <w:szCs w:val="24"/>
        </w:rPr>
        <w:fldChar w:fldCharType="separate"/>
      </w:r>
      <w:r w:rsidR="00CE6FC4" w:rsidRPr="00CE6FC4">
        <w:rPr>
          <w:rFonts w:ascii="Work Sans" w:hAnsi="Work Sans"/>
          <w:sz w:val="24"/>
          <w:szCs w:val="24"/>
        </w:rPr>
        <w:t xml:space="preserve">Figure </w:t>
      </w:r>
      <w:r w:rsidR="00CE6FC4" w:rsidRPr="00CE6FC4">
        <w:rPr>
          <w:rFonts w:ascii="Work Sans" w:hAnsi="Work Sans"/>
          <w:noProof/>
          <w:sz w:val="24"/>
          <w:szCs w:val="24"/>
        </w:rPr>
        <w:t>1</w:t>
      </w:r>
      <w:r w:rsidRPr="00543264">
        <w:rPr>
          <w:rFonts w:ascii="Work Sans" w:hAnsi="Work Sans"/>
          <w:sz w:val="24"/>
          <w:szCs w:val="24"/>
        </w:rPr>
        <w:fldChar w:fldCharType="end"/>
      </w:r>
      <w:r w:rsidRPr="00543264">
        <w:rPr>
          <w:rFonts w:ascii="Work Sans" w:hAnsi="Work Sans"/>
          <w:sz w:val="24"/>
          <w:szCs w:val="24"/>
        </w:rPr>
        <w:t>, the Northern Territory has a large gap (more than $</w:t>
      </w:r>
      <w:r w:rsidR="00237E84" w:rsidRPr="00543264">
        <w:rPr>
          <w:rFonts w:ascii="Work Sans" w:hAnsi="Work Sans"/>
          <w:sz w:val="24"/>
          <w:szCs w:val="24"/>
        </w:rPr>
        <w:t>12</w:t>
      </w:r>
      <w:r w:rsidRPr="00543264">
        <w:rPr>
          <w:rFonts w:ascii="Work Sans" w:hAnsi="Work Sans"/>
          <w:sz w:val="24"/>
          <w:szCs w:val="24"/>
        </w:rPr>
        <w:t>,000 per person), largely because of its high expense needs</w:t>
      </w:r>
      <w:r w:rsidR="00C95A97" w:rsidRPr="00543264">
        <w:rPr>
          <w:rFonts w:ascii="Work Sans" w:hAnsi="Work Sans"/>
          <w:sz w:val="24"/>
          <w:szCs w:val="24"/>
        </w:rPr>
        <w:t xml:space="preserve">. </w:t>
      </w:r>
      <w:r w:rsidRPr="00543264">
        <w:rPr>
          <w:rFonts w:ascii="Work Sans" w:hAnsi="Work Sans"/>
          <w:sz w:val="24"/>
          <w:szCs w:val="24"/>
        </w:rPr>
        <w:t>Western Australia has a small gap, largely because of its high revenue raising capacity.</w:t>
      </w:r>
    </w:p>
    <w:p w14:paraId="2074FB7F" w14:textId="08C9F947" w:rsidR="00907F5B" w:rsidRPr="001E6CD0" w:rsidRDefault="00907F5B" w:rsidP="001E6CD0">
      <w:pPr>
        <w:pStyle w:val="Caption"/>
      </w:pPr>
      <w:bookmarkStart w:id="1" w:name="_Ref78797834"/>
      <w:r w:rsidRPr="001E6CD0">
        <w:lastRenderedPageBreak/>
        <w:t xml:space="preserve">Figure </w:t>
      </w:r>
      <w:r w:rsidRPr="001E6CD0">
        <w:fldChar w:fldCharType="begin"/>
      </w:r>
      <w:r w:rsidRPr="001E6CD0">
        <w:instrText>SEQ Figure \* ARABIC</w:instrText>
      </w:r>
      <w:r w:rsidRPr="001E6CD0">
        <w:fldChar w:fldCharType="separate"/>
      </w:r>
      <w:r w:rsidR="00CE6FC4">
        <w:rPr>
          <w:noProof/>
        </w:rPr>
        <w:t>1</w:t>
      </w:r>
      <w:r w:rsidRPr="001E6CD0">
        <w:fldChar w:fldCharType="end"/>
      </w:r>
      <w:bookmarkEnd w:id="1"/>
      <w:r w:rsidRPr="001E6CD0">
        <w:tab/>
        <w:t>Estimated assessed state budgets per capita, 2021-22</w:t>
      </w:r>
    </w:p>
    <w:p w14:paraId="21BC5A89" w14:textId="0E48A545" w:rsidR="00343BC3" w:rsidRPr="00D91282" w:rsidRDefault="00CF416C" w:rsidP="00224A04">
      <w:r w:rsidRPr="00D91282">
        <w:rPr>
          <w:noProof/>
        </w:rPr>
        <w:drawing>
          <wp:inline distT="0" distB="0" distL="0" distR="0" wp14:anchorId="5FC4FFFD" wp14:editId="70692F4E">
            <wp:extent cx="5663565" cy="3578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3565" cy="3578860"/>
                    </a:xfrm>
                    <a:prstGeom prst="rect">
                      <a:avLst/>
                    </a:prstGeom>
                    <a:noFill/>
                  </pic:spPr>
                </pic:pic>
              </a:graphicData>
            </a:graphic>
          </wp:inline>
        </w:drawing>
      </w:r>
    </w:p>
    <w:p w14:paraId="76AC20E4" w14:textId="2A27D691" w:rsidR="00E5183A" w:rsidRPr="00AC6C54" w:rsidRDefault="00E5183A" w:rsidP="00AC6C54">
      <w:pPr>
        <w:pStyle w:val="CGCTablenote"/>
      </w:pPr>
      <w:r w:rsidRPr="00AC6C54">
        <w:t xml:space="preserve">Note: </w:t>
      </w:r>
      <w:r w:rsidRPr="00AC6C54">
        <w:tab/>
      </w:r>
      <w:r w:rsidR="009E474A" w:rsidRPr="00AC6C54">
        <w:tab/>
      </w:r>
      <w:r w:rsidRPr="00AC6C54">
        <w:t>These are assessed expenditures, own-source revenue and net borrowing, and actual Commonwealth payments.</w:t>
      </w:r>
    </w:p>
    <w:p w14:paraId="4476D4D9" w14:textId="45B5B172" w:rsidR="00E5183A" w:rsidRPr="00AC6C54" w:rsidRDefault="00E5183A" w:rsidP="00AC6C54">
      <w:pPr>
        <w:pStyle w:val="CGCTablenote"/>
      </w:pPr>
      <w:r w:rsidRPr="00AC6C54">
        <w:tab/>
      </w:r>
      <w:r w:rsidR="009E474A" w:rsidRPr="00AC6C54">
        <w:tab/>
      </w:r>
      <w:r w:rsidRPr="00AC6C54">
        <w:t xml:space="preserve">The CGC uses data from previous years to calculate the GST required in any given year. This paper looks at trends over time in the GST distribution. Dates refer to the year of the GST allocation. </w:t>
      </w:r>
      <w:r w:rsidR="004256BF" w:rsidRPr="00AC6C54">
        <w:t xml:space="preserve">Therefore, </w:t>
      </w:r>
      <w:r w:rsidRPr="00AC6C54">
        <w:t>references to 2021-22 refer to the</w:t>
      </w:r>
      <w:r w:rsidR="0049478E" w:rsidRPr="00AC6C54">
        <w:t xml:space="preserve"> 2021 </w:t>
      </w:r>
      <w:r w:rsidR="0085505E" w:rsidRPr="00AC6C54">
        <w:t>Update calculations determining</w:t>
      </w:r>
      <w:r w:rsidRPr="00AC6C54">
        <w:t xml:space="preserve"> GST distributed in 2021</w:t>
      </w:r>
      <w:r w:rsidR="008435EE" w:rsidRPr="00AC6C54">
        <w:noBreakHyphen/>
      </w:r>
      <w:r w:rsidRPr="00AC6C54">
        <w:t>22, based on the circumstances prevailing in 2017</w:t>
      </w:r>
      <w:r w:rsidRPr="00AC6C54">
        <w:noBreakHyphen/>
        <w:t xml:space="preserve">18, 2018-19, 2019-20. </w:t>
      </w:r>
    </w:p>
    <w:p w14:paraId="1DD052CA" w14:textId="5E42CECE" w:rsidR="00E5183A" w:rsidRPr="00AC6C54" w:rsidRDefault="003E4EC5" w:rsidP="00AC6C54">
      <w:pPr>
        <w:pStyle w:val="CGCTablenote"/>
      </w:pPr>
      <w:r w:rsidRPr="00AC6C54">
        <w:t>(a)</w:t>
      </w:r>
      <w:r w:rsidR="009E474A" w:rsidRPr="00AC6C54">
        <w:tab/>
      </w:r>
      <w:r w:rsidR="009E474A" w:rsidRPr="00AC6C54">
        <w:tab/>
      </w:r>
      <w:r w:rsidR="00E5183A" w:rsidRPr="00AC6C54">
        <w:t>Includes expenses and investment.</w:t>
      </w:r>
    </w:p>
    <w:p w14:paraId="5C04CD92" w14:textId="6369DF3C" w:rsidR="00E5183A" w:rsidRPr="00AC6C54" w:rsidRDefault="00E5183A" w:rsidP="00AC6C54">
      <w:pPr>
        <w:pStyle w:val="CGCTablenote"/>
      </w:pPr>
      <w:r w:rsidRPr="00AC6C54">
        <w:t xml:space="preserve">Source: </w:t>
      </w:r>
      <w:r w:rsidRPr="00AC6C54">
        <w:tab/>
      </w:r>
      <w:r w:rsidR="009E474A" w:rsidRPr="00AC6C54">
        <w:tab/>
      </w:r>
      <w:r w:rsidRPr="00AC6C54">
        <w:t>Commission calculation, 2021 Update.</w:t>
      </w:r>
    </w:p>
    <w:p w14:paraId="10348C17" w14:textId="77777777" w:rsidR="002D1360" w:rsidRPr="009916B3" w:rsidRDefault="002D1360" w:rsidP="002D1360">
      <w:pPr>
        <w:rPr>
          <w:rFonts w:ascii="Work Sans" w:hAnsi="Work Sans"/>
          <w:sz w:val="24"/>
          <w:szCs w:val="24"/>
        </w:rPr>
      </w:pPr>
      <w:r w:rsidRPr="009916B3">
        <w:rPr>
          <w:rFonts w:ascii="Work Sans" w:hAnsi="Work Sans"/>
          <w:sz w:val="24"/>
          <w:szCs w:val="24"/>
        </w:rPr>
        <w:t xml:space="preserve">States’ characteristics differ, and this affects their cost of providing services. The Commission estimates </w:t>
      </w:r>
      <w:r w:rsidRPr="009916B3">
        <w:rPr>
          <w:rFonts w:ascii="Work Sans" w:hAnsi="Work Sans"/>
          <w:b/>
          <w:bCs/>
          <w:sz w:val="24"/>
          <w:szCs w:val="24"/>
        </w:rPr>
        <w:t>expenditure and investment</w:t>
      </w:r>
      <w:r w:rsidRPr="009916B3">
        <w:rPr>
          <w:rFonts w:ascii="Work Sans" w:hAnsi="Work Sans"/>
          <w:sz w:val="24"/>
          <w:szCs w:val="24"/>
        </w:rPr>
        <w:t xml:space="preserve"> requirements across state government services, including schools, health, housing, </w:t>
      </w:r>
      <w:r w:rsidRPr="009916B3" w:rsidDel="00ED7A83">
        <w:rPr>
          <w:rFonts w:ascii="Work Sans" w:hAnsi="Work Sans"/>
          <w:sz w:val="24"/>
          <w:szCs w:val="24"/>
        </w:rPr>
        <w:t>roads</w:t>
      </w:r>
      <w:r w:rsidRPr="009916B3">
        <w:rPr>
          <w:rFonts w:ascii="Work Sans" w:hAnsi="Work Sans"/>
          <w:sz w:val="24"/>
          <w:szCs w:val="24"/>
        </w:rPr>
        <w:t xml:space="preserve">, and public transport. </w:t>
      </w:r>
    </w:p>
    <w:p w14:paraId="4AEF129D" w14:textId="01718E3C" w:rsidR="002D1360" w:rsidRPr="009916B3" w:rsidRDefault="002D1360" w:rsidP="002D1360">
      <w:pPr>
        <w:rPr>
          <w:rFonts w:ascii="Work Sans" w:hAnsi="Work Sans"/>
          <w:sz w:val="24"/>
          <w:szCs w:val="24"/>
        </w:rPr>
      </w:pPr>
      <w:r w:rsidRPr="009916B3">
        <w:rPr>
          <w:rFonts w:ascii="Work Sans" w:hAnsi="Work Sans"/>
          <w:sz w:val="24"/>
          <w:szCs w:val="24"/>
        </w:rPr>
        <w:t>Where people live, Indigenous status and socio-economic status influence the cost of providing state services. For example, it is more costly to provide school education to children living in remote areas of Australia. South Australia has a higher proportion of these children than New South Wales. This means that the average school education cost per student is lower in New South Wales than in South</w:t>
      </w:r>
      <w:r w:rsidR="00742FCB" w:rsidRPr="009916B3">
        <w:rPr>
          <w:rFonts w:ascii="Work Sans" w:hAnsi="Work Sans"/>
          <w:sz w:val="24"/>
          <w:szCs w:val="24"/>
        </w:rPr>
        <w:t> </w:t>
      </w:r>
      <w:r w:rsidRPr="009916B3">
        <w:rPr>
          <w:rFonts w:ascii="Work Sans" w:hAnsi="Work Sans"/>
          <w:sz w:val="24"/>
          <w:szCs w:val="24"/>
        </w:rPr>
        <w:t>Australia. All other things being equal, South Australia requires a higher share of GST than N</w:t>
      </w:r>
      <w:r w:rsidR="00AA5FBA" w:rsidRPr="009916B3">
        <w:rPr>
          <w:rFonts w:ascii="Work Sans" w:hAnsi="Work Sans"/>
          <w:sz w:val="24"/>
          <w:szCs w:val="24"/>
        </w:rPr>
        <w:t>ew</w:t>
      </w:r>
      <w:r w:rsidR="00742FCB" w:rsidRPr="009916B3">
        <w:rPr>
          <w:rFonts w:ascii="Work Sans" w:hAnsi="Work Sans"/>
          <w:sz w:val="24"/>
          <w:szCs w:val="24"/>
        </w:rPr>
        <w:t> </w:t>
      </w:r>
      <w:r w:rsidR="00AA5FBA" w:rsidRPr="009916B3">
        <w:rPr>
          <w:rFonts w:ascii="Work Sans" w:hAnsi="Work Sans"/>
          <w:sz w:val="24"/>
          <w:szCs w:val="24"/>
        </w:rPr>
        <w:t>South Wales</w:t>
      </w:r>
      <w:r w:rsidRPr="009916B3">
        <w:rPr>
          <w:rFonts w:ascii="Work Sans" w:hAnsi="Work Sans"/>
          <w:sz w:val="24"/>
          <w:szCs w:val="24"/>
        </w:rPr>
        <w:t xml:space="preserve"> in recognition of the higher costs of school education in South Australia.</w:t>
      </w:r>
    </w:p>
    <w:p w14:paraId="50A9FD15" w14:textId="7C0668E8" w:rsidR="002D1360" w:rsidRPr="009916B3" w:rsidRDefault="002D1360" w:rsidP="002D1360">
      <w:pPr>
        <w:rPr>
          <w:rFonts w:ascii="Work Sans" w:hAnsi="Work Sans"/>
          <w:sz w:val="24"/>
          <w:szCs w:val="24"/>
        </w:rPr>
      </w:pPr>
      <w:r w:rsidRPr="009916B3">
        <w:rPr>
          <w:rFonts w:ascii="Work Sans" w:hAnsi="Work Sans"/>
          <w:sz w:val="24"/>
          <w:szCs w:val="24"/>
        </w:rPr>
        <w:t xml:space="preserve">Other significant influences on expenses are wage costs, head office </w:t>
      </w:r>
      <w:r w:rsidR="007C59EE" w:rsidRPr="009916B3">
        <w:rPr>
          <w:rFonts w:ascii="Work Sans" w:hAnsi="Work Sans"/>
          <w:sz w:val="24"/>
          <w:szCs w:val="24"/>
        </w:rPr>
        <w:t xml:space="preserve">overhead </w:t>
      </w:r>
      <w:r w:rsidRPr="009916B3">
        <w:rPr>
          <w:rFonts w:ascii="Work Sans" w:hAnsi="Work Sans"/>
          <w:sz w:val="24"/>
          <w:szCs w:val="24"/>
        </w:rPr>
        <w:t>costs and urban transport costs.</w:t>
      </w:r>
    </w:p>
    <w:p w14:paraId="245EE59F" w14:textId="77777777" w:rsidR="002D1360" w:rsidRPr="009916B3" w:rsidRDefault="002D1360" w:rsidP="002D1360">
      <w:pPr>
        <w:rPr>
          <w:rFonts w:ascii="Work Sans" w:hAnsi="Work Sans"/>
          <w:sz w:val="24"/>
          <w:szCs w:val="24"/>
        </w:rPr>
      </w:pPr>
      <w:r w:rsidRPr="009916B3">
        <w:rPr>
          <w:rFonts w:ascii="Work Sans" w:hAnsi="Work Sans"/>
          <w:sz w:val="24"/>
          <w:szCs w:val="24"/>
        </w:rPr>
        <w:t xml:space="preserve">The Commission also considers each state’s capacity to raise </w:t>
      </w:r>
      <w:r w:rsidRPr="009916B3">
        <w:rPr>
          <w:rFonts w:ascii="Work Sans" w:hAnsi="Work Sans"/>
          <w:b/>
          <w:bCs/>
          <w:sz w:val="24"/>
          <w:szCs w:val="24"/>
        </w:rPr>
        <w:t>revenue</w:t>
      </w:r>
      <w:r w:rsidRPr="009916B3">
        <w:rPr>
          <w:rFonts w:ascii="Work Sans" w:hAnsi="Work Sans"/>
          <w:sz w:val="24"/>
          <w:szCs w:val="24"/>
        </w:rPr>
        <w:t>. This includes taxes, royalties, fees, fines, and dividends from government corporations. It also covers most Commonwealth payments for specific purposes, such as National Health Reform funding and Quality Schools Funding payments.</w:t>
      </w:r>
    </w:p>
    <w:p w14:paraId="679BDA2E" w14:textId="77777777" w:rsidR="002D1360" w:rsidRPr="009916B3" w:rsidRDefault="002D1360" w:rsidP="002D1360">
      <w:pPr>
        <w:rPr>
          <w:rFonts w:ascii="Work Sans" w:hAnsi="Work Sans"/>
          <w:sz w:val="24"/>
          <w:szCs w:val="24"/>
        </w:rPr>
      </w:pPr>
      <w:r w:rsidRPr="009916B3">
        <w:rPr>
          <w:rFonts w:ascii="Work Sans" w:hAnsi="Work Sans"/>
          <w:sz w:val="24"/>
          <w:szCs w:val="24"/>
        </w:rPr>
        <w:lastRenderedPageBreak/>
        <w:t xml:space="preserve">The major sources of state tax revenue are mining royalties, payroll tax, stamp duty on conveyances and land tax. For each tax base, the Commission calculates how much each state would raise if it adopted the average revenue raising effort of all states. </w:t>
      </w:r>
    </w:p>
    <w:p w14:paraId="610DF33F" w14:textId="18FB6C9E" w:rsidR="002D1360" w:rsidRPr="009916B3" w:rsidRDefault="002D1360" w:rsidP="002D1360">
      <w:pPr>
        <w:rPr>
          <w:rFonts w:ascii="Work Sans" w:hAnsi="Work Sans"/>
          <w:sz w:val="24"/>
          <w:szCs w:val="24"/>
        </w:rPr>
      </w:pPr>
      <w:r w:rsidRPr="009916B3">
        <w:rPr>
          <w:rFonts w:ascii="Work Sans" w:hAnsi="Work Sans"/>
          <w:sz w:val="24"/>
          <w:szCs w:val="24"/>
        </w:rPr>
        <w:t xml:space="preserve">Commonwealth specific purpose payments are included because they </w:t>
      </w:r>
      <w:r w:rsidR="00814272" w:rsidRPr="009916B3">
        <w:rPr>
          <w:rFonts w:ascii="Work Sans" w:hAnsi="Work Sans"/>
          <w:sz w:val="24"/>
          <w:szCs w:val="24"/>
        </w:rPr>
        <w:t>contribute to state services that would otherwise be funded from state budgets</w:t>
      </w:r>
      <w:r w:rsidRPr="009916B3">
        <w:rPr>
          <w:rFonts w:ascii="Work Sans" w:hAnsi="Work Sans"/>
          <w:sz w:val="24"/>
          <w:szCs w:val="24"/>
        </w:rPr>
        <w:t xml:space="preserve">. </w:t>
      </w:r>
    </w:p>
    <w:p w14:paraId="78CD2F4C" w14:textId="14DFEBA0" w:rsidR="002D35B5" w:rsidRPr="007F2032" w:rsidRDefault="00A4158C" w:rsidP="002D1360">
      <w:pPr>
        <w:rPr>
          <w:rFonts w:ascii="Work Sans" w:hAnsi="Work Sans"/>
          <w:sz w:val="24"/>
          <w:szCs w:val="24"/>
        </w:rPr>
      </w:pPr>
      <w:r w:rsidRPr="007F2032">
        <w:rPr>
          <w:rFonts w:ascii="Work Sans" w:hAnsi="Work Sans"/>
          <w:sz w:val="24"/>
          <w:szCs w:val="24"/>
        </w:rPr>
        <w:t>Various economic shocks</w:t>
      </w:r>
      <w:r w:rsidR="00EF14E2" w:rsidRPr="007F2032">
        <w:rPr>
          <w:rFonts w:ascii="Work Sans" w:hAnsi="Work Sans"/>
          <w:sz w:val="24"/>
          <w:szCs w:val="24"/>
        </w:rPr>
        <w:t>,</w:t>
      </w:r>
      <w:r w:rsidRPr="007F2032">
        <w:rPr>
          <w:rFonts w:ascii="Work Sans" w:hAnsi="Work Sans"/>
          <w:sz w:val="24"/>
          <w:szCs w:val="24"/>
        </w:rPr>
        <w:t xml:space="preserve"> such as </w:t>
      </w:r>
      <w:r w:rsidR="00B4745E" w:rsidRPr="007F2032">
        <w:rPr>
          <w:rFonts w:ascii="Work Sans" w:hAnsi="Work Sans"/>
          <w:sz w:val="24"/>
          <w:szCs w:val="24"/>
        </w:rPr>
        <w:t>natural disaster</w:t>
      </w:r>
      <w:r w:rsidR="000F7358" w:rsidRPr="007F2032">
        <w:rPr>
          <w:rFonts w:ascii="Work Sans" w:hAnsi="Work Sans"/>
          <w:sz w:val="24"/>
          <w:szCs w:val="24"/>
        </w:rPr>
        <w:t xml:space="preserve"> recovery spending</w:t>
      </w:r>
      <w:r w:rsidR="00EF14E2" w:rsidRPr="007F2032">
        <w:rPr>
          <w:rFonts w:ascii="Work Sans" w:hAnsi="Work Sans"/>
          <w:sz w:val="24"/>
          <w:szCs w:val="24"/>
        </w:rPr>
        <w:t>,</w:t>
      </w:r>
      <w:r w:rsidRPr="007F2032">
        <w:rPr>
          <w:rFonts w:ascii="Work Sans" w:hAnsi="Work Sans"/>
          <w:sz w:val="24"/>
          <w:szCs w:val="24"/>
        </w:rPr>
        <w:t xml:space="preserve"> </w:t>
      </w:r>
      <w:r w:rsidR="005A301B" w:rsidRPr="007F2032">
        <w:rPr>
          <w:rFonts w:ascii="Work Sans" w:hAnsi="Work Sans"/>
          <w:sz w:val="24"/>
          <w:szCs w:val="24"/>
        </w:rPr>
        <w:t>can also</w:t>
      </w:r>
      <w:r w:rsidR="0091441F" w:rsidRPr="007F2032">
        <w:rPr>
          <w:rFonts w:ascii="Work Sans" w:hAnsi="Work Sans"/>
          <w:sz w:val="24"/>
          <w:szCs w:val="24"/>
        </w:rPr>
        <w:t xml:space="preserve"> influence</w:t>
      </w:r>
      <w:r w:rsidR="00EF14E2" w:rsidRPr="007F2032">
        <w:rPr>
          <w:rFonts w:ascii="Work Sans" w:hAnsi="Work Sans"/>
          <w:sz w:val="24"/>
          <w:szCs w:val="24"/>
        </w:rPr>
        <w:t xml:space="preserve"> state shares of GST. </w:t>
      </w:r>
      <w:r w:rsidR="00B4745E" w:rsidRPr="007F2032">
        <w:rPr>
          <w:rFonts w:ascii="Work Sans" w:hAnsi="Work Sans"/>
          <w:sz w:val="24"/>
          <w:szCs w:val="24"/>
        </w:rPr>
        <w:t xml:space="preserve">These </w:t>
      </w:r>
      <w:r w:rsidR="008F4E57" w:rsidRPr="007F2032">
        <w:rPr>
          <w:rFonts w:ascii="Work Sans" w:hAnsi="Work Sans"/>
          <w:sz w:val="24"/>
          <w:szCs w:val="24"/>
        </w:rPr>
        <w:t xml:space="preserve">effects will generally </w:t>
      </w:r>
      <w:r w:rsidR="007966DD" w:rsidRPr="007F2032">
        <w:rPr>
          <w:rFonts w:ascii="Work Sans" w:hAnsi="Work Sans"/>
          <w:sz w:val="24"/>
          <w:szCs w:val="24"/>
        </w:rPr>
        <w:t xml:space="preserve">flow through the Commission’s assessments via the data used. </w:t>
      </w:r>
      <w:r w:rsidR="003210AC" w:rsidRPr="007F2032">
        <w:rPr>
          <w:rFonts w:ascii="Work Sans" w:hAnsi="Work Sans"/>
          <w:sz w:val="24"/>
          <w:szCs w:val="24"/>
        </w:rPr>
        <w:t xml:space="preserve">However, </w:t>
      </w:r>
      <w:r w:rsidR="005D5214" w:rsidRPr="007F2032">
        <w:rPr>
          <w:rFonts w:ascii="Work Sans" w:hAnsi="Work Sans"/>
          <w:sz w:val="24"/>
          <w:szCs w:val="24"/>
        </w:rPr>
        <w:t>t</w:t>
      </w:r>
      <w:r w:rsidR="005F1DC9" w:rsidRPr="007F2032">
        <w:rPr>
          <w:rFonts w:ascii="Work Sans" w:hAnsi="Work Sans"/>
          <w:sz w:val="24"/>
          <w:szCs w:val="24"/>
        </w:rPr>
        <w:t xml:space="preserve">he COVID-19 pandemic </w:t>
      </w:r>
      <w:r w:rsidR="00B90BB4" w:rsidRPr="007F2032">
        <w:rPr>
          <w:rFonts w:ascii="Work Sans" w:hAnsi="Work Sans"/>
          <w:sz w:val="24"/>
          <w:szCs w:val="24"/>
        </w:rPr>
        <w:t xml:space="preserve">is </w:t>
      </w:r>
      <w:r w:rsidR="0095626D" w:rsidRPr="007F2032">
        <w:rPr>
          <w:rFonts w:ascii="Work Sans" w:hAnsi="Work Sans"/>
          <w:sz w:val="24"/>
          <w:szCs w:val="24"/>
        </w:rPr>
        <w:t xml:space="preserve">having a substantial impact on </w:t>
      </w:r>
      <w:r w:rsidR="00193DCC" w:rsidRPr="007F2032">
        <w:rPr>
          <w:rFonts w:ascii="Work Sans" w:hAnsi="Work Sans"/>
          <w:sz w:val="24"/>
          <w:szCs w:val="24"/>
        </w:rPr>
        <w:t xml:space="preserve">state budgets and </w:t>
      </w:r>
      <w:r w:rsidR="00733794" w:rsidRPr="007F2032">
        <w:rPr>
          <w:rFonts w:ascii="Work Sans" w:hAnsi="Work Sans"/>
          <w:sz w:val="24"/>
          <w:szCs w:val="24"/>
        </w:rPr>
        <w:t>the</w:t>
      </w:r>
      <w:r w:rsidR="00C97275" w:rsidRPr="007F2032">
        <w:rPr>
          <w:rFonts w:ascii="Work Sans" w:hAnsi="Work Sans"/>
          <w:sz w:val="24"/>
          <w:szCs w:val="24"/>
        </w:rPr>
        <w:t xml:space="preserve"> situation is still </w:t>
      </w:r>
      <w:r w:rsidR="00B90BB4" w:rsidRPr="007F2032">
        <w:rPr>
          <w:rFonts w:ascii="Work Sans" w:hAnsi="Work Sans"/>
          <w:sz w:val="24"/>
          <w:szCs w:val="24"/>
        </w:rPr>
        <w:t>evolving.</w:t>
      </w:r>
      <w:r w:rsidR="005F1DC9" w:rsidRPr="007F2032">
        <w:rPr>
          <w:rFonts w:ascii="Work Sans" w:hAnsi="Work Sans"/>
          <w:sz w:val="24"/>
          <w:szCs w:val="24"/>
        </w:rPr>
        <w:t xml:space="preserve"> </w:t>
      </w:r>
      <w:r w:rsidR="003C612E" w:rsidRPr="007F2032">
        <w:rPr>
          <w:rFonts w:ascii="Work Sans" w:hAnsi="Work Sans"/>
          <w:sz w:val="24"/>
          <w:szCs w:val="24"/>
        </w:rPr>
        <w:t>The Commission published an occasional paper</w:t>
      </w:r>
      <w:r w:rsidR="00A0684C" w:rsidRPr="007F2032">
        <w:rPr>
          <w:rFonts w:ascii="Work Sans" w:hAnsi="Work Sans"/>
          <w:sz w:val="24"/>
          <w:szCs w:val="24"/>
        </w:rPr>
        <w:t xml:space="preserve"> </w:t>
      </w:r>
      <w:r w:rsidR="00595AFC" w:rsidRPr="007F2032">
        <w:rPr>
          <w:rFonts w:ascii="Work Sans" w:hAnsi="Work Sans"/>
          <w:sz w:val="24"/>
          <w:szCs w:val="24"/>
        </w:rPr>
        <w:t xml:space="preserve">in 2020, </w:t>
      </w:r>
      <w:r w:rsidR="00A0684C" w:rsidRPr="007F2032">
        <w:rPr>
          <w:rFonts w:ascii="Work Sans" w:hAnsi="Work Sans"/>
          <w:i/>
          <w:iCs/>
          <w:sz w:val="24"/>
          <w:szCs w:val="24"/>
        </w:rPr>
        <w:t>The impact of the COVID-19 pandemic on GST distribution</w:t>
      </w:r>
      <w:r w:rsidR="00A0684C" w:rsidRPr="007F2032">
        <w:rPr>
          <w:rFonts w:ascii="Work Sans" w:hAnsi="Work Sans"/>
          <w:sz w:val="24"/>
          <w:szCs w:val="24"/>
        </w:rPr>
        <w:t xml:space="preserve"> which consider</w:t>
      </w:r>
      <w:r w:rsidR="007F6EB6" w:rsidRPr="007F2032">
        <w:rPr>
          <w:rFonts w:ascii="Work Sans" w:hAnsi="Work Sans"/>
          <w:sz w:val="24"/>
          <w:szCs w:val="24"/>
        </w:rPr>
        <w:t>ed</w:t>
      </w:r>
      <w:r w:rsidR="004A6B13" w:rsidRPr="007F2032">
        <w:rPr>
          <w:rFonts w:ascii="Work Sans" w:hAnsi="Work Sans"/>
          <w:sz w:val="24"/>
          <w:szCs w:val="24"/>
        </w:rPr>
        <w:t xml:space="preserve"> </w:t>
      </w:r>
      <w:r w:rsidR="00A0684C" w:rsidRPr="007F2032">
        <w:rPr>
          <w:rFonts w:ascii="Work Sans" w:hAnsi="Work Sans"/>
          <w:sz w:val="24"/>
          <w:szCs w:val="24"/>
        </w:rPr>
        <w:t xml:space="preserve">the circumstances </w:t>
      </w:r>
      <w:r w:rsidR="003E5913" w:rsidRPr="007F2032">
        <w:rPr>
          <w:rFonts w:ascii="Work Sans" w:hAnsi="Work Sans"/>
          <w:sz w:val="24"/>
          <w:szCs w:val="24"/>
        </w:rPr>
        <w:t xml:space="preserve">at that time </w:t>
      </w:r>
      <w:r w:rsidR="00A0684C" w:rsidRPr="007F2032">
        <w:rPr>
          <w:rFonts w:ascii="Work Sans" w:hAnsi="Work Sans"/>
          <w:sz w:val="24"/>
          <w:szCs w:val="24"/>
        </w:rPr>
        <w:t>in more detail.</w:t>
      </w:r>
      <w:r w:rsidR="00B4745E" w:rsidRPr="007F2032">
        <w:rPr>
          <w:rFonts w:ascii="Work Sans" w:hAnsi="Work Sans"/>
          <w:sz w:val="24"/>
          <w:szCs w:val="24"/>
        </w:rPr>
        <w:t xml:space="preserve"> </w:t>
      </w:r>
      <w:r w:rsidR="0091441F" w:rsidRPr="007F2032">
        <w:rPr>
          <w:rFonts w:ascii="Work Sans" w:hAnsi="Work Sans"/>
          <w:sz w:val="24"/>
          <w:szCs w:val="24"/>
        </w:rPr>
        <w:t xml:space="preserve"> </w:t>
      </w:r>
    </w:p>
    <w:p w14:paraId="0AF4784E" w14:textId="6CA4B7BB" w:rsidR="00214161" w:rsidRPr="007F2032" w:rsidRDefault="002D1360" w:rsidP="002D1360">
      <w:pPr>
        <w:rPr>
          <w:rFonts w:ascii="Work Sans" w:hAnsi="Work Sans"/>
          <w:sz w:val="24"/>
          <w:szCs w:val="24"/>
        </w:rPr>
      </w:pPr>
      <w:r w:rsidRPr="007F2032">
        <w:rPr>
          <w:rFonts w:ascii="Work Sans" w:hAnsi="Work Sans"/>
          <w:sz w:val="24"/>
          <w:szCs w:val="24"/>
        </w:rPr>
        <w:t xml:space="preserve">The Commission brings this analysis together to calculate how much GST each state would need to give it the </w:t>
      </w:r>
      <w:r w:rsidR="0085227F" w:rsidRPr="007F2032">
        <w:rPr>
          <w:rFonts w:ascii="Work Sans" w:hAnsi="Work Sans"/>
          <w:sz w:val="24"/>
          <w:szCs w:val="24"/>
        </w:rPr>
        <w:t xml:space="preserve">same </w:t>
      </w:r>
      <w:r w:rsidRPr="007F2032">
        <w:rPr>
          <w:rFonts w:ascii="Work Sans" w:hAnsi="Work Sans"/>
          <w:sz w:val="24"/>
          <w:szCs w:val="24"/>
        </w:rPr>
        <w:t xml:space="preserve">capacity </w:t>
      </w:r>
      <w:r w:rsidR="0085227F" w:rsidRPr="007F2032">
        <w:rPr>
          <w:rFonts w:ascii="Work Sans" w:hAnsi="Work Sans"/>
          <w:sz w:val="24"/>
          <w:szCs w:val="24"/>
        </w:rPr>
        <w:t>as other states</w:t>
      </w:r>
      <w:r w:rsidRPr="007F2032">
        <w:rPr>
          <w:rFonts w:ascii="Work Sans" w:hAnsi="Work Sans"/>
          <w:sz w:val="24"/>
          <w:szCs w:val="24"/>
        </w:rPr>
        <w:t xml:space="preserve"> to provide services.</w:t>
      </w:r>
      <w:r w:rsidR="004D3353" w:rsidRPr="007F2032">
        <w:rPr>
          <w:rStyle w:val="FootnoteReference"/>
          <w:rFonts w:ascii="Work Sans" w:hAnsi="Work Sans"/>
          <w:sz w:val="24"/>
          <w:szCs w:val="24"/>
        </w:rPr>
        <w:footnoteReference w:id="3"/>
      </w:r>
      <w:r w:rsidRPr="007F2032">
        <w:rPr>
          <w:rFonts w:ascii="Work Sans" w:hAnsi="Work Sans"/>
          <w:sz w:val="24"/>
          <w:szCs w:val="24"/>
        </w:rPr>
        <w:t xml:space="preserve"> As the GST pool </w:t>
      </w:r>
      <w:r w:rsidR="000465DF" w:rsidRPr="007F2032">
        <w:rPr>
          <w:rFonts w:ascii="Work Sans" w:hAnsi="Work Sans"/>
          <w:sz w:val="24"/>
          <w:szCs w:val="24"/>
        </w:rPr>
        <w:t>in a given year</w:t>
      </w:r>
      <w:r w:rsidRPr="007F2032">
        <w:rPr>
          <w:rFonts w:ascii="Work Sans" w:hAnsi="Work Sans"/>
          <w:sz w:val="24"/>
          <w:szCs w:val="24"/>
        </w:rPr>
        <w:t xml:space="preserve"> is fixed, this goal requires that GST shares are calculated on a </w:t>
      </w:r>
      <w:r w:rsidRPr="007F2032">
        <w:rPr>
          <w:rFonts w:ascii="Work Sans" w:hAnsi="Work Sans"/>
          <w:i/>
          <w:sz w:val="24"/>
          <w:szCs w:val="24"/>
        </w:rPr>
        <w:t>relative</w:t>
      </w:r>
      <w:r w:rsidRPr="007F2032">
        <w:rPr>
          <w:rFonts w:ascii="Work Sans" w:hAnsi="Work Sans"/>
          <w:sz w:val="24"/>
          <w:szCs w:val="24"/>
        </w:rPr>
        <w:t xml:space="preserve"> basis. For example, as iron ore is concentrated in Western Australia, an increase in the price of this mineral will increase the relative revenue raising capacity of Western Australia. It will simultaneously reduce the revenue raising capacity of all other states</w:t>
      </w:r>
      <w:r w:rsidR="00E50D38" w:rsidRPr="007F2032">
        <w:rPr>
          <w:rFonts w:ascii="Work Sans" w:hAnsi="Work Sans"/>
          <w:sz w:val="24"/>
          <w:szCs w:val="24"/>
        </w:rPr>
        <w:t xml:space="preserve">, </w:t>
      </w:r>
      <w:r w:rsidR="009C68EF" w:rsidRPr="007F2032">
        <w:rPr>
          <w:rFonts w:ascii="Work Sans" w:hAnsi="Work Sans"/>
          <w:sz w:val="24"/>
          <w:szCs w:val="24"/>
        </w:rPr>
        <w:t>increasing their</w:t>
      </w:r>
      <w:r w:rsidR="00DC5A7A" w:rsidRPr="007F2032">
        <w:rPr>
          <w:rFonts w:ascii="Work Sans" w:hAnsi="Work Sans"/>
          <w:sz w:val="24"/>
          <w:szCs w:val="24"/>
        </w:rPr>
        <w:t xml:space="preserve"> shares of the GST.</w:t>
      </w:r>
    </w:p>
    <w:p w14:paraId="252C2168" w14:textId="13C0E4D3" w:rsidR="00443876" w:rsidRPr="00D91282" w:rsidRDefault="002D1360" w:rsidP="002D1360">
      <w:pPr>
        <w:pStyle w:val="Heading2"/>
      </w:pPr>
      <w:r w:rsidRPr="00D91282">
        <w:t>Why states need different GST shares</w:t>
      </w:r>
    </w:p>
    <w:p w14:paraId="3AECA99C" w14:textId="77777777" w:rsidR="00F91E68" w:rsidRPr="00D91282" w:rsidRDefault="002D1360" w:rsidP="00F91E68">
      <w:pPr>
        <w:pStyle w:val="Heading3"/>
      </w:pPr>
      <w:r w:rsidRPr="00D91282">
        <w:t>Mining resources are distributed unevenly</w:t>
      </w:r>
    </w:p>
    <w:p w14:paraId="514C4318" w14:textId="77777777" w:rsidR="00E055E9" w:rsidRPr="00FC2B06" w:rsidRDefault="00E055E9" w:rsidP="00E055E9">
      <w:pPr>
        <w:rPr>
          <w:rFonts w:ascii="Work Sans" w:hAnsi="Work Sans"/>
          <w:sz w:val="24"/>
          <w:szCs w:val="24"/>
        </w:rPr>
      </w:pPr>
      <w:r w:rsidRPr="00FC2B06">
        <w:rPr>
          <w:rFonts w:ascii="Work Sans" w:hAnsi="Work Sans"/>
          <w:sz w:val="24"/>
          <w:szCs w:val="24"/>
        </w:rPr>
        <w:t xml:space="preserve">Natural resources provide a state with the ability to raise revenue from royalties. </w:t>
      </w:r>
    </w:p>
    <w:p w14:paraId="75B6CB34" w14:textId="648C92CD" w:rsidR="00E055E9" w:rsidRPr="00FC2B06" w:rsidRDefault="00E055E9" w:rsidP="00E055E9">
      <w:pPr>
        <w:rPr>
          <w:rFonts w:ascii="Work Sans" w:hAnsi="Work Sans"/>
          <w:sz w:val="24"/>
          <w:szCs w:val="24"/>
        </w:rPr>
      </w:pPr>
      <w:r w:rsidRPr="00FC2B06">
        <w:rPr>
          <w:rFonts w:ascii="Work Sans" w:hAnsi="Work Sans"/>
          <w:sz w:val="24"/>
          <w:szCs w:val="24"/>
        </w:rPr>
        <w:t>Iron ore is the largest source of mining revenue for states and is concentrated in Western Australia. The second major source of mining revenue is coal, which is concentrated in Queensland and New</w:t>
      </w:r>
      <w:r w:rsidR="00811BE3" w:rsidRPr="00FC2B06">
        <w:rPr>
          <w:rFonts w:ascii="Work Sans" w:hAnsi="Work Sans"/>
          <w:sz w:val="24"/>
          <w:szCs w:val="24"/>
        </w:rPr>
        <w:t> </w:t>
      </w:r>
      <w:r w:rsidRPr="00FC2B06">
        <w:rPr>
          <w:rFonts w:ascii="Work Sans" w:hAnsi="Work Sans"/>
          <w:sz w:val="24"/>
          <w:szCs w:val="24"/>
        </w:rPr>
        <w:t>South Wales. These two resources account for around 80% of the mining royalties raised by states (</w:t>
      </w:r>
      <w:r w:rsidRPr="00FC2B06">
        <w:rPr>
          <w:rFonts w:ascii="Work Sans" w:hAnsi="Work Sans"/>
          <w:color w:val="2B579A"/>
          <w:sz w:val="24"/>
          <w:szCs w:val="24"/>
          <w:shd w:val="clear" w:color="auto" w:fill="E6E6E6"/>
        </w:rPr>
        <w:fldChar w:fldCharType="begin"/>
      </w:r>
      <w:r w:rsidRPr="00FC2B06">
        <w:rPr>
          <w:rFonts w:ascii="Work Sans" w:hAnsi="Work Sans"/>
          <w:sz w:val="24"/>
          <w:szCs w:val="24"/>
        </w:rPr>
        <w:instrText xml:space="preserve"> REF _Ref69798646 \h </w:instrText>
      </w:r>
      <w:r w:rsidR="00D91282" w:rsidRPr="00FC2B06">
        <w:rPr>
          <w:rFonts w:ascii="Work Sans" w:hAnsi="Work Sans"/>
          <w:color w:val="2B579A"/>
          <w:sz w:val="24"/>
          <w:szCs w:val="24"/>
          <w:shd w:val="clear" w:color="auto" w:fill="E6E6E6"/>
        </w:rPr>
        <w:instrText xml:space="preserve"> \* MERGEFORMAT </w:instrText>
      </w:r>
      <w:r w:rsidRPr="00FC2B06">
        <w:rPr>
          <w:rFonts w:ascii="Work Sans" w:hAnsi="Work Sans"/>
          <w:color w:val="2B579A"/>
          <w:sz w:val="24"/>
          <w:szCs w:val="24"/>
          <w:shd w:val="clear" w:color="auto" w:fill="E6E6E6"/>
        </w:rPr>
      </w:r>
      <w:r w:rsidRPr="00FC2B06">
        <w:rPr>
          <w:rFonts w:ascii="Work Sans" w:hAnsi="Work Sans"/>
          <w:color w:val="2B579A"/>
          <w:sz w:val="24"/>
          <w:szCs w:val="24"/>
          <w:shd w:val="clear" w:color="auto" w:fill="E6E6E6"/>
        </w:rPr>
        <w:fldChar w:fldCharType="separate"/>
      </w:r>
      <w:r w:rsidR="00CE6FC4" w:rsidRPr="00CE6FC4">
        <w:rPr>
          <w:rFonts w:ascii="Work Sans" w:hAnsi="Work Sans"/>
          <w:sz w:val="24"/>
          <w:szCs w:val="24"/>
        </w:rPr>
        <w:t>Table 1</w:t>
      </w:r>
      <w:r w:rsidRPr="00FC2B06">
        <w:rPr>
          <w:rFonts w:ascii="Work Sans" w:hAnsi="Work Sans"/>
          <w:color w:val="2B579A"/>
          <w:sz w:val="24"/>
          <w:szCs w:val="24"/>
          <w:shd w:val="clear" w:color="auto" w:fill="E6E6E6"/>
        </w:rPr>
        <w:fldChar w:fldCharType="end"/>
      </w:r>
      <w:r w:rsidRPr="00FC2B06">
        <w:rPr>
          <w:rFonts w:ascii="Work Sans" w:hAnsi="Work Sans"/>
          <w:color w:val="2B579A"/>
          <w:sz w:val="24"/>
          <w:szCs w:val="24"/>
          <w:shd w:val="clear" w:color="auto" w:fill="E6E6E6"/>
        </w:rPr>
        <w:t>)</w:t>
      </w:r>
      <w:r w:rsidRPr="00FC2B06">
        <w:rPr>
          <w:rFonts w:ascii="Work Sans" w:hAnsi="Work Sans"/>
          <w:sz w:val="24"/>
          <w:szCs w:val="24"/>
        </w:rPr>
        <w:t>. The remaining minerals are also concentrated in Western Australia and Queensland. Relative to its population share, the Northern Territory has above average capacity to raise mining revenue, from gold, and oil and gas. In contrast, the ACT has no capacity to raise revenue from mining.</w:t>
      </w:r>
    </w:p>
    <w:p w14:paraId="150CBEF4" w14:textId="2561D17E" w:rsidR="004F4A58" w:rsidRPr="00D91282" w:rsidRDefault="004F4A58" w:rsidP="001E6CD0">
      <w:pPr>
        <w:pStyle w:val="Caption"/>
      </w:pPr>
      <w:bookmarkStart w:id="2" w:name="_Ref69798646"/>
      <w:r w:rsidRPr="00D91282">
        <w:lastRenderedPageBreak/>
        <w:t>Table </w:t>
      </w:r>
      <w:r w:rsidRPr="00D91282">
        <w:fldChar w:fldCharType="begin"/>
      </w:r>
      <w:r w:rsidRPr="00D91282">
        <w:instrText>SEQ Table \* ARABIC</w:instrText>
      </w:r>
      <w:r w:rsidRPr="00D91282">
        <w:fldChar w:fldCharType="separate"/>
      </w:r>
      <w:r w:rsidR="00CE6FC4">
        <w:rPr>
          <w:noProof/>
        </w:rPr>
        <w:t>1</w:t>
      </w:r>
      <w:r w:rsidRPr="00D91282">
        <w:fldChar w:fldCharType="end"/>
      </w:r>
      <w:bookmarkEnd w:id="2"/>
      <w:r w:rsidRPr="00D91282">
        <w:tab/>
        <w:t>Share of value of production and royalty revenue by mineral, 2019-20</w:t>
      </w:r>
    </w:p>
    <w:tbl>
      <w:tblPr>
        <w:tblW w:w="8931" w:type="dxa"/>
        <w:tblBorders>
          <w:bottom w:val="single" w:sz="4" w:space="0" w:color="ADD6EA"/>
          <w:insideH w:val="single" w:sz="4" w:space="0" w:color="ADD6EA"/>
        </w:tblBorders>
        <w:tblLook w:val="04A0" w:firstRow="1" w:lastRow="0" w:firstColumn="1" w:lastColumn="0" w:noHBand="0" w:noVBand="1"/>
      </w:tblPr>
      <w:tblGrid>
        <w:gridCol w:w="2040"/>
        <w:gridCol w:w="720"/>
        <w:gridCol w:w="580"/>
        <w:gridCol w:w="660"/>
        <w:gridCol w:w="660"/>
        <w:gridCol w:w="660"/>
        <w:gridCol w:w="600"/>
        <w:gridCol w:w="640"/>
        <w:gridCol w:w="580"/>
        <w:gridCol w:w="1791"/>
      </w:tblGrid>
      <w:tr w:rsidR="00AA6DC5" w:rsidRPr="00D91282" w14:paraId="11554F63" w14:textId="77777777" w:rsidTr="00EC1BEE">
        <w:trPr>
          <w:trHeight w:val="379"/>
        </w:trPr>
        <w:tc>
          <w:tcPr>
            <w:tcW w:w="2040" w:type="dxa"/>
            <w:shd w:val="clear" w:color="auto" w:fill="008069"/>
            <w:vAlign w:val="bottom"/>
            <w:hideMark/>
          </w:tcPr>
          <w:p w14:paraId="400A50B7" w14:textId="77777777" w:rsidR="00AA6DC5" w:rsidRPr="00D91282" w:rsidRDefault="00AA6DC5" w:rsidP="00DD0641">
            <w:pPr>
              <w:keepNext/>
              <w:keepLines/>
              <w:tabs>
                <w:tab w:val="clear" w:pos="567"/>
              </w:tabs>
              <w:spacing w:before="0"/>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 </w:t>
            </w:r>
          </w:p>
        </w:tc>
        <w:tc>
          <w:tcPr>
            <w:tcW w:w="720" w:type="dxa"/>
            <w:shd w:val="clear" w:color="auto" w:fill="008069"/>
            <w:vAlign w:val="center"/>
            <w:hideMark/>
          </w:tcPr>
          <w:p w14:paraId="66C74F6D"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NSW</w:t>
            </w:r>
          </w:p>
        </w:tc>
        <w:tc>
          <w:tcPr>
            <w:tcW w:w="580" w:type="dxa"/>
            <w:shd w:val="clear" w:color="auto" w:fill="008069"/>
            <w:vAlign w:val="center"/>
            <w:hideMark/>
          </w:tcPr>
          <w:p w14:paraId="073EE55D"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Vic</w:t>
            </w:r>
          </w:p>
        </w:tc>
        <w:tc>
          <w:tcPr>
            <w:tcW w:w="660" w:type="dxa"/>
            <w:shd w:val="clear" w:color="auto" w:fill="008069"/>
            <w:vAlign w:val="center"/>
            <w:hideMark/>
          </w:tcPr>
          <w:p w14:paraId="12F1CF52"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Qld</w:t>
            </w:r>
          </w:p>
        </w:tc>
        <w:tc>
          <w:tcPr>
            <w:tcW w:w="660" w:type="dxa"/>
            <w:shd w:val="clear" w:color="auto" w:fill="008069"/>
            <w:vAlign w:val="center"/>
            <w:hideMark/>
          </w:tcPr>
          <w:p w14:paraId="61AB288C"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WA</w:t>
            </w:r>
          </w:p>
        </w:tc>
        <w:tc>
          <w:tcPr>
            <w:tcW w:w="660" w:type="dxa"/>
            <w:shd w:val="clear" w:color="auto" w:fill="008069"/>
            <w:vAlign w:val="center"/>
            <w:hideMark/>
          </w:tcPr>
          <w:p w14:paraId="7E3F5FB1"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SA</w:t>
            </w:r>
          </w:p>
        </w:tc>
        <w:tc>
          <w:tcPr>
            <w:tcW w:w="600" w:type="dxa"/>
            <w:shd w:val="clear" w:color="auto" w:fill="008069"/>
            <w:vAlign w:val="center"/>
            <w:hideMark/>
          </w:tcPr>
          <w:p w14:paraId="60470B86"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Tas</w:t>
            </w:r>
          </w:p>
        </w:tc>
        <w:tc>
          <w:tcPr>
            <w:tcW w:w="640" w:type="dxa"/>
            <w:shd w:val="clear" w:color="auto" w:fill="008069"/>
            <w:vAlign w:val="center"/>
            <w:hideMark/>
          </w:tcPr>
          <w:p w14:paraId="20920832"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ACT</w:t>
            </w:r>
          </w:p>
        </w:tc>
        <w:tc>
          <w:tcPr>
            <w:tcW w:w="580" w:type="dxa"/>
            <w:shd w:val="clear" w:color="auto" w:fill="008069"/>
            <w:vAlign w:val="center"/>
            <w:hideMark/>
          </w:tcPr>
          <w:p w14:paraId="1D512AF3"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NT</w:t>
            </w:r>
          </w:p>
        </w:tc>
        <w:tc>
          <w:tcPr>
            <w:tcW w:w="1791" w:type="dxa"/>
            <w:shd w:val="clear" w:color="auto" w:fill="008069"/>
            <w:vAlign w:val="center"/>
            <w:hideMark/>
          </w:tcPr>
          <w:p w14:paraId="4DE97C60"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Royalty revenue</w:t>
            </w:r>
          </w:p>
        </w:tc>
      </w:tr>
      <w:tr w:rsidR="00AA6DC5" w:rsidRPr="00D91282" w14:paraId="0B5442F2" w14:textId="77777777" w:rsidTr="00AD4B99">
        <w:trPr>
          <w:trHeight w:val="123"/>
        </w:trPr>
        <w:tc>
          <w:tcPr>
            <w:tcW w:w="2040" w:type="dxa"/>
            <w:shd w:val="clear" w:color="auto" w:fill="99CCC3"/>
            <w:vAlign w:val="bottom"/>
            <w:hideMark/>
          </w:tcPr>
          <w:p w14:paraId="10D33AA5" w14:textId="77777777" w:rsidR="00AA6DC5" w:rsidRPr="00D91282" w:rsidRDefault="00AA6DC5" w:rsidP="00DD0641">
            <w:pPr>
              <w:keepNext/>
              <w:keepLines/>
              <w:tabs>
                <w:tab w:val="clear" w:pos="567"/>
              </w:tabs>
              <w:spacing w:before="0"/>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720" w:type="dxa"/>
            <w:shd w:val="clear" w:color="auto" w:fill="99CCC3"/>
            <w:noWrap/>
            <w:vAlign w:val="bottom"/>
            <w:hideMark/>
          </w:tcPr>
          <w:p w14:paraId="127D8FD4"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580" w:type="dxa"/>
            <w:shd w:val="clear" w:color="auto" w:fill="99CCC3"/>
            <w:noWrap/>
            <w:vAlign w:val="bottom"/>
            <w:hideMark/>
          </w:tcPr>
          <w:p w14:paraId="76038138"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60" w:type="dxa"/>
            <w:shd w:val="clear" w:color="auto" w:fill="99CCC3"/>
            <w:noWrap/>
            <w:vAlign w:val="bottom"/>
            <w:hideMark/>
          </w:tcPr>
          <w:p w14:paraId="7F812CF0"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60" w:type="dxa"/>
            <w:shd w:val="clear" w:color="auto" w:fill="99CCC3"/>
            <w:noWrap/>
            <w:vAlign w:val="bottom"/>
            <w:hideMark/>
          </w:tcPr>
          <w:p w14:paraId="19A5ED19"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60" w:type="dxa"/>
            <w:shd w:val="clear" w:color="auto" w:fill="99CCC3"/>
            <w:noWrap/>
            <w:vAlign w:val="bottom"/>
            <w:hideMark/>
          </w:tcPr>
          <w:p w14:paraId="0D859FF1"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00" w:type="dxa"/>
            <w:shd w:val="clear" w:color="auto" w:fill="99CCC3"/>
            <w:noWrap/>
            <w:vAlign w:val="bottom"/>
            <w:hideMark/>
          </w:tcPr>
          <w:p w14:paraId="5A559B71"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40" w:type="dxa"/>
            <w:shd w:val="clear" w:color="auto" w:fill="99CCC3"/>
            <w:noWrap/>
            <w:vAlign w:val="bottom"/>
            <w:hideMark/>
          </w:tcPr>
          <w:p w14:paraId="2139356A"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580" w:type="dxa"/>
            <w:shd w:val="clear" w:color="auto" w:fill="99CCC3"/>
            <w:noWrap/>
            <w:vAlign w:val="bottom"/>
            <w:hideMark/>
          </w:tcPr>
          <w:p w14:paraId="2AC2E48C"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1791" w:type="dxa"/>
            <w:shd w:val="clear" w:color="auto" w:fill="99CCC3"/>
            <w:noWrap/>
            <w:vAlign w:val="bottom"/>
            <w:hideMark/>
          </w:tcPr>
          <w:p w14:paraId="11C69BD0" w14:textId="77777777" w:rsidR="00AA6DC5" w:rsidRPr="00D91282" w:rsidRDefault="00AA6DC5" w:rsidP="00DD0641">
            <w:pPr>
              <w:keepNext/>
              <w:keepLines/>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r>
      <w:tr w:rsidR="00AA6DC5" w:rsidRPr="00D91282" w14:paraId="539CF851" w14:textId="77777777" w:rsidTr="00EC1BEE">
        <w:trPr>
          <w:trHeight w:val="315"/>
        </w:trPr>
        <w:tc>
          <w:tcPr>
            <w:tcW w:w="2040" w:type="dxa"/>
            <w:shd w:val="clear" w:color="auto" w:fill="auto"/>
            <w:vAlign w:val="bottom"/>
            <w:hideMark/>
          </w:tcPr>
          <w:p w14:paraId="3A990339" w14:textId="77777777" w:rsidR="00AA6DC5" w:rsidRPr="00D91282" w:rsidRDefault="00AA6DC5" w:rsidP="00DD0641">
            <w:pPr>
              <w:keepNext/>
              <w:keepLines/>
              <w:tabs>
                <w:tab w:val="clear" w:pos="567"/>
              </w:tabs>
              <w:rPr>
                <w:rFonts w:eastAsia="Times New Roman" w:cs="Open Sans Light"/>
                <w:color w:val="000000"/>
                <w:sz w:val="16"/>
                <w:szCs w:val="16"/>
                <w:lang w:eastAsia="en-AU"/>
              </w:rPr>
            </w:pPr>
            <w:r w:rsidRPr="00D91282">
              <w:rPr>
                <w:rFonts w:eastAsia="Times New Roman" w:cs="Open Sans Light"/>
                <w:color w:val="000000"/>
                <w:sz w:val="16"/>
                <w:szCs w:val="16"/>
                <w:lang w:eastAsia="en-AU"/>
              </w:rPr>
              <w:t>Iron ore</w:t>
            </w:r>
          </w:p>
        </w:tc>
        <w:tc>
          <w:tcPr>
            <w:tcW w:w="720" w:type="dxa"/>
            <w:shd w:val="clear" w:color="auto" w:fill="auto"/>
            <w:noWrap/>
            <w:vAlign w:val="bottom"/>
            <w:hideMark/>
          </w:tcPr>
          <w:p w14:paraId="1B1D7C39"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580" w:type="dxa"/>
            <w:shd w:val="clear" w:color="auto" w:fill="auto"/>
            <w:noWrap/>
            <w:vAlign w:val="bottom"/>
            <w:hideMark/>
          </w:tcPr>
          <w:p w14:paraId="55335A5E"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660" w:type="dxa"/>
            <w:shd w:val="clear" w:color="auto" w:fill="auto"/>
            <w:noWrap/>
            <w:vAlign w:val="bottom"/>
            <w:hideMark/>
          </w:tcPr>
          <w:p w14:paraId="2E1EA2D0"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660" w:type="dxa"/>
            <w:shd w:val="clear" w:color="auto" w:fill="auto"/>
            <w:noWrap/>
            <w:vAlign w:val="bottom"/>
            <w:hideMark/>
          </w:tcPr>
          <w:p w14:paraId="6858D728"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99</w:t>
            </w:r>
          </w:p>
        </w:tc>
        <w:tc>
          <w:tcPr>
            <w:tcW w:w="660" w:type="dxa"/>
            <w:shd w:val="clear" w:color="auto" w:fill="auto"/>
            <w:noWrap/>
            <w:vAlign w:val="bottom"/>
            <w:hideMark/>
          </w:tcPr>
          <w:p w14:paraId="33431251"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w:t>
            </w:r>
          </w:p>
        </w:tc>
        <w:tc>
          <w:tcPr>
            <w:tcW w:w="600" w:type="dxa"/>
            <w:shd w:val="clear" w:color="auto" w:fill="auto"/>
            <w:noWrap/>
            <w:vAlign w:val="bottom"/>
            <w:hideMark/>
          </w:tcPr>
          <w:p w14:paraId="2F227FC6"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640" w:type="dxa"/>
            <w:shd w:val="clear" w:color="auto" w:fill="auto"/>
            <w:noWrap/>
            <w:vAlign w:val="bottom"/>
            <w:hideMark/>
          </w:tcPr>
          <w:p w14:paraId="598C9A4E"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580" w:type="dxa"/>
            <w:shd w:val="clear" w:color="auto" w:fill="auto"/>
            <w:noWrap/>
            <w:vAlign w:val="bottom"/>
            <w:hideMark/>
          </w:tcPr>
          <w:p w14:paraId="02089834"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1791" w:type="dxa"/>
            <w:shd w:val="clear" w:color="auto" w:fill="auto"/>
            <w:noWrap/>
            <w:vAlign w:val="bottom"/>
            <w:hideMark/>
          </w:tcPr>
          <w:p w14:paraId="1EC3ABA7"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7,577</w:t>
            </w:r>
          </w:p>
        </w:tc>
      </w:tr>
      <w:tr w:rsidR="00AA6DC5" w:rsidRPr="00D91282" w14:paraId="100E6571" w14:textId="77777777" w:rsidTr="00EC1BEE">
        <w:trPr>
          <w:trHeight w:val="315"/>
        </w:trPr>
        <w:tc>
          <w:tcPr>
            <w:tcW w:w="2040" w:type="dxa"/>
            <w:shd w:val="clear" w:color="auto" w:fill="auto"/>
            <w:vAlign w:val="bottom"/>
            <w:hideMark/>
          </w:tcPr>
          <w:p w14:paraId="47EF1351" w14:textId="77777777" w:rsidR="00AA6DC5" w:rsidRPr="00D91282" w:rsidRDefault="00AA6DC5" w:rsidP="00DD0641">
            <w:pPr>
              <w:keepNext/>
              <w:keepLines/>
              <w:tabs>
                <w:tab w:val="clear" w:pos="567"/>
              </w:tabs>
              <w:rPr>
                <w:rFonts w:eastAsia="Times New Roman" w:cs="Open Sans Light"/>
                <w:color w:val="000000"/>
                <w:sz w:val="16"/>
                <w:szCs w:val="16"/>
                <w:lang w:eastAsia="en-AU"/>
              </w:rPr>
            </w:pPr>
            <w:r w:rsidRPr="00D91282">
              <w:rPr>
                <w:rFonts w:eastAsia="Times New Roman" w:cs="Open Sans Light"/>
                <w:color w:val="000000"/>
                <w:sz w:val="16"/>
                <w:szCs w:val="16"/>
                <w:lang w:eastAsia="en-AU"/>
              </w:rPr>
              <w:t>Coal</w:t>
            </w:r>
          </w:p>
        </w:tc>
        <w:tc>
          <w:tcPr>
            <w:tcW w:w="720" w:type="dxa"/>
            <w:shd w:val="clear" w:color="auto" w:fill="auto"/>
            <w:noWrap/>
            <w:vAlign w:val="bottom"/>
            <w:hideMark/>
          </w:tcPr>
          <w:p w14:paraId="39C4E6BD"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33</w:t>
            </w:r>
          </w:p>
        </w:tc>
        <w:tc>
          <w:tcPr>
            <w:tcW w:w="580" w:type="dxa"/>
            <w:shd w:val="clear" w:color="auto" w:fill="auto"/>
            <w:noWrap/>
            <w:vAlign w:val="bottom"/>
            <w:hideMark/>
          </w:tcPr>
          <w:p w14:paraId="51D4B21B"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w:t>
            </w:r>
          </w:p>
        </w:tc>
        <w:tc>
          <w:tcPr>
            <w:tcW w:w="660" w:type="dxa"/>
            <w:shd w:val="clear" w:color="auto" w:fill="auto"/>
            <w:noWrap/>
            <w:vAlign w:val="bottom"/>
            <w:hideMark/>
          </w:tcPr>
          <w:p w14:paraId="67C1A0A7"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64</w:t>
            </w:r>
          </w:p>
        </w:tc>
        <w:tc>
          <w:tcPr>
            <w:tcW w:w="660" w:type="dxa"/>
            <w:shd w:val="clear" w:color="auto" w:fill="auto"/>
            <w:noWrap/>
            <w:vAlign w:val="bottom"/>
            <w:hideMark/>
          </w:tcPr>
          <w:p w14:paraId="0A3D27A0"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w:t>
            </w:r>
          </w:p>
        </w:tc>
        <w:tc>
          <w:tcPr>
            <w:tcW w:w="660" w:type="dxa"/>
            <w:shd w:val="clear" w:color="auto" w:fill="auto"/>
            <w:noWrap/>
            <w:vAlign w:val="bottom"/>
            <w:hideMark/>
          </w:tcPr>
          <w:p w14:paraId="6725C963"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600" w:type="dxa"/>
            <w:shd w:val="clear" w:color="auto" w:fill="auto"/>
            <w:noWrap/>
            <w:vAlign w:val="bottom"/>
            <w:hideMark/>
          </w:tcPr>
          <w:p w14:paraId="2FABD7DF"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640" w:type="dxa"/>
            <w:shd w:val="clear" w:color="auto" w:fill="auto"/>
            <w:noWrap/>
            <w:vAlign w:val="bottom"/>
            <w:hideMark/>
          </w:tcPr>
          <w:p w14:paraId="6E8557FB"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580" w:type="dxa"/>
            <w:shd w:val="clear" w:color="auto" w:fill="auto"/>
            <w:noWrap/>
            <w:vAlign w:val="bottom"/>
            <w:hideMark/>
          </w:tcPr>
          <w:p w14:paraId="0C8D2D73"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1791" w:type="dxa"/>
            <w:shd w:val="clear" w:color="auto" w:fill="auto"/>
            <w:noWrap/>
            <w:vAlign w:val="bottom"/>
            <w:hideMark/>
          </w:tcPr>
          <w:p w14:paraId="1F155298"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5,017</w:t>
            </w:r>
          </w:p>
        </w:tc>
      </w:tr>
      <w:tr w:rsidR="00AA6DC5" w:rsidRPr="00D91282" w14:paraId="7D6593A5" w14:textId="77777777" w:rsidTr="00EC1BEE">
        <w:trPr>
          <w:trHeight w:val="315"/>
        </w:trPr>
        <w:tc>
          <w:tcPr>
            <w:tcW w:w="2040" w:type="dxa"/>
            <w:shd w:val="clear" w:color="auto" w:fill="auto"/>
            <w:vAlign w:val="bottom"/>
            <w:hideMark/>
          </w:tcPr>
          <w:p w14:paraId="135659D3" w14:textId="77777777" w:rsidR="00AA6DC5" w:rsidRPr="00D91282" w:rsidRDefault="00AA6DC5" w:rsidP="00DD0641">
            <w:pPr>
              <w:keepNext/>
              <w:keepLines/>
              <w:tabs>
                <w:tab w:val="clear" w:pos="567"/>
              </w:tabs>
              <w:rPr>
                <w:rFonts w:eastAsia="Times New Roman" w:cs="Open Sans Light"/>
                <w:color w:val="000000"/>
                <w:sz w:val="16"/>
                <w:szCs w:val="16"/>
                <w:lang w:eastAsia="en-AU"/>
              </w:rPr>
            </w:pPr>
            <w:r w:rsidRPr="00D91282">
              <w:rPr>
                <w:rFonts w:eastAsia="Times New Roman" w:cs="Open Sans Light"/>
                <w:color w:val="000000"/>
                <w:sz w:val="16"/>
                <w:szCs w:val="16"/>
                <w:lang w:eastAsia="en-AU"/>
              </w:rPr>
              <w:t>Remaining minerals</w:t>
            </w:r>
          </w:p>
        </w:tc>
        <w:tc>
          <w:tcPr>
            <w:tcW w:w="720" w:type="dxa"/>
            <w:shd w:val="clear" w:color="auto" w:fill="auto"/>
            <w:noWrap/>
            <w:vAlign w:val="bottom"/>
            <w:hideMark/>
          </w:tcPr>
          <w:p w14:paraId="72C0A8D9"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w:t>
            </w:r>
          </w:p>
        </w:tc>
        <w:tc>
          <w:tcPr>
            <w:tcW w:w="580" w:type="dxa"/>
            <w:shd w:val="clear" w:color="auto" w:fill="auto"/>
            <w:noWrap/>
            <w:vAlign w:val="bottom"/>
            <w:hideMark/>
          </w:tcPr>
          <w:p w14:paraId="641A8BAF"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w:t>
            </w:r>
          </w:p>
        </w:tc>
        <w:tc>
          <w:tcPr>
            <w:tcW w:w="660" w:type="dxa"/>
            <w:shd w:val="clear" w:color="auto" w:fill="auto"/>
            <w:noWrap/>
            <w:vAlign w:val="bottom"/>
            <w:hideMark/>
          </w:tcPr>
          <w:p w14:paraId="696DA658"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23</w:t>
            </w:r>
          </w:p>
        </w:tc>
        <w:tc>
          <w:tcPr>
            <w:tcW w:w="660" w:type="dxa"/>
            <w:shd w:val="clear" w:color="auto" w:fill="auto"/>
            <w:noWrap/>
            <w:vAlign w:val="bottom"/>
            <w:hideMark/>
          </w:tcPr>
          <w:p w14:paraId="2E935BC8"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44</w:t>
            </w:r>
          </w:p>
        </w:tc>
        <w:tc>
          <w:tcPr>
            <w:tcW w:w="660" w:type="dxa"/>
            <w:shd w:val="clear" w:color="auto" w:fill="auto"/>
            <w:noWrap/>
            <w:vAlign w:val="bottom"/>
            <w:hideMark/>
          </w:tcPr>
          <w:p w14:paraId="6634CB04"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w:t>
            </w:r>
          </w:p>
        </w:tc>
        <w:tc>
          <w:tcPr>
            <w:tcW w:w="600" w:type="dxa"/>
            <w:shd w:val="clear" w:color="auto" w:fill="auto"/>
            <w:noWrap/>
            <w:vAlign w:val="bottom"/>
            <w:hideMark/>
          </w:tcPr>
          <w:p w14:paraId="125D3D9C"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w:t>
            </w:r>
          </w:p>
        </w:tc>
        <w:tc>
          <w:tcPr>
            <w:tcW w:w="640" w:type="dxa"/>
            <w:shd w:val="clear" w:color="auto" w:fill="auto"/>
            <w:noWrap/>
            <w:vAlign w:val="bottom"/>
            <w:hideMark/>
          </w:tcPr>
          <w:p w14:paraId="1E114564"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0</w:t>
            </w:r>
          </w:p>
        </w:tc>
        <w:tc>
          <w:tcPr>
            <w:tcW w:w="580" w:type="dxa"/>
            <w:shd w:val="clear" w:color="auto" w:fill="auto"/>
            <w:noWrap/>
            <w:vAlign w:val="bottom"/>
            <w:hideMark/>
          </w:tcPr>
          <w:p w14:paraId="179FDE41"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w:t>
            </w:r>
          </w:p>
        </w:tc>
        <w:tc>
          <w:tcPr>
            <w:tcW w:w="1791" w:type="dxa"/>
            <w:shd w:val="clear" w:color="auto" w:fill="auto"/>
            <w:noWrap/>
            <w:vAlign w:val="bottom"/>
            <w:hideMark/>
          </w:tcPr>
          <w:p w14:paraId="6B1E1DAE" w14:textId="77777777" w:rsidR="00AA6DC5" w:rsidRPr="00D91282" w:rsidRDefault="00AA6DC5" w:rsidP="00DD0641">
            <w:pPr>
              <w:keepNext/>
              <w:keepLines/>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2,732</w:t>
            </w:r>
          </w:p>
        </w:tc>
      </w:tr>
    </w:tbl>
    <w:p w14:paraId="58177775" w14:textId="77777777" w:rsidR="000A1F83" w:rsidRPr="00D91282" w:rsidRDefault="000A1F83" w:rsidP="00DD0641">
      <w:pPr>
        <w:pStyle w:val="FootnoteText"/>
      </w:pPr>
      <w:r w:rsidRPr="00D91282">
        <w:t>Source: State data returns, 2021 Update.</w:t>
      </w:r>
    </w:p>
    <w:p w14:paraId="20D9E0C6" w14:textId="15797D4B" w:rsidR="00261FA5" w:rsidRPr="00DD0641" w:rsidRDefault="00261FA5" w:rsidP="00261FA5">
      <w:pPr>
        <w:rPr>
          <w:rFonts w:ascii="Work Sans" w:hAnsi="Work Sans"/>
          <w:sz w:val="24"/>
          <w:szCs w:val="24"/>
        </w:rPr>
      </w:pPr>
      <w:r w:rsidRPr="00DD0641">
        <w:rPr>
          <w:rFonts w:ascii="Work Sans" w:hAnsi="Work Sans"/>
          <w:sz w:val="24"/>
          <w:szCs w:val="24"/>
        </w:rPr>
        <w:t>The difference in mining resources and production between states is the most important driver of GST redistribution. In 2021-22, states other than Western Australia, Queensland and the Northern</w:t>
      </w:r>
      <w:r w:rsidR="006F3413" w:rsidRPr="00DD0641">
        <w:rPr>
          <w:rFonts w:ascii="Work Sans" w:hAnsi="Work Sans"/>
          <w:sz w:val="24"/>
          <w:szCs w:val="24"/>
        </w:rPr>
        <w:t> </w:t>
      </w:r>
      <w:r w:rsidRPr="00DD0641">
        <w:rPr>
          <w:rFonts w:ascii="Work Sans" w:hAnsi="Work Sans"/>
          <w:sz w:val="24"/>
          <w:szCs w:val="24"/>
        </w:rPr>
        <w:t xml:space="preserve">Territory received about $8 billion of GST revenue because of their lower capacity to raise mining revenue. </w:t>
      </w:r>
    </w:p>
    <w:p w14:paraId="6190DD4D" w14:textId="486A2D22" w:rsidR="00261FA5" w:rsidRPr="00DD0641" w:rsidRDefault="00261FA5" w:rsidP="00261FA5">
      <w:pPr>
        <w:rPr>
          <w:rFonts w:ascii="Work Sans" w:hAnsi="Work Sans"/>
          <w:sz w:val="24"/>
          <w:szCs w:val="24"/>
        </w:rPr>
      </w:pPr>
      <w:r w:rsidRPr="00DD0641">
        <w:rPr>
          <w:rFonts w:ascii="Work Sans" w:hAnsi="Work Sans"/>
          <w:sz w:val="24"/>
          <w:szCs w:val="24"/>
        </w:rPr>
        <w:t xml:space="preserve">There has been a similar pattern over the last decade. The impact has increased in the last 3 years due to higher iron ore prices and increased production. </w:t>
      </w:r>
      <w:r w:rsidRPr="00DD0641">
        <w:rPr>
          <w:rFonts w:ascii="Work Sans" w:hAnsi="Work Sans"/>
          <w:sz w:val="24"/>
          <w:szCs w:val="24"/>
        </w:rPr>
        <w:fldChar w:fldCharType="begin"/>
      </w:r>
      <w:r w:rsidRPr="00DD0641">
        <w:rPr>
          <w:rFonts w:ascii="Work Sans" w:hAnsi="Work Sans"/>
          <w:sz w:val="24"/>
          <w:szCs w:val="24"/>
        </w:rPr>
        <w:instrText xml:space="preserve"> REF _Ref70407625 \h </w:instrText>
      </w:r>
      <w:r w:rsidR="00D91282" w:rsidRPr="00DD0641">
        <w:rPr>
          <w:rFonts w:ascii="Work Sans" w:hAnsi="Work Sans"/>
          <w:sz w:val="24"/>
          <w:szCs w:val="24"/>
        </w:rPr>
        <w:instrText xml:space="preserve"> \* MERGEFORMAT </w:instrText>
      </w:r>
      <w:r w:rsidRPr="00DD0641">
        <w:rPr>
          <w:rFonts w:ascii="Work Sans" w:hAnsi="Work Sans"/>
          <w:sz w:val="24"/>
          <w:szCs w:val="24"/>
        </w:rPr>
      </w:r>
      <w:r w:rsidRPr="00DD0641">
        <w:rPr>
          <w:rFonts w:ascii="Work Sans" w:hAnsi="Work Sans"/>
          <w:sz w:val="24"/>
          <w:szCs w:val="24"/>
        </w:rPr>
        <w:fldChar w:fldCharType="separate"/>
      </w:r>
      <w:r w:rsidR="00CE6FC4" w:rsidRPr="00CE6FC4">
        <w:rPr>
          <w:rFonts w:ascii="Work Sans" w:hAnsi="Work Sans"/>
          <w:sz w:val="24"/>
          <w:szCs w:val="24"/>
        </w:rPr>
        <w:t>Figure 2</w:t>
      </w:r>
      <w:r w:rsidRPr="00DD0641">
        <w:rPr>
          <w:rFonts w:ascii="Work Sans" w:hAnsi="Work Sans"/>
          <w:sz w:val="24"/>
          <w:szCs w:val="24"/>
        </w:rPr>
        <w:fldChar w:fldCharType="end"/>
      </w:r>
      <w:r w:rsidRPr="00DD0641">
        <w:rPr>
          <w:rFonts w:ascii="Work Sans" w:hAnsi="Work Sans"/>
          <w:sz w:val="24"/>
          <w:szCs w:val="24"/>
        </w:rPr>
        <w:t xml:space="preserve"> illustrates how much less GST is required by states with an above average capacity to raise revenue from mining than if an equal per capita (EPC) distribution of these revenues was used in calculating required GST shares. Above average iron ore and coal production in Western Australia and Queensland respectively ha</w:t>
      </w:r>
      <w:r w:rsidR="00F0326B" w:rsidRPr="00DD0641">
        <w:rPr>
          <w:rFonts w:ascii="Work Sans" w:hAnsi="Work Sans"/>
          <w:sz w:val="24"/>
          <w:szCs w:val="24"/>
        </w:rPr>
        <w:t>s</w:t>
      </w:r>
      <w:r w:rsidRPr="00DD0641">
        <w:rPr>
          <w:rFonts w:ascii="Work Sans" w:hAnsi="Work Sans"/>
          <w:sz w:val="24"/>
          <w:szCs w:val="24"/>
        </w:rPr>
        <w:t xml:space="preserve"> led to the</w:t>
      </w:r>
      <w:r w:rsidR="00B53E2A" w:rsidRPr="00DD0641">
        <w:rPr>
          <w:rFonts w:ascii="Work Sans" w:hAnsi="Work Sans"/>
          <w:sz w:val="24"/>
          <w:szCs w:val="24"/>
        </w:rPr>
        <w:t xml:space="preserve">se states </w:t>
      </w:r>
      <w:r w:rsidRPr="00DD0641">
        <w:rPr>
          <w:rFonts w:ascii="Work Sans" w:hAnsi="Work Sans"/>
          <w:sz w:val="24"/>
          <w:szCs w:val="24"/>
        </w:rPr>
        <w:t xml:space="preserve">having lower GST needs over the last decade. The Northern Territory also has above average capacity to raise these revenues but to a lesser extent. </w:t>
      </w:r>
    </w:p>
    <w:p w14:paraId="1DA6C336" w14:textId="3BA90CFF" w:rsidR="00781B3F" w:rsidRPr="00D91282" w:rsidRDefault="00781B3F" w:rsidP="001E6CD0">
      <w:pPr>
        <w:pStyle w:val="Caption"/>
      </w:pPr>
      <w:bookmarkStart w:id="3" w:name="_Ref69376355"/>
      <w:bookmarkStart w:id="4" w:name="_Ref70407625"/>
      <w:bookmarkStart w:id="5" w:name="_Ref71103957"/>
      <w:r w:rsidRPr="00D91282">
        <w:t>Figure </w:t>
      </w:r>
      <w:bookmarkEnd w:id="3"/>
      <w:r w:rsidRPr="00D91282">
        <w:fldChar w:fldCharType="begin"/>
      </w:r>
      <w:r w:rsidRPr="00D91282">
        <w:instrText xml:space="preserve"> SEQ Figure \* ARABIC </w:instrText>
      </w:r>
      <w:r w:rsidRPr="00D91282">
        <w:fldChar w:fldCharType="separate"/>
      </w:r>
      <w:r w:rsidR="00CE6FC4">
        <w:rPr>
          <w:noProof/>
        </w:rPr>
        <w:t>2</w:t>
      </w:r>
      <w:r w:rsidRPr="00D91282">
        <w:fldChar w:fldCharType="end"/>
      </w:r>
      <w:bookmarkEnd w:id="4"/>
      <w:bookmarkEnd w:id="5"/>
      <w:r w:rsidRPr="00D91282">
        <w:tab/>
        <w:t>Lower GST needs of states with above average capacity to raise mining revenue</w:t>
      </w:r>
    </w:p>
    <w:p w14:paraId="219BA4F1" w14:textId="2BBE7569" w:rsidR="00781B3F" w:rsidRPr="00D91282" w:rsidRDefault="00BC327D" w:rsidP="00781B3F">
      <w:r w:rsidRPr="00D91282">
        <w:rPr>
          <w:noProof/>
        </w:rPr>
        <w:drawing>
          <wp:inline distT="0" distB="0" distL="0" distR="0" wp14:anchorId="27460F06" wp14:editId="20F32AD2">
            <wp:extent cx="5596890" cy="337756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6890" cy="3377565"/>
                    </a:xfrm>
                    <a:prstGeom prst="rect">
                      <a:avLst/>
                    </a:prstGeom>
                    <a:noFill/>
                  </pic:spPr>
                </pic:pic>
              </a:graphicData>
            </a:graphic>
          </wp:inline>
        </w:drawing>
      </w:r>
    </w:p>
    <w:p w14:paraId="6D738428" w14:textId="2EBD4C4B" w:rsidR="00A23D69" w:rsidRPr="00D91282" w:rsidRDefault="00A23D69" w:rsidP="00AC6C54">
      <w:pPr>
        <w:pStyle w:val="CGCTablenote"/>
      </w:pPr>
      <w:r w:rsidRPr="00D91282">
        <w:t>Note:</w:t>
      </w:r>
      <w:r w:rsidRPr="00D91282">
        <w:tab/>
      </w:r>
      <w:r w:rsidRPr="00D91282">
        <w:tab/>
        <w:t xml:space="preserve">This </w:t>
      </w:r>
      <w:r w:rsidR="00A23E8D" w:rsidRPr="00D91282">
        <w:t xml:space="preserve">figure </w:t>
      </w:r>
      <w:r w:rsidRPr="00D91282">
        <w:t xml:space="preserve">shows how much less GST is required by states with an above average capacity to raise revenue from mining than they would receive if an </w:t>
      </w:r>
      <w:r w:rsidR="00457526" w:rsidRPr="00D91282">
        <w:t>EPC</w:t>
      </w:r>
      <w:r w:rsidRPr="00D91282">
        <w:t xml:space="preserve"> distribution of these revenues was used in calculating required GST shares.</w:t>
      </w:r>
    </w:p>
    <w:p w14:paraId="6B137F79" w14:textId="57010F68" w:rsidR="00781B3F" w:rsidRPr="00D91282" w:rsidRDefault="00781B3F" w:rsidP="00AC6C54">
      <w:pPr>
        <w:pStyle w:val="CGCTablenote"/>
      </w:pPr>
      <w:r w:rsidRPr="00D91282">
        <w:t>Source:</w:t>
      </w:r>
      <w:r w:rsidRPr="00D91282">
        <w:tab/>
      </w:r>
      <w:r w:rsidR="009E474A" w:rsidRPr="00D91282">
        <w:tab/>
      </w:r>
      <w:r w:rsidRPr="00D91282">
        <w:t>Commission calculation.</w:t>
      </w:r>
    </w:p>
    <w:p w14:paraId="770633F6" w14:textId="2E7615A9" w:rsidR="00A6316C" w:rsidRPr="00D91282" w:rsidRDefault="00A6316C" w:rsidP="00DD0641">
      <w:pPr>
        <w:pStyle w:val="Heading3"/>
        <w:keepNext/>
      </w:pPr>
      <w:bookmarkStart w:id="6" w:name="_Toc74231125"/>
      <w:r w:rsidRPr="00D91282">
        <w:lastRenderedPageBreak/>
        <w:t xml:space="preserve">Property prices affect </w:t>
      </w:r>
      <w:bookmarkEnd w:id="6"/>
      <w:r w:rsidRPr="00D91282">
        <w:t>states’ abilit</w:t>
      </w:r>
      <w:r w:rsidR="003C48C1" w:rsidRPr="00D91282">
        <w:t>ies</w:t>
      </w:r>
      <w:r w:rsidRPr="00D91282">
        <w:t xml:space="preserve"> to raise revenue</w:t>
      </w:r>
    </w:p>
    <w:p w14:paraId="44046B03" w14:textId="77777777" w:rsidR="00A6316C" w:rsidRPr="00DD0641" w:rsidRDefault="00A6316C" w:rsidP="00A6316C">
      <w:pPr>
        <w:rPr>
          <w:rFonts w:ascii="Work Sans" w:hAnsi="Work Sans"/>
          <w:sz w:val="24"/>
          <w:szCs w:val="24"/>
        </w:rPr>
      </w:pPr>
      <w:r w:rsidRPr="00DD0641">
        <w:rPr>
          <w:rFonts w:ascii="Work Sans" w:hAnsi="Work Sans"/>
          <w:sz w:val="24"/>
          <w:szCs w:val="24"/>
        </w:rPr>
        <w:t xml:space="preserve">Property prices affect a state’s ability to raise revenue from stamp duty on conveyances and land tax. </w:t>
      </w:r>
    </w:p>
    <w:p w14:paraId="788A3BA9" w14:textId="1B0C839D" w:rsidR="00A6316C" w:rsidRPr="00DD0641" w:rsidRDefault="00A6316C" w:rsidP="009E474A">
      <w:pPr>
        <w:rPr>
          <w:rFonts w:ascii="Work Sans" w:hAnsi="Work Sans"/>
          <w:sz w:val="24"/>
          <w:szCs w:val="24"/>
        </w:rPr>
      </w:pPr>
      <w:r w:rsidRPr="00DD0641">
        <w:rPr>
          <w:rFonts w:ascii="Work Sans" w:hAnsi="Work Sans"/>
          <w:sz w:val="24"/>
          <w:szCs w:val="24"/>
        </w:rPr>
        <w:t xml:space="preserve">Property prices differ between states and </w:t>
      </w:r>
      <w:r w:rsidR="00950A56" w:rsidRPr="00DD0641">
        <w:rPr>
          <w:rFonts w:ascii="Work Sans" w:hAnsi="Work Sans"/>
          <w:sz w:val="24"/>
          <w:szCs w:val="24"/>
        </w:rPr>
        <w:t>property markets</w:t>
      </w:r>
      <w:r w:rsidRPr="00DD0641">
        <w:rPr>
          <w:rFonts w:ascii="Work Sans" w:hAnsi="Work Sans"/>
          <w:sz w:val="24"/>
          <w:szCs w:val="24"/>
        </w:rPr>
        <w:t xml:space="preserve"> can change over time. Over the last decade, New South Wales and, to a lesser extent, Victoria and the ACT have had higher property prices than other states (</w:t>
      </w:r>
      <w:r w:rsidRPr="00DD0641">
        <w:rPr>
          <w:rFonts w:ascii="Work Sans" w:hAnsi="Work Sans"/>
          <w:sz w:val="24"/>
          <w:szCs w:val="24"/>
        </w:rPr>
        <w:fldChar w:fldCharType="begin"/>
      </w:r>
      <w:r w:rsidRPr="00DD0641">
        <w:rPr>
          <w:rFonts w:ascii="Work Sans" w:hAnsi="Work Sans"/>
          <w:sz w:val="24"/>
          <w:szCs w:val="24"/>
        </w:rPr>
        <w:instrText xml:space="preserve"> REF _Ref75851179 \h </w:instrText>
      </w:r>
      <w:r w:rsidR="00D91282" w:rsidRPr="00DD0641">
        <w:rPr>
          <w:rFonts w:ascii="Work Sans" w:hAnsi="Work Sans"/>
          <w:sz w:val="24"/>
          <w:szCs w:val="24"/>
        </w:rPr>
        <w:instrText xml:space="preserve"> \* MERGEFORMAT </w:instrText>
      </w:r>
      <w:r w:rsidRPr="00DD0641">
        <w:rPr>
          <w:rFonts w:ascii="Work Sans" w:hAnsi="Work Sans"/>
          <w:sz w:val="24"/>
          <w:szCs w:val="24"/>
        </w:rPr>
      </w:r>
      <w:r w:rsidRPr="00DD0641">
        <w:rPr>
          <w:rFonts w:ascii="Work Sans" w:hAnsi="Work Sans"/>
          <w:sz w:val="24"/>
          <w:szCs w:val="24"/>
        </w:rPr>
        <w:fldChar w:fldCharType="separate"/>
      </w:r>
      <w:r w:rsidR="00CE6FC4" w:rsidRPr="00CE6FC4">
        <w:rPr>
          <w:rFonts w:ascii="Work Sans" w:hAnsi="Work Sans"/>
          <w:sz w:val="24"/>
          <w:szCs w:val="24"/>
        </w:rPr>
        <w:t>Figure 3</w:t>
      </w:r>
      <w:r w:rsidRPr="00DD0641">
        <w:rPr>
          <w:rFonts w:ascii="Work Sans" w:hAnsi="Work Sans"/>
          <w:sz w:val="24"/>
          <w:szCs w:val="24"/>
        </w:rPr>
        <w:fldChar w:fldCharType="end"/>
      </w:r>
      <w:r w:rsidRPr="00DD0641">
        <w:rPr>
          <w:rFonts w:ascii="Work Sans" w:hAnsi="Work Sans"/>
          <w:sz w:val="24"/>
          <w:szCs w:val="24"/>
        </w:rPr>
        <w:t xml:space="preserve">). </w:t>
      </w:r>
    </w:p>
    <w:p w14:paraId="5E90221A" w14:textId="1C87D4D6" w:rsidR="00010AA7" w:rsidRPr="00D91282" w:rsidRDefault="00010AA7" w:rsidP="001E6CD0">
      <w:pPr>
        <w:pStyle w:val="Caption"/>
      </w:pPr>
      <w:bookmarkStart w:id="7" w:name="_Ref75851179"/>
      <w:r w:rsidRPr="00D91282">
        <w:t>Figure </w:t>
      </w:r>
      <w:r w:rsidRPr="00D91282">
        <w:fldChar w:fldCharType="begin"/>
      </w:r>
      <w:r w:rsidRPr="00D91282">
        <w:instrText>SEQ Figure \* ARABIC</w:instrText>
      </w:r>
      <w:r w:rsidRPr="00D91282">
        <w:fldChar w:fldCharType="separate"/>
      </w:r>
      <w:r w:rsidR="00CE6FC4">
        <w:rPr>
          <w:noProof/>
        </w:rPr>
        <w:t>3</w:t>
      </w:r>
      <w:r w:rsidRPr="00D91282">
        <w:fldChar w:fldCharType="end"/>
      </w:r>
      <w:bookmarkEnd w:id="7"/>
      <w:r w:rsidRPr="00D91282">
        <w:tab/>
        <w:t>Median price of established house transfers in capital cities</w:t>
      </w:r>
    </w:p>
    <w:p w14:paraId="5C499388" w14:textId="620FB0F8" w:rsidR="0081294F" w:rsidRPr="00D91282" w:rsidRDefault="0054388E" w:rsidP="00DD0641">
      <w:pPr>
        <w:pStyle w:val="FootnoteText"/>
        <w:rPr>
          <w:rStyle w:val="Heading6Char"/>
        </w:rPr>
      </w:pPr>
      <w:r w:rsidRPr="00D91282">
        <w:rPr>
          <w:rStyle w:val="Heading6Char"/>
          <w:noProof/>
        </w:rPr>
        <w:drawing>
          <wp:inline distT="0" distB="0" distL="0" distR="0" wp14:anchorId="542E093E" wp14:editId="3B8E6D9B">
            <wp:extent cx="5657850" cy="35661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3566160"/>
                    </a:xfrm>
                    <a:prstGeom prst="rect">
                      <a:avLst/>
                    </a:prstGeom>
                    <a:noFill/>
                  </pic:spPr>
                </pic:pic>
              </a:graphicData>
            </a:graphic>
          </wp:inline>
        </w:drawing>
      </w:r>
    </w:p>
    <w:p w14:paraId="729539A5" w14:textId="72A971B6" w:rsidR="00010AA7" w:rsidRPr="00D91282" w:rsidRDefault="00010AA7" w:rsidP="00AC6C54">
      <w:pPr>
        <w:pStyle w:val="CGCTablenote"/>
      </w:pPr>
      <w:r w:rsidRPr="00D91282">
        <w:t xml:space="preserve">Note: </w:t>
      </w:r>
      <w:r w:rsidRPr="00D91282">
        <w:tab/>
      </w:r>
      <w:r w:rsidR="00BC2CD1" w:rsidRPr="00D91282">
        <w:tab/>
      </w:r>
      <w:r w:rsidRPr="00D91282">
        <w:t>The vertical axis shows the average median price for the three years used in each inquiry. For example, the 2021 Update shows the average median price for 2017-18 to 2019-20.</w:t>
      </w:r>
    </w:p>
    <w:p w14:paraId="61D17044" w14:textId="697C5531" w:rsidR="00010AA7" w:rsidRPr="00D91282" w:rsidRDefault="00010AA7" w:rsidP="00AC6C54">
      <w:pPr>
        <w:pStyle w:val="CGCTablenote"/>
      </w:pPr>
      <w:r w:rsidRPr="00D91282">
        <w:t xml:space="preserve">Source: </w:t>
      </w:r>
      <w:r w:rsidRPr="00D91282">
        <w:tab/>
      </w:r>
      <w:r w:rsidR="00BC2CD1" w:rsidRPr="00D91282">
        <w:tab/>
      </w:r>
      <w:r w:rsidRPr="00D91282">
        <w:t>ABS 6416.0 Residential Property Price Indexes: Eight Capital Cities, December 2020.</w:t>
      </w:r>
    </w:p>
    <w:p w14:paraId="534EB394" w14:textId="1C42870D" w:rsidR="00300D4B" w:rsidRPr="00D91282" w:rsidRDefault="00300D4B" w:rsidP="00300D4B">
      <w:pPr>
        <w:pStyle w:val="Heading3"/>
        <w:rPr>
          <w:b w:val="0"/>
          <w:bCs w:val="0"/>
        </w:rPr>
      </w:pPr>
      <w:r w:rsidRPr="00D91282">
        <w:rPr>
          <w:rStyle w:val="Heading6Char"/>
          <w:rFonts w:ascii="Work Sans" w:hAnsi="Work Sans" w:cs="Open Sans"/>
          <w:b w:val="0"/>
          <w:bCs w:val="0"/>
          <w:color w:val="008069" w:themeColor="accent5"/>
          <w:sz w:val="28"/>
          <w:szCs w:val="28"/>
        </w:rPr>
        <w:t>Stamp duty on conveyances</w:t>
      </w:r>
      <w:r w:rsidR="00FA0A35">
        <w:rPr>
          <w:rStyle w:val="Heading6Char"/>
          <w:rFonts w:ascii="Work Sans" w:hAnsi="Work Sans" w:cs="Open Sans"/>
          <w:b w:val="0"/>
          <w:bCs w:val="0"/>
          <w:color w:val="008069" w:themeColor="accent5"/>
          <w:sz w:val="28"/>
          <w:szCs w:val="28"/>
        </w:rPr>
        <w:t xml:space="preserve"> differs between states</w:t>
      </w:r>
    </w:p>
    <w:p w14:paraId="0D4C1A4C" w14:textId="71C3FD2C" w:rsidR="00300D4B" w:rsidRPr="009F6B9E" w:rsidRDefault="00300D4B" w:rsidP="00300D4B">
      <w:pPr>
        <w:rPr>
          <w:rFonts w:ascii="Work Sans" w:hAnsi="Work Sans"/>
          <w:sz w:val="24"/>
          <w:szCs w:val="24"/>
        </w:rPr>
      </w:pPr>
      <w:r w:rsidRPr="009F6B9E">
        <w:rPr>
          <w:rFonts w:ascii="Work Sans" w:hAnsi="Work Sans"/>
          <w:sz w:val="24"/>
          <w:szCs w:val="24"/>
        </w:rPr>
        <w:t xml:space="preserve">Property values and the number of </w:t>
      </w:r>
      <w:r w:rsidR="00B70827" w:rsidRPr="009F6B9E">
        <w:rPr>
          <w:rFonts w:ascii="Work Sans" w:hAnsi="Work Sans"/>
          <w:sz w:val="24"/>
          <w:szCs w:val="24"/>
        </w:rPr>
        <w:t xml:space="preserve">property </w:t>
      </w:r>
      <w:r w:rsidRPr="009F6B9E">
        <w:rPr>
          <w:rFonts w:ascii="Work Sans" w:hAnsi="Work Sans"/>
          <w:sz w:val="24"/>
          <w:szCs w:val="24"/>
        </w:rPr>
        <w:t xml:space="preserve">transfers drive states’ capacities to raise revenue from stamp duty on conveyances. </w:t>
      </w:r>
    </w:p>
    <w:p w14:paraId="3B998DCE" w14:textId="28FD753D" w:rsidR="00300D4B" w:rsidRPr="009F6B9E" w:rsidRDefault="009E75B6" w:rsidP="00300D4B">
      <w:pPr>
        <w:rPr>
          <w:rFonts w:ascii="Work Sans" w:hAnsi="Work Sans"/>
          <w:sz w:val="24"/>
          <w:szCs w:val="24"/>
        </w:rPr>
      </w:pPr>
      <w:r w:rsidRPr="009F6B9E">
        <w:rPr>
          <w:rFonts w:ascii="Work Sans" w:hAnsi="Work Sans"/>
          <w:sz w:val="24"/>
          <w:szCs w:val="24"/>
        </w:rPr>
        <w:t>H</w:t>
      </w:r>
      <w:r w:rsidR="00300D4B" w:rsidRPr="009F6B9E">
        <w:rPr>
          <w:rFonts w:ascii="Work Sans" w:hAnsi="Work Sans"/>
          <w:sz w:val="24"/>
          <w:szCs w:val="24"/>
        </w:rPr>
        <w:t>igh property prices in New South Wales and, to a lesser extent, Victoria, boost their capacity to raise revenue from stamp duty on conveyances. While the ACT has high property prices, it has lower property turnover.</w:t>
      </w:r>
      <w:r w:rsidR="00300D4B" w:rsidRPr="009F6B9E">
        <w:rPr>
          <w:rStyle w:val="FootnoteReference"/>
          <w:rFonts w:ascii="Work Sans" w:hAnsi="Work Sans"/>
          <w:sz w:val="24"/>
          <w:szCs w:val="24"/>
        </w:rPr>
        <w:footnoteReference w:id="4"/>
      </w:r>
      <w:r w:rsidR="00300D4B" w:rsidRPr="009F6B9E">
        <w:rPr>
          <w:rFonts w:ascii="Work Sans" w:hAnsi="Work Sans"/>
          <w:sz w:val="24"/>
          <w:szCs w:val="24"/>
        </w:rPr>
        <w:t xml:space="preserve"> Taken in total, it </w:t>
      </w:r>
      <w:r w:rsidR="00300D4B" w:rsidRPr="009F6B9E" w:rsidDel="005A5D57">
        <w:rPr>
          <w:rFonts w:ascii="Work Sans" w:hAnsi="Work Sans"/>
          <w:sz w:val="24"/>
          <w:szCs w:val="24"/>
        </w:rPr>
        <w:t>has slightly</w:t>
      </w:r>
      <w:r w:rsidR="00300D4B" w:rsidRPr="009F6B9E">
        <w:rPr>
          <w:rFonts w:ascii="Work Sans" w:hAnsi="Work Sans"/>
          <w:sz w:val="24"/>
          <w:szCs w:val="24"/>
        </w:rPr>
        <w:t xml:space="preserve"> below average capacity to raise revenue from stamp duties on conveyances. All other states have below average capacity. This means that assessing the capacity of states to raise revenue from stamp duties on conveyances increases the GST share for all states other than New South Wales and Victoria.  </w:t>
      </w:r>
    </w:p>
    <w:p w14:paraId="0CE1FA85" w14:textId="455EF278" w:rsidR="00300D4B" w:rsidRPr="009F6B9E" w:rsidRDefault="00300D4B" w:rsidP="00300D4B">
      <w:pPr>
        <w:rPr>
          <w:rFonts w:ascii="Work Sans" w:hAnsi="Work Sans"/>
          <w:sz w:val="24"/>
          <w:szCs w:val="24"/>
        </w:rPr>
      </w:pPr>
      <w:r w:rsidRPr="009F6B9E">
        <w:rPr>
          <w:rFonts w:ascii="Work Sans" w:hAnsi="Work Sans"/>
          <w:sz w:val="24"/>
          <w:szCs w:val="24"/>
        </w:rPr>
        <w:lastRenderedPageBreak/>
        <w:t xml:space="preserve">The strong growth in property prices in New South Wales and Victoria has had an increasing impact on GST distribution over the </w:t>
      </w:r>
      <w:r w:rsidR="0003180A" w:rsidRPr="009F6B9E">
        <w:rPr>
          <w:rFonts w:ascii="Work Sans" w:hAnsi="Work Sans"/>
          <w:sz w:val="24"/>
          <w:szCs w:val="24"/>
        </w:rPr>
        <w:t xml:space="preserve">majority of </w:t>
      </w:r>
      <w:r w:rsidR="0078106D" w:rsidRPr="009F6B9E">
        <w:rPr>
          <w:rFonts w:ascii="Work Sans" w:hAnsi="Work Sans"/>
          <w:sz w:val="24"/>
          <w:szCs w:val="24"/>
        </w:rPr>
        <w:t>the last decade</w:t>
      </w:r>
      <w:r w:rsidR="00E21841" w:rsidRPr="009F6B9E">
        <w:rPr>
          <w:rFonts w:ascii="Work Sans" w:hAnsi="Work Sans"/>
          <w:sz w:val="24"/>
          <w:szCs w:val="24"/>
        </w:rPr>
        <w:t>. T</w:t>
      </w:r>
      <w:r w:rsidR="0078106D" w:rsidRPr="009F6B9E">
        <w:rPr>
          <w:rFonts w:ascii="Work Sans" w:hAnsi="Work Sans"/>
          <w:sz w:val="24"/>
          <w:szCs w:val="24"/>
        </w:rPr>
        <w:t xml:space="preserve">his impact has </w:t>
      </w:r>
      <w:r w:rsidR="00703D00" w:rsidRPr="009F6B9E">
        <w:rPr>
          <w:rFonts w:ascii="Work Sans" w:hAnsi="Work Sans"/>
          <w:sz w:val="24"/>
          <w:szCs w:val="24"/>
        </w:rPr>
        <w:t>declined</w:t>
      </w:r>
      <w:r w:rsidR="0078106D" w:rsidRPr="009F6B9E">
        <w:rPr>
          <w:rFonts w:ascii="Work Sans" w:hAnsi="Work Sans"/>
          <w:sz w:val="24"/>
          <w:szCs w:val="24"/>
        </w:rPr>
        <w:t xml:space="preserve"> in the last two years</w:t>
      </w:r>
      <w:r w:rsidRPr="009F6B9E">
        <w:rPr>
          <w:rFonts w:ascii="Work Sans" w:hAnsi="Work Sans"/>
          <w:sz w:val="24"/>
          <w:szCs w:val="24"/>
        </w:rPr>
        <w:t xml:space="preserve"> (</w:t>
      </w:r>
      <w:r w:rsidRPr="009F6B9E">
        <w:rPr>
          <w:rFonts w:ascii="Work Sans" w:hAnsi="Work Sans"/>
          <w:sz w:val="24"/>
          <w:szCs w:val="24"/>
        </w:rPr>
        <w:fldChar w:fldCharType="begin"/>
      </w:r>
      <w:r w:rsidRPr="009F6B9E">
        <w:rPr>
          <w:rFonts w:ascii="Work Sans" w:hAnsi="Work Sans"/>
          <w:sz w:val="24"/>
          <w:szCs w:val="24"/>
        </w:rPr>
        <w:instrText xml:space="preserve"> REF _Ref74641806 \h </w:instrText>
      </w:r>
      <w:r w:rsidR="00D91282" w:rsidRPr="009F6B9E">
        <w:rPr>
          <w:rFonts w:ascii="Work Sans" w:hAnsi="Work Sans"/>
          <w:sz w:val="24"/>
          <w:szCs w:val="24"/>
        </w:rPr>
        <w:instrText xml:space="preserve"> \* MERGEFORMAT </w:instrText>
      </w:r>
      <w:r w:rsidRPr="009F6B9E">
        <w:rPr>
          <w:rFonts w:ascii="Work Sans" w:hAnsi="Work Sans"/>
          <w:sz w:val="24"/>
          <w:szCs w:val="24"/>
        </w:rPr>
      </w:r>
      <w:r w:rsidRPr="009F6B9E">
        <w:rPr>
          <w:rFonts w:ascii="Work Sans" w:hAnsi="Work Sans"/>
          <w:sz w:val="24"/>
          <w:szCs w:val="24"/>
        </w:rPr>
        <w:fldChar w:fldCharType="separate"/>
      </w:r>
      <w:r w:rsidR="00CE6FC4" w:rsidRPr="00CE6FC4">
        <w:rPr>
          <w:rFonts w:ascii="Work Sans" w:hAnsi="Work Sans"/>
          <w:sz w:val="24"/>
          <w:szCs w:val="24"/>
        </w:rPr>
        <w:t>Figure 4</w:t>
      </w:r>
      <w:r w:rsidRPr="009F6B9E">
        <w:rPr>
          <w:rFonts w:ascii="Work Sans" w:hAnsi="Work Sans"/>
          <w:sz w:val="24"/>
          <w:szCs w:val="24"/>
        </w:rPr>
        <w:fldChar w:fldCharType="end"/>
      </w:r>
      <w:r w:rsidRPr="009F6B9E">
        <w:rPr>
          <w:rFonts w:ascii="Work Sans" w:hAnsi="Work Sans"/>
          <w:sz w:val="24"/>
          <w:szCs w:val="24"/>
        </w:rPr>
        <w:t xml:space="preserve">). </w:t>
      </w:r>
    </w:p>
    <w:p w14:paraId="31F1118A" w14:textId="24A89B62" w:rsidR="002E1109" w:rsidRPr="00D91282" w:rsidRDefault="002E1109" w:rsidP="001E6CD0">
      <w:pPr>
        <w:pStyle w:val="Caption"/>
      </w:pPr>
      <w:bookmarkStart w:id="8" w:name="_Ref74641806"/>
      <w:r w:rsidRPr="00D91282">
        <w:t>Figure </w:t>
      </w:r>
      <w:r w:rsidRPr="00D91282">
        <w:fldChar w:fldCharType="begin"/>
      </w:r>
      <w:r w:rsidRPr="00D91282">
        <w:instrText>SEQ Figure \* ARABIC</w:instrText>
      </w:r>
      <w:r w:rsidRPr="00D91282">
        <w:fldChar w:fldCharType="separate"/>
      </w:r>
      <w:r w:rsidR="00CE6FC4">
        <w:rPr>
          <w:noProof/>
        </w:rPr>
        <w:t>4</w:t>
      </w:r>
      <w:r w:rsidRPr="00D91282">
        <w:fldChar w:fldCharType="end"/>
      </w:r>
      <w:bookmarkEnd w:id="8"/>
      <w:r w:rsidRPr="00D91282">
        <w:tab/>
        <w:t xml:space="preserve">Lower GST needs of states with above average capacity to raise revenue from stamp duty on conveyances </w:t>
      </w:r>
    </w:p>
    <w:p w14:paraId="083A986E" w14:textId="1DFD4217" w:rsidR="002E1109" w:rsidRPr="00D91282" w:rsidRDefault="00D06B10" w:rsidP="002E1109">
      <w:r w:rsidRPr="00D91282">
        <w:rPr>
          <w:noProof/>
        </w:rPr>
        <w:drawing>
          <wp:inline distT="0" distB="0" distL="0" distR="0" wp14:anchorId="632B3802" wp14:editId="7C7E8D3C">
            <wp:extent cx="5627370" cy="34931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370" cy="3493135"/>
                    </a:xfrm>
                    <a:prstGeom prst="rect">
                      <a:avLst/>
                    </a:prstGeom>
                    <a:noFill/>
                  </pic:spPr>
                </pic:pic>
              </a:graphicData>
            </a:graphic>
          </wp:inline>
        </w:drawing>
      </w:r>
    </w:p>
    <w:p w14:paraId="640B2A36" w14:textId="21085A50" w:rsidR="008D58CA" w:rsidRPr="00D91282" w:rsidRDefault="008D58CA" w:rsidP="00AC6C54">
      <w:pPr>
        <w:pStyle w:val="CGCTablenote"/>
      </w:pPr>
      <w:r w:rsidRPr="00D91282">
        <w:t>Note:</w:t>
      </w:r>
      <w:r w:rsidRPr="00D91282">
        <w:tab/>
      </w:r>
      <w:r w:rsidR="00BC2CD1" w:rsidRPr="00D91282">
        <w:tab/>
      </w:r>
      <w:r w:rsidRPr="00D91282">
        <w:t xml:space="preserve">This </w:t>
      </w:r>
      <w:r w:rsidR="00A23E8D" w:rsidRPr="00D91282">
        <w:t xml:space="preserve">figure </w:t>
      </w:r>
      <w:r w:rsidRPr="00D91282">
        <w:t xml:space="preserve">shows how much less GST is required by states with an above average capacity to raise revenue from stamp duty on conveyances than they would receive if an </w:t>
      </w:r>
      <w:r w:rsidR="00A74C35" w:rsidRPr="00D91282">
        <w:t>EPC</w:t>
      </w:r>
      <w:r w:rsidRPr="00D91282">
        <w:t xml:space="preserve"> distribution of these revenues was used in calculating required GST shares.</w:t>
      </w:r>
    </w:p>
    <w:p w14:paraId="4AF65767" w14:textId="0D36C943" w:rsidR="002E1109" w:rsidRPr="00D91282" w:rsidRDefault="002E1109" w:rsidP="00AC6C54">
      <w:pPr>
        <w:pStyle w:val="CGCTablenote"/>
      </w:pPr>
      <w:r w:rsidRPr="00D91282">
        <w:t>Source:</w:t>
      </w:r>
      <w:r w:rsidRPr="00D91282">
        <w:tab/>
      </w:r>
      <w:r w:rsidR="00BC2CD1" w:rsidRPr="00D91282">
        <w:tab/>
      </w:r>
      <w:r w:rsidRPr="00D91282">
        <w:t>Commission calculation.</w:t>
      </w:r>
    </w:p>
    <w:p w14:paraId="17A79671" w14:textId="7BA4A19A" w:rsidR="00604BAA" w:rsidRPr="00D91282" w:rsidRDefault="00604BAA" w:rsidP="00604BAA">
      <w:pPr>
        <w:pStyle w:val="Heading3"/>
        <w:rPr>
          <w:rStyle w:val="Heading6Char"/>
          <w:rFonts w:ascii="Work Sans" w:hAnsi="Work Sans" w:cs="Open Sans"/>
          <w:b w:val="0"/>
          <w:bCs w:val="0"/>
          <w:color w:val="008069" w:themeColor="accent5"/>
          <w:sz w:val="28"/>
          <w:szCs w:val="28"/>
        </w:rPr>
      </w:pPr>
      <w:r w:rsidRPr="00D91282">
        <w:rPr>
          <w:rStyle w:val="Heading6Char"/>
          <w:rFonts w:ascii="Work Sans" w:hAnsi="Work Sans" w:cs="Open Sans"/>
          <w:b w:val="0"/>
          <w:bCs w:val="0"/>
          <w:color w:val="008069" w:themeColor="accent5"/>
          <w:sz w:val="28"/>
          <w:szCs w:val="28"/>
        </w:rPr>
        <w:t>Taxable land values</w:t>
      </w:r>
      <w:r w:rsidR="00BA3479">
        <w:rPr>
          <w:rStyle w:val="Heading6Char"/>
          <w:rFonts w:ascii="Work Sans" w:hAnsi="Work Sans" w:cs="Open Sans"/>
          <w:b w:val="0"/>
          <w:bCs w:val="0"/>
          <w:color w:val="008069" w:themeColor="accent5"/>
          <w:sz w:val="28"/>
          <w:szCs w:val="28"/>
        </w:rPr>
        <w:t xml:space="preserve"> vary between states</w:t>
      </w:r>
    </w:p>
    <w:p w14:paraId="13432074" w14:textId="1FF323C6" w:rsidR="00604BAA" w:rsidRPr="009F6B9E" w:rsidRDefault="00604BAA" w:rsidP="00604BAA">
      <w:pPr>
        <w:rPr>
          <w:rFonts w:ascii="Work Sans" w:hAnsi="Work Sans"/>
          <w:sz w:val="24"/>
          <w:szCs w:val="24"/>
        </w:rPr>
      </w:pPr>
      <w:r w:rsidRPr="009F6B9E">
        <w:rPr>
          <w:rFonts w:ascii="Work Sans" w:hAnsi="Work Sans"/>
          <w:sz w:val="24"/>
          <w:szCs w:val="24"/>
        </w:rPr>
        <w:t>Land tax is imposed on the value of commercial, industrial and residential land. Therefore, states’ relative capacit</w:t>
      </w:r>
      <w:r w:rsidR="00551D7A" w:rsidRPr="009F6B9E">
        <w:rPr>
          <w:rFonts w:ascii="Work Sans" w:hAnsi="Work Sans"/>
          <w:sz w:val="24"/>
          <w:szCs w:val="24"/>
        </w:rPr>
        <w:t>ies</w:t>
      </w:r>
      <w:r w:rsidRPr="009F6B9E">
        <w:rPr>
          <w:rFonts w:ascii="Work Sans" w:hAnsi="Work Sans"/>
          <w:sz w:val="24"/>
          <w:szCs w:val="24"/>
        </w:rPr>
        <w:t xml:space="preserve"> to raise revenue from land tax depends on the value of land. </w:t>
      </w:r>
    </w:p>
    <w:p w14:paraId="1140CCD9" w14:textId="610A4141" w:rsidR="00604BAA" w:rsidRPr="009F6B9E" w:rsidRDefault="00604BAA" w:rsidP="00604BAA">
      <w:pPr>
        <w:rPr>
          <w:rFonts w:ascii="Work Sans" w:hAnsi="Work Sans"/>
          <w:sz w:val="24"/>
          <w:szCs w:val="24"/>
        </w:rPr>
      </w:pPr>
      <w:r w:rsidRPr="009F6B9E">
        <w:rPr>
          <w:rFonts w:ascii="Work Sans" w:hAnsi="Work Sans"/>
          <w:sz w:val="24"/>
          <w:szCs w:val="24"/>
        </w:rPr>
        <w:t>There have been strong increases in taxable land value in New South Wales and, to a lesser extent, Victoria (</w:t>
      </w:r>
      <w:r w:rsidRPr="009F6B9E">
        <w:rPr>
          <w:rFonts w:ascii="Work Sans" w:hAnsi="Work Sans"/>
          <w:sz w:val="24"/>
          <w:szCs w:val="24"/>
        </w:rPr>
        <w:fldChar w:fldCharType="begin"/>
      </w:r>
      <w:r w:rsidRPr="009F6B9E">
        <w:rPr>
          <w:rFonts w:ascii="Work Sans" w:hAnsi="Work Sans"/>
          <w:sz w:val="24"/>
          <w:szCs w:val="24"/>
        </w:rPr>
        <w:instrText xml:space="preserve"> REF _Ref75249656 \h </w:instrText>
      </w:r>
      <w:r w:rsidR="00D91282" w:rsidRPr="009F6B9E">
        <w:rPr>
          <w:rFonts w:ascii="Work Sans" w:hAnsi="Work Sans"/>
          <w:sz w:val="24"/>
          <w:szCs w:val="24"/>
        </w:rPr>
        <w:instrText xml:space="preserve"> \* MERGEFORMAT </w:instrText>
      </w:r>
      <w:r w:rsidRPr="009F6B9E">
        <w:rPr>
          <w:rFonts w:ascii="Work Sans" w:hAnsi="Work Sans"/>
          <w:sz w:val="24"/>
          <w:szCs w:val="24"/>
        </w:rPr>
      </w:r>
      <w:r w:rsidRPr="009F6B9E">
        <w:rPr>
          <w:rFonts w:ascii="Work Sans" w:hAnsi="Work Sans"/>
          <w:sz w:val="24"/>
          <w:szCs w:val="24"/>
        </w:rPr>
        <w:fldChar w:fldCharType="separate"/>
      </w:r>
      <w:r w:rsidR="00CE6FC4" w:rsidRPr="00CE6FC4">
        <w:rPr>
          <w:rFonts w:ascii="Work Sans" w:hAnsi="Work Sans"/>
          <w:sz w:val="24"/>
          <w:szCs w:val="24"/>
        </w:rPr>
        <w:t>Figure 5</w:t>
      </w:r>
      <w:r w:rsidRPr="009F6B9E">
        <w:rPr>
          <w:rFonts w:ascii="Work Sans" w:hAnsi="Work Sans"/>
          <w:sz w:val="24"/>
          <w:szCs w:val="24"/>
        </w:rPr>
        <w:fldChar w:fldCharType="end"/>
      </w:r>
      <w:r w:rsidRPr="009F6B9E">
        <w:rPr>
          <w:rFonts w:ascii="Work Sans" w:hAnsi="Work Sans"/>
          <w:sz w:val="24"/>
          <w:szCs w:val="24"/>
        </w:rPr>
        <w:t xml:space="preserve">). This has reduced their need for GST.  </w:t>
      </w:r>
    </w:p>
    <w:p w14:paraId="3F71AA36" w14:textId="43A3DFFA" w:rsidR="006F1157" w:rsidRPr="00D91282" w:rsidRDefault="006F1157" w:rsidP="001E6CD0">
      <w:pPr>
        <w:pStyle w:val="Caption"/>
      </w:pPr>
      <w:bookmarkStart w:id="9" w:name="_Ref75249656"/>
      <w:r w:rsidRPr="00D91282">
        <w:lastRenderedPageBreak/>
        <w:t>Figure </w:t>
      </w:r>
      <w:r w:rsidRPr="00D91282">
        <w:fldChar w:fldCharType="begin"/>
      </w:r>
      <w:r w:rsidRPr="00D91282">
        <w:instrText>SEQ Figure \* ARABIC</w:instrText>
      </w:r>
      <w:r w:rsidRPr="00D91282">
        <w:fldChar w:fldCharType="separate"/>
      </w:r>
      <w:r w:rsidR="00CE6FC4">
        <w:rPr>
          <w:noProof/>
        </w:rPr>
        <w:t>5</w:t>
      </w:r>
      <w:r w:rsidRPr="00D91282">
        <w:fldChar w:fldCharType="end"/>
      </w:r>
      <w:bookmarkEnd w:id="9"/>
      <w:r w:rsidRPr="00D91282">
        <w:tab/>
        <w:t>Lower GST needs of states with above average capacity to raise revenue from land tax</w:t>
      </w:r>
    </w:p>
    <w:p w14:paraId="069BBDE0" w14:textId="1E675B76" w:rsidR="006F1157" w:rsidRPr="00D91282" w:rsidRDefault="002E1C5C" w:rsidP="006F1157">
      <w:r w:rsidRPr="00D91282">
        <w:rPr>
          <w:noProof/>
        </w:rPr>
        <w:drawing>
          <wp:inline distT="0" distB="0" distL="0" distR="0" wp14:anchorId="39E252B0" wp14:editId="2B7ABB12">
            <wp:extent cx="5627370" cy="349948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7370" cy="3499485"/>
                    </a:xfrm>
                    <a:prstGeom prst="rect">
                      <a:avLst/>
                    </a:prstGeom>
                    <a:noFill/>
                  </pic:spPr>
                </pic:pic>
              </a:graphicData>
            </a:graphic>
          </wp:inline>
        </w:drawing>
      </w:r>
    </w:p>
    <w:p w14:paraId="4409FD9F" w14:textId="4B7BF9FA" w:rsidR="00DF05B8" w:rsidRPr="00D91282" w:rsidRDefault="00DF05B8" w:rsidP="00AC6C54">
      <w:pPr>
        <w:pStyle w:val="CGCTablenote"/>
      </w:pPr>
      <w:r w:rsidRPr="00D91282">
        <w:t>Note:</w:t>
      </w:r>
      <w:r w:rsidRPr="00D91282">
        <w:tab/>
      </w:r>
      <w:r w:rsidR="00BC2CD1" w:rsidRPr="00D91282">
        <w:tab/>
      </w:r>
      <w:r w:rsidRPr="00D91282">
        <w:t xml:space="preserve">This </w:t>
      </w:r>
      <w:r w:rsidR="00A23E8D" w:rsidRPr="00D91282">
        <w:t xml:space="preserve">figure </w:t>
      </w:r>
      <w:r w:rsidRPr="00D91282">
        <w:t xml:space="preserve">shows how much less GST is required by states with an above average capacity to raise revenue from </w:t>
      </w:r>
      <w:r w:rsidR="005D0AD1" w:rsidRPr="00D91282">
        <w:t>land tax</w:t>
      </w:r>
      <w:r w:rsidRPr="00D91282">
        <w:t xml:space="preserve"> than they would receive if an </w:t>
      </w:r>
      <w:r w:rsidR="00A74C35" w:rsidRPr="00D91282">
        <w:t>EPC</w:t>
      </w:r>
      <w:r w:rsidRPr="00D91282">
        <w:t xml:space="preserve"> distribution of these revenues was used in calculating required GST shares.</w:t>
      </w:r>
    </w:p>
    <w:p w14:paraId="1FCFEF34" w14:textId="29C118A5" w:rsidR="006F1157" w:rsidRPr="00D91282" w:rsidRDefault="006F1157" w:rsidP="00AC6C54">
      <w:pPr>
        <w:pStyle w:val="CGCTablenote"/>
      </w:pPr>
      <w:r w:rsidRPr="00D91282">
        <w:t>Source:</w:t>
      </w:r>
      <w:r w:rsidRPr="00D91282">
        <w:tab/>
      </w:r>
      <w:r w:rsidR="00BC2CD1" w:rsidRPr="00D91282">
        <w:tab/>
      </w:r>
      <w:r w:rsidRPr="00D91282">
        <w:t>Commission calculation.</w:t>
      </w:r>
    </w:p>
    <w:p w14:paraId="10CABC30" w14:textId="77777777" w:rsidR="00613FB1" w:rsidRPr="00D91282" w:rsidRDefault="00613FB1" w:rsidP="00613FB1">
      <w:pPr>
        <w:pStyle w:val="Heading3"/>
      </w:pPr>
      <w:r w:rsidRPr="00D91282">
        <w:t>Socio-demographic characteristics vary between states</w:t>
      </w:r>
    </w:p>
    <w:p w14:paraId="4CA238DB" w14:textId="229C8C3E" w:rsidR="00613FB1" w:rsidRPr="009F6B9E" w:rsidRDefault="00613FB1" w:rsidP="00613FB1">
      <w:pPr>
        <w:rPr>
          <w:rFonts w:ascii="Work Sans" w:hAnsi="Work Sans"/>
          <w:sz w:val="24"/>
          <w:szCs w:val="24"/>
        </w:rPr>
      </w:pPr>
      <w:r w:rsidRPr="009F6B9E">
        <w:rPr>
          <w:rFonts w:ascii="Work Sans" w:hAnsi="Work Sans"/>
          <w:sz w:val="24"/>
          <w:szCs w:val="24"/>
        </w:rPr>
        <w:t xml:space="preserve">Where people live, their Indigenous status and </w:t>
      </w:r>
      <w:r w:rsidR="00CD6147" w:rsidRPr="009F6B9E">
        <w:rPr>
          <w:rFonts w:ascii="Work Sans" w:hAnsi="Work Sans"/>
          <w:sz w:val="24"/>
          <w:szCs w:val="24"/>
        </w:rPr>
        <w:t xml:space="preserve">their </w:t>
      </w:r>
      <w:r w:rsidRPr="009F6B9E">
        <w:rPr>
          <w:rFonts w:ascii="Work Sans" w:hAnsi="Work Sans"/>
          <w:sz w:val="24"/>
          <w:szCs w:val="24"/>
        </w:rPr>
        <w:t xml:space="preserve">socio-economic status are important influences on the cost of providing government services. </w:t>
      </w:r>
    </w:p>
    <w:p w14:paraId="066C04FA" w14:textId="77777777" w:rsidR="00613FB1" w:rsidRPr="009F6B9E" w:rsidRDefault="00613FB1" w:rsidP="00613FB1">
      <w:pPr>
        <w:rPr>
          <w:rFonts w:ascii="Work Sans" w:hAnsi="Work Sans"/>
          <w:sz w:val="24"/>
          <w:szCs w:val="24"/>
        </w:rPr>
      </w:pPr>
      <w:r w:rsidRPr="009F6B9E">
        <w:rPr>
          <w:rFonts w:ascii="Work Sans" w:hAnsi="Work Sans"/>
          <w:sz w:val="24"/>
          <w:szCs w:val="24"/>
        </w:rPr>
        <w:t>For example, Aboriginal and Torres Strait Islander people tend to use health services more than non-Indigenous people. Other services, such as welfare and housing services, help disadvantaged people. In remote areas, public services may fill the gap in private sector alternatives that are more readily available in capital cities.</w:t>
      </w:r>
    </w:p>
    <w:p w14:paraId="79078F02" w14:textId="298D9764" w:rsidR="00613FB1" w:rsidRPr="009F6B9E" w:rsidRDefault="00613FB1" w:rsidP="00613FB1">
      <w:pPr>
        <w:rPr>
          <w:rFonts w:ascii="Work Sans" w:hAnsi="Work Sans"/>
          <w:sz w:val="24"/>
          <w:szCs w:val="24"/>
        </w:rPr>
      </w:pPr>
      <w:r w:rsidRPr="009F6B9E">
        <w:rPr>
          <w:rFonts w:ascii="Work Sans" w:hAnsi="Work Sans"/>
          <w:sz w:val="24"/>
          <w:szCs w:val="24"/>
        </w:rPr>
        <w:t xml:space="preserve">These characteristics affect states’ needs because </w:t>
      </w:r>
      <w:r w:rsidR="005E3347" w:rsidRPr="009F6B9E">
        <w:rPr>
          <w:rFonts w:ascii="Work Sans" w:hAnsi="Work Sans"/>
          <w:sz w:val="24"/>
          <w:szCs w:val="24"/>
        </w:rPr>
        <w:t xml:space="preserve">they </w:t>
      </w:r>
      <w:r w:rsidRPr="009F6B9E">
        <w:rPr>
          <w:rFonts w:ascii="Work Sans" w:hAnsi="Work Sans"/>
          <w:sz w:val="24"/>
          <w:szCs w:val="24"/>
        </w:rPr>
        <w:t>have different proportions of these groups of people (</w:t>
      </w:r>
      <w:r w:rsidR="006D718E" w:rsidRPr="009F6B9E">
        <w:rPr>
          <w:rFonts w:ascii="Work Sans" w:hAnsi="Work Sans"/>
          <w:sz w:val="24"/>
          <w:szCs w:val="24"/>
        </w:rPr>
        <w:fldChar w:fldCharType="begin"/>
      </w:r>
      <w:r w:rsidR="006D718E" w:rsidRPr="009F6B9E">
        <w:rPr>
          <w:rFonts w:ascii="Work Sans" w:hAnsi="Work Sans"/>
          <w:sz w:val="24"/>
          <w:szCs w:val="24"/>
        </w:rPr>
        <w:instrText xml:space="preserve"> REF _Ref78533840 \h </w:instrText>
      </w:r>
      <w:r w:rsidR="00D91282" w:rsidRPr="009F6B9E">
        <w:rPr>
          <w:rFonts w:ascii="Work Sans" w:hAnsi="Work Sans"/>
          <w:sz w:val="24"/>
          <w:szCs w:val="24"/>
        </w:rPr>
        <w:instrText xml:space="preserve"> \* MERGEFORMAT </w:instrText>
      </w:r>
      <w:r w:rsidR="006D718E" w:rsidRPr="009F6B9E">
        <w:rPr>
          <w:rFonts w:ascii="Work Sans" w:hAnsi="Work Sans"/>
          <w:sz w:val="24"/>
          <w:szCs w:val="24"/>
        </w:rPr>
      </w:r>
      <w:r w:rsidR="006D718E" w:rsidRPr="009F6B9E">
        <w:rPr>
          <w:rFonts w:ascii="Work Sans" w:hAnsi="Work Sans"/>
          <w:sz w:val="24"/>
          <w:szCs w:val="24"/>
        </w:rPr>
        <w:fldChar w:fldCharType="separate"/>
      </w:r>
      <w:r w:rsidR="00CE6FC4" w:rsidRPr="00CE6FC4">
        <w:rPr>
          <w:rFonts w:ascii="Work Sans" w:hAnsi="Work Sans"/>
          <w:sz w:val="24"/>
          <w:szCs w:val="24"/>
        </w:rPr>
        <w:t>Figure 6</w:t>
      </w:r>
      <w:r w:rsidR="006D718E" w:rsidRPr="009F6B9E">
        <w:rPr>
          <w:rFonts w:ascii="Work Sans" w:hAnsi="Work Sans"/>
          <w:sz w:val="24"/>
          <w:szCs w:val="24"/>
        </w:rPr>
        <w:fldChar w:fldCharType="end"/>
      </w:r>
      <w:r w:rsidRPr="009F6B9E">
        <w:rPr>
          <w:rFonts w:ascii="Work Sans" w:hAnsi="Work Sans"/>
          <w:sz w:val="24"/>
          <w:szCs w:val="24"/>
        </w:rPr>
        <w:t xml:space="preserve">). </w:t>
      </w:r>
    </w:p>
    <w:p w14:paraId="2929BCA6" w14:textId="0EB5D3D2" w:rsidR="00FD056F" w:rsidRPr="00D91282" w:rsidRDefault="00FD056F" w:rsidP="001E6CD0">
      <w:pPr>
        <w:pStyle w:val="Caption"/>
      </w:pPr>
      <w:bookmarkStart w:id="10" w:name="_Ref78533840"/>
      <w:r w:rsidRPr="00D91282">
        <w:lastRenderedPageBreak/>
        <w:t>Figure </w:t>
      </w:r>
      <w:r w:rsidRPr="00D91282">
        <w:fldChar w:fldCharType="begin"/>
      </w:r>
      <w:r w:rsidRPr="00D91282">
        <w:instrText>SEQ Figure \* ARABIC</w:instrText>
      </w:r>
      <w:r w:rsidRPr="00D91282">
        <w:fldChar w:fldCharType="separate"/>
      </w:r>
      <w:r w:rsidR="00CE6FC4">
        <w:rPr>
          <w:noProof/>
        </w:rPr>
        <w:t>6</w:t>
      </w:r>
      <w:r w:rsidRPr="00D91282">
        <w:fldChar w:fldCharType="end"/>
      </w:r>
      <w:bookmarkEnd w:id="10"/>
      <w:r w:rsidRPr="00D91282">
        <w:tab/>
        <w:t>State population shares: ratios relative to the average, December 2019</w:t>
      </w:r>
    </w:p>
    <w:p w14:paraId="4136E626" w14:textId="7751626C" w:rsidR="00FD056F" w:rsidRPr="00D91282" w:rsidRDefault="00C9701B" w:rsidP="006D5C38">
      <w:r>
        <w:rPr>
          <w:noProof/>
        </w:rPr>
        <w:drawing>
          <wp:inline distT="0" distB="0" distL="0" distR="0" wp14:anchorId="0839BD74" wp14:editId="3CDBC1C5">
            <wp:extent cx="5755640" cy="3628390"/>
            <wp:effectExtent l="19050" t="19050" r="1651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5640" cy="3628390"/>
                    </a:xfrm>
                    <a:prstGeom prst="rect">
                      <a:avLst/>
                    </a:prstGeom>
                    <a:ln>
                      <a:solidFill>
                        <a:schemeClr val="bg1">
                          <a:lumMod val="85000"/>
                        </a:schemeClr>
                      </a:solidFill>
                    </a:ln>
                  </pic:spPr>
                </pic:pic>
              </a:graphicData>
            </a:graphic>
          </wp:inline>
        </w:drawing>
      </w:r>
    </w:p>
    <w:p w14:paraId="72282255" w14:textId="77777777" w:rsidR="00FD056F" w:rsidRPr="00D91282" w:rsidRDefault="00FD056F" w:rsidP="00AC6C54">
      <w:pPr>
        <w:pStyle w:val="CGCTablenote"/>
      </w:pPr>
      <w:r w:rsidRPr="00D91282">
        <w:t>Note:</w:t>
      </w:r>
      <w:r w:rsidRPr="00D91282">
        <w:tab/>
      </w:r>
      <w:r w:rsidRPr="00D91282">
        <w:tab/>
        <w:t>This figure shows the ratio of population shares relative to the national average. A ratio below the average (below 1) means the state has a smaller share of the population group than average. A ratio of 10 means the state has 10 times the average share of a population group.</w:t>
      </w:r>
    </w:p>
    <w:p w14:paraId="08BA119D" w14:textId="6868AB55" w:rsidR="00FD056F" w:rsidRPr="00D91282" w:rsidRDefault="00FD056F" w:rsidP="00AC6C54">
      <w:pPr>
        <w:pStyle w:val="CGCTablenote"/>
      </w:pPr>
      <w:r w:rsidRPr="00D91282">
        <w:t>Source:</w:t>
      </w:r>
      <w:r w:rsidRPr="00D91282">
        <w:tab/>
      </w:r>
      <w:r w:rsidR="00BC2CD1" w:rsidRPr="00D91282">
        <w:tab/>
      </w:r>
      <w:r w:rsidRPr="00D91282">
        <w:t>Commission calculation using disaggregated ABS estimated resident population at June 2019</w:t>
      </w:r>
      <w:r w:rsidR="00087CD6">
        <w:t>,</w:t>
      </w:r>
      <w:r w:rsidRPr="00D91282">
        <w:t xml:space="preserve"> scaled to total ERP at December 2019.</w:t>
      </w:r>
    </w:p>
    <w:p w14:paraId="63114979" w14:textId="7B06FFCA" w:rsidR="00E9695E" w:rsidRPr="009F6B9E" w:rsidRDefault="00527CB2" w:rsidP="00E9695E">
      <w:pPr>
        <w:rPr>
          <w:rFonts w:ascii="Work Sans" w:hAnsi="Work Sans"/>
          <w:sz w:val="24"/>
          <w:szCs w:val="24"/>
        </w:rPr>
      </w:pPr>
      <w:r w:rsidRPr="009F6B9E">
        <w:rPr>
          <w:rFonts w:ascii="Work Sans" w:hAnsi="Work Sans"/>
          <w:sz w:val="24"/>
          <w:szCs w:val="24"/>
        </w:rPr>
        <w:fldChar w:fldCharType="begin"/>
      </w:r>
      <w:r w:rsidRPr="009F6B9E">
        <w:rPr>
          <w:rFonts w:ascii="Work Sans" w:hAnsi="Work Sans"/>
          <w:sz w:val="24"/>
          <w:szCs w:val="24"/>
        </w:rPr>
        <w:instrText xml:space="preserve"> REF _Ref78533840 \h </w:instrText>
      </w:r>
      <w:r w:rsidR="00D91282" w:rsidRPr="009F6B9E">
        <w:rPr>
          <w:rFonts w:ascii="Work Sans" w:hAnsi="Work Sans"/>
          <w:sz w:val="24"/>
          <w:szCs w:val="24"/>
        </w:rPr>
        <w:instrText xml:space="preserve"> \* MERGEFORMAT </w:instrText>
      </w:r>
      <w:r w:rsidRPr="009F6B9E">
        <w:rPr>
          <w:rFonts w:ascii="Work Sans" w:hAnsi="Work Sans"/>
          <w:sz w:val="24"/>
          <w:szCs w:val="24"/>
        </w:rPr>
      </w:r>
      <w:r w:rsidRPr="009F6B9E">
        <w:rPr>
          <w:rFonts w:ascii="Work Sans" w:hAnsi="Work Sans"/>
          <w:sz w:val="24"/>
          <w:szCs w:val="24"/>
        </w:rPr>
        <w:fldChar w:fldCharType="separate"/>
      </w:r>
      <w:r w:rsidR="00CE6FC4" w:rsidRPr="00CE6FC4">
        <w:rPr>
          <w:rFonts w:ascii="Work Sans" w:hAnsi="Work Sans"/>
          <w:sz w:val="24"/>
          <w:szCs w:val="24"/>
        </w:rPr>
        <w:t>Figure 6</w:t>
      </w:r>
      <w:r w:rsidRPr="009F6B9E">
        <w:rPr>
          <w:rFonts w:ascii="Work Sans" w:hAnsi="Work Sans"/>
          <w:sz w:val="24"/>
          <w:szCs w:val="24"/>
        </w:rPr>
        <w:fldChar w:fldCharType="end"/>
      </w:r>
      <w:r w:rsidRPr="009F6B9E">
        <w:rPr>
          <w:rFonts w:ascii="Work Sans" w:hAnsi="Work Sans"/>
          <w:sz w:val="24"/>
          <w:szCs w:val="24"/>
        </w:rPr>
        <w:t xml:space="preserve"> </w:t>
      </w:r>
      <w:r w:rsidR="00E9695E" w:rsidRPr="009F6B9E">
        <w:rPr>
          <w:rFonts w:ascii="Work Sans" w:hAnsi="Work Sans"/>
          <w:sz w:val="24"/>
          <w:szCs w:val="24"/>
        </w:rPr>
        <w:t>shows that states’ shares of different population groups vary significantly</w:t>
      </w:r>
      <w:r w:rsidR="00DF3F0F" w:rsidRPr="009F6B9E">
        <w:rPr>
          <w:rFonts w:ascii="Work Sans" w:hAnsi="Work Sans"/>
          <w:sz w:val="24"/>
          <w:szCs w:val="24"/>
        </w:rPr>
        <w:t>. T</w:t>
      </w:r>
      <w:r w:rsidR="00E9695E" w:rsidRPr="009F6B9E">
        <w:rPr>
          <w:rFonts w:ascii="Work Sans" w:hAnsi="Work Sans"/>
          <w:sz w:val="24"/>
          <w:szCs w:val="24"/>
        </w:rPr>
        <w:t xml:space="preserve">he magnitude of variation in the Northern Territory is an </w:t>
      </w:r>
      <w:r w:rsidR="009B3F46" w:rsidRPr="009F6B9E">
        <w:rPr>
          <w:rFonts w:ascii="Work Sans" w:hAnsi="Work Sans"/>
          <w:sz w:val="24"/>
          <w:szCs w:val="24"/>
        </w:rPr>
        <w:t>outlier</w:t>
      </w:r>
      <w:r w:rsidR="00E9695E" w:rsidRPr="009F6B9E">
        <w:rPr>
          <w:rFonts w:ascii="Work Sans" w:hAnsi="Work Sans"/>
          <w:sz w:val="24"/>
          <w:szCs w:val="24"/>
        </w:rPr>
        <w:t xml:space="preserve">. </w:t>
      </w:r>
      <w:r w:rsidR="004D6206" w:rsidRPr="009F6B9E">
        <w:rPr>
          <w:rFonts w:ascii="Work Sans" w:hAnsi="Work Sans"/>
          <w:sz w:val="24"/>
          <w:szCs w:val="24"/>
        </w:rPr>
        <w:t xml:space="preserve">It </w:t>
      </w:r>
      <w:r w:rsidR="00E9695E" w:rsidRPr="009F6B9E">
        <w:rPr>
          <w:rFonts w:ascii="Work Sans" w:hAnsi="Work Sans"/>
          <w:sz w:val="24"/>
          <w:szCs w:val="24"/>
        </w:rPr>
        <w:t>has over 20 times the average share of people living in remote areas, almost 10 times the share of Indigenous people</w:t>
      </w:r>
      <w:r w:rsidR="00942751" w:rsidRPr="009F6B9E">
        <w:rPr>
          <w:rFonts w:ascii="Work Sans" w:hAnsi="Work Sans"/>
          <w:sz w:val="24"/>
          <w:szCs w:val="24"/>
        </w:rPr>
        <w:t>,</w:t>
      </w:r>
      <w:r w:rsidR="00E9695E" w:rsidRPr="009F6B9E">
        <w:rPr>
          <w:rFonts w:ascii="Work Sans" w:hAnsi="Work Sans"/>
          <w:sz w:val="24"/>
          <w:szCs w:val="24"/>
        </w:rPr>
        <w:t xml:space="preserve"> and 40 times the average share of Indigenous people living in remote areas. Queensland, Western Australia, South Australia, and Tasmania also have above average shares of two or more of the population groups shown in</w:t>
      </w:r>
      <w:r w:rsidRPr="009F6B9E">
        <w:rPr>
          <w:rFonts w:ascii="Work Sans" w:hAnsi="Work Sans"/>
          <w:sz w:val="24"/>
          <w:szCs w:val="24"/>
        </w:rPr>
        <w:t xml:space="preserve"> </w:t>
      </w:r>
      <w:r w:rsidRPr="009F6B9E">
        <w:rPr>
          <w:rFonts w:ascii="Work Sans" w:hAnsi="Work Sans"/>
          <w:sz w:val="24"/>
          <w:szCs w:val="24"/>
        </w:rPr>
        <w:fldChar w:fldCharType="begin"/>
      </w:r>
      <w:r w:rsidRPr="009F6B9E">
        <w:rPr>
          <w:rFonts w:ascii="Work Sans" w:hAnsi="Work Sans"/>
          <w:sz w:val="24"/>
          <w:szCs w:val="24"/>
        </w:rPr>
        <w:instrText xml:space="preserve"> REF _Ref78533840 \h </w:instrText>
      </w:r>
      <w:r w:rsidR="00D91282" w:rsidRPr="009F6B9E">
        <w:rPr>
          <w:rFonts w:ascii="Work Sans" w:hAnsi="Work Sans"/>
          <w:sz w:val="24"/>
          <w:szCs w:val="24"/>
        </w:rPr>
        <w:instrText xml:space="preserve"> \* MERGEFORMAT </w:instrText>
      </w:r>
      <w:r w:rsidRPr="009F6B9E">
        <w:rPr>
          <w:rFonts w:ascii="Work Sans" w:hAnsi="Work Sans"/>
          <w:sz w:val="24"/>
          <w:szCs w:val="24"/>
        </w:rPr>
      </w:r>
      <w:r w:rsidRPr="009F6B9E">
        <w:rPr>
          <w:rFonts w:ascii="Work Sans" w:hAnsi="Work Sans"/>
          <w:sz w:val="24"/>
          <w:szCs w:val="24"/>
        </w:rPr>
        <w:fldChar w:fldCharType="separate"/>
      </w:r>
      <w:r w:rsidR="00CE6FC4" w:rsidRPr="00CE6FC4">
        <w:rPr>
          <w:rFonts w:ascii="Work Sans" w:hAnsi="Work Sans"/>
          <w:sz w:val="24"/>
          <w:szCs w:val="24"/>
        </w:rPr>
        <w:t>Figure 6</w:t>
      </w:r>
      <w:r w:rsidRPr="009F6B9E">
        <w:rPr>
          <w:rFonts w:ascii="Work Sans" w:hAnsi="Work Sans"/>
          <w:sz w:val="24"/>
          <w:szCs w:val="24"/>
        </w:rPr>
        <w:fldChar w:fldCharType="end"/>
      </w:r>
      <w:r w:rsidR="00E9695E" w:rsidRPr="009F6B9E">
        <w:rPr>
          <w:rFonts w:ascii="Work Sans" w:hAnsi="Work Sans"/>
          <w:sz w:val="24"/>
          <w:szCs w:val="24"/>
        </w:rPr>
        <w:t>. New South Wales and Victoria have few people living in remote areas, and the ACT has no remote areas.</w:t>
      </w:r>
    </w:p>
    <w:p w14:paraId="293C969A" w14:textId="345842B7" w:rsidR="00E9695E" w:rsidRPr="009F6B9E" w:rsidRDefault="00E9695E" w:rsidP="00E9695E">
      <w:pPr>
        <w:rPr>
          <w:rFonts w:ascii="Work Sans" w:hAnsi="Work Sans"/>
          <w:sz w:val="24"/>
          <w:szCs w:val="24"/>
        </w:rPr>
      </w:pPr>
      <w:r w:rsidRPr="009F6B9E">
        <w:rPr>
          <w:rFonts w:ascii="Work Sans" w:hAnsi="Work Sans"/>
          <w:sz w:val="24"/>
          <w:szCs w:val="24"/>
        </w:rPr>
        <w:t xml:space="preserve">Socio-economic disadvantage is also a key driver of need. States spend </w:t>
      </w:r>
      <w:r w:rsidR="00E2367E" w:rsidRPr="009F6B9E">
        <w:rPr>
          <w:rFonts w:ascii="Work Sans" w:hAnsi="Work Sans"/>
          <w:sz w:val="24"/>
          <w:szCs w:val="24"/>
        </w:rPr>
        <w:t xml:space="preserve">comparatively </w:t>
      </w:r>
      <w:r w:rsidRPr="009F6B9E">
        <w:rPr>
          <w:rFonts w:ascii="Work Sans" w:hAnsi="Work Sans"/>
          <w:sz w:val="24"/>
          <w:szCs w:val="24"/>
        </w:rPr>
        <w:t>more providing services to a socio-economically disadvantaged person</w:t>
      </w:r>
      <w:r w:rsidR="000D393A" w:rsidRPr="009F6B9E">
        <w:rPr>
          <w:rFonts w:ascii="Work Sans" w:hAnsi="Work Sans"/>
          <w:sz w:val="24"/>
          <w:szCs w:val="24"/>
        </w:rPr>
        <w:t>,</w:t>
      </w:r>
      <w:r w:rsidRPr="009F6B9E">
        <w:rPr>
          <w:rFonts w:ascii="Work Sans" w:hAnsi="Work Sans"/>
          <w:sz w:val="24"/>
          <w:szCs w:val="24"/>
        </w:rPr>
        <w:t xml:space="preserve"> especially in schools, justice and health. </w:t>
      </w:r>
    </w:p>
    <w:p w14:paraId="146A5E26" w14:textId="5CE5FD45" w:rsidR="00E9695E" w:rsidRPr="009F6B9E" w:rsidRDefault="00E9695E" w:rsidP="00E9695E">
      <w:pPr>
        <w:rPr>
          <w:rFonts w:ascii="Work Sans" w:hAnsi="Work Sans"/>
          <w:sz w:val="24"/>
          <w:szCs w:val="24"/>
        </w:rPr>
      </w:pPr>
      <w:r w:rsidRPr="009F6B9E">
        <w:rPr>
          <w:rFonts w:ascii="Work Sans" w:hAnsi="Work Sans"/>
          <w:sz w:val="24"/>
          <w:szCs w:val="24"/>
        </w:rPr>
        <w:t>Australia’s Aboriginal and Torres Strait Islander population</w:t>
      </w:r>
      <w:r w:rsidR="00E86A64" w:rsidRPr="009F6B9E">
        <w:rPr>
          <w:rFonts w:ascii="Work Sans" w:hAnsi="Work Sans"/>
          <w:sz w:val="24"/>
          <w:szCs w:val="24"/>
        </w:rPr>
        <w:t>s</w:t>
      </w:r>
      <w:r w:rsidRPr="009F6B9E">
        <w:rPr>
          <w:rFonts w:ascii="Work Sans" w:hAnsi="Work Sans"/>
          <w:sz w:val="24"/>
          <w:szCs w:val="24"/>
        </w:rPr>
        <w:t xml:space="preserve"> are, on average, much more disadvantaged than the non-Indigenous population, and use state services at significantly higher rates. The Commission uses a separate measure of disadvantage for Indigenous and non-Indigenous populations. </w:t>
      </w:r>
      <w:r w:rsidR="00B97735" w:rsidRPr="009F6B9E">
        <w:rPr>
          <w:rFonts w:ascii="Work Sans" w:hAnsi="Work Sans"/>
          <w:sz w:val="24"/>
          <w:szCs w:val="24"/>
        </w:rPr>
        <w:t xml:space="preserve">This approach, in conjunction with disaggregating by remoteness, has meant that needs are assessed among relatively </w:t>
      </w:r>
      <w:r w:rsidR="003A1733" w:rsidRPr="009F6B9E">
        <w:rPr>
          <w:rFonts w:ascii="Work Sans" w:hAnsi="Work Sans"/>
          <w:sz w:val="24"/>
          <w:szCs w:val="24"/>
        </w:rPr>
        <w:t xml:space="preserve">comparable </w:t>
      </w:r>
      <w:r w:rsidR="00B97735" w:rsidRPr="009F6B9E">
        <w:rPr>
          <w:rFonts w:ascii="Work Sans" w:hAnsi="Work Sans"/>
          <w:sz w:val="24"/>
          <w:szCs w:val="24"/>
        </w:rPr>
        <w:t>groups of Indigenous people. The increased identification among the less disadvantaged and urban Indigenous population, has affected the GST allocation associated with this group, but has not affected the GST allocation associated with the most disadvantaged and remote Indigenous populations.</w:t>
      </w:r>
      <w:r w:rsidRPr="009F6B9E">
        <w:rPr>
          <w:rFonts w:ascii="Work Sans" w:hAnsi="Work Sans"/>
          <w:sz w:val="24"/>
          <w:szCs w:val="24"/>
        </w:rPr>
        <w:t xml:space="preserve"> </w:t>
      </w:r>
    </w:p>
    <w:p w14:paraId="4FAAA73A" w14:textId="1E08E575" w:rsidR="00E9695E" w:rsidRPr="009F6B9E" w:rsidRDefault="00E9695E" w:rsidP="00E9695E">
      <w:pPr>
        <w:rPr>
          <w:rFonts w:ascii="Work Sans" w:hAnsi="Work Sans"/>
          <w:sz w:val="24"/>
          <w:szCs w:val="24"/>
        </w:rPr>
      </w:pPr>
      <w:r w:rsidRPr="009F6B9E">
        <w:rPr>
          <w:rFonts w:ascii="Work Sans" w:hAnsi="Work Sans"/>
          <w:sz w:val="24"/>
          <w:szCs w:val="24"/>
        </w:rPr>
        <w:lastRenderedPageBreak/>
        <w:t>In 2021-22 socio-demographic characteristics increased the GST shares of Queensland, Western Australia, South Australia, Tasmania and the Northern Territory by nearly $6 billion when compared with an EPC distribution of expenditure (</w:t>
      </w:r>
      <w:r w:rsidRPr="009F6B9E">
        <w:rPr>
          <w:rFonts w:ascii="Work Sans" w:hAnsi="Work Sans"/>
          <w:sz w:val="24"/>
          <w:szCs w:val="24"/>
        </w:rPr>
        <w:fldChar w:fldCharType="begin"/>
      </w:r>
      <w:r w:rsidRPr="009F6B9E">
        <w:rPr>
          <w:rFonts w:ascii="Work Sans" w:hAnsi="Work Sans"/>
          <w:sz w:val="24"/>
          <w:szCs w:val="24"/>
        </w:rPr>
        <w:instrText xml:space="preserve"> REF _Ref70519097 \h  \* MERGEFORMAT </w:instrText>
      </w:r>
      <w:r w:rsidRPr="009F6B9E">
        <w:rPr>
          <w:rFonts w:ascii="Work Sans" w:hAnsi="Work Sans"/>
          <w:sz w:val="24"/>
          <w:szCs w:val="24"/>
        </w:rPr>
      </w:r>
      <w:r w:rsidRPr="009F6B9E">
        <w:rPr>
          <w:rFonts w:ascii="Work Sans" w:hAnsi="Work Sans"/>
          <w:sz w:val="24"/>
          <w:szCs w:val="24"/>
        </w:rPr>
        <w:fldChar w:fldCharType="separate"/>
      </w:r>
      <w:r w:rsidR="00CE6FC4" w:rsidRPr="00CE6FC4">
        <w:rPr>
          <w:rFonts w:ascii="Work Sans" w:hAnsi="Work Sans"/>
          <w:sz w:val="24"/>
          <w:szCs w:val="24"/>
        </w:rPr>
        <w:t>Figure 7</w:t>
      </w:r>
      <w:r w:rsidRPr="009F6B9E">
        <w:rPr>
          <w:rFonts w:ascii="Work Sans" w:hAnsi="Work Sans"/>
          <w:sz w:val="24"/>
          <w:szCs w:val="24"/>
        </w:rPr>
        <w:fldChar w:fldCharType="end"/>
      </w:r>
      <w:r w:rsidRPr="009F6B9E">
        <w:rPr>
          <w:rFonts w:ascii="Work Sans" w:hAnsi="Work Sans"/>
          <w:sz w:val="24"/>
          <w:szCs w:val="24"/>
        </w:rPr>
        <w:t>).</w:t>
      </w:r>
    </w:p>
    <w:p w14:paraId="488E20B0" w14:textId="3BA8FA57" w:rsidR="009463DB" w:rsidRPr="00D91282" w:rsidRDefault="009463DB" w:rsidP="001E6CD0">
      <w:pPr>
        <w:pStyle w:val="Caption"/>
      </w:pPr>
      <w:bookmarkStart w:id="11" w:name="_Ref70519097"/>
      <w:r w:rsidRPr="00D91282">
        <w:t>Figure </w:t>
      </w:r>
      <w:r w:rsidRPr="00D91282">
        <w:fldChar w:fldCharType="begin"/>
      </w:r>
      <w:r w:rsidRPr="00D91282">
        <w:instrText>SEQ Figure \* ARABIC</w:instrText>
      </w:r>
      <w:r w:rsidRPr="00D91282">
        <w:fldChar w:fldCharType="separate"/>
      </w:r>
      <w:r w:rsidR="00CE6FC4">
        <w:rPr>
          <w:noProof/>
        </w:rPr>
        <w:t>7</w:t>
      </w:r>
      <w:r w:rsidRPr="00D91282">
        <w:fldChar w:fldCharType="end"/>
      </w:r>
      <w:bookmarkEnd w:id="11"/>
      <w:r w:rsidRPr="00D91282">
        <w:tab/>
        <w:t>Higher GST needs of states due to their socio-demographic profiles</w:t>
      </w:r>
    </w:p>
    <w:p w14:paraId="0F88E339" w14:textId="548C979D" w:rsidR="009463DB" w:rsidRPr="00D91282" w:rsidRDefault="008216C8" w:rsidP="009463DB">
      <w:r w:rsidRPr="00D91282">
        <w:rPr>
          <w:noProof/>
        </w:rPr>
        <w:drawing>
          <wp:inline distT="0" distB="0" distL="0" distR="0" wp14:anchorId="4C7A66D0" wp14:editId="27932F5C">
            <wp:extent cx="5602605" cy="34201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3420110"/>
                    </a:xfrm>
                    <a:prstGeom prst="rect">
                      <a:avLst/>
                    </a:prstGeom>
                    <a:noFill/>
                  </pic:spPr>
                </pic:pic>
              </a:graphicData>
            </a:graphic>
          </wp:inline>
        </w:drawing>
      </w:r>
    </w:p>
    <w:p w14:paraId="12EA0B40" w14:textId="37E3585B" w:rsidR="008D1F7B" w:rsidRPr="00D91282" w:rsidRDefault="008D1F7B" w:rsidP="00AC6C54">
      <w:pPr>
        <w:pStyle w:val="CGCTablenote"/>
      </w:pPr>
      <w:r w:rsidRPr="00D91282">
        <w:t>Note:</w:t>
      </w:r>
      <w:r w:rsidRPr="00D91282">
        <w:tab/>
      </w:r>
      <w:r w:rsidR="00900CC2" w:rsidRPr="00D91282">
        <w:tab/>
      </w:r>
      <w:r w:rsidR="00DA5723" w:rsidRPr="00D91282">
        <w:t xml:space="preserve">This </w:t>
      </w:r>
      <w:r w:rsidR="00962C53" w:rsidRPr="00D91282">
        <w:t>figure</w:t>
      </w:r>
      <w:r w:rsidR="00DA5723" w:rsidRPr="00D91282">
        <w:t xml:space="preserve"> shows how much </w:t>
      </w:r>
      <w:r w:rsidR="003631EA" w:rsidRPr="00D91282">
        <w:t>more</w:t>
      </w:r>
      <w:r w:rsidR="00DA5723" w:rsidRPr="00D91282">
        <w:t xml:space="preserve"> GST is required by states with a</w:t>
      </w:r>
      <w:r w:rsidR="003631EA" w:rsidRPr="00D91282">
        <w:t xml:space="preserve">bove </w:t>
      </w:r>
      <w:r w:rsidR="00DA5723" w:rsidRPr="00D91282">
        <w:t xml:space="preserve">average </w:t>
      </w:r>
      <w:r w:rsidR="003631EA" w:rsidRPr="00D91282">
        <w:t>needs due to socio-demographic characteristics</w:t>
      </w:r>
      <w:r w:rsidR="00DA5723" w:rsidRPr="00D91282">
        <w:t xml:space="preserve"> than they would receive if </w:t>
      </w:r>
      <w:r w:rsidR="0055739B" w:rsidRPr="00D91282">
        <w:t xml:space="preserve">these needs were not separately assessed </w:t>
      </w:r>
      <w:r w:rsidR="008F63A0" w:rsidRPr="00D91282">
        <w:t xml:space="preserve">(if these needs were assumed to be </w:t>
      </w:r>
      <w:r w:rsidR="00A74C35" w:rsidRPr="00D91282">
        <w:t>EPC</w:t>
      </w:r>
      <w:r w:rsidR="008F63A0" w:rsidRPr="00D91282">
        <w:t>)</w:t>
      </w:r>
      <w:r w:rsidR="00DA5723" w:rsidRPr="00D91282">
        <w:t>.</w:t>
      </w:r>
    </w:p>
    <w:p w14:paraId="1181A8AC" w14:textId="00E1C145" w:rsidR="009463DB" w:rsidRPr="00D91282" w:rsidRDefault="009463DB" w:rsidP="00AC6C54">
      <w:pPr>
        <w:pStyle w:val="CGCTablenote"/>
      </w:pPr>
      <w:r w:rsidRPr="00D91282">
        <w:t>Source:</w:t>
      </w:r>
      <w:r w:rsidRPr="00D91282">
        <w:tab/>
      </w:r>
      <w:r w:rsidR="00BC2CD1" w:rsidRPr="00D91282">
        <w:tab/>
      </w:r>
      <w:r w:rsidRPr="00D91282">
        <w:t>Commission calculation.</w:t>
      </w:r>
    </w:p>
    <w:p w14:paraId="36A56353" w14:textId="77777777" w:rsidR="00573292" w:rsidRPr="00D91282" w:rsidRDefault="00573292" w:rsidP="00573292">
      <w:pPr>
        <w:pStyle w:val="Heading3"/>
      </w:pPr>
      <w:r w:rsidRPr="00D91282">
        <w:t>Wages differ across states</w:t>
      </w:r>
    </w:p>
    <w:p w14:paraId="01E025F2" w14:textId="4EA73FBC" w:rsidR="00573292" w:rsidRPr="009F6B9E" w:rsidRDefault="00573292" w:rsidP="00573292">
      <w:pPr>
        <w:spacing w:before="240"/>
        <w:rPr>
          <w:rFonts w:ascii="Work Sans" w:hAnsi="Work Sans"/>
          <w:sz w:val="24"/>
          <w:szCs w:val="24"/>
        </w:rPr>
      </w:pPr>
      <w:r w:rsidRPr="009F6B9E">
        <w:rPr>
          <w:rFonts w:ascii="Work Sans" w:hAnsi="Work Sans"/>
          <w:sz w:val="24"/>
          <w:szCs w:val="24"/>
        </w:rPr>
        <w:t xml:space="preserve">The level of wages in a state affects its ability to raise revenue </w:t>
      </w:r>
      <w:r w:rsidRPr="009F6B9E">
        <w:rPr>
          <w:rFonts w:ascii="Work Sans" w:hAnsi="Work Sans"/>
          <w:sz w:val="24"/>
          <w:szCs w:val="24"/>
          <w:u w:val="single"/>
        </w:rPr>
        <w:t>and</w:t>
      </w:r>
      <w:r w:rsidRPr="009F6B9E">
        <w:rPr>
          <w:rFonts w:ascii="Work Sans" w:hAnsi="Work Sans"/>
          <w:sz w:val="24"/>
          <w:szCs w:val="24"/>
        </w:rPr>
        <w:t xml:space="preserve"> its cost of providing services. The two effects </w:t>
      </w:r>
      <w:r w:rsidR="004346B4" w:rsidRPr="009F6B9E">
        <w:rPr>
          <w:rFonts w:ascii="Work Sans" w:hAnsi="Work Sans"/>
          <w:sz w:val="24"/>
          <w:szCs w:val="24"/>
        </w:rPr>
        <w:t>exert opposing influences on the GST distribution.</w:t>
      </w:r>
    </w:p>
    <w:p w14:paraId="0F1C70A3" w14:textId="4CF49ACD" w:rsidR="00573292" w:rsidRPr="009F6B9E" w:rsidRDefault="00573292" w:rsidP="00573292">
      <w:pPr>
        <w:rPr>
          <w:rFonts w:ascii="Work Sans" w:hAnsi="Work Sans"/>
          <w:sz w:val="24"/>
          <w:szCs w:val="24"/>
        </w:rPr>
      </w:pPr>
      <w:r w:rsidRPr="009F6B9E">
        <w:rPr>
          <w:rFonts w:ascii="Work Sans" w:hAnsi="Work Sans"/>
          <w:sz w:val="24"/>
          <w:szCs w:val="24"/>
        </w:rPr>
        <w:t>Employees in New South Wales, Western Australia, the ACT and the Northern Territory had above average wages between 2010 and 2020 (</w:t>
      </w:r>
      <w:r w:rsidRPr="009F6B9E">
        <w:rPr>
          <w:rFonts w:ascii="Work Sans" w:hAnsi="Work Sans"/>
          <w:sz w:val="24"/>
          <w:szCs w:val="24"/>
        </w:rPr>
        <w:fldChar w:fldCharType="begin"/>
      </w:r>
      <w:r w:rsidRPr="009F6B9E">
        <w:rPr>
          <w:rFonts w:ascii="Work Sans" w:hAnsi="Work Sans"/>
          <w:sz w:val="24"/>
          <w:szCs w:val="24"/>
        </w:rPr>
        <w:instrText xml:space="preserve"> REF _Ref71120204 \h </w:instrText>
      </w:r>
      <w:r w:rsidR="00D91282" w:rsidRPr="009F6B9E">
        <w:rPr>
          <w:rFonts w:ascii="Work Sans" w:hAnsi="Work Sans"/>
          <w:sz w:val="24"/>
          <w:szCs w:val="24"/>
        </w:rPr>
        <w:instrText xml:space="preserve"> \* MERGEFORMAT </w:instrText>
      </w:r>
      <w:r w:rsidRPr="009F6B9E">
        <w:rPr>
          <w:rFonts w:ascii="Work Sans" w:hAnsi="Work Sans"/>
          <w:sz w:val="24"/>
          <w:szCs w:val="24"/>
        </w:rPr>
      </w:r>
      <w:r w:rsidRPr="009F6B9E">
        <w:rPr>
          <w:rFonts w:ascii="Work Sans" w:hAnsi="Work Sans"/>
          <w:sz w:val="24"/>
          <w:szCs w:val="24"/>
        </w:rPr>
        <w:fldChar w:fldCharType="separate"/>
      </w:r>
      <w:r w:rsidR="00CE6FC4" w:rsidRPr="00CE6FC4">
        <w:rPr>
          <w:rFonts w:ascii="Work Sans" w:hAnsi="Work Sans"/>
          <w:sz w:val="24"/>
          <w:szCs w:val="24"/>
        </w:rPr>
        <w:t>Table 2</w:t>
      </w:r>
      <w:r w:rsidRPr="009F6B9E">
        <w:rPr>
          <w:rFonts w:ascii="Work Sans" w:hAnsi="Work Sans"/>
          <w:sz w:val="24"/>
          <w:szCs w:val="24"/>
        </w:rPr>
        <w:fldChar w:fldCharType="end"/>
      </w:r>
      <w:r w:rsidRPr="009F6B9E">
        <w:rPr>
          <w:rFonts w:ascii="Work Sans" w:hAnsi="Work Sans"/>
          <w:sz w:val="24"/>
          <w:szCs w:val="24"/>
        </w:rPr>
        <w:t>). Differences in wages are due to the composition of industry and occupations in each state,</w:t>
      </w:r>
      <w:r w:rsidRPr="009F6B9E" w:rsidDel="00A23073">
        <w:rPr>
          <w:rFonts w:ascii="Work Sans" w:hAnsi="Work Sans"/>
          <w:sz w:val="24"/>
          <w:szCs w:val="24"/>
        </w:rPr>
        <w:t xml:space="preserve"> </w:t>
      </w:r>
      <w:r w:rsidRPr="009F6B9E">
        <w:rPr>
          <w:rFonts w:ascii="Work Sans" w:hAnsi="Work Sans"/>
          <w:sz w:val="24"/>
          <w:szCs w:val="24"/>
        </w:rPr>
        <w:t xml:space="preserve">the characteristics of </w:t>
      </w:r>
      <w:r w:rsidRPr="009F6B9E" w:rsidDel="00461911">
        <w:rPr>
          <w:rFonts w:ascii="Work Sans" w:hAnsi="Work Sans"/>
          <w:sz w:val="24"/>
          <w:szCs w:val="24"/>
        </w:rPr>
        <w:t>workers</w:t>
      </w:r>
      <w:r w:rsidRPr="009F6B9E">
        <w:rPr>
          <w:rFonts w:ascii="Work Sans" w:hAnsi="Work Sans"/>
          <w:sz w:val="24"/>
          <w:szCs w:val="24"/>
        </w:rPr>
        <w:t xml:space="preserve"> (such as experience and qualifications)</w:t>
      </w:r>
      <w:r w:rsidR="00CF5FD2" w:rsidRPr="009F6B9E">
        <w:rPr>
          <w:rFonts w:ascii="Work Sans" w:hAnsi="Work Sans"/>
          <w:sz w:val="24"/>
          <w:szCs w:val="24"/>
        </w:rPr>
        <w:t xml:space="preserve"> and </w:t>
      </w:r>
      <w:r w:rsidRPr="009F6B9E">
        <w:rPr>
          <w:rFonts w:ascii="Work Sans" w:hAnsi="Work Sans"/>
          <w:sz w:val="24"/>
          <w:szCs w:val="24"/>
        </w:rPr>
        <w:t xml:space="preserve">labour market differences </w:t>
      </w:r>
      <w:r w:rsidR="00CF5FD2" w:rsidRPr="009F6B9E">
        <w:rPr>
          <w:rFonts w:ascii="Work Sans" w:hAnsi="Work Sans"/>
          <w:sz w:val="24"/>
          <w:szCs w:val="24"/>
        </w:rPr>
        <w:t>(</w:t>
      </w:r>
      <w:r w:rsidRPr="009F6B9E">
        <w:rPr>
          <w:rFonts w:ascii="Work Sans" w:hAnsi="Work Sans"/>
          <w:sz w:val="24"/>
          <w:szCs w:val="24"/>
        </w:rPr>
        <w:t xml:space="preserve">comparable employees </w:t>
      </w:r>
      <w:r w:rsidR="00CF5FD2" w:rsidRPr="009F6B9E">
        <w:rPr>
          <w:rFonts w:ascii="Work Sans" w:hAnsi="Work Sans"/>
          <w:sz w:val="24"/>
          <w:szCs w:val="24"/>
        </w:rPr>
        <w:t>receiving</w:t>
      </w:r>
      <w:r w:rsidRPr="009F6B9E">
        <w:rPr>
          <w:rFonts w:ascii="Work Sans" w:hAnsi="Work Sans"/>
          <w:sz w:val="24"/>
          <w:szCs w:val="24"/>
        </w:rPr>
        <w:t xml:space="preserve"> different wages in different states</w:t>
      </w:r>
      <w:r w:rsidR="00CF5FD2" w:rsidRPr="009F6B9E">
        <w:rPr>
          <w:rFonts w:ascii="Work Sans" w:hAnsi="Work Sans"/>
          <w:sz w:val="24"/>
          <w:szCs w:val="24"/>
        </w:rPr>
        <w:t>)</w:t>
      </w:r>
      <w:r w:rsidRPr="009F6B9E">
        <w:rPr>
          <w:rFonts w:ascii="Work Sans" w:hAnsi="Work Sans"/>
          <w:sz w:val="24"/>
          <w:szCs w:val="24"/>
        </w:rPr>
        <w:t xml:space="preserve">. </w:t>
      </w:r>
    </w:p>
    <w:p w14:paraId="1DEA750A" w14:textId="64B9113D" w:rsidR="00C63222" w:rsidRPr="00D91282" w:rsidRDefault="00C63222" w:rsidP="001E6CD0">
      <w:pPr>
        <w:pStyle w:val="Caption"/>
      </w:pPr>
      <w:bookmarkStart w:id="12" w:name="_Ref71120204"/>
      <w:r w:rsidRPr="00D91282">
        <w:t>Table </w:t>
      </w:r>
      <w:r w:rsidRPr="00D91282">
        <w:fldChar w:fldCharType="begin"/>
      </w:r>
      <w:r w:rsidRPr="00D91282">
        <w:instrText>SEQ Table \* ARABIC</w:instrText>
      </w:r>
      <w:r w:rsidRPr="00D91282">
        <w:fldChar w:fldCharType="separate"/>
      </w:r>
      <w:r w:rsidR="00CE6FC4">
        <w:rPr>
          <w:noProof/>
        </w:rPr>
        <w:t>2</w:t>
      </w:r>
      <w:r w:rsidRPr="00D91282">
        <w:fldChar w:fldCharType="end"/>
      </w:r>
      <w:bookmarkEnd w:id="12"/>
      <w:r w:rsidRPr="00D91282">
        <w:tab/>
        <w:t>Median weekly earnings for employees, average of 2011 to 2020 (a)</w:t>
      </w:r>
    </w:p>
    <w:tbl>
      <w:tblPr>
        <w:tblW w:w="8940" w:type="dxa"/>
        <w:tblBorders>
          <w:bottom w:val="single" w:sz="4" w:space="0" w:color="ADD6EA"/>
          <w:insideH w:val="single" w:sz="4" w:space="0" w:color="ADD6EA"/>
        </w:tblBorders>
        <w:tblLook w:val="04A0" w:firstRow="1" w:lastRow="0" w:firstColumn="1" w:lastColumn="0" w:noHBand="0" w:noVBand="1"/>
      </w:tblPr>
      <w:tblGrid>
        <w:gridCol w:w="3280"/>
        <w:gridCol w:w="680"/>
        <w:gridCol w:w="560"/>
        <w:gridCol w:w="580"/>
        <w:gridCol w:w="680"/>
        <w:gridCol w:w="560"/>
        <w:gridCol w:w="560"/>
        <w:gridCol w:w="680"/>
        <w:gridCol w:w="680"/>
        <w:gridCol w:w="680"/>
      </w:tblGrid>
      <w:tr w:rsidR="00C63222" w:rsidRPr="00D91282" w14:paraId="2A8F6DEB" w14:textId="77777777" w:rsidTr="00AA1DFE">
        <w:trPr>
          <w:trHeight w:val="379"/>
        </w:trPr>
        <w:tc>
          <w:tcPr>
            <w:tcW w:w="3280" w:type="dxa"/>
            <w:shd w:val="clear" w:color="auto" w:fill="008069"/>
            <w:vAlign w:val="bottom"/>
            <w:hideMark/>
          </w:tcPr>
          <w:p w14:paraId="4698B83B" w14:textId="77777777" w:rsidR="00C63222" w:rsidRPr="00D91282" w:rsidRDefault="00C63222" w:rsidP="00DE6EE2">
            <w:pPr>
              <w:tabs>
                <w:tab w:val="clear" w:pos="567"/>
              </w:tabs>
              <w:spacing w:before="0"/>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 </w:t>
            </w:r>
          </w:p>
        </w:tc>
        <w:tc>
          <w:tcPr>
            <w:tcW w:w="680" w:type="dxa"/>
            <w:shd w:val="clear" w:color="auto" w:fill="008069"/>
            <w:vAlign w:val="center"/>
            <w:hideMark/>
          </w:tcPr>
          <w:p w14:paraId="6BE080BA"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NSW</w:t>
            </w:r>
          </w:p>
        </w:tc>
        <w:tc>
          <w:tcPr>
            <w:tcW w:w="560" w:type="dxa"/>
            <w:shd w:val="clear" w:color="auto" w:fill="008069"/>
            <w:vAlign w:val="center"/>
            <w:hideMark/>
          </w:tcPr>
          <w:p w14:paraId="1EB762D9"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Vic</w:t>
            </w:r>
          </w:p>
        </w:tc>
        <w:tc>
          <w:tcPr>
            <w:tcW w:w="580" w:type="dxa"/>
            <w:shd w:val="clear" w:color="auto" w:fill="008069"/>
            <w:vAlign w:val="center"/>
            <w:hideMark/>
          </w:tcPr>
          <w:p w14:paraId="7C57DB4C"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Qld</w:t>
            </w:r>
          </w:p>
        </w:tc>
        <w:tc>
          <w:tcPr>
            <w:tcW w:w="680" w:type="dxa"/>
            <w:shd w:val="clear" w:color="auto" w:fill="008069"/>
            <w:vAlign w:val="center"/>
            <w:hideMark/>
          </w:tcPr>
          <w:p w14:paraId="5184E2DA"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WA</w:t>
            </w:r>
          </w:p>
        </w:tc>
        <w:tc>
          <w:tcPr>
            <w:tcW w:w="560" w:type="dxa"/>
            <w:shd w:val="clear" w:color="auto" w:fill="008069"/>
            <w:vAlign w:val="center"/>
            <w:hideMark/>
          </w:tcPr>
          <w:p w14:paraId="71FFA2EE"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SA</w:t>
            </w:r>
          </w:p>
        </w:tc>
        <w:tc>
          <w:tcPr>
            <w:tcW w:w="560" w:type="dxa"/>
            <w:shd w:val="clear" w:color="auto" w:fill="008069"/>
            <w:vAlign w:val="center"/>
            <w:hideMark/>
          </w:tcPr>
          <w:p w14:paraId="771A6737"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Tas</w:t>
            </w:r>
          </w:p>
        </w:tc>
        <w:tc>
          <w:tcPr>
            <w:tcW w:w="680" w:type="dxa"/>
            <w:shd w:val="clear" w:color="auto" w:fill="008069"/>
            <w:vAlign w:val="center"/>
            <w:hideMark/>
          </w:tcPr>
          <w:p w14:paraId="4AF69267"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ACT</w:t>
            </w:r>
          </w:p>
        </w:tc>
        <w:tc>
          <w:tcPr>
            <w:tcW w:w="680" w:type="dxa"/>
            <w:shd w:val="clear" w:color="auto" w:fill="008069"/>
            <w:vAlign w:val="center"/>
            <w:hideMark/>
          </w:tcPr>
          <w:p w14:paraId="705B6922"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NT</w:t>
            </w:r>
          </w:p>
        </w:tc>
        <w:tc>
          <w:tcPr>
            <w:tcW w:w="680" w:type="dxa"/>
            <w:shd w:val="clear" w:color="auto" w:fill="008069"/>
            <w:vAlign w:val="center"/>
            <w:hideMark/>
          </w:tcPr>
          <w:p w14:paraId="7DDD36E2"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Avg</w:t>
            </w:r>
          </w:p>
        </w:tc>
      </w:tr>
      <w:tr w:rsidR="00C63222" w:rsidRPr="00D91282" w14:paraId="57F1F096" w14:textId="77777777" w:rsidTr="00AA1DFE">
        <w:trPr>
          <w:trHeight w:val="259"/>
        </w:trPr>
        <w:tc>
          <w:tcPr>
            <w:tcW w:w="3280" w:type="dxa"/>
            <w:shd w:val="clear" w:color="auto" w:fill="99CCC3"/>
            <w:vAlign w:val="bottom"/>
            <w:hideMark/>
          </w:tcPr>
          <w:p w14:paraId="5B78A6E9" w14:textId="77777777" w:rsidR="00C63222" w:rsidRPr="00D91282" w:rsidRDefault="00C63222" w:rsidP="00DE6EE2">
            <w:pPr>
              <w:tabs>
                <w:tab w:val="clear" w:pos="567"/>
              </w:tabs>
              <w:spacing w:before="0"/>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80" w:type="dxa"/>
            <w:shd w:val="clear" w:color="auto" w:fill="99CCC3"/>
            <w:noWrap/>
            <w:vAlign w:val="bottom"/>
            <w:hideMark/>
          </w:tcPr>
          <w:p w14:paraId="3EA830FB"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560" w:type="dxa"/>
            <w:shd w:val="clear" w:color="auto" w:fill="99CCC3"/>
            <w:noWrap/>
            <w:vAlign w:val="bottom"/>
            <w:hideMark/>
          </w:tcPr>
          <w:p w14:paraId="556BDC15"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580" w:type="dxa"/>
            <w:shd w:val="clear" w:color="auto" w:fill="99CCC3"/>
            <w:noWrap/>
            <w:vAlign w:val="bottom"/>
            <w:hideMark/>
          </w:tcPr>
          <w:p w14:paraId="25E6F5BC"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80" w:type="dxa"/>
            <w:shd w:val="clear" w:color="auto" w:fill="99CCC3"/>
            <w:noWrap/>
            <w:vAlign w:val="bottom"/>
            <w:hideMark/>
          </w:tcPr>
          <w:p w14:paraId="286DFA8D"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560" w:type="dxa"/>
            <w:shd w:val="clear" w:color="auto" w:fill="99CCC3"/>
            <w:noWrap/>
            <w:vAlign w:val="bottom"/>
            <w:hideMark/>
          </w:tcPr>
          <w:p w14:paraId="1E31B11E"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560" w:type="dxa"/>
            <w:shd w:val="clear" w:color="auto" w:fill="99CCC3"/>
            <w:noWrap/>
            <w:vAlign w:val="bottom"/>
            <w:hideMark/>
          </w:tcPr>
          <w:p w14:paraId="736480B8"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80" w:type="dxa"/>
            <w:shd w:val="clear" w:color="auto" w:fill="99CCC3"/>
            <w:noWrap/>
            <w:vAlign w:val="bottom"/>
            <w:hideMark/>
          </w:tcPr>
          <w:p w14:paraId="71AB1537"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80" w:type="dxa"/>
            <w:shd w:val="clear" w:color="auto" w:fill="99CCC3"/>
            <w:noWrap/>
            <w:vAlign w:val="bottom"/>
            <w:hideMark/>
          </w:tcPr>
          <w:p w14:paraId="4B59E148"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c>
          <w:tcPr>
            <w:tcW w:w="680" w:type="dxa"/>
            <w:shd w:val="clear" w:color="auto" w:fill="99CCC3"/>
            <w:noWrap/>
            <w:vAlign w:val="bottom"/>
            <w:hideMark/>
          </w:tcPr>
          <w:p w14:paraId="52245C33" w14:textId="77777777" w:rsidR="00C63222" w:rsidRPr="00D91282" w:rsidRDefault="00C63222" w:rsidP="00DE6EE2">
            <w:pPr>
              <w:tabs>
                <w:tab w:val="clear" w:pos="567"/>
              </w:tabs>
              <w:spacing w:before="0"/>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w:t>
            </w:r>
          </w:p>
        </w:tc>
      </w:tr>
      <w:tr w:rsidR="00C63222" w:rsidRPr="00D91282" w14:paraId="5B729744" w14:textId="77777777" w:rsidTr="00AA1DFE">
        <w:trPr>
          <w:trHeight w:val="315"/>
        </w:trPr>
        <w:tc>
          <w:tcPr>
            <w:tcW w:w="3280" w:type="dxa"/>
            <w:shd w:val="clear" w:color="auto" w:fill="auto"/>
            <w:vAlign w:val="bottom"/>
            <w:hideMark/>
          </w:tcPr>
          <w:p w14:paraId="77A77F15" w14:textId="77777777" w:rsidR="00C63222" w:rsidRPr="00D91282" w:rsidRDefault="00C63222" w:rsidP="009F22E1">
            <w:pPr>
              <w:tabs>
                <w:tab w:val="clear" w:pos="567"/>
              </w:tabs>
              <w:rPr>
                <w:rFonts w:eastAsia="Times New Roman" w:cs="Open Sans Light"/>
                <w:color w:val="000000"/>
                <w:sz w:val="16"/>
                <w:szCs w:val="16"/>
                <w:lang w:eastAsia="en-AU"/>
              </w:rPr>
            </w:pPr>
            <w:r w:rsidRPr="00D91282">
              <w:rPr>
                <w:rFonts w:eastAsia="Times New Roman" w:cs="Open Sans Light"/>
                <w:color w:val="000000"/>
                <w:sz w:val="16"/>
                <w:szCs w:val="16"/>
                <w:lang w:eastAsia="en-AU"/>
              </w:rPr>
              <w:t>Median weekly earnings for employees</w:t>
            </w:r>
          </w:p>
        </w:tc>
        <w:tc>
          <w:tcPr>
            <w:tcW w:w="680" w:type="dxa"/>
            <w:shd w:val="clear" w:color="auto" w:fill="auto"/>
            <w:vAlign w:val="bottom"/>
            <w:hideMark/>
          </w:tcPr>
          <w:p w14:paraId="6FC34B9A"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1,021</w:t>
            </w:r>
          </w:p>
        </w:tc>
        <w:tc>
          <w:tcPr>
            <w:tcW w:w="560" w:type="dxa"/>
            <w:shd w:val="clear" w:color="auto" w:fill="auto"/>
            <w:vAlign w:val="bottom"/>
            <w:hideMark/>
          </w:tcPr>
          <w:p w14:paraId="32384044"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985</w:t>
            </w:r>
          </w:p>
        </w:tc>
        <w:tc>
          <w:tcPr>
            <w:tcW w:w="580" w:type="dxa"/>
            <w:shd w:val="clear" w:color="auto" w:fill="auto"/>
            <w:vAlign w:val="bottom"/>
            <w:hideMark/>
          </w:tcPr>
          <w:p w14:paraId="33064B25"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999</w:t>
            </w:r>
          </w:p>
        </w:tc>
        <w:tc>
          <w:tcPr>
            <w:tcW w:w="680" w:type="dxa"/>
            <w:shd w:val="clear" w:color="auto" w:fill="auto"/>
            <w:vAlign w:val="bottom"/>
            <w:hideMark/>
          </w:tcPr>
          <w:p w14:paraId="137D8723"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1,113</w:t>
            </w:r>
          </w:p>
        </w:tc>
        <w:tc>
          <w:tcPr>
            <w:tcW w:w="560" w:type="dxa"/>
            <w:shd w:val="clear" w:color="auto" w:fill="auto"/>
            <w:vAlign w:val="bottom"/>
            <w:hideMark/>
          </w:tcPr>
          <w:p w14:paraId="51B60223"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951</w:t>
            </w:r>
          </w:p>
        </w:tc>
        <w:tc>
          <w:tcPr>
            <w:tcW w:w="560" w:type="dxa"/>
            <w:shd w:val="clear" w:color="auto" w:fill="auto"/>
            <w:vAlign w:val="bottom"/>
            <w:hideMark/>
          </w:tcPr>
          <w:p w14:paraId="4E7CC9F0"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903</w:t>
            </w:r>
          </w:p>
        </w:tc>
        <w:tc>
          <w:tcPr>
            <w:tcW w:w="680" w:type="dxa"/>
            <w:shd w:val="clear" w:color="auto" w:fill="auto"/>
            <w:vAlign w:val="bottom"/>
            <w:hideMark/>
          </w:tcPr>
          <w:p w14:paraId="245BD222"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1,252</w:t>
            </w:r>
          </w:p>
        </w:tc>
        <w:tc>
          <w:tcPr>
            <w:tcW w:w="680" w:type="dxa"/>
            <w:shd w:val="clear" w:color="auto" w:fill="auto"/>
            <w:vAlign w:val="bottom"/>
            <w:hideMark/>
          </w:tcPr>
          <w:p w14:paraId="719922F0"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1,174</w:t>
            </w:r>
          </w:p>
        </w:tc>
        <w:tc>
          <w:tcPr>
            <w:tcW w:w="680" w:type="dxa"/>
            <w:shd w:val="clear" w:color="auto" w:fill="auto"/>
            <w:vAlign w:val="bottom"/>
            <w:hideMark/>
          </w:tcPr>
          <w:p w14:paraId="1ADE410F" w14:textId="77777777" w:rsidR="00C63222" w:rsidRPr="00D91282" w:rsidRDefault="00C63222" w:rsidP="009F22E1">
            <w:pPr>
              <w:tabs>
                <w:tab w:val="clear" w:pos="567"/>
              </w:tabs>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1,014</w:t>
            </w:r>
          </w:p>
        </w:tc>
      </w:tr>
    </w:tbl>
    <w:p w14:paraId="5621FC18" w14:textId="1ED89EE5" w:rsidR="00C63222" w:rsidRPr="00D91282" w:rsidRDefault="002437FD" w:rsidP="00A12646">
      <w:pPr>
        <w:pStyle w:val="CGCTablenote"/>
      </w:pPr>
      <w:r>
        <w:t>(a)</w:t>
      </w:r>
      <w:r w:rsidR="00C63222" w:rsidRPr="00D91282">
        <w:tab/>
        <w:t>Data in August of each year.</w:t>
      </w:r>
    </w:p>
    <w:p w14:paraId="70D1103D" w14:textId="77777777" w:rsidR="00C63222" w:rsidRPr="00D91282" w:rsidRDefault="00C63222" w:rsidP="00A12646">
      <w:pPr>
        <w:pStyle w:val="CGCTablenote"/>
      </w:pPr>
      <w:r w:rsidRPr="00D91282">
        <w:t>Source:</w:t>
      </w:r>
      <w:r w:rsidRPr="00D91282">
        <w:tab/>
        <w:t>ABS, 6333.0 Characteristics of Employment, Australia, August 2020.</w:t>
      </w:r>
    </w:p>
    <w:p w14:paraId="64B63DAA" w14:textId="68D79251" w:rsidR="00E352E1" w:rsidRPr="0024505B" w:rsidRDefault="00E352E1" w:rsidP="00E352E1">
      <w:pPr>
        <w:rPr>
          <w:rFonts w:ascii="Work Sans" w:hAnsi="Work Sans"/>
          <w:sz w:val="24"/>
          <w:szCs w:val="24"/>
        </w:rPr>
      </w:pPr>
      <w:r w:rsidRPr="0024505B">
        <w:rPr>
          <w:rFonts w:ascii="Work Sans" w:hAnsi="Work Sans"/>
          <w:sz w:val="24"/>
          <w:szCs w:val="24"/>
        </w:rPr>
        <w:lastRenderedPageBreak/>
        <w:t>Wage levels affect states’ capacit</w:t>
      </w:r>
      <w:r w:rsidR="008C2473" w:rsidRPr="0024505B">
        <w:rPr>
          <w:rFonts w:ascii="Work Sans" w:hAnsi="Work Sans"/>
          <w:sz w:val="24"/>
          <w:szCs w:val="24"/>
        </w:rPr>
        <w:t>ies</w:t>
      </w:r>
      <w:r w:rsidRPr="0024505B">
        <w:rPr>
          <w:rFonts w:ascii="Work Sans" w:hAnsi="Work Sans"/>
          <w:sz w:val="24"/>
          <w:szCs w:val="24"/>
        </w:rPr>
        <w:t xml:space="preserve"> to raise revenue from payroll tax. They also affect the cost of providing public sector services, as wages represent close to 65% of </w:t>
      </w:r>
      <w:r w:rsidRPr="0024505B" w:rsidDel="00461911">
        <w:rPr>
          <w:rFonts w:ascii="Work Sans" w:hAnsi="Work Sans"/>
          <w:sz w:val="24"/>
          <w:szCs w:val="24"/>
        </w:rPr>
        <w:t xml:space="preserve">total </w:t>
      </w:r>
      <w:r w:rsidRPr="0024505B">
        <w:rPr>
          <w:rFonts w:ascii="Work Sans" w:hAnsi="Work Sans"/>
          <w:sz w:val="24"/>
          <w:szCs w:val="24"/>
        </w:rPr>
        <w:t>public sector costs. These two effects mirror each other, so states with above average wages are generally able to raise relatively more revenue from payroll but face higher wage bills when providing public services. On their own these effects have a large impact on GST shares. For example, in 2021-22 assessments of payroll tax and wage costs distributed $</w:t>
      </w:r>
      <w:r w:rsidR="00CF5FD2" w:rsidRPr="0024505B">
        <w:rPr>
          <w:rFonts w:ascii="Work Sans" w:hAnsi="Work Sans"/>
          <w:sz w:val="24"/>
          <w:szCs w:val="24"/>
        </w:rPr>
        <w:t>1.3</w:t>
      </w:r>
      <w:r w:rsidRPr="0024505B">
        <w:rPr>
          <w:rFonts w:ascii="Work Sans" w:hAnsi="Work Sans"/>
          <w:sz w:val="24"/>
          <w:szCs w:val="24"/>
        </w:rPr>
        <w:t xml:space="preserve"> </w:t>
      </w:r>
      <w:r w:rsidR="00CF5FD2" w:rsidRPr="0024505B">
        <w:rPr>
          <w:rFonts w:ascii="Work Sans" w:hAnsi="Work Sans"/>
          <w:sz w:val="24"/>
          <w:szCs w:val="24"/>
        </w:rPr>
        <w:t>b</w:t>
      </w:r>
      <w:r w:rsidRPr="0024505B">
        <w:rPr>
          <w:rFonts w:ascii="Work Sans" w:hAnsi="Work Sans"/>
          <w:sz w:val="24"/>
          <w:szCs w:val="24"/>
        </w:rPr>
        <w:t>illion and $975 million respectively away from an EPC distribution of GST shares. However, in combination these assessments redistributed only $578</w:t>
      </w:r>
      <w:r w:rsidR="005A74B5" w:rsidRPr="0024505B">
        <w:rPr>
          <w:rFonts w:ascii="Work Sans" w:hAnsi="Work Sans"/>
          <w:sz w:val="24"/>
          <w:szCs w:val="24"/>
        </w:rPr>
        <w:t> </w:t>
      </w:r>
      <w:r w:rsidRPr="0024505B">
        <w:rPr>
          <w:rFonts w:ascii="Work Sans" w:hAnsi="Work Sans"/>
          <w:sz w:val="24"/>
          <w:szCs w:val="24"/>
        </w:rPr>
        <w:t>million away from an EPC distribution of GST shares.</w:t>
      </w:r>
      <w:r w:rsidR="00AC21F3" w:rsidRPr="0024505B">
        <w:rPr>
          <w:rFonts w:ascii="Work Sans" w:hAnsi="Work Sans"/>
          <w:noProof/>
          <w:sz w:val="24"/>
          <w:szCs w:val="24"/>
        </w:rPr>
        <w:t xml:space="preserve"> </w:t>
      </w:r>
    </w:p>
    <w:p w14:paraId="19A4027F" w14:textId="732F1232" w:rsidR="00957D34" w:rsidRPr="00D91282" w:rsidRDefault="00957D34" w:rsidP="00957D34">
      <w:pPr>
        <w:pStyle w:val="Heading3"/>
        <w:rPr>
          <w:b w:val="0"/>
          <w:bCs w:val="0"/>
        </w:rPr>
      </w:pPr>
      <w:r w:rsidRPr="00D91282">
        <w:rPr>
          <w:rStyle w:val="Heading6Char"/>
          <w:rFonts w:ascii="Work Sans" w:hAnsi="Work Sans" w:cs="Open Sans"/>
          <w:b w:val="0"/>
          <w:bCs w:val="0"/>
          <w:color w:val="008069" w:themeColor="accent5"/>
          <w:sz w:val="28"/>
          <w:szCs w:val="28"/>
        </w:rPr>
        <w:t>Payroll tax</w:t>
      </w:r>
      <w:r w:rsidR="007F3627">
        <w:rPr>
          <w:rStyle w:val="Heading6Char"/>
          <w:rFonts w:ascii="Work Sans" w:hAnsi="Work Sans" w:cs="Open Sans"/>
          <w:b w:val="0"/>
          <w:bCs w:val="0"/>
          <w:color w:val="008069" w:themeColor="accent5"/>
          <w:sz w:val="28"/>
          <w:szCs w:val="28"/>
        </w:rPr>
        <w:t xml:space="preserve"> </w:t>
      </w:r>
      <w:r w:rsidR="00A31412">
        <w:rPr>
          <w:rStyle w:val="Heading6Char"/>
          <w:rFonts w:ascii="Work Sans" w:hAnsi="Work Sans" w:cs="Open Sans"/>
          <w:b w:val="0"/>
          <w:bCs w:val="0"/>
          <w:color w:val="008069" w:themeColor="accent5"/>
          <w:sz w:val="28"/>
          <w:szCs w:val="28"/>
        </w:rPr>
        <w:t>increases revenue capacity</w:t>
      </w:r>
    </w:p>
    <w:p w14:paraId="44008366" w14:textId="436BB0D8" w:rsidR="00957D34" w:rsidRPr="0024505B" w:rsidRDefault="00957D34" w:rsidP="00957D34">
      <w:pPr>
        <w:rPr>
          <w:rFonts w:ascii="Work Sans" w:hAnsi="Work Sans"/>
          <w:sz w:val="24"/>
          <w:szCs w:val="24"/>
        </w:rPr>
      </w:pPr>
      <w:r w:rsidRPr="0024505B">
        <w:rPr>
          <w:rFonts w:ascii="Work Sans" w:hAnsi="Work Sans"/>
          <w:sz w:val="24"/>
          <w:szCs w:val="24"/>
        </w:rPr>
        <w:t xml:space="preserve">Over the last decade, New South Wales and Western Australia have had above average capacity to raise revenue from payroll tax. This is mainly due to above average wages and the presence of large businesses. The Northern Territory has also experienced an above average capacity to raise revenue from payroll tax in recent years. </w:t>
      </w:r>
      <w:r w:rsidR="00863391" w:rsidRPr="0024505B">
        <w:rPr>
          <w:rFonts w:ascii="Work Sans" w:hAnsi="Work Sans"/>
          <w:sz w:val="24"/>
          <w:szCs w:val="24"/>
        </w:rPr>
        <w:t xml:space="preserve">The overall </w:t>
      </w:r>
      <w:r w:rsidR="003C4964" w:rsidRPr="0024505B">
        <w:rPr>
          <w:rFonts w:ascii="Work Sans" w:hAnsi="Work Sans"/>
          <w:sz w:val="24"/>
          <w:szCs w:val="24"/>
        </w:rPr>
        <w:t xml:space="preserve">redistributive </w:t>
      </w:r>
      <w:r w:rsidR="00371FD1" w:rsidRPr="0024505B">
        <w:rPr>
          <w:rFonts w:ascii="Work Sans" w:hAnsi="Work Sans"/>
          <w:sz w:val="24"/>
          <w:szCs w:val="24"/>
        </w:rPr>
        <w:t>impact of this category has decreased over the last two years.</w:t>
      </w:r>
    </w:p>
    <w:p w14:paraId="62BDC1E9" w14:textId="5E00B2CB" w:rsidR="00957D34" w:rsidRPr="00D91282" w:rsidRDefault="00957D34" w:rsidP="001E6CD0">
      <w:pPr>
        <w:pStyle w:val="Caption"/>
      </w:pPr>
      <w:bookmarkStart w:id="13" w:name="_Ref69802836"/>
      <w:r w:rsidRPr="00D91282">
        <w:t>Figure </w:t>
      </w:r>
      <w:r w:rsidRPr="00D91282">
        <w:fldChar w:fldCharType="begin"/>
      </w:r>
      <w:r w:rsidRPr="00D91282">
        <w:instrText>SEQ Figure \* ARABIC</w:instrText>
      </w:r>
      <w:r w:rsidRPr="00D91282">
        <w:fldChar w:fldCharType="separate"/>
      </w:r>
      <w:r w:rsidR="00CE6FC4">
        <w:rPr>
          <w:noProof/>
        </w:rPr>
        <w:t>8</w:t>
      </w:r>
      <w:r w:rsidRPr="00D91282">
        <w:fldChar w:fldCharType="end"/>
      </w:r>
      <w:bookmarkEnd w:id="13"/>
      <w:r w:rsidRPr="00D91282">
        <w:tab/>
        <w:t>Lower GST needs of states with above average capacity to raise revenue from payrolls</w:t>
      </w:r>
    </w:p>
    <w:p w14:paraId="24C4EA07" w14:textId="609665A0" w:rsidR="00957D34" w:rsidRPr="00D91282" w:rsidRDefault="00BF0CEF" w:rsidP="00957D34">
      <w:r w:rsidRPr="00D91282">
        <w:rPr>
          <w:noProof/>
        </w:rPr>
        <w:drawing>
          <wp:inline distT="0" distB="0" distL="0" distR="0" wp14:anchorId="0EE8BB5A" wp14:editId="23B3A53B">
            <wp:extent cx="5627370" cy="34931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7370" cy="3493135"/>
                    </a:xfrm>
                    <a:prstGeom prst="rect">
                      <a:avLst/>
                    </a:prstGeom>
                    <a:noFill/>
                  </pic:spPr>
                </pic:pic>
              </a:graphicData>
            </a:graphic>
          </wp:inline>
        </w:drawing>
      </w:r>
    </w:p>
    <w:p w14:paraId="08799909" w14:textId="61EA0270" w:rsidR="005D0AD1" w:rsidRPr="00D91282" w:rsidRDefault="005D0AD1" w:rsidP="00AC6C54">
      <w:pPr>
        <w:pStyle w:val="CGCTablenote"/>
      </w:pPr>
      <w:r w:rsidRPr="00D91282">
        <w:t>Note:</w:t>
      </w:r>
      <w:r w:rsidRPr="00D91282">
        <w:tab/>
      </w:r>
      <w:r w:rsidR="00BC2CD1" w:rsidRPr="00D91282">
        <w:tab/>
      </w:r>
      <w:r w:rsidRPr="00D91282">
        <w:t>This</w:t>
      </w:r>
      <w:r w:rsidR="00A23E8D" w:rsidRPr="00D91282">
        <w:t xml:space="preserve"> figure</w:t>
      </w:r>
      <w:r w:rsidRPr="00D91282">
        <w:t xml:space="preserve"> shows how much less GST is required by states with an above average capacity to raise revenue from payroll tax than they would receive if an </w:t>
      </w:r>
      <w:r w:rsidR="00A74C35" w:rsidRPr="00D91282">
        <w:t>EPC</w:t>
      </w:r>
      <w:r w:rsidRPr="00D91282">
        <w:t xml:space="preserve"> distribution of these revenues was used in calculating required GST shares.</w:t>
      </w:r>
      <w:r w:rsidRPr="00D91282">
        <w:tab/>
      </w:r>
    </w:p>
    <w:p w14:paraId="3152D4FA" w14:textId="2EE7D876" w:rsidR="00957D34" w:rsidRPr="00D91282" w:rsidRDefault="00957D34" w:rsidP="00AC6C54">
      <w:pPr>
        <w:pStyle w:val="CGCTablenote"/>
      </w:pPr>
      <w:r w:rsidRPr="00D91282">
        <w:t>Source:</w:t>
      </w:r>
      <w:r w:rsidRPr="00D91282">
        <w:tab/>
      </w:r>
      <w:r w:rsidR="00BC2CD1" w:rsidRPr="00D91282">
        <w:tab/>
      </w:r>
      <w:r w:rsidRPr="00D91282">
        <w:t>Commission calculation.</w:t>
      </w:r>
    </w:p>
    <w:p w14:paraId="51C14AC5" w14:textId="30D6F2A1" w:rsidR="00957D34" w:rsidRPr="00D91282" w:rsidRDefault="00957D34" w:rsidP="0024505B">
      <w:pPr>
        <w:pStyle w:val="Heading3"/>
        <w:keepNext/>
        <w:rPr>
          <w:rStyle w:val="Heading6Char"/>
          <w:rFonts w:ascii="Work Sans" w:hAnsi="Work Sans" w:cs="Open Sans"/>
          <w:b w:val="0"/>
          <w:bCs w:val="0"/>
          <w:color w:val="008069" w:themeColor="accent5"/>
          <w:sz w:val="28"/>
          <w:szCs w:val="28"/>
        </w:rPr>
      </w:pPr>
      <w:r w:rsidRPr="00D91282">
        <w:rPr>
          <w:rStyle w:val="Heading6Char"/>
          <w:rFonts w:ascii="Work Sans" w:hAnsi="Work Sans" w:cs="Open Sans"/>
          <w:b w:val="0"/>
          <w:bCs w:val="0"/>
          <w:color w:val="008069" w:themeColor="accent5"/>
          <w:sz w:val="28"/>
          <w:szCs w:val="28"/>
        </w:rPr>
        <w:lastRenderedPageBreak/>
        <w:t>Wage costs</w:t>
      </w:r>
      <w:r w:rsidR="007F3627">
        <w:rPr>
          <w:rStyle w:val="Heading6Char"/>
          <w:rFonts w:ascii="Work Sans" w:hAnsi="Work Sans" w:cs="Open Sans"/>
          <w:b w:val="0"/>
          <w:bCs w:val="0"/>
          <w:color w:val="008069" w:themeColor="accent5"/>
          <w:sz w:val="28"/>
          <w:szCs w:val="28"/>
        </w:rPr>
        <w:t xml:space="preserve"> </w:t>
      </w:r>
      <w:r w:rsidR="00A31412">
        <w:rPr>
          <w:rStyle w:val="Heading6Char"/>
          <w:rFonts w:ascii="Work Sans" w:hAnsi="Work Sans" w:cs="Open Sans"/>
          <w:b w:val="0"/>
          <w:bCs w:val="0"/>
          <w:color w:val="008069" w:themeColor="accent5"/>
          <w:sz w:val="28"/>
          <w:szCs w:val="28"/>
        </w:rPr>
        <w:t>increase the cost of service delivery</w:t>
      </w:r>
    </w:p>
    <w:p w14:paraId="7F5E3A22" w14:textId="77777777" w:rsidR="00957D34" w:rsidRPr="0024505B" w:rsidRDefault="00957D34" w:rsidP="00957D34">
      <w:pPr>
        <w:rPr>
          <w:rFonts w:ascii="Work Sans" w:hAnsi="Work Sans"/>
          <w:sz w:val="24"/>
          <w:szCs w:val="24"/>
        </w:rPr>
      </w:pPr>
      <w:r w:rsidRPr="0024505B">
        <w:rPr>
          <w:rFonts w:ascii="Work Sans" w:hAnsi="Work Sans"/>
          <w:sz w:val="24"/>
          <w:szCs w:val="24"/>
        </w:rPr>
        <w:t>Public sector employees in different states earn different wages, partly due to differences in labour markets beyond the control of state governments. This affects the cost of providing services in each state.</w:t>
      </w:r>
    </w:p>
    <w:p w14:paraId="5CE930FF" w14:textId="014F832A" w:rsidR="00957D34" w:rsidRPr="0024505B" w:rsidRDefault="00957D34" w:rsidP="00957D34">
      <w:pPr>
        <w:rPr>
          <w:rFonts w:ascii="Work Sans" w:hAnsi="Work Sans"/>
          <w:sz w:val="24"/>
          <w:szCs w:val="24"/>
        </w:rPr>
      </w:pPr>
      <w:r w:rsidRPr="0024505B">
        <w:rPr>
          <w:rFonts w:ascii="Work Sans" w:hAnsi="Work Sans"/>
          <w:sz w:val="24"/>
          <w:szCs w:val="24"/>
        </w:rPr>
        <w:t>The Commission estimates the impact of influences on public sector wage costs beyond the control of state governments. It uses an econometric model of private sector wage costs</w:t>
      </w:r>
      <w:r w:rsidR="00591CE3" w:rsidRPr="0024505B">
        <w:rPr>
          <w:rFonts w:ascii="Work Sans" w:hAnsi="Work Sans"/>
          <w:sz w:val="24"/>
          <w:szCs w:val="24"/>
        </w:rPr>
        <w:t xml:space="preserve"> as a proxy for </w:t>
      </w:r>
      <w:r w:rsidR="00395AFB" w:rsidRPr="0024505B">
        <w:rPr>
          <w:rFonts w:ascii="Work Sans" w:hAnsi="Work Sans"/>
          <w:sz w:val="24"/>
          <w:szCs w:val="24"/>
        </w:rPr>
        <w:t>public</w:t>
      </w:r>
      <w:r w:rsidR="00591CE3" w:rsidRPr="0024505B">
        <w:rPr>
          <w:rFonts w:ascii="Work Sans" w:hAnsi="Work Sans"/>
          <w:sz w:val="24"/>
          <w:szCs w:val="24"/>
        </w:rPr>
        <w:t xml:space="preserve"> sector wages while </w:t>
      </w:r>
      <w:r w:rsidRPr="0024505B">
        <w:rPr>
          <w:rFonts w:ascii="Work Sans" w:hAnsi="Work Sans"/>
          <w:sz w:val="24"/>
          <w:szCs w:val="24"/>
        </w:rPr>
        <w:t>controlling for differences in education, industry, experience and other attributes that affect wage levels.</w:t>
      </w:r>
    </w:p>
    <w:p w14:paraId="1EB7A89C" w14:textId="79099035" w:rsidR="00AD53D2" w:rsidRPr="0024505B" w:rsidRDefault="00957D34" w:rsidP="004409BB">
      <w:pPr>
        <w:rPr>
          <w:rFonts w:ascii="Work Sans" w:hAnsi="Work Sans"/>
          <w:sz w:val="24"/>
          <w:szCs w:val="24"/>
        </w:rPr>
      </w:pPr>
      <w:r w:rsidRPr="0024505B">
        <w:rPr>
          <w:rFonts w:ascii="Work Sans" w:hAnsi="Work Sans"/>
          <w:sz w:val="24"/>
          <w:szCs w:val="24"/>
        </w:rPr>
        <w:t>For payroll taxation, states with above average wages require a lower share of GST. For wages, states with above average wages require a higher share of GST (New South Wales, Western Australia, the ACT and the Northern Territory).</w:t>
      </w:r>
    </w:p>
    <w:p w14:paraId="7996D7CA" w14:textId="51230F3B" w:rsidR="00932D47" w:rsidRPr="00D91282" w:rsidRDefault="00932D47" w:rsidP="001E6CD0">
      <w:pPr>
        <w:pStyle w:val="Caption"/>
      </w:pPr>
      <w:r w:rsidRPr="00D91282">
        <w:t>Figure </w:t>
      </w:r>
      <w:r w:rsidRPr="00D91282">
        <w:fldChar w:fldCharType="begin"/>
      </w:r>
      <w:r w:rsidRPr="00D91282">
        <w:instrText>SEQ Figure \* ARABIC</w:instrText>
      </w:r>
      <w:r w:rsidRPr="00D91282">
        <w:fldChar w:fldCharType="separate"/>
      </w:r>
      <w:r w:rsidR="00CE6FC4">
        <w:rPr>
          <w:noProof/>
        </w:rPr>
        <w:t>9</w:t>
      </w:r>
      <w:r w:rsidRPr="00D91282">
        <w:fldChar w:fldCharType="end"/>
      </w:r>
      <w:r w:rsidRPr="00D91282">
        <w:tab/>
        <w:t>Higher GST needs of states with above average wages</w:t>
      </w:r>
    </w:p>
    <w:p w14:paraId="2AE1624F" w14:textId="7B95CCE4" w:rsidR="00932D47" w:rsidRPr="00D91282" w:rsidRDefault="001A0AB1" w:rsidP="00AC6C54">
      <w:pPr>
        <w:pStyle w:val="CGCTablenote"/>
      </w:pPr>
      <w:r w:rsidRPr="00D91282">
        <w:rPr>
          <w:noProof/>
        </w:rPr>
        <w:drawing>
          <wp:inline distT="0" distB="0" distL="0" distR="0" wp14:anchorId="0C274433" wp14:editId="4602FC4C">
            <wp:extent cx="5596890" cy="3408045"/>
            <wp:effectExtent l="0" t="0" r="381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6890" cy="3408045"/>
                    </a:xfrm>
                    <a:prstGeom prst="rect">
                      <a:avLst/>
                    </a:prstGeom>
                    <a:noFill/>
                  </pic:spPr>
                </pic:pic>
              </a:graphicData>
            </a:graphic>
          </wp:inline>
        </w:drawing>
      </w:r>
    </w:p>
    <w:p w14:paraId="71E0C2C7" w14:textId="406138DC" w:rsidR="00F71B00" w:rsidRPr="00D91282" w:rsidRDefault="00F71B00" w:rsidP="00AC6C54">
      <w:pPr>
        <w:pStyle w:val="CGCTablenote"/>
      </w:pPr>
      <w:r w:rsidRPr="00D91282">
        <w:t xml:space="preserve">Note: </w:t>
      </w:r>
      <w:r w:rsidR="008D4B49" w:rsidRPr="00D91282">
        <w:tab/>
      </w:r>
      <w:r w:rsidR="008D4B49" w:rsidRPr="00D91282">
        <w:tab/>
      </w:r>
      <w:r w:rsidRPr="00D91282">
        <w:t xml:space="preserve">This shows how much more GST is required by states with </w:t>
      </w:r>
      <w:r w:rsidR="00C60530" w:rsidRPr="00D91282">
        <w:t>high assessed wage costs</w:t>
      </w:r>
      <w:r w:rsidRPr="00D91282">
        <w:t xml:space="preserve"> than they would receive if these needs were not separately assessed (if these </w:t>
      </w:r>
      <w:r w:rsidR="00A360E2" w:rsidRPr="00D91282">
        <w:t>wage costs</w:t>
      </w:r>
      <w:r w:rsidRPr="00D91282">
        <w:t xml:space="preserve"> were assumed to be equal).</w:t>
      </w:r>
    </w:p>
    <w:p w14:paraId="23854957" w14:textId="6CCF1CF2" w:rsidR="00932D47" w:rsidRPr="00D91282" w:rsidRDefault="00932D47" w:rsidP="00AC6C54">
      <w:pPr>
        <w:pStyle w:val="CGCTablenote"/>
      </w:pPr>
      <w:r w:rsidRPr="00D91282">
        <w:t>Source:</w:t>
      </w:r>
      <w:r w:rsidRPr="00D91282">
        <w:tab/>
      </w:r>
      <w:r w:rsidR="008D4B49" w:rsidRPr="00D91282">
        <w:tab/>
      </w:r>
      <w:r w:rsidRPr="00D91282">
        <w:t>Commission calculation.</w:t>
      </w:r>
    </w:p>
    <w:p w14:paraId="587FA320" w14:textId="77777777" w:rsidR="005C1B83" w:rsidRPr="00D91282" w:rsidRDefault="005C1B83" w:rsidP="005C1B83">
      <w:pPr>
        <w:pStyle w:val="Heading3"/>
      </w:pPr>
      <w:r w:rsidRPr="00D91282">
        <w:t>Population growth drives infrastructure spending</w:t>
      </w:r>
    </w:p>
    <w:p w14:paraId="33A1DAF7" w14:textId="70F986F1" w:rsidR="005C1B83" w:rsidRPr="0024505B" w:rsidRDefault="005C1B83" w:rsidP="005C1B83">
      <w:pPr>
        <w:rPr>
          <w:rFonts w:ascii="Work Sans" w:hAnsi="Work Sans"/>
          <w:sz w:val="24"/>
          <w:szCs w:val="24"/>
        </w:rPr>
      </w:pPr>
      <w:r w:rsidRPr="0024505B">
        <w:rPr>
          <w:rFonts w:ascii="Work Sans" w:hAnsi="Work Sans"/>
          <w:sz w:val="24"/>
          <w:szCs w:val="24"/>
        </w:rPr>
        <w:t xml:space="preserve">Population growth drives spending on schools, hospitals, public transport and road infrastructure. States with growing populations require more investment. How </w:t>
      </w:r>
      <w:r w:rsidR="00BC3B56" w:rsidRPr="0024505B">
        <w:rPr>
          <w:rFonts w:ascii="Work Sans" w:hAnsi="Work Sans"/>
          <w:sz w:val="24"/>
          <w:szCs w:val="24"/>
        </w:rPr>
        <w:t xml:space="preserve">a </w:t>
      </w:r>
      <w:r w:rsidRPr="0024505B">
        <w:rPr>
          <w:rFonts w:ascii="Work Sans" w:hAnsi="Work Sans"/>
          <w:sz w:val="24"/>
          <w:szCs w:val="24"/>
        </w:rPr>
        <w:t>state</w:t>
      </w:r>
      <w:r w:rsidR="00BC3B56" w:rsidRPr="0024505B">
        <w:rPr>
          <w:rFonts w:ascii="Work Sans" w:hAnsi="Work Sans"/>
          <w:sz w:val="24"/>
          <w:szCs w:val="24"/>
        </w:rPr>
        <w:t>’</w:t>
      </w:r>
      <w:r w:rsidRPr="0024505B">
        <w:rPr>
          <w:rFonts w:ascii="Work Sans" w:hAnsi="Work Sans"/>
          <w:sz w:val="24"/>
          <w:szCs w:val="24"/>
        </w:rPr>
        <w:t xml:space="preserve">s population growth compares to average population growth across all states will influence </w:t>
      </w:r>
      <w:r w:rsidR="00BC3B56" w:rsidRPr="0024505B">
        <w:rPr>
          <w:rFonts w:ascii="Work Sans" w:hAnsi="Work Sans"/>
          <w:sz w:val="24"/>
          <w:szCs w:val="24"/>
        </w:rPr>
        <w:t xml:space="preserve">its </w:t>
      </w:r>
      <w:r w:rsidRPr="0024505B">
        <w:rPr>
          <w:rFonts w:ascii="Work Sans" w:hAnsi="Work Sans"/>
          <w:sz w:val="24"/>
          <w:szCs w:val="24"/>
        </w:rPr>
        <w:t xml:space="preserve">GST share. </w:t>
      </w:r>
    </w:p>
    <w:p w14:paraId="635A157D" w14:textId="592EBAC3" w:rsidR="005C1B83" w:rsidRPr="0024505B" w:rsidRDefault="005C1B83" w:rsidP="005C1B83">
      <w:pPr>
        <w:rPr>
          <w:rFonts w:ascii="Work Sans" w:hAnsi="Work Sans"/>
          <w:sz w:val="24"/>
          <w:szCs w:val="24"/>
        </w:rPr>
      </w:pPr>
      <w:r w:rsidRPr="0024505B">
        <w:rPr>
          <w:rFonts w:ascii="Work Sans" w:hAnsi="Work Sans"/>
          <w:sz w:val="24"/>
          <w:szCs w:val="24"/>
        </w:rPr>
        <w:t xml:space="preserve">Victoria experienced the fastest population growth in recent years (see </w:t>
      </w:r>
      <w:r w:rsidRPr="0024505B">
        <w:rPr>
          <w:rFonts w:ascii="Work Sans" w:hAnsi="Work Sans"/>
          <w:color w:val="2B579A"/>
          <w:sz w:val="24"/>
          <w:szCs w:val="24"/>
          <w:shd w:val="clear" w:color="auto" w:fill="E6E6E6"/>
        </w:rPr>
        <w:fldChar w:fldCharType="begin"/>
      </w:r>
      <w:r w:rsidRPr="0024505B">
        <w:rPr>
          <w:rFonts w:ascii="Work Sans" w:hAnsi="Work Sans"/>
          <w:sz w:val="24"/>
          <w:szCs w:val="24"/>
        </w:rPr>
        <w:instrText xml:space="preserve"> REF _Ref70599277 \h </w:instrText>
      </w:r>
      <w:r w:rsidR="00D91282" w:rsidRPr="0024505B">
        <w:rPr>
          <w:rFonts w:ascii="Work Sans" w:hAnsi="Work Sans"/>
          <w:color w:val="2B579A"/>
          <w:sz w:val="24"/>
          <w:szCs w:val="24"/>
          <w:shd w:val="clear" w:color="auto" w:fill="E6E6E6"/>
        </w:rPr>
        <w:instrText xml:space="preserve"> \* MERGEFORMAT </w:instrText>
      </w:r>
      <w:r w:rsidRPr="0024505B">
        <w:rPr>
          <w:rFonts w:ascii="Work Sans" w:hAnsi="Work Sans"/>
          <w:color w:val="2B579A"/>
          <w:sz w:val="24"/>
          <w:szCs w:val="24"/>
          <w:shd w:val="clear" w:color="auto" w:fill="E6E6E6"/>
        </w:rPr>
      </w:r>
      <w:r w:rsidRPr="0024505B">
        <w:rPr>
          <w:rFonts w:ascii="Work Sans" w:hAnsi="Work Sans"/>
          <w:color w:val="2B579A"/>
          <w:sz w:val="24"/>
          <w:szCs w:val="24"/>
          <w:shd w:val="clear" w:color="auto" w:fill="E6E6E6"/>
        </w:rPr>
        <w:fldChar w:fldCharType="separate"/>
      </w:r>
      <w:r w:rsidR="00CE6FC4" w:rsidRPr="00CE6FC4">
        <w:rPr>
          <w:rFonts w:ascii="Work Sans" w:hAnsi="Work Sans"/>
          <w:sz w:val="24"/>
          <w:szCs w:val="24"/>
        </w:rPr>
        <w:t>Figure 10</w:t>
      </w:r>
      <w:r w:rsidRPr="0024505B">
        <w:rPr>
          <w:rFonts w:ascii="Work Sans" w:hAnsi="Work Sans"/>
          <w:color w:val="2B579A"/>
          <w:sz w:val="24"/>
          <w:szCs w:val="24"/>
          <w:shd w:val="clear" w:color="auto" w:fill="E6E6E6"/>
        </w:rPr>
        <w:fldChar w:fldCharType="end"/>
      </w:r>
      <w:r w:rsidRPr="0024505B">
        <w:rPr>
          <w:rFonts w:ascii="Work Sans" w:hAnsi="Work Sans"/>
          <w:color w:val="2B579A"/>
          <w:sz w:val="24"/>
          <w:szCs w:val="24"/>
          <w:shd w:val="clear" w:color="auto" w:fill="E6E6E6"/>
        </w:rPr>
        <w:t>)</w:t>
      </w:r>
      <w:r w:rsidRPr="0024505B">
        <w:rPr>
          <w:rFonts w:ascii="Work Sans" w:hAnsi="Work Sans"/>
          <w:sz w:val="24"/>
          <w:szCs w:val="24"/>
        </w:rPr>
        <w:t xml:space="preserve">. In contrast, the population growth rates of Western Australia and the Northern Territory significantly declined, and Queensland’s population </w:t>
      </w:r>
      <w:r w:rsidRPr="0024505B">
        <w:rPr>
          <w:rFonts w:ascii="Work Sans" w:hAnsi="Work Sans"/>
          <w:sz w:val="24"/>
          <w:szCs w:val="24"/>
        </w:rPr>
        <w:lastRenderedPageBreak/>
        <w:t>growth also declined. The other states’ population growth was stable. This means that Victoria has needed to invest more in infrastructure to serve its growing population than has been required in other states.</w:t>
      </w:r>
    </w:p>
    <w:p w14:paraId="3054A202" w14:textId="30D48D94" w:rsidR="005C4FE7" w:rsidRPr="00D91282" w:rsidRDefault="005C4FE7" w:rsidP="001E6CD0">
      <w:pPr>
        <w:pStyle w:val="Caption"/>
      </w:pPr>
      <w:bookmarkStart w:id="14" w:name="_Ref69216375"/>
      <w:bookmarkStart w:id="15" w:name="_Ref70599277"/>
      <w:bookmarkStart w:id="16" w:name="_Ref70599197"/>
      <w:r w:rsidRPr="00D91282">
        <w:t>Figure </w:t>
      </w:r>
      <w:bookmarkEnd w:id="14"/>
      <w:r w:rsidRPr="00D91282">
        <w:fldChar w:fldCharType="begin"/>
      </w:r>
      <w:r w:rsidRPr="00D91282">
        <w:instrText xml:space="preserve"> SEQ Figure \* ARABIC </w:instrText>
      </w:r>
      <w:r w:rsidRPr="00D91282">
        <w:fldChar w:fldCharType="separate"/>
      </w:r>
      <w:r w:rsidR="00CE6FC4">
        <w:rPr>
          <w:noProof/>
        </w:rPr>
        <w:t>10</w:t>
      </w:r>
      <w:r w:rsidRPr="00D91282">
        <w:fldChar w:fldCharType="end"/>
      </w:r>
      <w:bookmarkEnd w:id="15"/>
      <w:r w:rsidRPr="00D91282">
        <w:tab/>
        <w:t>Population growth by state (</w:t>
      </w:r>
      <w:bookmarkEnd w:id="16"/>
      <w:r w:rsidRPr="00D91282">
        <w:t>3 year average annual growth rate)</w:t>
      </w:r>
      <w:r w:rsidR="00AC21F3" w:rsidRPr="00D91282">
        <w:rPr>
          <w:noProof/>
        </w:rPr>
        <w:t xml:space="preserve"> </w:t>
      </w:r>
    </w:p>
    <w:p w14:paraId="39D7E0CC" w14:textId="09F5B38F" w:rsidR="005C4FE7" w:rsidRPr="00D91282" w:rsidRDefault="00936247" w:rsidP="005C4FE7">
      <w:r w:rsidRPr="00D91282">
        <w:rPr>
          <w:noProof/>
        </w:rPr>
        <w:drawing>
          <wp:inline distT="0" distB="0" distL="0" distR="0" wp14:anchorId="56D299D9" wp14:editId="3038B147">
            <wp:extent cx="5657850" cy="35661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3566160"/>
                    </a:xfrm>
                    <a:prstGeom prst="rect">
                      <a:avLst/>
                    </a:prstGeom>
                    <a:noFill/>
                  </pic:spPr>
                </pic:pic>
              </a:graphicData>
            </a:graphic>
          </wp:inline>
        </w:drawing>
      </w:r>
    </w:p>
    <w:p w14:paraId="29D7C32F" w14:textId="2E86E75C" w:rsidR="005C4FE7" w:rsidRPr="00D91282" w:rsidRDefault="005C4FE7" w:rsidP="00AC6C54">
      <w:pPr>
        <w:pStyle w:val="CGCTablenote"/>
      </w:pPr>
      <w:r w:rsidRPr="00D91282">
        <w:t xml:space="preserve">Source: </w:t>
      </w:r>
      <w:r w:rsidRPr="00D91282">
        <w:tab/>
      </w:r>
      <w:r w:rsidRPr="00D91282">
        <w:tab/>
        <w:t>ABS</w:t>
      </w:r>
      <w:r w:rsidR="008D4B49" w:rsidRPr="00D91282">
        <w:t xml:space="preserve"> data</w:t>
      </w:r>
      <w:r w:rsidRPr="00D91282">
        <w:t>.</w:t>
      </w:r>
    </w:p>
    <w:bookmarkStart w:id="17" w:name="_Ref71529421"/>
    <w:p w14:paraId="5567AA14" w14:textId="0960B8C8" w:rsidR="005C4FE7" w:rsidRPr="000F249B" w:rsidRDefault="005C4FE7" w:rsidP="005C4FE7">
      <w:pPr>
        <w:rPr>
          <w:rFonts w:ascii="Work Sans" w:hAnsi="Work Sans"/>
          <w:sz w:val="24"/>
          <w:szCs w:val="24"/>
        </w:rPr>
      </w:pPr>
      <w:r w:rsidRPr="000F249B">
        <w:rPr>
          <w:rFonts w:ascii="Work Sans" w:hAnsi="Work Sans"/>
          <w:sz w:val="24"/>
          <w:szCs w:val="24"/>
        </w:rPr>
        <w:fldChar w:fldCharType="begin"/>
      </w:r>
      <w:r w:rsidRPr="000F249B">
        <w:rPr>
          <w:rFonts w:ascii="Work Sans" w:hAnsi="Work Sans"/>
          <w:sz w:val="24"/>
          <w:szCs w:val="24"/>
        </w:rPr>
        <w:instrText xml:space="preserve"> REF _Ref82069775 \h </w:instrText>
      </w:r>
      <w:r w:rsidR="00D91282" w:rsidRPr="000F249B">
        <w:rPr>
          <w:rFonts w:ascii="Work Sans" w:hAnsi="Work Sans"/>
          <w:sz w:val="24"/>
          <w:szCs w:val="24"/>
        </w:rPr>
        <w:instrText xml:space="preserve"> \* MERGEFORMAT </w:instrText>
      </w:r>
      <w:r w:rsidRPr="000F249B">
        <w:rPr>
          <w:rFonts w:ascii="Work Sans" w:hAnsi="Work Sans"/>
          <w:sz w:val="24"/>
          <w:szCs w:val="24"/>
        </w:rPr>
      </w:r>
      <w:r w:rsidRPr="000F249B">
        <w:rPr>
          <w:rFonts w:ascii="Work Sans" w:hAnsi="Work Sans"/>
          <w:sz w:val="24"/>
          <w:szCs w:val="24"/>
        </w:rPr>
        <w:fldChar w:fldCharType="separate"/>
      </w:r>
      <w:r w:rsidR="00CE6FC4" w:rsidRPr="00CE6FC4">
        <w:rPr>
          <w:rFonts w:ascii="Work Sans" w:hAnsi="Work Sans"/>
          <w:sz w:val="24"/>
          <w:szCs w:val="24"/>
        </w:rPr>
        <w:t xml:space="preserve">Figure </w:t>
      </w:r>
      <w:r w:rsidR="00CE6FC4" w:rsidRPr="00CE6FC4">
        <w:rPr>
          <w:rFonts w:ascii="Work Sans" w:hAnsi="Work Sans"/>
          <w:noProof/>
          <w:sz w:val="24"/>
          <w:szCs w:val="24"/>
        </w:rPr>
        <w:t>11</w:t>
      </w:r>
      <w:r w:rsidRPr="000F249B">
        <w:rPr>
          <w:rFonts w:ascii="Work Sans" w:hAnsi="Work Sans"/>
          <w:sz w:val="24"/>
          <w:szCs w:val="24"/>
        </w:rPr>
        <w:fldChar w:fldCharType="end"/>
      </w:r>
      <w:r w:rsidRPr="000F249B">
        <w:rPr>
          <w:rFonts w:ascii="Work Sans" w:hAnsi="Work Sans"/>
          <w:sz w:val="24"/>
          <w:szCs w:val="24"/>
        </w:rPr>
        <w:t xml:space="preserve"> shows the GST needs of states </w:t>
      </w:r>
      <w:r w:rsidR="003C54BF" w:rsidRPr="000F249B">
        <w:rPr>
          <w:rFonts w:ascii="Work Sans" w:hAnsi="Work Sans"/>
          <w:sz w:val="24"/>
          <w:szCs w:val="24"/>
        </w:rPr>
        <w:t xml:space="preserve">due to </w:t>
      </w:r>
      <w:r w:rsidRPr="000F249B">
        <w:rPr>
          <w:rFonts w:ascii="Work Sans" w:hAnsi="Work Sans"/>
          <w:sz w:val="24"/>
          <w:szCs w:val="24"/>
        </w:rPr>
        <w:t xml:space="preserve">above average population growth over the last decade. </w:t>
      </w:r>
      <w:r w:rsidR="00977FF2" w:rsidRPr="000F249B">
        <w:rPr>
          <w:rFonts w:ascii="Work Sans" w:hAnsi="Work Sans"/>
          <w:sz w:val="24"/>
          <w:szCs w:val="24"/>
        </w:rPr>
        <w:t>In early years</w:t>
      </w:r>
      <w:r w:rsidR="00F5165C" w:rsidRPr="000F249B">
        <w:rPr>
          <w:rFonts w:ascii="Work Sans" w:hAnsi="Work Sans"/>
          <w:sz w:val="24"/>
          <w:szCs w:val="24"/>
        </w:rPr>
        <w:t>,</w:t>
      </w:r>
      <w:r w:rsidR="00977FF2" w:rsidRPr="000F249B">
        <w:rPr>
          <w:rFonts w:ascii="Work Sans" w:hAnsi="Work Sans"/>
          <w:sz w:val="24"/>
          <w:szCs w:val="24"/>
        </w:rPr>
        <w:t xml:space="preserve"> </w:t>
      </w:r>
      <w:r w:rsidRPr="000F249B">
        <w:rPr>
          <w:rFonts w:ascii="Work Sans" w:hAnsi="Work Sans"/>
          <w:sz w:val="24"/>
          <w:szCs w:val="24"/>
        </w:rPr>
        <w:t xml:space="preserve">Western Australia and Queensland needed more GST because of their </w:t>
      </w:r>
      <w:r w:rsidR="00DF6B60" w:rsidRPr="000F249B">
        <w:rPr>
          <w:rFonts w:ascii="Work Sans" w:hAnsi="Work Sans"/>
          <w:sz w:val="24"/>
          <w:szCs w:val="24"/>
        </w:rPr>
        <w:t xml:space="preserve">relatively high </w:t>
      </w:r>
      <w:r w:rsidRPr="000F249B">
        <w:rPr>
          <w:rFonts w:ascii="Work Sans" w:hAnsi="Work Sans"/>
          <w:sz w:val="24"/>
          <w:szCs w:val="24"/>
        </w:rPr>
        <w:t xml:space="preserve">population growth. </w:t>
      </w:r>
      <w:r w:rsidR="00DF6B60" w:rsidRPr="000F249B">
        <w:rPr>
          <w:rFonts w:ascii="Work Sans" w:hAnsi="Work Sans"/>
          <w:sz w:val="24"/>
          <w:szCs w:val="24"/>
        </w:rPr>
        <w:t>From 20</w:t>
      </w:r>
      <w:r w:rsidR="002D3534" w:rsidRPr="000F249B">
        <w:rPr>
          <w:rFonts w:ascii="Work Sans" w:hAnsi="Work Sans"/>
          <w:sz w:val="24"/>
          <w:szCs w:val="24"/>
        </w:rPr>
        <w:t xml:space="preserve">17-18 </w:t>
      </w:r>
      <w:r w:rsidRPr="000F249B">
        <w:rPr>
          <w:rFonts w:ascii="Work Sans" w:hAnsi="Work Sans"/>
          <w:sz w:val="24"/>
          <w:szCs w:val="24"/>
        </w:rPr>
        <w:t>Victoria</w:t>
      </w:r>
      <w:r w:rsidR="001A1604" w:rsidRPr="000F249B">
        <w:rPr>
          <w:rFonts w:ascii="Work Sans" w:hAnsi="Work Sans"/>
          <w:sz w:val="24"/>
          <w:szCs w:val="24"/>
        </w:rPr>
        <w:t xml:space="preserve">’s population grew faster, leading to a greater need for GST. </w:t>
      </w:r>
    </w:p>
    <w:p w14:paraId="3F9F0588" w14:textId="5477E0D5" w:rsidR="00247D02" w:rsidRPr="00D91282" w:rsidRDefault="00247D02" w:rsidP="001E6CD0">
      <w:pPr>
        <w:pStyle w:val="Caption"/>
      </w:pPr>
      <w:bookmarkStart w:id="18" w:name="_Ref82069775"/>
      <w:bookmarkEnd w:id="17"/>
      <w:r w:rsidRPr="00D91282">
        <w:lastRenderedPageBreak/>
        <w:t xml:space="preserve">Figure </w:t>
      </w:r>
      <w:r w:rsidRPr="00D91282">
        <w:fldChar w:fldCharType="begin"/>
      </w:r>
      <w:r w:rsidRPr="00D91282">
        <w:instrText>SEQ Figure \* ARABIC</w:instrText>
      </w:r>
      <w:r w:rsidRPr="00D91282">
        <w:fldChar w:fldCharType="separate"/>
      </w:r>
      <w:r w:rsidR="00CE6FC4">
        <w:rPr>
          <w:noProof/>
        </w:rPr>
        <w:t>11</w:t>
      </w:r>
      <w:r w:rsidRPr="00D91282">
        <w:fldChar w:fldCharType="end"/>
      </w:r>
      <w:bookmarkEnd w:id="18"/>
      <w:r w:rsidRPr="00D91282">
        <w:tab/>
        <w:t>Higher GST needs of states due to population growth</w:t>
      </w:r>
    </w:p>
    <w:p w14:paraId="52A416F6" w14:textId="26732CD3" w:rsidR="00247D02" w:rsidRPr="00D91282" w:rsidRDefault="00B82021" w:rsidP="00247D02">
      <w:pPr>
        <w:keepNext/>
      </w:pPr>
      <w:r w:rsidRPr="00D91282">
        <w:rPr>
          <w:noProof/>
        </w:rPr>
        <w:drawing>
          <wp:inline distT="0" distB="0" distL="0" distR="0" wp14:anchorId="75619629" wp14:editId="63AE07EE">
            <wp:extent cx="5608955" cy="34201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955" cy="3420110"/>
                    </a:xfrm>
                    <a:prstGeom prst="rect">
                      <a:avLst/>
                    </a:prstGeom>
                    <a:noFill/>
                  </pic:spPr>
                </pic:pic>
              </a:graphicData>
            </a:graphic>
          </wp:inline>
        </w:drawing>
      </w:r>
    </w:p>
    <w:p w14:paraId="360E3564" w14:textId="78EDE096" w:rsidR="00EA00F1" w:rsidRPr="00D91282" w:rsidRDefault="00EA00F1" w:rsidP="00AC6C54">
      <w:pPr>
        <w:pStyle w:val="CGCTablenote"/>
      </w:pPr>
      <w:r w:rsidRPr="00D91282">
        <w:t xml:space="preserve">Note: </w:t>
      </w:r>
      <w:r w:rsidR="008D4B49" w:rsidRPr="00D91282">
        <w:tab/>
      </w:r>
      <w:r w:rsidR="008D4B49" w:rsidRPr="00D91282">
        <w:tab/>
      </w:r>
      <w:r w:rsidRPr="00D91282">
        <w:t xml:space="preserve">This </w:t>
      </w:r>
      <w:r w:rsidR="0064252E" w:rsidRPr="00D91282">
        <w:t>figure</w:t>
      </w:r>
      <w:r w:rsidRPr="00D91282">
        <w:t xml:space="preserve"> shows how much more GST is required by states with </w:t>
      </w:r>
      <w:r w:rsidR="003553ED" w:rsidRPr="00D91282">
        <w:t>above average population growth</w:t>
      </w:r>
      <w:r w:rsidRPr="00D91282">
        <w:t xml:space="preserve"> than they would receive if these needs were not separately assessed (if </w:t>
      </w:r>
      <w:r w:rsidR="003553ED" w:rsidRPr="00D91282">
        <w:t>population growth was</w:t>
      </w:r>
      <w:r w:rsidRPr="00D91282">
        <w:t xml:space="preserve"> assumed to be equal).</w:t>
      </w:r>
    </w:p>
    <w:p w14:paraId="7C11AC10" w14:textId="15F14853" w:rsidR="00247D02" w:rsidRPr="00D91282" w:rsidRDefault="00247D02" w:rsidP="00AC6C54">
      <w:pPr>
        <w:pStyle w:val="CGCTablenote"/>
      </w:pPr>
      <w:r w:rsidRPr="00D91282">
        <w:t>Source:</w:t>
      </w:r>
      <w:r w:rsidRPr="00D91282">
        <w:tab/>
      </w:r>
      <w:r w:rsidR="008D4B49" w:rsidRPr="00D91282">
        <w:tab/>
      </w:r>
      <w:r w:rsidRPr="00D91282">
        <w:t>Commission calculation.</w:t>
      </w:r>
    </w:p>
    <w:p w14:paraId="23F71B76" w14:textId="77777777" w:rsidR="00F35611" w:rsidRPr="00D91282" w:rsidRDefault="00F35611" w:rsidP="00F35611">
      <w:pPr>
        <w:pStyle w:val="Heading3"/>
        <w:keepLines/>
      </w:pPr>
      <w:r w:rsidRPr="00D91282">
        <w:t>Commonwealth payments are unevenly distributed</w:t>
      </w:r>
    </w:p>
    <w:p w14:paraId="59E54679" w14:textId="79538048" w:rsidR="00F35611" w:rsidRPr="000F249B" w:rsidRDefault="00F35611" w:rsidP="00F35611">
      <w:pPr>
        <w:keepNext/>
        <w:keepLines/>
        <w:rPr>
          <w:rFonts w:ascii="Work Sans" w:hAnsi="Work Sans"/>
          <w:sz w:val="24"/>
          <w:szCs w:val="24"/>
        </w:rPr>
      </w:pPr>
      <w:r w:rsidRPr="000F249B">
        <w:rPr>
          <w:rFonts w:ascii="Work Sans" w:hAnsi="Work Sans"/>
          <w:sz w:val="24"/>
          <w:szCs w:val="24"/>
        </w:rPr>
        <w:t>States that receive lower levels of Commonwealth payments</w:t>
      </w:r>
      <w:r w:rsidRPr="000F249B">
        <w:rPr>
          <w:rStyle w:val="FootnoteReference"/>
          <w:rFonts w:ascii="Work Sans" w:hAnsi="Work Sans"/>
          <w:sz w:val="24"/>
          <w:szCs w:val="24"/>
        </w:rPr>
        <w:footnoteReference w:id="5"/>
      </w:r>
      <w:r w:rsidRPr="000F249B">
        <w:rPr>
          <w:rFonts w:ascii="Work Sans" w:hAnsi="Work Sans"/>
          <w:sz w:val="24"/>
          <w:szCs w:val="24"/>
        </w:rPr>
        <w:t xml:space="preserve"> relative to other states will need more GST to fund their services</w:t>
      </w:r>
      <w:r w:rsidR="003A39C2" w:rsidRPr="000F249B">
        <w:rPr>
          <w:rFonts w:ascii="Work Sans" w:hAnsi="Work Sans"/>
          <w:sz w:val="24"/>
          <w:szCs w:val="24"/>
        </w:rPr>
        <w:t>,</w:t>
      </w:r>
      <w:r w:rsidR="005315CE" w:rsidRPr="000F249B">
        <w:rPr>
          <w:rFonts w:ascii="Work Sans" w:hAnsi="Work Sans"/>
          <w:sz w:val="24"/>
          <w:szCs w:val="24"/>
        </w:rPr>
        <w:t xml:space="preserve"> other things being equal</w:t>
      </w:r>
      <w:r w:rsidRPr="000F249B">
        <w:rPr>
          <w:rFonts w:ascii="Work Sans" w:hAnsi="Work Sans"/>
          <w:sz w:val="24"/>
          <w:szCs w:val="24"/>
        </w:rPr>
        <w:t xml:space="preserve">. </w:t>
      </w:r>
      <w:r w:rsidR="00D775E6" w:rsidRPr="000F249B">
        <w:rPr>
          <w:rFonts w:ascii="Work Sans" w:hAnsi="Work Sans"/>
          <w:sz w:val="24"/>
          <w:szCs w:val="24"/>
        </w:rPr>
        <w:t xml:space="preserve"> </w:t>
      </w:r>
    </w:p>
    <w:p w14:paraId="4BCD6A2C" w14:textId="09B24B4E" w:rsidR="00F35611" w:rsidRPr="000F249B" w:rsidRDefault="00F35611" w:rsidP="00F35611">
      <w:pPr>
        <w:rPr>
          <w:rFonts w:ascii="Work Sans" w:hAnsi="Work Sans"/>
          <w:sz w:val="24"/>
          <w:szCs w:val="24"/>
        </w:rPr>
      </w:pPr>
      <w:r w:rsidRPr="000F249B">
        <w:rPr>
          <w:rFonts w:ascii="Work Sans" w:hAnsi="Work Sans"/>
          <w:sz w:val="24"/>
          <w:szCs w:val="24"/>
        </w:rPr>
        <w:t>Over the last decade (</w:t>
      </w:r>
      <w:r w:rsidRPr="000F249B">
        <w:rPr>
          <w:rFonts w:ascii="Work Sans" w:hAnsi="Work Sans"/>
          <w:sz w:val="24"/>
          <w:szCs w:val="24"/>
        </w:rPr>
        <w:fldChar w:fldCharType="begin"/>
      </w:r>
      <w:r w:rsidRPr="000F249B">
        <w:rPr>
          <w:rFonts w:ascii="Work Sans" w:hAnsi="Work Sans"/>
          <w:sz w:val="24"/>
          <w:szCs w:val="24"/>
        </w:rPr>
        <w:instrText xml:space="preserve"> REF _Ref72752413 \h </w:instrText>
      </w:r>
      <w:r w:rsidR="00D91282" w:rsidRPr="000F249B">
        <w:rPr>
          <w:rFonts w:ascii="Work Sans" w:hAnsi="Work Sans"/>
          <w:sz w:val="24"/>
          <w:szCs w:val="24"/>
        </w:rPr>
        <w:instrText xml:space="preserve"> \* MERGEFORMAT </w:instrText>
      </w:r>
      <w:r w:rsidRPr="000F249B">
        <w:rPr>
          <w:rFonts w:ascii="Work Sans" w:hAnsi="Work Sans"/>
          <w:sz w:val="24"/>
          <w:szCs w:val="24"/>
        </w:rPr>
      </w:r>
      <w:r w:rsidRPr="000F249B">
        <w:rPr>
          <w:rFonts w:ascii="Work Sans" w:hAnsi="Work Sans"/>
          <w:sz w:val="24"/>
          <w:szCs w:val="24"/>
        </w:rPr>
        <w:fldChar w:fldCharType="separate"/>
      </w:r>
      <w:r w:rsidR="00CE6FC4" w:rsidRPr="00CE6FC4">
        <w:rPr>
          <w:rFonts w:ascii="Work Sans" w:hAnsi="Work Sans"/>
          <w:sz w:val="24"/>
          <w:szCs w:val="24"/>
        </w:rPr>
        <w:t>Figure 12</w:t>
      </w:r>
      <w:r w:rsidRPr="000F249B">
        <w:rPr>
          <w:rFonts w:ascii="Work Sans" w:hAnsi="Work Sans"/>
          <w:sz w:val="24"/>
          <w:szCs w:val="24"/>
        </w:rPr>
        <w:fldChar w:fldCharType="end"/>
      </w:r>
      <w:r w:rsidRPr="000F249B">
        <w:rPr>
          <w:rFonts w:ascii="Work Sans" w:hAnsi="Work Sans"/>
          <w:sz w:val="24"/>
          <w:szCs w:val="24"/>
        </w:rPr>
        <w:t xml:space="preserve">), Queensland, South Australia, Tasmania and the Northern Territory have received above average levels of Commonwealth payments, which has reduced their need for GST. New South Wales, Victoria and the ACT have received below average levels, which has increased their GST needs. Western Australia has received close to its population share of Commonwealth payments, so this has had little effect on </w:t>
      </w:r>
      <w:r w:rsidR="00826523" w:rsidRPr="000F249B">
        <w:rPr>
          <w:rFonts w:ascii="Work Sans" w:hAnsi="Work Sans"/>
          <w:sz w:val="24"/>
          <w:szCs w:val="24"/>
        </w:rPr>
        <w:t>its</w:t>
      </w:r>
      <w:r w:rsidRPr="000F249B">
        <w:rPr>
          <w:rFonts w:ascii="Work Sans" w:hAnsi="Work Sans"/>
          <w:sz w:val="24"/>
          <w:szCs w:val="24"/>
        </w:rPr>
        <w:t xml:space="preserve"> GST share.</w:t>
      </w:r>
    </w:p>
    <w:p w14:paraId="226EE823" w14:textId="66EDF059" w:rsidR="00F35611" w:rsidRPr="000F249B" w:rsidRDefault="00F35611" w:rsidP="00F35611">
      <w:pPr>
        <w:rPr>
          <w:rFonts w:ascii="Work Sans" w:hAnsi="Work Sans"/>
          <w:sz w:val="24"/>
          <w:szCs w:val="24"/>
        </w:rPr>
      </w:pPr>
      <w:r w:rsidRPr="000F249B">
        <w:rPr>
          <w:rFonts w:ascii="Work Sans" w:hAnsi="Work Sans"/>
          <w:sz w:val="24"/>
          <w:szCs w:val="24"/>
        </w:rPr>
        <w:t xml:space="preserve">The smaller distributions in the middle of the </w:t>
      </w:r>
      <w:r w:rsidR="00EB58EE" w:rsidRPr="000F249B">
        <w:rPr>
          <w:rFonts w:ascii="Work Sans" w:hAnsi="Work Sans"/>
          <w:sz w:val="24"/>
          <w:szCs w:val="24"/>
        </w:rPr>
        <w:t>last decade</w:t>
      </w:r>
      <w:r w:rsidRPr="000F249B">
        <w:rPr>
          <w:rFonts w:ascii="Work Sans" w:hAnsi="Work Sans"/>
          <w:sz w:val="24"/>
          <w:szCs w:val="24"/>
        </w:rPr>
        <w:t xml:space="preserve"> were due to a combination of lower amounts of Commonwealth payments and a more even distribution of payments between states. The increases in redistribution that followed were mainly driven by the unequal distribution of payments among the states. Queensland and the Northern Territory’s shares </w:t>
      </w:r>
      <w:r w:rsidR="00D40519" w:rsidRPr="000F249B">
        <w:rPr>
          <w:rFonts w:ascii="Work Sans" w:hAnsi="Work Sans"/>
          <w:sz w:val="24"/>
          <w:szCs w:val="24"/>
        </w:rPr>
        <w:t xml:space="preserve">of Commonwealth payments </w:t>
      </w:r>
      <w:r w:rsidRPr="000F249B">
        <w:rPr>
          <w:rFonts w:ascii="Work Sans" w:hAnsi="Work Sans"/>
          <w:sz w:val="24"/>
          <w:szCs w:val="24"/>
        </w:rPr>
        <w:t xml:space="preserve">grew faster than those of other states. </w:t>
      </w:r>
    </w:p>
    <w:p w14:paraId="13CC4B81" w14:textId="77777777" w:rsidR="00F35611" w:rsidRPr="000F249B" w:rsidRDefault="00F35611" w:rsidP="00F35611">
      <w:pPr>
        <w:rPr>
          <w:rFonts w:ascii="Work Sans" w:hAnsi="Work Sans"/>
          <w:sz w:val="24"/>
          <w:szCs w:val="24"/>
        </w:rPr>
      </w:pPr>
      <w:r w:rsidRPr="000F249B">
        <w:rPr>
          <w:rFonts w:ascii="Work Sans" w:hAnsi="Work Sans"/>
          <w:sz w:val="24"/>
          <w:szCs w:val="24"/>
        </w:rPr>
        <w:lastRenderedPageBreak/>
        <w:t>The growth in the total amount of Commonwealth payments also had an impact. Larger amounts of total Commonwealth payments will generally lead to proportionally larger impacts on GST distribution.</w:t>
      </w:r>
    </w:p>
    <w:p w14:paraId="0C646A1E" w14:textId="062EED67" w:rsidR="00292588" w:rsidRPr="00D91282" w:rsidRDefault="00292588" w:rsidP="001E6CD0">
      <w:pPr>
        <w:pStyle w:val="Caption"/>
      </w:pPr>
      <w:bookmarkStart w:id="19" w:name="_Ref72752413"/>
      <w:r w:rsidRPr="00D91282">
        <w:t>Figure </w:t>
      </w:r>
      <w:r w:rsidRPr="00D91282">
        <w:fldChar w:fldCharType="begin"/>
      </w:r>
      <w:r w:rsidRPr="00D91282">
        <w:instrText>SEQ Figure \* ARABIC</w:instrText>
      </w:r>
      <w:r w:rsidRPr="00D91282">
        <w:fldChar w:fldCharType="separate"/>
      </w:r>
      <w:r w:rsidR="00CE6FC4">
        <w:rPr>
          <w:noProof/>
        </w:rPr>
        <w:t>12</w:t>
      </w:r>
      <w:r w:rsidRPr="00D91282">
        <w:fldChar w:fldCharType="end"/>
      </w:r>
      <w:bookmarkEnd w:id="19"/>
      <w:r w:rsidRPr="00D91282">
        <w:tab/>
        <w:t>GST needs due to different shares of Commonwealth payments</w:t>
      </w:r>
    </w:p>
    <w:p w14:paraId="0347C0F7" w14:textId="0063C73E" w:rsidR="00292588" w:rsidRPr="00D91282" w:rsidRDefault="00C24386" w:rsidP="00292588">
      <w:r w:rsidRPr="00D91282">
        <w:rPr>
          <w:noProof/>
        </w:rPr>
        <w:drawing>
          <wp:inline distT="0" distB="0" distL="0" distR="0" wp14:anchorId="01A62935" wp14:editId="6E5650B9">
            <wp:extent cx="5614670" cy="3383280"/>
            <wp:effectExtent l="0" t="0" r="508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4670" cy="3383280"/>
                    </a:xfrm>
                    <a:prstGeom prst="rect">
                      <a:avLst/>
                    </a:prstGeom>
                    <a:noFill/>
                  </pic:spPr>
                </pic:pic>
              </a:graphicData>
            </a:graphic>
          </wp:inline>
        </w:drawing>
      </w:r>
    </w:p>
    <w:p w14:paraId="72C282D1" w14:textId="27C0055D" w:rsidR="00292588" w:rsidRPr="00D91282" w:rsidRDefault="00292588" w:rsidP="00AC6C54">
      <w:pPr>
        <w:pStyle w:val="CGCTablenote"/>
        <w:rPr>
          <w:rFonts w:ascii="Montserrat Semi Bold" w:eastAsiaTheme="majorEastAsia" w:hAnsi="Montserrat Semi Bold" w:cstheme="majorBidi"/>
          <w:bCs/>
          <w:color w:val="636466"/>
          <w:sz w:val="24"/>
        </w:rPr>
      </w:pPr>
      <w:r w:rsidRPr="00D91282">
        <w:t>Source:</w:t>
      </w:r>
      <w:r w:rsidRPr="00D91282">
        <w:tab/>
      </w:r>
      <w:r w:rsidR="00536F33" w:rsidRPr="00D91282">
        <w:tab/>
      </w:r>
      <w:r w:rsidRPr="00D91282">
        <w:t>Commission calculation.</w:t>
      </w:r>
    </w:p>
    <w:p w14:paraId="35BAF0B7" w14:textId="77777777" w:rsidR="006252E5" w:rsidRPr="00D91282" w:rsidRDefault="006252E5" w:rsidP="006252E5">
      <w:pPr>
        <w:pStyle w:val="Heading3"/>
      </w:pPr>
      <w:r w:rsidRPr="00D91282">
        <w:t xml:space="preserve">Natural disaster relief spending reflects needs </w:t>
      </w:r>
    </w:p>
    <w:p w14:paraId="5FB1690E" w14:textId="56960AAB" w:rsidR="006252E5" w:rsidRPr="000F249B" w:rsidRDefault="006252E5" w:rsidP="006252E5">
      <w:pPr>
        <w:rPr>
          <w:rFonts w:ascii="Work Sans" w:hAnsi="Work Sans"/>
          <w:sz w:val="24"/>
          <w:szCs w:val="24"/>
        </w:rPr>
      </w:pPr>
      <w:bookmarkStart w:id="20" w:name="_Hlk82511082"/>
      <w:r w:rsidRPr="000F249B">
        <w:rPr>
          <w:rFonts w:ascii="Work Sans" w:hAnsi="Work Sans"/>
          <w:sz w:val="24"/>
          <w:szCs w:val="24"/>
        </w:rPr>
        <w:t xml:space="preserve">States with high spending on natural </w:t>
      </w:r>
      <w:r w:rsidR="004D59D4" w:rsidRPr="000F249B">
        <w:rPr>
          <w:rFonts w:ascii="Work Sans" w:hAnsi="Work Sans"/>
          <w:sz w:val="24"/>
          <w:szCs w:val="24"/>
        </w:rPr>
        <w:t>disaster relief</w:t>
      </w:r>
      <w:r w:rsidRPr="000F249B">
        <w:rPr>
          <w:rFonts w:ascii="Work Sans" w:hAnsi="Work Sans"/>
          <w:sz w:val="24"/>
          <w:szCs w:val="24"/>
        </w:rPr>
        <w:t xml:space="preserve"> receive more GST.</w:t>
      </w:r>
    </w:p>
    <w:p w14:paraId="3418305A" w14:textId="4CC2FCCF" w:rsidR="006252E5" w:rsidRPr="000F249B" w:rsidRDefault="006252E5" w:rsidP="006252E5">
      <w:pPr>
        <w:rPr>
          <w:rFonts w:ascii="Work Sans" w:hAnsi="Work Sans"/>
          <w:sz w:val="24"/>
          <w:szCs w:val="24"/>
        </w:rPr>
      </w:pPr>
      <w:r w:rsidRPr="000F249B">
        <w:rPr>
          <w:rFonts w:ascii="Work Sans" w:hAnsi="Work Sans"/>
          <w:sz w:val="24"/>
          <w:szCs w:val="24"/>
        </w:rPr>
        <w:t>The Commonwealth Government directly supports states with the financial burden of natural disasters. It provides up to 75</w:t>
      </w:r>
      <w:r w:rsidR="00FC4779" w:rsidRPr="000F249B">
        <w:rPr>
          <w:rFonts w:ascii="Work Sans" w:hAnsi="Work Sans"/>
          <w:sz w:val="24"/>
          <w:szCs w:val="24"/>
        </w:rPr>
        <w:t>%</w:t>
      </w:r>
      <w:r w:rsidRPr="000F249B">
        <w:rPr>
          <w:rFonts w:ascii="Work Sans" w:hAnsi="Work Sans"/>
          <w:sz w:val="24"/>
          <w:szCs w:val="24"/>
        </w:rPr>
        <w:t xml:space="preserve"> of their spending on relief and recovery.</w:t>
      </w:r>
    </w:p>
    <w:p w14:paraId="1F03C69D" w14:textId="77777777" w:rsidR="006252E5" w:rsidRPr="000F249B" w:rsidRDefault="006252E5" w:rsidP="006252E5">
      <w:pPr>
        <w:rPr>
          <w:rFonts w:ascii="Work Sans" w:hAnsi="Work Sans"/>
          <w:sz w:val="24"/>
          <w:szCs w:val="24"/>
        </w:rPr>
      </w:pPr>
      <w:r w:rsidRPr="000F249B">
        <w:rPr>
          <w:rFonts w:ascii="Work Sans" w:hAnsi="Work Sans"/>
          <w:sz w:val="24"/>
          <w:szCs w:val="24"/>
        </w:rPr>
        <w:t>States also receive, in additional GST, the amount they spend on natural disasters that is above the national average level of spending.</w:t>
      </w:r>
    </w:p>
    <w:p w14:paraId="04AF9B1E" w14:textId="1585CBCE" w:rsidR="0083790C" w:rsidRDefault="006252E5" w:rsidP="00854D03">
      <w:pPr>
        <w:rPr>
          <w:b/>
          <w:bCs/>
          <w:szCs w:val="20"/>
        </w:rPr>
      </w:pPr>
      <w:r w:rsidRPr="000F249B">
        <w:rPr>
          <w:rFonts w:ascii="Work Sans" w:hAnsi="Work Sans"/>
          <w:sz w:val="24"/>
          <w:szCs w:val="24"/>
        </w:rPr>
        <w:t>Over the last decade, Queensland received most of the GST distributed to states for above average natural disaster relief expenses</w:t>
      </w:r>
      <w:r w:rsidR="00917B2B" w:rsidRPr="000F249B">
        <w:rPr>
          <w:rFonts w:ascii="Work Sans" w:hAnsi="Work Sans"/>
          <w:sz w:val="24"/>
          <w:szCs w:val="24"/>
        </w:rPr>
        <w:t>, receiving at</w:t>
      </w:r>
      <w:r w:rsidR="007E6C34" w:rsidRPr="000F249B">
        <w:rPr>
          <w:rFonts w:ascii="Work Sans" w:hAnsi="Work Sans"/>
          <w:sz w:val="24"/>
          <w:szCs w:val="24"/>
        </w:rPr>
        <w:t xml:space="preserve"> </w:t>
      </w:r>
      <w:r w:rsidR="00917B2B" w:rsidRPr="000F249B">
        <w:rPr>
          <w:rFonts w:ascii="Work Sans" w:hAnsi="Work Sans"/>
          <w:sz w:val="24"/>
          <w:szCs w:val="24"/>
        </w:rPr>
        <w:t xml:space="preserve">least $200 million </w:t>
      </w:r>
      <w:r w:rsidR="00BD69C9" w:rsidRPr="000F249B">
        <w:rPr>
          <w:rFonts w:ascii="Work Sans" w:hAnsi="Work Sans"/>
          <w:sz w:val="24"/>
          <w:szCs w:val="24"/>
        </w:rPr>
        <w:t>more in GST than its population share</w:t>
      </w:r>
      <w:r w:rsidR="005D6FDF" w:rsidRPr="000F249B">
        <w:rPr>
          <w:rFonts w:ascii="Work Sans" w:hAnsi="Work Sans"/>
          <w:sz w:val="24"/>
          <w:szCs w:val="24"/>
        </w:rPr>
        <w:t xml:space="preserve"> in most years</w:t>
      </w:r>
      <w:r w:rsidRPr="000F249B">
        <w:rPr>
          <w:rFonts w:ascii="Work Sans" w:hAnsi="Work Sans"/>
          <w:sz w:val="24"/>
          <w:szCs w:val="24"/>
        </w:rPr>
        <w:t xml:space="preserve">. </w:t>
      </w:r>
      <w:bookmarkEnd w:id="20"/>
      <w:r w:rsidRPr="000F249B">
        <w:rPr>
          <w:rFonts w:ascii="Work Sans" w:hAnsi="Work Sans"/>
          <w:sz w:val="24"/>
          <w:szCs w:val="24"/>
        </w:rPr>
        <w:t xml:space="preserve">The three years from 2015-16 to 2017-18 stand out. </w:t>
      </w:r>
      <w:r w:rsidR="006505C0" w:rsidRPr="000F249B">
        <w:rPr>
          <w:rFonts w:ascii="Work Sans" w:hAnsi="Work Sans"/>
          <w:sz w:val="24"/>
          <w:szCs w:val="24"/>
        </w:rPr>
        <w:t>In each of these inquiries, Queensland’s GST share increased by $600</w:t>
      </w:r>
      <w:r w:rsidR="00B74E55" w:rsidRPr="000F249B">
        <w:rPr>
          <w:rFonts w:ascii="Work Sans" w:hAnsi="Work Sans"/>
          <w:sz w:val="24"/>
          <w:szCs w:val="24"/>
        </w:rPr>
        <w:t>-$900</w:t>
      </w:r>
      <w:r w:rsidR="006505C0" w:rsidRPr="000F249B">
        <w:rPr>
          <w:rFonts w:ascii="Work Sans" w:hAnsi="Work Sans"/>
          <w:sz w:val="24"/>
          <w:szCs w:val="24"/>
        </w:rPr>
        <w:t xml:space="preserve"> million due to its high spending on natural disaster relief. </w:t>
      </w:r>
      <w:r w:rsidRPr="000F249B">
        <w:rPr>
          <w:rFonts w:ascii="Work Sans" w:hAnsi="Work Sans"/>
          <w:sz w:val="24"/>
          <w:szCs w:val="24"/>
        </w:rPr>
        <w:t xml:space="preserve">Expenses over this period included relief and repair efforts for some of the worst cyclones in recent years, such as </w:t>
      </w:r>
      <w:r w:rsidR="001563DD" w:rsidRPr="000F249B">
        <w:rPr>
          <w:rFonts w:ascii="Work Sans" w:hAnsi="Work Sans"/>
          <w:sz w:val="24"/>
          <w:szCs w:val="24"/>
        </w:rPr>
        <w:t>the Queensland floods of 2010</w:t>
      </w:r>
      <w:r w:rsidR="001563DD" w:rsidRPr="000F249B">
        <w:rPr>
          <w:rFonts w:ascii="Work Sans" w:hAnsi="Work Sans"/>
          <w:sz w:val="24"/>
          <w:szCs w:val="24"/>
        </w:rPr>
        <w:noBreakHyphen/>
        <w:t xml:space="preserve">11, </w:t>
      </w:r>
      <w:r w:rsidRPr="000F249B">
        <w:rPr>
          <w:rFonts w:ascii="Work Sans" w:hAnsi="Work Sans"/>
          <w:sz w:val="24"/>
          <w:szCs w:val="24"/>
        </w:rPr>
        <w:t>Cyclone Yasi in 2011 and Cyclone Marcia in 2015. The delay between the disaster and its impact on the GST distribution is due to lags in rebuilding infrastructure and reporting expenses after natural disasters.</w:t>
      </w:r>
      <w:r w:rsidR="00C9296B">
        <w:t xml:space="preserve"> </w:t>
      </w:r>
      <w:r w:rsidR="0083790C">
        <w:rPr>
          <w:szCs w:val="20"/>
        </w:rPr>
        <w:br w:type="page"/>
      </w:r>
    </w:p>
    <w:p w14:paraId="680BEDD2" w14:textId="6F01C6F3" w:rsidR="00781266" w:rsidRPr="00D91282" w:rsidRDefault="00781266" w:rsidP="00125DB3">
      <w:pPr>
        <w:pStyle w:val="Heading2"/>
        <w:rPr>
          <w:noProof/>
        </w:rPr>
      </w:pPr>
      <w:r w:rsidRPr="00D91282">
        <w:rPr>
          <w:noProof/>
        </w:rPr>
        <w:lastRenderedPageBreak/>
        <w:t>Conclusion</w:t>
      </w:r>
    </w:p>
    <w:p w14:paraId="5A47108C" w14:textId="6FB453A2" w:rsidR="00BE1563" w:rsidRPr="000F249B" w:rsidRDefault="009B6D60" w:rsidP="00BE1563">
      <w:pPr>
        <w:rPr>
          <w:rFonts w:ascii="Work Sans" w:hAnsi="Work Sans"/>
          <w:sz w:val="24"/>
          <w:szCs w:val="24"/>
        </w:rPr>
      </w:pPr>
      <w:r w:rsidRPr="000F249B">
        <w:rPr>
          <w:rFonts w:ascii="Work Sans" w:hAnsi="Work Sans"/>
          <w:sz w:val="24"/>
          <w:szCs w:val="24"/>
        </w:rPr>
        <w:t>As in</w:t>
      </w:r>
      <w:r w:rsidR="00BE1563" w:rsidRPr="000F249B">
        <w:rPr>
          <w:rFonts w:ascii="Work Sans" w:hAnsi="Work Sans"/>
          <w:sz w:val="24"/>
          <w:szCs w:val="24"/>
        </w:rPr>
        <w:t xml:space="preserve"> many countries, Australia </w:t>
      </w:r>
      <w:r w:rsidRPr="000F249B">
        <w:rPr>
          <w:rFonts w:ascii="Work Sans" w:hAnsi="Work Sans"/>
          <w:sz w:val="24"/>
          <w:szCs w:val="24"/>
        </w:rPr>
        <w:t xml:space="preserve">provides </w:t>
      </w:r>
      <w:r w:rsidR="00BE1563" w:rsidRPr="000F249B">
        <w:rPr>
          <w:rFonts w:ascii="Work Sans" w:hAnsi="Work Sans"/>
          <w:sz w:val="24"/>
          <w:szCs w:val="24"/>
        </w:rPr>
        <w:t>support</w:t>
      </w:r>
      <w:r w:rsidRPr="000F249B">
        <w:rPr>
          <w:rFonts w:ascii="Work Sans" w:hAnsi="Work Sans"/>
          <w:sz w:val="24"/>
          <w:szCs w:val="24"/>
        </w:rPr>
        <w:t xml:space="preserve"> to</w:t>
      </w:r>
      <w:r w:rsidR="00BE1563" w:rsidRPr="000F249B">
        <w:rPr>
          <w:rFonts w:ascii="Work Sans" w:hAnsi="Work Sans"/>
          <w:sz w:val="24"/>
          <w:szCs w:val="24"/>
        </w:rPr>
        <w:t xml:space="preserve"> </w:t>
      </w:r>
      <w:r w:rsidR="00FD4197" w:rsidRPr="000F249B">
        <w:rPr>
          <w:rFonts w:ascii="Work Sans" w:hAnsi="Work Sans"/>
          <w:sz w:val="24"/>
          <w:szCs w:val="24"/>
        </w:rPr>
        <w:t xml:space="preserve">sub-national </w:t>
      </w:r>
      <w:r w:rsidR="00BE1563" w:rsidRPr="000F249B">
        <w:rPr>
          <w:rFonts w:ascii="Work Sans" w:hAnsi="Work Sans"/>
          <w:sz w:val="24"/>
          <w:szCs w:val="24"/>
        </w:rPr>
        <w:t xml:space="preserve">governments to </w:t>
      </w:r>
      <w:r w:rsidR="007251D1" w:rsidRPr="000F249B">
        <w:rPr>
          <w:rFonts w:ascii="Work Sans" w:hAnsi="Work Sans"/>
          <w:sz w:val="24"/>
          <w:szCs w:val="24"/>
        </w:rPr>
        <w:t>equalise</w:t>
      </w:r>
      <w:r w:rsidR="004356EA" w:rsidRPr="000F249B">
        <w:rPr>
          <w:rFonts w:ascii="Work Sans" w:hAnsi="Work Sans"/>
          <w:sz w:val="24"/>
          <w:szCs w:val="24"/>
        </w:rPr>
        <w:t>,</w:t>
      </w:r>
      <w:r w:rsidR="007251D1" w:rsidRPr="000F249B">
        <w:rPr>
          <w:rFonts w:ascii="Work Sans" w:hAnsi="Work Sans"/>
          <w:sz w:val="24"/>
          <w:szCs w:val="24"/>
        </w:rPr>
        <w:t xml:space="preserve"> to some degree</w:t>
      </w:r>
      <w:r w:rsidR="004356EA" w:rsidRPr="000F249B">
        <w:rPr>
          <w:rFonts w:ascii="Work Sans" w:hAnsi="Work Sans"/>
          <w:sz w:val="24"/>
          <w:szCs w:val="24"/>
        </w:rPr>
        <w:t>,</w:t>
      </w:r>
      <w:r w:rsidR="007251D1" w:rsidRPr="000F249B">
        <w:rPr>
          <w:rFonts w:ascii="Work Sans" w:hAnsi="Work Sans"/>
          <w:sz w:val="24"/>
          <w:szCs w:val="24"/>
        </w:rPr>
        <w:t xml:space="preserve"> the capacity for these governments to provide</w:t>
      </w:r>
      <w:r w:rsidR="00BE1563" w:rsidRPr="000F249B">
        <w:rPr>
          <w:rFonts w:ascii="Work Sans" w:hAnsi="Work Sans"/>
          <w:sz w:val="24"/>
          <w:szCs w:val="24"/>
        </w:rPr>
        <w:t xml:space="preserve"> services. </w:t>
      </w:r>
    </w:p>
    <w:p w14:paraId="43A502C9" w14:textId="436C2E94" w:rsidR="00BE1563" w:rsidRPr="000F249B" w:rsidRDefault="00BE1563" w:rsidP="00BE1563">
      <w:pPr>
        <w:rPr>
          <w:rFonts w:ascii="Work Sans" w:hAnsi="Work Sans"/>
          <w:sz w:val="24"/>
          <w:szCs w:val="24"/>
        </w:rPr>
      </w:pPr>
      <w:r w:rsidRPr="000F249B">
        <w:rPr>
          <w:rFonts w:ascii="Work Sans" w:hAnsi="Work Sans"/>
          <w:sz w:val="24"/>
          <w:szCs w:val="24"/>
        </w:rPr>
        <w:t xml:space="preserve">The Commission estimates expenditure and investment requirements across state government services. Where people live, Indigenous status and socio-economic status influence the cost of providing state services. Other significant influences on expenses are wage costs, head office </w:t>
      </w:r>
      <w:r w:rsidR="00CF4281" w:rsidRPr="000F249B">
        <w:rPr>
          <w:rFonts w:ascii="Work Sans" w:hAnsi="Work Sans"/>
          <w:sz w:val="24"/>
          <w:szCs w:val="24"/>
        </w:rPr>
        <w:t xml:space="preserve">overhead </w:t>
      </w:r>
      <w:r w:rsidRPr="000F249B">
        <w:rPr>
          <w:rFonts w:ascii="Work Sans" w:hAnsi="Work Sans"/>
          <w:sz w:val="24"/>
          <w:szCs w:val="24"/>
        </w:rPr>
        <w:t>costs and urban transport costs.</w:t>
      </w:r>
    </w:p>
    <w:p w14:paraId="49BEDB48" w14:textId="18F813E8" w:rsidR="00BE1563" w:rsidRPr="000F249B" w:rsidRDefault="00393E2D" w:rsidP="00BE1563">
      <w:pPr>
        <w:rPr>
          <w:rFonts w:ascii="Work Sans" w:hAnsi="Work Sans"/>
          <w:sz w:val="24"/>
          <w:szCs w:val="24"/>
        </w:rPr>
      </w:pPr>
      <w:r w:rsidRPr="000F249B">
        <w:rPr>
          <w:rFonts w:ascii="Work Sans" w:hAnsi="Work Sans"/>
          <w:sz w:val="24"/>
          <w:szCs w:val="24"/>
        </w:rPr>
        <w:t xml:space="preserve">The Commission </w:t>
      </w:r>
      <w:r w:rsidR="00BE1563" w:rsidRPr="000F249B">
        <w:rPr>
          <w:rFonts w:ascii="Work Sans" w:hAnsi="Work Sans"/>
          <w:sz w:val="24"/>
          <w:szCs w:val="24"/>
        </w:rPr>
        <w:t xml:space="preserve">also considers each state’s capacity to raise revenue. This includes taxes, royalties, fees, fines, and dividends from government corporations. It also </w:t>
      </w:r>
      <w:r w:rsidR="005914A2" w:rsidRPr="000F249B">
        <w:rPr>
          <w:rFonts w:ascii="Work Sans" w:hAnsi="Work Sans"/>
          <w:sz w:val="24"/>
          <w:szCs w:val="24"/>
        </w:rPr>
        <w:t>considers</w:t>
      </w:r>
      <w:r w:rsidR="00BE1563" w:rsidRPr="000F249B">
        <w:rPr>
          <w:rFonts w:ascii="Work Sans" w:hAnsi="Work Sans"/>
          <w:sz w:val="24"/>
          <w:szCs w:val="24"/>
        </w:rPr>
        <w:t xml:space="preserve"> Commonwealth payments </w:t>
      </w:r>
      <w:r w:rsidR="001C1AED" w:rsidRPr="000F249B">
        <w:rPr>
          <w:rFonts w:ascii="Work Sans" w:hAnsi="Work Sans"/>
          <w:sz w:val="24"/>
          <w:szCs w:val="24"/>
        </w:rPr>
        <w:t>made to the states</w:t>
      </w:r>
      <w:r w:rsidR="00BE1563" w:rsidRPr="000F249B">
        <w:rPr>
          <w:rFonts w:ascii="Work Sans" w:hAnsi="Work Sans"/>
          <w:sz w:val="24"/>
          <w:szCs w:val="24"/>
        </w:rPr>
        <w:t>.</w:t>
      </w:r>
    </w:p>
    <w:p w14:paraId="55180B78" w14:textId="00206056" w:rsidR="000A2F8C" w:rsidRPr="000F249B" w:rsidRDefault="00BE1563" w:rsidP="00BE1563">
      <w:pPr>
        <w:rPr>
          <w:rFonts w:ascii="Work Sans" w:hAnsi="Work Sans"/>
          <w:sz w:val="24"/>
          <w:szCs w:val="24"/>
        </w:rPr>
      </w:pPr>
      <w:r w:rsidRPr="000F249B">
        <w:rPr>
          <w:rFonts w:ascii="Work Sans" w:hAnsi="Work Sans"/>
          <w:sz w:val="24"/>
          <w:szCs w:val="24"/>
        </w:rPr>
        <w:t>State circumstances vary in relation to each of these elements, and this drives their differing shares of the GST pool. An understanding of a state’s changing revenue capacities and costs of providing services relative to other states is key to understanding changes in GST shares. Analysis in this paper demonstrate</w:t>
      </w:r>
      <w:r w:rsidR="00CD5F3D" w:rsidRPr="000F249B">
        <w:rPr>
          <w:rFonts w:ascii="Work Sans" w:hAnsi="Work Sans"/>
          <w:sz w:val="24"/>
          <w:szCs w:val="24"/>
        </w:rPr>
        <w:t>s</w:t>
      </w:r>
      <w:r w:rsidRPr="000F249B">
        <w:rPr>
          <w:rFonts w:ascii="Work Sans" w:hAnsi="Work Sans"/>
          <w:sz w:val="24"/>
          <w:szCs w:val="24"/>
        </w:rPr>
        <w:t xml:space="preserve"> how various state circumstances have affected GST shares over the last decade. The elements discussed in this paper </w:t>
      </w:r>
      <w:r w:rsidR="00C6533D" w:rsidRPr="000F249B">
        <w:rPr>
          <w:rFonts w:ascii="Work Sans" w:hAnsi="Work Sans"/>
          <w:sz w:val="24"/>
          <w:szCs w:val="24"/>
        </w:rPr>
        <w:t xml:space="preserve">have been </w:t>
      </w:r>
      <w:r w:rsidRPr="000F249B">
        <w:rPr>
          <w:rFonts w:ascii="Work Sans" w:hAnsi="Work Sans"/>
          <w:sz w:val="24"/>
          <w:szCs w:val="24"/>
        </w:rPr>
        <w:t>the largest drivers of differences in these shares.</w:t>
      </w:r>
      <w:r w:rsidR="00802781" w:rsidRPr="000F249B">
        <w:rPr>
          <w:rFonts w:ascii="Work Sans" w:hAnsi="Work Sans"/>
          <w:sz w:val="24"/>
          <w:szCs w:val="24"/>
        </w:rPr>
        <w:t xml:space="preserve"> </w:t>
      </w:r>
    </w:p>
    <w:p w14:paraId="002B2C39" w14:textId="77777777" w:rsidR="000A2F8C" w:rsidRPr="00D91282" w:rsidRDefault="000A2F8C">
      <w:pPr>
        <w:tabs>
          <w:tab w:val="clear" w:pos="567"/>
        </w:tabs>
        <w:spacing w:before="0" w:line="240" w:lineRule="auto"/>
      </w:pPr>
      <w:r w:rsidRPr="00D91282">
        <w:br w:type="page"/>
      </w:r>
    </w:p>
    <w:p w14:paraId="4B37CD41" w14:textId="67990617" w:rsidR="000A2F8C" w:rsidRPr="00D91282" w:rsidRDefault="00CB347F" w:rsidP="00AB6D8C">
      <w:pPr>
        <w:pStyle w:val="Heading2"/>
      </w:pPr>
      <w:r w:rsidRPr="00D91282">
        <w:lastRenderedPageBreak/>
        <w:t>Appendix 1</w:t>
      </w:r>
    </w:p>
    <w:p w14:paraId="6288C6FE" w14:textId="591DA72A" w:rsidR="007D05E0" w:rsidRPr="00D91282" w:rsidRDefault="007D05E0" w:rsidP="001E6CD0">
      <w:pPr>
        <w:pStyle w:val="Caption"/>
      </w:pPr>
      <w:r w:rsidRPr="00D91282">
        <w:t>Table A1-</w:t>
      </w:r>
      <w:r>
        <w:fldChar w:fldCharType="begin"/>
      </w:r>
      <w:r>
        <w:instrText>SEQ Table \* ARABIC \r1</w:instrText>
      </w:r>
      <w:r>
        <w:fldChar w:fldCharType="separate"/>
      </w:r>
      <w:r w:rsidR="00CE6FC4">
        <w:rPr>
          <w:noProof/>
        </w:rPr>
        <w:t>1</w:t>
      </w:r>
      <w:r>
        <w:fldChar w:fldCharType="end"/>
      </w:r>
      <w:r w:rsidR="00A437BE" w:rsidRPr="00D91282">
        <w:tab/>
      </w:r>
      <w:r w:rsidR="00601DF9" w:rsidRPr="00D91282">
        <w:t>Drivers of difference from an equal per capita distribution of GST, 2021-22</w:t>
      </w:r>
    </w:p>
    <w:tbl>
      <w:tblPr>
        <w:tblW w:w="9037" w:type="dxa"/>
        <w:tblCellMar>
          <w:left w:w="28" w:type="dxa"/>
          <w:right w:w="28" w:type="dxa"/>
        </w:tblCellMar>
        <w:tblLook w:val="04A0" w:firstRow="1" w:lastRow="0" w:firstColumn="1" w:lastColumn="0" w:noHBand="0" w:noVBand="1"/>
      </w:tblPr>
      <w:tblGrid>
        <w:gridCol w:w="3131"/>
        <w:gridCol w:w="685"/>
        <w:gridCol w:w="685"/>
        <w:gridCol w:w="685"/>
        <w:gridCol w:w="685"/>
        <w:gridCol w:w="666"/>
        <w:gridCol w:w="666"/>
        <w:gridCol w:w="584"/>
        <w:gridCol w:w="666"/>
        <w:gridCol w:w="584"/>
      </w:tblGrid>
      <w:tr w:rsidR="00162AAC" w:rsidRPr="00D91282" w14:paraId="3C6028D3" w14:textId="77777777" w:rsidTr="00162AAC">
        <w:trPr>
          <w:trHeight w:val="370"/>
        </w:trPr>
        <w:tc>
          <w:tcPr>
            <w:tcW w:w="3131" w:type="dxa"/>
            <w:tcBorders>
              <w:top w:val="single" w:sz="8" w:space="0" w:color="ADD6EA"/>
              <w:left w:val="nil"/>
              <w:bottom w:val="single" w:sz="8" w:space="0" w:color="ADD6EA"/>
              <w:right w:val="nil"/>
            </w:tcBorders>
            <w:shd w:val="clear" w:color="auto" w:fill="008069"/>
            <w:noWrap/>
            <w:vAlign w:val="center"/>
            <w:hideMark/>
          </w:tcPr>
          <w:p w14:paraId="00BA4E7F"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FFFFFF"/>
                <w:sz w:val="16"/>
                <w:szCs w:val="16"/>
                <w:lang w:eastAsia="en-AU"/>
              </w:rPr>
            </w:pPr>
            <w:r w:rsidRPr="00D91282">
              <w:rPr>
                <w:rFonts w:ascii="Open Sans Semibold" w:eastAsia="Times New Roman" w:hAnsi="Open Sans Semibold" w:cs="Open Sans Semibold"/>
                <w:b/>
                <w:bCs/>
                <w:color w:val="FFFFFF"/>
                <w:sz w:val="16"/>
                <w:szCs w:val="16"/>
                <w:lang w:eastAsia="en-AU"/>
              </w:rPr>
              <w:t> </w:t>
            </w:r>
          </w:p>
        </w:tc>
        <w:tc>
          <w:tcPr>
            <w:tcW w:w="685" w:type="dxa"/>
            <w:tcBorders>
              <w:top w:val="single" w:sz="8" w:space="0" w:color="ADD6EA"/>
              <w:left w:val="nil"/>
              <w:bottom w:val="single" w:sz="8" w:space="0" w:color="ADD6EA"/>
              <w:right w:val="nil"/>
            </w:tcBorders>
            <w:shd w:val="clear" w:color="auto" w:fill="008069"/>
            <w:noWrap/>
            <w:vAlign w:val="center"/>
            <w:hideMark/>
          </w:tcPr>
          <w:p w14:paraId="066207BA"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NSW</w:t>
            </w:r>
          </w:p>
        </w:tc>
        <w:tc>
          <w:tcPr>
            <w:tcW w:w="685" w:type="dxa"/>
            <w:tcBorders>
              <w:top w:val="single" w:sz="8" w:space="0" w:color="ADD6EA"/>
              <w:left w:val="nil"/>
              <w:bottom w:val="single" w:sz="8" w:space="0" w:color="ADD6EA"/>
              <w:right w:val="nil"/>
            </w:tcBorders>
            <w:shd w:val="clear" w:color="auto" w:fill="008069"/>
            <w:noWrap/>
            <w:vAlign w:val="center"/>
            <w:hideMark/>
          </w:tcPr>
          <w:p w14:paraId="79CF16C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Vic</w:t>
            </w:r>
          </w:p>
        </w:tc>
        <w:tc>
          <w:tcPr>
            <w:tcW w:w="685" w:type="dxa"/>
            <w:tcBorders>
              <w:top w:val="single" w:sz="8" w:space="0" w:color="ADD6EA"/>
              <w:left w:val="nil"/>
              <w:bottom w:val="single" w:sz="8" w:space="0" w:color="ADD6EA"/>
              <w:right w:val="nil"/>
            </w:tcBorders>
            <w:shd w:val="clear" w:color="auto" w:fill="008069"/>
            <w:noWrap/>
            <w:vAlign w:val="center"/>
            <w:hideMark/>
          </w:tcPr>
          <w:p w14:paraId="18A9BC1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Qld</w:t>
            </w:r>
          </w:p>
        </w:tc>
        <w:tc>
          <w:tcPr>
            <w:tcW w:w="685" w:type="dxa"/>
            <w:tcBorders>
              <w:top w:val="single" w:sz="8" w:space="0" w:color="ADD6EA"/>
              <w:left w:val="nil"/>
              <w:bottom w:val="single" w:sz="8" w:space="0" w:color="ADD6EA"/>
              <w:right w:val="nil"/>
            </w:tcBorders>
            <w:shd w:val="clear" w:color="auto" w:fill="008069"/>
            <w:noWrap/>
            <w:vAlign w:val="center"/>
            <w:hideMark/>
          </w:tcPr>
          <w:p w14:paraId="42A0EF28"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WA</w:t>
            </w:r>
          </w:p>
        </w:tc>
        <w:tc>
          <w:tcPr>
            <w:tcW w:w="666" w:type="dxa"/>
            <w:tcBorders>
              <w:top w:val="single" w:sz="8" w:space="0" w:color="ADD6EA"/>
              <w:left w:val="nil"/>
              <w:bottom w:val="single" w:sz="8" w:space="0" w:color="ADD6EA"/>
              <w:right w:val="nil"/>
            </w:tcBorders>
            <w:shd w:val="clear" w:color="auto" w:fill="008069"/>
            <w:noWrap/>
            <w:vAlign w:val="center"/>
            <w:hideMark/>
          </w:tcPr>
          <w:p w14:paraId="3303AB99"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SA</w:t>
            </w:r>
          </w:p>
        </w:tc>
        <w:tc>
          <w:tcPr>
            <w:tcW w:w="666" w:type="dxa"/>
            <w:tcBorders>
              <w:top w:val="single" w:sz="8" w:space="0" w:color="ADD6EA"/>
              <w:left w:val="nil"/>
              <w:bottom w:val="single" w:sz="8" w:space="0" w:color="ADD6EA"/>
              <w:right w:val="nil"/>
            </w:tcBorders>
            <w:shd w:val="clear" w:color="auto" w:fill="008069"/>
            <w:noWrap/>
            <w:vAlign w:val="center"/>
            <w:hideMark/>
          </w:tcPr>
          <w:p w14:paraId="2EDACCCC"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Tas</w:t>
            </w:r>
          </w:p>
        </w:tc>
        <w:tc>
          <w:tcPr>
            <w:tcW w:w="584" w:type="dxa"/>
            <w:tcBorders>
              <w:top w:val="single" w:sz="8" w:space="0" w:color="ADD6EA"/>
              <w:left w:val="nil"/>
              <w:bottom w:val="single" w:sz="8" w:space="0" w:color="ADD6EA"/>
              <w:right w:val="nil"/>
            </w:tcBorders>
            <w:shd w:val="clear" w:color="auto" w:fill="008069"/>
            <w:noWrap/>
            <w:vAlign w:val="center"/>
            <w:hideMark/>
          </w:tcPr>
          <w:p w14:paraId="1AEF7B2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ACT</w:t>
            </w:r>
          </w:p>
        </w:tc>
        <w:tc>
          <w:tcPr>
            <w:tcW w:w="666" w:type="dxa"/>
            <w:tcBorders>
              <w:top w:val="single" w:sz="8" w:space="0" w:color="ADD6EA"/>
              <w:left w:val="nil"/>
              <w:bottom w:val="single" w:sz="8" w:space="0" w:color="ADD6EA"/>
              <w:right w:val="nil"/>
            </w:tcBorders>
            <w:shd w:val="clear" w:color="auto" w:fill="008069"/>
            <w:noWrap/>
            <w:vAlign w:val="center"/>
            <w:hideMark/>
          </w:tcPr>
          <w:p w14:paraId="7053BD10"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NT</w:t>
            </w:r>
          </w:p>
        </w:tc>
        <w:tc>
          <w:tcPr>
            <w:tcW w:w="584" w:type="dxa"/>
            <w:tcBorders>
              <w:top w:val="single" w:sz="8" w:space="0" w:color="ADD6EA"/>
              <w:left w:val="nil"/>
              <w:bottom w:val="single" w:sz="8" w:space="0" w:color="ADD6EA"/>
              <w:right w:val="nil"/>
            </w:tcBorders>
            <w:shd w:val="clear" w:color="auto" w:fill="008069"/>
            <w:noWrap/>
            <w:vAlign w:val="center"/>
            <w:hideMark/>
          </w:tcPr>
          <w:p w14:paraId="5788F65D"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91282">
              <w:rPr>
                <w:rFonts w:ascii="Open Sans Semibold" w:eastAsia="Times New Roman" w:hAnsi="Open Sans Semibold" w:cs="Open Sans Semibold"/>
                <w:color w:val="FFFFFF"/>
                <w:sz w:val="16"/>
                <w:szCs w:val="16"/>
                <w:lang w:eastAsia="en-AU"/>
              </w:rPr>
              <w:t>Redist</w:t>
            </w:r>
          </w:p>
        </w:tc>
      </w:tr>
      <w:tr w:rsidR="00162AAC" w:rsidRPr="00D91282" w14:paraId="4A9C7E2E" w14:textId="77777777" w:rsidTr="00162AAC">
        <w:trPr>
          <w:trHeight w:val="255"/>
        </w:trPr>
        <w:tc>
          <w:tcPr>
            <w:tcW w:w="3131" w:type="dxa"/>
            <w:tcBorders>
              <w:top w:val="nil"/>
              <w:left w:val="nil"/>
              <w:bottom w:val="single" w:sz="8" w:space="0" w:color="ADD6EA"/>
              <w:right w:val="nil"/>
            </w:tcBorders>
            <w:shd w:val="clear" w:color="auto" w:fill="99CCC3"/>
            <w:noWrap/>
            <w:vAlign w:val="center"/>
            <w:hideMark/>
          </w:tcPr>
          <w:p w14:paraId="500AF4BA" w14:textId="77777777" w:rsidR="00193203" w:rsidRPr="00D91282" w:rsidRDefault="00193203" w:rsidP="003A6452">
            <w:pPr>
              <w:keepNext/>
              <w:keepLines/>
              <w:tabs>
                <w:tab w:val="clear" w:pos="567"/>
              </w:tabs>
              <w:spacing w:before="0" w:line="240" w:lineRule="auto"/>
              <w:rPr>
                <w:rFonts w:ascii="Calibri" w:eastAsia="Times New Roman" w:hAnsi="Calibri" w:cs="Calibri"/>
                <w:color w:val="000000"/>
                <w:sz w:val="22"/>
                <w:lang w:eastAsia="en-AU"/>
              </w:rPr>
            </w:pPr>
            <w:r w:rsidRPr="00D91282">
              <w:rPr>
                <w:rFonts w:ascii="Calibri" w:eastAsia="Times New Roman" w:hAnsi="Calibri" w:cs="Calibri"/>
                <w:color w:val="000000"/>
                <w:sz w:val="22"/>
                <w:lang w:eastAsia="en-AU"/>
              </w:rPr>
              <w:t> </w:t>
            </w:r>
          </w:p>
        </w:tc>
        <w:tc>
          <w:tcPr>
            <w:tcW w:w="685" w:type="dxa"/>
            <w:tcBorders>
              <w:top w:val="nil"/>
              <w:left w:val="nil"/>
              <w:bottom w:val="single" w:sz="8" w:space="0" w:color="ADD6EA"/>
              <w:right w:val="nil"/>
            </w:tcBorders>
            <w:shd w:val="clear" w:color="auto" w:fill="99CCC3"/>
            <w:noWrap/>
            <w:vAlign w:val="center"/>
            <w:hideMark/>
          </w:tcPr>
          <w:p w14:paraId="4F5B67C0"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685" w:type="dxa"/>
            <w:tcBorders>
              <w:top w:val="nil"/>
              <w:left w:val="nil"/>
              <w:bottom w:val="single" w:sz="8" w:space="0" w:color="ADD6EA"/>
              <w:right w:val="nil"/>
            </w:tcBorders>
            <w:shd w:val="clear" w:color="auto" w:fill="99CCC3"/>
            <w:noWrap/>
            <w:vAlign w:val="center"/>
            <w:hideMark/>
          </w:tcPr>
          <w:p w14:paraId="00A804F9"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685" w:type="dxa"/>
            <w:tcBorders>
              <w:top w:val="nil"/>
              <w:left w:val="nil"/>
              <w:bottom w:val="single" w:sz="8" w:space="0" w:color="ADD6EA"/>
              <w:right w:val="nil"/>
            </w:tcBorders>
            <w:shd w:val="clear" w:color="auto" w:fill="99CCC3"/>
            <w:noWrap/>
            <w:vAlign w:val="center"/>
            <w:hideMark/>
          </w:tcPr>
          <w:p w14:paraId="48D37E3A"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685" w:type="dxa"/>
            <w:tcBorders>
              <w:top w:val="nil"/>
              <w:left w:val="nil"/>
              <w:bottom w:val="single" w:sz="8" w:space="0" w:color="ADD6EA"/>
              <w:right w:val="nil"/>
            </w:tcBorders>
            <w:shd w:val="clear" w:color="auto" w:fill="99CCC3"/>
            <w:noWrap/>
            <w:vAlign w:val="center"/>
            <w:hideMark/>
          </w:tcPr>
          <w:p w14:paraId="749E52A2"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666" w:type="dxa"/>
            <w:tcBorders>
              <w:top w:val="nil"/>
              <w:left w:val="nil"/>
              <w:bottom w:val="single" w:sz="8" w:space="0" w:color="ADD6EA"/>
              <w:right w:val="nil"/>
            </w:tcBorders>
            <w:shd w:val="clear" w:color="auto" w:fill="99CCC3"/>
            <w:noWrap/>
            <w:vAlign w:val="center"/>
            <w:hideMark/>
          </w:tcPr>
          <w:p w14:paraId="78D4F4CE"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666" w:type="dxa"/>
            <w:tcBorders>
              <w:top w:val="nil"/>
              <w:left w:val="nil"/>
              <w:bottom w:val="single" w:sz="8" w:space="0" w:color="ADD6EA"/>
              <w:right w:val="nil"/>
            </w:tcBorders>
            <w:shd w:val="clear" w:color="auto" w:fill="99CCC3"/>
            <w:noWrap/>
            <w:vAlign w:val="center"/>
            <w:hideMark/>
          </w:tcPr>
          <w:p w14:paraId="1CC068AA"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584" w:type="dxa"/>
            <w:tcBorders>
              <w:top w:val="nil"/>
              <w:left w:val="nil"/>
              <w:bottom w:val="single" w:sz="8" w:space="0" w:color="ADD6EA"/>
              <w:right w:val="nil"/>
            </w:tcBorders>
            <w:shd w:val="clear" w:color="auto" w:fill="99CCC3"/>
            <w:noWrap/>
            <w:vAlign w:val="center"/>
            <w:hideMark/>
          </w:tcPr>
          <w:p w14:paraId="1C7C15E8"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666" w:type="dxa"/>
            <w:tcBorders>
              <w:top w:val="nil"/>
              <w:left w:val="nil"/>
              <w:bottom w:val="single" w:sz="8" w:space="0" w:color="ADD6EA"/>
              <w:right w:val="nil"/>
            </w:tcBorders>
            <w:shd w:val="clear" w:color="auto" w:fill="99CCC3"/>
            <w:noWrap/>
            <w:vAlign w:val="center"/>
            <w:hideMark/>
          </w:tcPr>
          <w:p w14:paraId="5F611815"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c>
          <w:tcPr>
            <w:tcW w:w="584" w:type="dxa"/>
            <w:tcBorders>
              <w:top w:val="nil"/>
              <w:left w:val="nil"/>
              <w:bottom w:val="single" w:sz="8" w:space="0" w:color="ADD6EA"/>
              <w:right w:val="nil"/>
            </w:tcBorders>
            <w:shd w:val="clear" w:color="auto" w:fill="99CCC3"/>
            <w:noWrap/>
            <w:vAlign w:val="center"/>
            <w:hideMark/>
          </w:tcPr>
          <w:p w14:paraId="2AE5BD50"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$m</w:t>
            </w:r>
          </w:p>
        </w:tc>
      </w:tr>
      <w:tr w:rsidR="00193203" w:rsidRPr="00D91282" w14:paraId="33391B5A" w14:textId="77777777" w:rsidTr="00162AAC">
        <w:trPr>
          <w:trHeight w:val="310"/>
        </w:trPr>
        <w:tc>
          <w:tcPr>
            <w:tcW w:w="3816" w:type="dxa"/>
            <w:gridSpan w:val="2"/>
            <w:tcBorders>
              <w:top w:val="single" w:sz="8" w:space="0" w:color="ADD6EA"/>
              <w:left w:val="nil"/>
              <w:bottom w:val="single" w:sz="4" w:space="0" w:color="ADD6EA"/>
              <w:right w:val="nil"/>
            </w:tcBorders>
            <w:shd w:val="clear" w:color="auto" w:fill="auto"/>
            <w:noWrap/>
            <w:vAlign w:val="bottom"/>
            <w:hideMark/>
          </w:tcPr>
          <w:p w14:paraId="70A17590"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EFFECTS OF REVENUE RAISING CAPACITY</w:t>
            </w:r>
          </w:p>
        </w:tc>
        <w:tc>
          <w:tcPr>
            <w:tcW w:w="685" w:type="dxa"/>
            <w:tcBorders>
              <w:top w:val="nil"/>
              <w:left w:val="nil"/>
              <w:bottom w:val="single" w:sz="4" w:space="0" w:color="ADD6EA"/>
              <w:right w:val="nil"/>
            </w:tcBorders>
            <w:shd w:val="clear" w:color="auto" w:fill="auto"/>
            <w:noWrap/>
            <w:vAlign w:val="bottom"/>
            <w:hideMark/>
          </w:tcPr>
          <w:p w14:paraId="7D2800C2"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85" w:type="dxa"/>
            <w:tcBorders>
              <w:top w:val="nil"/>
              <w:left w:val="nil"/>
              <w:bottom w:val="single" w:sz="4" w:space="0" w:color="ADD6EA"/>
              <w:right w:val="nil"/>
            </w:tcBorders>
            <w:shd w:val="clear" w:color="auto" w:fill="auto"/>
            <w:noWrap/>
            <w:vAlign w:val="bottom"/>
            <w:hideMark/>
          </w:tcPr>
          <w:p w14:paraId="02B1FE9A"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85" w:type="dxa"/>
            <w:tcBorders>
              <w:top w:val="nil"/>
              <w:left w:val="nil"/>
              <w:bottom w:val="single" w:sz="4" w:space="0" w:color="ADD6EA"/>
              <w:right w:val="nil"/>
            </w:tcBorders>
            <w:shd w:val="clear" w:color="auto" w:fill="auto"/>
            <w:noWrap/>
            <w:vAlign w:val="bottom"/>
            <w:hideMark/>
          </w:tcPr>
          <w:p w14:paraId="0181119F"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66" w:type="dxa"/>
            <w:tcBorders>
              <w:top w:val="nil"/>
              <w:left w:val="nil"/>
              <w:bottom w:val="single" w:sz="4" w:space="0" w:color="ADD6EA"/>
              <w:right w:val="nil"/>
            </w:tcBorders>
            <w:shd w:val="clear" w:color="auto" w:fill="auto"/>
            <w:noWrap/>
            <w:vAlign w:val="bottom"/>
            <w:hideMark/>
          </w:tcPr>
          <w:p w14:paraId="4F8DB2AA"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66" w:type="dxa"/>
            <w:tcBorders>
              <w:top w:val="nil"/>
              <w:left w:val="nil"/>
              <w:bottom w:val="single" w:sz="4" w:space="0" w:color="ADD6EA"/>
              <w:right w:val="nil"/>
            </w:tcBorders>
            <w:shd w:val="clear" w:color="auto" w:fill="auto"/>
            <w:noWrap/>
            <w:vAlign w:val="bottom"/>
            <w:hideMark/>
          </w:tcPr>
          <w:p w14:paraId="0A0C138C"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584" w:type="dxa"/>
            <w:tcBorders>
              <w:top w:val="nil"/>
              <w:left w:val="nil"/>
              <w:bottom w:val="single" w:sz="4" w:space="0" w:color="ADD6EA"/>
              <w:right w:val="nil"/>
            </w:tcBorders>
            <w:shd w:val="clear" w:color="auto" w:fill="auto"/>
            <w:noWrap/>
            <w:vAlign w:val="bottom"/>
            <w:hideMark/>
          </w:tcPr>
          <w:p w14:paraId="0C56A8E5"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66" w:type="dxa"/>
            <w:tcBorders>
              <w:top w:val="nil"/>
              <w:left w:val="nil"/>
              <w:bottom w:val="single" w:sz="4" w:space="0" w:color="ADD6EA"/>
              <w:right w:val="nil"/>
            </w:tcBorders>
            <w:shd w:val="clear" w:color="auto" w:fill="auto"/>
            <w:noWrap/>
            <w:vAlign w:val="bottom"/>
            <w:hideMark/>
          </w:tcPr>
          <w:p w14:paraId="739A1428"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584" w:type="dxa"/>
            <w:tcBorders>
              <w:top w:val="nil"/>
              <w:left w:val="nil"/>
              <w:bottom w:val="single" w:sz="4" w:space="0" w:color="ADD6EA"/>
              <w:right w:val="nil"/>
            </w:tcBorders>
            <w:shd w:val="clear" w:color="auto" w:fill="auto"/>
            <w:noWrap/>
            <w:vAlign w:val="bottom"/>
            <w:hideMark/>
          </w:tcPr>
          <w:p w14:paraId="790440DB"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r>
      <w:tr w:rsidR="00193203" w:rsidRPr="00D91282" w14:paraId="32B63E95" w14:textId="77777777" w:rsidTr="00162AAC">
        <w:trPr>
          <w:trHeight w:val="310"/>
        </w:trPr>
        <w:tc>
          <w:tcPr>
            <w:tcW w:w="3131" w:type="dxa"/>
            <w:tcBorders>
              <w:top w:val="nil"/>
              <w:left w:val="nil"/>
              <w:bottom w:val="nil"/>
              <w:right w:val="nil"/>
            </w:tcBorders>
            <w:shd w:val="clear" w:color="auto" w:fill="auto"/>
            <w:noWrap/>
            <w:vAlign w:val="bottom"/>
            <w:hideMark/>
          </w:tcPr>
          <w:p w14:paraId="30DB2709"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Mining</w:t>
            </w:r>
          </w:p>
        </w:tc>
        <w:tc>
          <w:tcPr>
            <w:tcW w:w="685" w:type="dxa"/>
            <w:tcBorders>
              <w:top w:val="nil"/>
              <w:left w:val="nil"/>
              <w:bottom w:val="nil"/>
              <w:right w:val="nil"/>
            </w:tcBorders>
            <w:shd w:val="clear" w:color="auto" w:fill="auto"/>
            <w:noWrap/>
            <w:vAlign w:val="bottom"/>
            <w:hideMark/>
          </w:tcPr>
          <w:p w14:paraId="627547D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2,852</w:t>
            </w:r>
          </w:p>
        </w:tc>
        <w:tc>
          <w:tcPr>
            <w:tcW w:w="685" w:type="dxa"/>
            <w:tcBorders>
              <w:top w:val="nil"/>
              <w:left w:val="nil"/>
              <w:bottom w:val="nil"/>
              <w:right w:val="nil"/>
            </w:tcBorders>
            <w:shd w:val="clear" w:color="auto" w:fill="auto"/>
            <w:noWrap/>
            <w:vAlign w:val="bottom"/>
            <w:hideMark/>
          </w:tcPr>
          <w:p w14:paraId="4852704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3,913</w:t>
            </w:r>
          </w:p>
        </w:tc>
        <w:tc>
          <w:tcPr>
            <w:tcW w:w="685" w:type="dxa"/>
            <w:tcBorders>
              <w:top w:val="nil"/>
              <w:left w:val="nil"/>
              <w:bottom w:val="nil"/>
              <w:right w:val="nil"/>
            </w:tcBorders>
            <w:shd w:val="clear" w:color="auto" w:fill="auto"/>
            <w:noWrap/>
            <w:vAlign w:val="bottom"/>
            <w:hideMark/>
          </w:tcPr>
          <w:p w14:paraId="1DA9435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-1,534</w:t>
            </w:r>
          </w:p>
        </w:tc>
        <w:tc>
          <w:tcPr>
            <w:tcW w:w="685" w:type="dxa"/>
            <w:tcBorders>
              <w:top w:val="nil"/>
              <w:left w:val="nil"/>
              <w:bottom w:val="nil"/>
              <w:right w:val="nil"/>
            </w:tcBorders>
            <w:shd w:val="clear" w:color="auto" w:fill="auto"/>
            <w:noWrap/>
            <w:vAlign w:val="bottom"/>
            <w:hideMark/>
          </w:tcPr>
          <w:p w14:paraId="0188E5E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-6,417</w:t>
            </w:r>
          </w:p>
        </w:tc>
        <w:tc>
          <w:tcPr>
            <w:tcW w:w="666" w:type="dxa"/>
            <w:tcBorders>
              <w:top w:val="nil"/>
              <w:left w:val="nil"/>
              <w:bottom w:val="nil"/>
              <w:right w:val="nil"/>
            </w:tcBorders>
            <w:shd w:val="clear" w:color="auto" w:fill="auto"/>
            <w:noWrap/>
            <w:vAlign w:val="bottom"/>
            <w:hideMark/>
          </w:tcPr>
          <w:p w14:paraId="7BE98AF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743</w:t>
            </w:r>
          </w:p>
        </w:tc>
        <w:tc>
          <w:tcPr>
            <w:tcW w:w="666" w:type="dxa"/>
            <w:tcBorders>
              <w:top w:val="nil"/>
              <w:left w:val="nil"/>
              <w:bottom w:val="nil"/>
              <w:right w:val="nil"/>
            </w:tcBorders>
            <w:shd w:val="clear" w:color="auto" w:fill="auto"/>
            <w:noWrap/>
            <w:vAlign w:val="bottom"/>
            <w:hideMark/>
          </w:tcPr>
          <w:p w14:paraId="498505B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254</w:t>
            </w:r>
          </w:p>
        </w:tc>
        <w:tc>
          <w:tcPr>
            <w:tcW w:w="584" w:type="dxa"/>
            <w:tcBorders>
              <w:top w:val="nil"/>
              <w:left w:val="nil"/>
              <w:bottom w:val="nil"/>
              <w:right w:val="nil"/>
            </w:tcBorders>
            <w:shd w:val="clear" w:color="auto" w:fill="auto"/>
            <w:noWrap/>
            <w:vAlign w:val="bottom"/>
            <w:hideMark/>
          </w:tcPr>
          <w:p w14:paraId="0F3916B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266</w:t>
            </w:r>
          </w:p>
        </w:tc>
        <w:tc>
          <w:tcPr>
            <w:tcW w:w="666" w:type="dxa"/>
            <w:tcBorders>
              <w:top w:val="nil"/>
              <w:left w:val="nil"/>
              <w:bottom w:val="nil"/>
              <w:right w:val="nil"/>
            </w:tcBorders>
            <w:shd w:val="clear" w:color="auto" w:fill="auto"/>
            <w:noWrap/>
            <w:vAlign w:val="bottom"/>
            <w:hideMark/>
          </w:tcPr>
          <w:p w14:paraId="1C29777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-77</w:t>
            </w:r>
          </w:p>
        </w:tc>
        <w:tc>
          <w:tcPr>
            <w:tcW w:w="584" w:type="dxa"/>
            <w:tcBorders>
              <w:top w:val="nil"/>
              <w:left w:val="nil"/>
              <w:bottom w:val="nil"/>
              <w:right w:val="nil"/>
            </w:tcBorders>
            <w:shd w:val="clear" w:color="auto" w:fill="auto"/>
            <w:noWrap/>
            <w:vAlign w:val="bottom"/>
            <w:hideMark/>
          </w:tcPr>
          <w:p w14:paraId="7DDA172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8,029</w:t>
            </w:r>
          </w:p>
        </w:tc>
      </w:tr>
      <w:tr w:rsidR="00193203" w:rsidRPr="00D91282" w14:paraId="79498C4D"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148B9BB2"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Property sales</w:t>
            </w:r>
          </w:p>
        </w:tc>
        <w:tc>
          <w:tcPr>
            <w:tcW w:w="685" w:type="dxa"/>
            <w:tcBorders>
              <w:top w:val="single" w:sz="4" w:space="0" w:color="ADD6EA"/>
              <w:left w:val="nil"/>
              <w:bottom w:val="nil"/>
              <w:right w:val="nil"/>
            </w:tcBorders>
            <w:shd w:val="clear" w:color="auto" w:fill="auto"/>
            <w:noWrap/>
            <w:vAlign w:val="bottom"/>
            <w:hideMark/>
          </w:tcPr>
          <w:p w14:paraId="4AE0ACA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-1,517</w:t>
            </w:r>
          </w:p>
        </w:tc>
        <w:tc>
          <w:tcPr>
            <w:tcW w:w="685" w:type="dxa"/>
            <w:tcBorders>
              <w:top w:val="single" w:sz="4" w:space="0" w:color="ADD6EA"/>
              <w:left w:val="nil"/>
              <w:bottom w:val="nil"/>
              <w:right w:val="nil"/>
            </w:tcBorders>
            <w:shd w:val="clear" w:color="auto" w:fill="auto"/>
            <w:noWrap/>
            <w:vAlign w:val="bottom"/>
            <w:hideMark/>
          </w:tcPr>
          <w:p w14:paraId="284CEE0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-928</w:t>
            </w:r>
          </w:p>
        </w:tc>
        <w:tc>
          <w:tcPr>
            <w:tcW w:w="685" w:type="dxa"/>
            <w:tcBorders>
              <w:top w:val="single" w:sz="4" w:space="0" w:color="ADD6EA"/>
              <w:left w:val="nil"/>
              <w:bottom w:val="nil"/>
              <w:right w:val="nil"/>
            </w:tcBorders>
            <w:shd w:val="clear" w:color="auto" w:fill="auto"/>
            <w:noWrap/>
            <w:vAlign w:val="bottom"/>
            <w:hideMark/>
          </w:tcPr>
          <w:p w14:paraId="2A53FDC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799</w:t>
            </w:r>
          </w:p>
        </w:tc>
        <w:tc>
          <w:tcPr>
            <w:tcW w:w="685" w:type="dxa"/>
            <w:tcBorders>
              <w:top w:val="single" w:sz="4" w:space="0" w:color="ADD6EA"/>
              <w:left w:val="nil"/>
              <w:bottom w:val="nil"/>
              <w:right w:val="nil"/>
            </w:tcBorders>
            <w:shd w:val="clear" w:color="auto" w:fill="auto"/>
            <w:noWrap/>
            <w:vAlign w:val="bottom"/>
            <w:hideMark/>
          </w:tcPr>
          <w:p w14:paraId="733A709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830</w:t>
            </w:r>
          </w:p>
        </w:tc>
        <w:tc>
          <w:tcPr>
            <w:tcW w:w="666" w:type="dxa"/>
            <w:tcBorders>
              <w:top w:val="single" w:sz="4" w:space="0" w:color="ADD6EA"/>
              <w:left w:val="nil"/>
              <w:bottom w:val="nil"/>
              <w:right w:val="nil"/>
            </w:tcBorders>
            <w:shd w:val="clear" w:color="auto" w:fill="auto"/>
            <w:noWrap/>
            <w:vAlign w:val="bottom"/>
            <w:hideMark/>
          </w:tcPr>
          <w:p w14:paraId="23FF03E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553</w:t>
            </w:r>
          </w:p>
        </w:tc>
        <w:tc>
          <w:tcPr>
            <w:tcW w:w="666" w:type="dxa"/>
            <w:tcBorders>
              <w:top w:val="single" w:sz="4" w:space="0" w:color="ADD6EA"/>
              <w:left w:val="nil"/>
              <w:bottom w:val="nil"/>
              <w:right w:val="nil"/>
            </w:tcBorders>
            <w:shd w:val="clear" w:color="auto" w:fill="auto"/>
            <w:noWrap/>
            <w:vAlign w:val="bottom"/>
            <w:hideMark/>
          </w:tcPr>
          <w:p w14:paraId="0945E99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163</w:t>
            </w:r>
          </w:p>
        </w:tc>
        <w:tc>
          <w:tcPr>
            <w:tcW w:w="584" w:type="dxa"/>
            <w:tcBorders>
              <w:top w:val="single" w:sz="4" w:space="0" w:color="ADD6EA"/>
              <w:left w:val="nil"/>
              <w:bottom w:val="nil"/>
              <w:right w:val="nil"/>
            </w:tcBorders>
            <w:shd w:val="clear" w:color="auto" w:fill="auto"/>
            <w:noWrap/>
            <w:vAlign w:val="bottom"/>
            <w:hideMark/>
          </w:tcPr>
          <w:p w14:paraId="5A1E5D6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w:t>
            </w:r>
          </w:p>
        </w:tc>
        <w:tc>
          <w:tcPr>
            <w:tcW w:w="666" w:type="dxa"/>
            <w:tcBorders>
              <w:top w:val="single" w:sz="4" w:space="0" w:color="ADD6EA"/>
              <w:left w:val="nil"/>
              <w:bottom w:val="nil"/>
              <w:right w:val="nil"/>
            </w:tcBorders>
            <w:shd w:val="clear" w:color="auto" w:fill="auto"/>
            <w:noWrap/>
            <w:vAlign w:val="bottom"/>
            <w:hideMark/>
          </w:tcPr>
          <w:p w14:paraId="59F230A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91</w:t>
            </w:r>
          </w:p>
        </w:tc>
        <w:tc>
          <w:tcPr>
            <w:tcW w:w="584" w:type="dxa"/>
            <w:tcBorders>
              <w:top w:val="single" w:sz="4" w:space="0" w:color="ADD6EA"/>
              <w:left w:val="nil"/>
              <w:bottom w:val="nil"/>
              <w:right w:val="nil"/>
            </w:tcBorders>
            <w:shd w:val="clear" w:color="auto" w:fill="auto"/>
            <w:noWrap/>
            <w:vAlign w:val="bottom"/>
            <w:hideMark/>
          </w:tcPr>
          <w:p w14:paraId="3B424B2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2,444</w:t>
            </w:r>
          </w:p>
        </w:tc>
      </w:tr>
      <w:tr w:rsidR="00193203" w:rsidRPr="00D91282" w14:paraId="6F24C712"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15985937"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Taxable land values</w:t>
            </w:r>
          </w:p>
        </w:tc>
        <w:tc>
          <w:tcPr>
            <w:tcW w:w="685" w:type="dxa"/>
            <w:tcBorders>
              <w:top w:val="single" w:sz="4" w:space="0" w:color="ADD6EA"/>
              <w:left w:val="nil"/>
              <w:bottom w:val="nil"/>
              <w:right w:val="nil"/>
            </w:tcBorders>
            <w:shd w:val="clear" w:color="auto" w:fill="auto"/>
            <w:noWrap/>
            <w:vAlign w:val="bottom"/>
            <w:hideMark/>
          </w:tcPr>
          <w:p w14:paraId="10A3548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-1,139</w:t>
            </w:r>
          </w:p>
        </w:tc>
        <w:tc>
          <w:tcPr>
            <w:tcW w:w="685" w:type="dxa"/>
            <w:tcBorders>
              <w:top w:val="single" w:sz="4" w:space="0" w:color="ADD6EA"/>
              <w:left w:val="nil"/>
              <w:bottom w:val="nil"/>
              <w:right w:val="nil"/>
            </w:tcBorders>
            <w:shd w:val="clear" w:color="auto" w:fill="auto"/>
            <w:noWrap/>
            <w:vAlign w:val="bottom"/>
            <w:hideMark/>
          </w:tcPr>
          <w:p w14:paraId="64EF2FD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-536</w:t>
            </w:r>
          </w:p>
        </w:tc>
        <w:tc>
          <w:tcPr>
            <w:tcW w:w="685" w:type="dxa"/>
            <w:tcBorders>
              <w:top w:val="single" w:sz="4" w:space="0" w:color="ADD6EA"/>
              <w:left w:val="nil"/>
              <w:bottom w:val="nil"/>
              <w:right w:val="nil"/>
            </w:tcBorders>
            <w:shd w:val="clear" w:color="auto" w:fill="auto"/>
            <w:noWrap/>
            <w:vAlign w:val="bottom"/>
            <w:hideMark/>
          </w:tcPr>
          <w:p w14:paraId="470C032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829</w:t>
            </w:r>
          </w:p>
        </w:tc>
        <w:tc>
          <w:tcPr>
            <w:tcW w:w="685" w:type="dxa"/>
            <w:tcBorders>
              <w:top w:val="single" w:sz="4" w:space="0" w:color="ADD6EA"/>
              <w:left w:val="nil"/>
              <w:bottom w:val="nil"/>
              <w:right w:val="nil"/>
            </w:tcBorders>
            <w:shd w:val="clear" w:color="auto" w:fill="auto"/>
            <w:noWrap/>
            <w:vAlign w:val="bottom"/>
            <w:hideMark/>
          </w:tcPr>
          <w:p w14:paraId="32E2EA0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159</w:t>
            </w:r>
          </w:p>
        </w:tc>
        <w:tc>
          <w:tcPr>
            <w:tcW w:w="666" w:type="dxa"/>
            <w:tcBorders>
              <w:top w:val="single" w:sz="4" w:space="0" w:color="ADD6EA"/>
              <w:left w:val="nil"/>
              <w:bottom w:val="nil"/>
              <w:right w:val="nil"/>
            </w:tcBorders>
            <w:shd w:val="clear" w:color="auto" w:fill="auto"/>
            <w:noWrap/>
            <w:vAlign w:val="bottom"/>
            <w:hideMark/>
          </w:tcPr>
          <w:p w14:paraId="4638109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417</w:t>
            </w:r>
          </w:p>
        </w:tc>
        <w:tc>
          <w:tcPr>
            <w:tcW w:w="666" w:type="dxa"/>
            <w:tcBorders>
              <w:top w:val="single" w:sz="4" w:space="0" w:color="ADD6EA"/>
              <w:left w:val="nil"/>
              <w:bottom w:val="nil"/>
              <w:right w:val="nil"/>
            </w:tcBorders>
            <w:shd w:val="clear" w:color="auto" w:fill="auto"/>
            <w:noWrap/>
            <w:vAlign w:val="bottom"/>
            <w:hideMark/>
          </w:tcPr>
          <w:p w14:paraId="6FE13DB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154</w:t>
            </w:r>
          </w:p>
        </w:tc>
        <w:tc>
          <w:tcPr>
            <w:tcW w:w="584" w:type="dxa"/>
            <w:tcBorders>
              <w:top w:val="single" w:sz="4" w:space="0" w:color="ADD6EA"/>
              <w:left w:val="nil"/>
              <w:bottom w:val="nil"/>
              <w:right w:val="nil"/>
            </w:tcBorders>
            <w:shd w:val="clear" w:color="auto" w:fill="auto"/>
            <w:noWrap/>
            <w:vAlign w:val="bottom"/>
            <w:hideMark/>
          </w:tcPr>
          <w:p w14:paraId="2F0A16B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100</w:t>
            </w:r>
          </w:p>
        </w:tc>
        <w:tc>
          <w:tcPr>
            <w:tcW w:w="666" w:type="dxa"/>
            <w:tcBorders>
              <w:top w:val="single" w:sz="4" w:space="0" w:color="ADD6EA"/>
              <w:left w:val="nil"/>
              <w:bottom w:val="nil"/>
              <w:right w:val="nil"/>
            </w:tcBorders>
            <w:shd w:val="clear" w:color="auto" w:fill="auto"/>
            <w:noWrap/>
            <w:vAlign w:val="bottom"/>
            <w:hideMark/>
          </w:tcPr>
          <w:p w14:paraId="31160DA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16</w:t>
            </w:r>
          </w:p>
        </w:tc>
        <w:tc>
          <w:tcPr>
            <w:tcW w:w="584" w:type="dxa"/>
            <w:tcBorders>
              <w:top w:val="single" w:sz="4" w:space="0" w:color="ADD6EA"/>
              <w:left w:val="nil"/>
              <w:bottom w:val="nil"/>
              <w:right w:val="nil"/>
            </w:tcBorders>
            <w:shd w:val="clear" w:color="auto" w:fill="auto"/>
            <w:noWrap/>
            <w:vAlign w:val="bottom"/>
            <w:hideMark/>
          </w:tcPr>
          <w:p w14:paraId="36156DD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1,676</w:t>
            </w:r>
          </w:p>
        </w:tc>
      </w:tr>
      <w:tr w:rsidR="00193203" w:rsidRPr="00D91282" w14:paraId="3A175B6B"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70F5ED2E"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Taxable payrolls</w:t>
            </w:r>
          </w:p>
        </w:tc>
        <w:tc>
          <w:tcPr>
            <w:tcW w:w="685" w:type="dxa"/>
            <w:tcBorders>
              <w:top w:val="single" w:sz="4" w:space="0" w:color="ADD6EA"/>
              <w:left w:val="nil"/>
              <w:bottom w:val="nil"/>
              <w:right w:val="nil"/>
            </w:tcBorders>
            <w:shd w:val="clear" w:color="auto" w:fill="auto"/>
            <w:noWrap/>
            <w:vAlign w:val="bottom"/>
            <w:hideMark/>
          </w:tcPr>
          <w:p w14:paraId="2598F06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-472</w:t>
            </w:r>
          </w:p>
        </w:tc>
        <w:tc>
          <w:tcPr>
            <w:tcW w:w="685" w:type="dxa"/>
            <w:tcBorders>
              <w:top w:val="single" w:sz="4" w:space="0" w:color="ADD6EA"/>
              <w:left w:val="nil"/>
              <w:bottom w:val="nil"/>
              <w:right w:val="nil"/>
            </w:tcBorders>
            <w:shd w:val="clear" w:color="auto" w:fill="auto"/>
            <w:noWrap/>
            <w:vAlign w:val="bottom"/>
            <w:hideMark/>
          </w:tcPr>
          <w:p w14:paraId="774C630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79</w:t>
            </w:r>
          </w:p>
        </w:tc>
        <w:tc>
          <w:tcPr>
            <w:tcW w:w="685" w:type="dxa"/>
            <w:tcBorders>
              <w:top w:val="single" w:sz="4" w:space="0" w:color="ADD6EA"/>
              <w:left w:val="nil"/>
              <w:bottom w:val="nil"/>
              <w:right w:val="nil"/>
            </w:tcBorders>
            <w:shd w:val="clear" w:color="auto" w:fill="auto"/>
            <w:noWrap/>
            <w:vAlign w:val="bottom"/>
            <w:hideMark/>
          </w:tcPr>
          <w:p w14:paraId="4880172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532</w:t>
            </w:r>
          </w:p>
        </w:tc>
        <w:tc>
          <w:tcPr>
            <w:tcW w:w="685" w:type="dxa"/>
            <w:tcBorders>
              <w:top w:val="single" w:sz="4" w:space="0" w:color="ADD6EA"/>
              <w:left w:val="nil"/>
              <w:bottom w:val="nil"/>
              <w:right w:val="nil"/>
            </w:tcBorders>
            <w:shd w:val="clear" w:color="auto" w:fill="auto"/>
            <w:noWrap/>
            <w:vAlign w:val="bottom"/>
            <w:hideMark/>
          </w:tcPr>
          <w:p w14:paraId="750506B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-753</w:t>
            </w:r>
          </w:p>
        </w:tc>
        <w:tc>
          <w:tcPr>
            <w:tcW w:w="666" w:type="dxa"/>
            <w:tcBorders>
              <w:top w:val="single" w:sz="4" w:space="0" w:color="ADD6EA"/>
              <w:left w:val="nil"/>
              <w:bottom w:val="nil"/>
              <w:right w:val="nil"/>
            </w:tcBorders>
            <w:shd w:val="clear" w:color="auto" w:fill="auto"/>
            <w:noWrap/>
            <w:vAlign w:val="bottom"/>
            <w:hideMark/>
          </w:tcPr>
          <w:p w14:paraId="5CDF624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427</w:t>
            </w:r>
          </w:p>
        </w:tc>
        <w:tc>
          <w:tcPr>
            <w:tcW w:w="666" w:type="dxa"/>
            <w:tcBorders>
              <w:top w:val="single" w:sz="4" w:space="0" w:color="ADD6EA"/>
              <w:left w:val="nil"/>
              <w:bottom w:val="nil"/>
              <w:right w:val="nil"/>
            </w:tcBorders>
            <w:shd w:val="clear" w:color="auto" w:fill="auto"/>
            <w:noWrap/>
            <w:vAlign w:val="bottom"/>
            <w:hideMark/>
          </w:tcPr>
          <w:p w14:paraId="00C97EC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192</w:t>
            </w:r>
          </w:p>
        </w:tc>
        <w:tc>
          <w:tcPr>
            <w:tcW w:w="584" w:type="dxa"/>
            <w:tcBorders>
              <w:top w:val="single" w:sz="4" w:space="0" w:color="ADD6EA"/>
              <w:left w:val="nil"/>
              <w:bottom w:val="nil"/>
              <w:right w:val="nil"/>
            </w:tcBorders>
            <w:shd w:val="clear" w:color="auto" w:fill="auto"/>
            <w:noWrap/>
            <w:vAlign w:val="bottom"/>
            <w:hideMark/>
          </w:tcPr>
          <w:p w14:paraId="4D117B5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37</w:t>
            </w:r>
          </w:p>
        </w:tc>
        <w:tc>
          <w:tcPr>
            <w:tcW w:w="666" w:type="dxa"/>
            <w:tcBorders>
              <w:top w:val="single" w:sz="4" w:space="0" w:color="ADD6EA"/>
              <w:left w:val="nil"/>
              <w:bottom w:val="nil"/>
              <w:right w:val="nil"/>
            </w:tcBorders>
            <w:shd w:val="clear" w:color="auto" w:fill="auto"/>
            <w:noWrap/>
            <w:vAlign w:val="bottom"/>
            <w:hideMark/>
          </w:tcPr>
          <w:p w14:paraId="32B5E41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-42</w:t>
            </w:r>
          </w:p>
        </w:tc>
        <w:tc>
          <w:tcPr>
            <w:tcW w:w="584" w:type="dxa"/>
            <w:tcBorders>
              <w:top w:val="single" w:sz="4" w:space="0" w:color="ADD6EA"/>
              <w:left w:val="nil"/>
              <w:bottom w:val="nil"/>
              <w:right w:val="nil"/>
            </w:tcBorders>
            <w:shd w:val="clear" w:color="auto" w:fill="auto"/>
            <w:noWrap/>
            <w:vAlign w:val="bottom"/>
            <w:hideMark/>
          </w:tcPr>
          <w:p w14:paraId="06FD2F9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1,266</w:t>
            </w:r>
          </w:p>
        </w:tc>
      </w:tr>
      <w:tr w:rsidR="00193203" w:rsidRPr="00D91282" w14:paraId="0311A56A"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2D1AEE1D"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Other revenue effects</w:t>
            </w:r>
          </w:p>
        </w:tc>
        <w:tc>
          <w:tcPr>
            <w:tcW w:w="685" w:type="dxa"/>
            <w:tcBorders>
              <w:top w:val="single" w:sz="4" w:space="0" w:color="ADD6EA"/>
              <w:left w:val="nil"/>
              <w:bottom w:val="nil"/>
              <w:right w:val="nil"/>
            </w:tcBorders>
            <w:shd w:val="clear" w:color="auto" w:fill="auto"/>
            <w:noWrap/>
            <w:vAlign w:val="bottom"/>
            <w:hideMark/>
          </w:tcPr>
          <w:p w14:paraId="7D2DAAF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123</w:t>
            </w:r>
          </w:p>
        </w:tc>
        <w:tc>
          <w:tcPr>
            <w:tcW w:w="685" w:type="dxa"/>
            <w:tcBorders>
              <w:top w:val="single" w:sz="4" w:space="0" w:color="ADD6EA"/>
              <w:left w:val="nil"/>
              <w:bottom w:val="nil"/>
              <w:right w:val="nil"/>
            </w:tcBorders>
            <w:shd w:val="clear" w:color="auto" w:fill="auto"/>
            <w:noWrap/>
            <w:vAlign w:val="bottom"/>
            <w:hideMark/>
          </w:tcPr>
          <w:p w14:paraId="5C05D80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122</w:t>
            </w:r>
          </w:p>
        </w:tc>
        <w:tc>
          <w:tcPr>
            <w:tcW w:w="685" w:type="dxa"/>
            <w:tcBorders>
              <w:top w:val="single" w:sz="4" w:space="0" w:color="ADD6EA"/>
              <w:left w:val="nil"/>
              <w:bottom w:val="nil"/>
              <w:right w:val="nil"/>
            </w:tcBorders>
            <w:shd w:val="clear" w:color="auto" w:fill="auto"/>
            <w:noWrap/>
            <w:vAlign w:val="bottom"/>
            <w:hideMark/>
          </w:tcPr>
          <w:p w14:paraId="673D1A7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-61</w:t>
            </w:r>
          </w:p>
        </w:tc>
        <w:tc>
          <w:tcPr>
            <w:tcW w:w="685" w:type="dxa"/>
            <w:tcBorders>
              <w:top w:val="single" w:sz="4" w:space="0" w:color="ADD6EA"/>
              <w:left w:val="nil"/>
              <w:bottom w:val="nil"/>
              <w:right w:val="nil"/>
            </w:tcBorders>
            <w:shd w:val="clear" w:color="auto" w:fill="auto"/>
            <w:noWrap/>
            <w:vAlign w:val="bottom"/>
            <w:hideMark/>
          </w:tcPr>
          <w:p w14:paraId="2E2E5C7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-107</w:t>
            </w:r>
          </w:p>
        </w:tc>
        <w:tc>
          <w:tcPr>
            <w:tcW w:w="666" w:type="dxa"/>
            <w:tcBorders>
              <w:top w:val="single" w:sz="4" w:space="0" w:color="ADD6EA"/>
              <w:left w:val="nil"/>
              <w:bottom w:val="nil"/>
              <w:right w:val="nil"/>
            </w:tcBorders>
            <w:shd w:val="clear" w:color="auto" w:fill="auto"/>
            <w:noWrap/>
            <w:vAlign w:val="bottom"/>
            <w:hideMark/>
          </w:tcPr>
          <w:p w14:paraId="439D40E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-109</w:t>
            </w:r>
          </w:p>
        </w:tc>
        <w:tc>
          <w:tcPr>
            <w:tcW w:w="666" w:type="dxa"/>
            <w:tcBorders>
              <w:top w:val="single" w:sz="4" w:space="0" w:color="ADD6EA"/>
              <w:left w:val="nil"/>
              <w:bottom w:val="nil"/>
              <w:right w:val="nil"/>
            </w:tcBorders>
            <w:shd w:val="clear" w:color="auto" w:fill="auto"/>
            <w:noWrap/>
            <w:vAlign w:val="bottom"/>
            <w:hideMark/>
          </w:tcPr>
          <w:p w14:paraId="02CECBD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w:t>
            </w:r>
          </w:p>
        </w:tc>
        <w:tc>
          <w:tcPr>
            <w:tcW w:w="584" w:type="dxa"/>
            <w:tcBorders>
              <w:top w:val="single" w:sz="4" w:space="0" w:color="ADD6EA"/>
              <w:left w:val="nil"/>
              <w:bottom w:val="nil"/>
              <w:right w:val="nil"/>
            </w:tcBorders>
            <w:shd w:val="clear" w:color="auto" w:fill="auto"/>
            <w:noWrap/>
            <w:vAlign w:val="bottom"/>
            <w:hideMark/>
          </w:tcPr>
          <w:p w14:paraId="526D966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36</w:t>
            </w:r>
          </w:p>
        </w:tc>
        <w:tc>
          <w:tcPr>
            <w:tcW w:w="666" w:type="dxa"/>
            <w:tcBorders>
              <w:top w:val="single" w:sz="4" w:space="0" w:color="ADD6EA"/>
              <w:left w:val="nil"/>
              <w:bottom w:val="nil"/>
              <w:right w:val="nil"/>
            </w:tcBorders>
            <w:shd w:val="clear" w:color="auto" w:fill="auto"/>
            <w:noWrap/>
            <w:vAlign w:val="bottom"/>
            <w:hideMark/>
          </w:tcPr>
          <w:p w14:paraId="512F847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w:t>
            </w:r>
          </w:p>
        </w:tc>
        <w:tc>
          <w:tcPr>
            <w:tcW w:w="584" w:type="dxa"/>
            <w:tcBorders>
              <w:top w:val="single" w:sz="4" w:space="0" w:color="ADD6EA"/>
              <w:left w:val="nil"/>
              <w:bottom w:val="nil"/>
              <w:right w:val="nil"/>
            </w:tcBorders>
            <w:shd w:val="clear" w:color="auto" w:fill="auto"/>
            <w:noWrap/>
            <w:vAlign w:val="bottom"/>
            <w:hideMark/>
          </w:tcPr>
          <w:p w14:paraId="26FAEAE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288</w:t>
            </w:r>
          </w:p>
        </w:tc>
      </w:tr>
      <w:tr w:rsidR="00162AAC" w:rsidRPr="00D91282" w14:paraId="1072D418" w14:textId="77777777" w:rsidTr="00162AAC">
        <w:trPr>
          <w:trHeight w:val="310"/>
        </w:trPr>
        <w:tc>
          <w:tcPr>
            <w:tcW w:w="3131" w:type="dxa"/>
            <w:tcBorders>
              <w:top w:val="single" w:sz="4" w:space="0" w:color="ADD6EA"/>
              <w:left w:val="nil"/>
              <w:bottom w:val="single" w:sz="4" w:space="0" w:color="ADD6EA"/>
              <w:right w:val="nil"/>
            </w:tcBorders>
            <w:shd w:val="clear" w:color="auto" w:fill="99CCC3"/>
            <w:noWrap/>
            <w:vAlign w:val="bottom"/>
            <w:hideMark/>
          </w:tcPr>
          <w:p w14:paraId="570387A8" w14:textId="77777777" w:rsidR="00193203" w:rsidRPr="00D91282" w:rsidRDefault="00193203" w:rsidP="003A6452">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TOTAL REVENUE</w:t>
            </w:r>
          </w:p>
        </w:tc>
        <w:tc>
          <w:tcPr>
            <w:tcW w:w="685" w:type="dxa"/>
            <w:tcBorders>
              <w:top w:val="single" w:sz="4" w:space="0" w:color="ADD6EA"/>
              <w:left w:val="nil"/>
              <w:bottom w:val="single" w:sz="4" w:space="0" w:color="ADD6EA"/>
              <w:right w:val="nil"/>
            </w:tcBorders>
            <w:shd w:val="clear" w:color="auto" w:fill="99CCC3"/>
            <w:noWrap/>
            <w:vAlign w:val="bottom"/>
            <w:hideMark/>
          </w:tcPr>
          <w:p w14:paraId="3D78220F"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-153</w:t>
            </w:r>
          </w:p>
        </w:tc>
        <w:tc>
          <w:tcPr>
            <w:tcW w:w="685" w:type="dxa"/>
            <w:tcBorders>
              <w:top w:val="single" w:sz="4" w:space="0" w:color="ADD6EA"/>
              <w:left w:val="nil"/>
              <w:bottom w:val="single" w:sz="4" w:space="0" w:color="ADD6EA"/>
              <w:right w:val="nil"/>
            </w:tcBorders>
            <w:shd w:val="clear" w:color="auto" w:fill="99CCC3"/>
            <w:noWrap/>
            <w:vAlign w:val="bottom"/>
            <w:hideMark/>
          </w:tcPr>
          <w:p w14:paraId="44BF64C1"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2,650</w:t>
            </w:r>
          </w:p>
        </w:tc>
        <w:tc>
          <w:tcPr>
            <w:tcW w:w="685" w:type="dxa"/>
            <w:tcBorders>
              <w:top w:val="single" w:sz="4" w:space="0" w:color="ADD6EA"/>
              <w:left w:val="nil"/>
              <w:bottom w:val="single" w:sz="4" w:space="0" w:color="ADD6EA"/>
              <w:right w:val="nil"/>
            </w:tcBorders>
            <w:shd w:val="clear" w:color="auto" w:fill="99CCC3"/>
            <w:noWrap/>
            <w:vAlign w:val="bottom"/>
            <w:hideMark/>
          </w:tcPr>
          <w:p w14:paraId="7D8908A4"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564</w:t>
            </w:r>
          </w:p>
        </w:tc>
        <w:tc>
          <w:tcPr>
            <w:tcW w:w="685" w:type="dxa"/>
            <w:tcBorders>
              <w:top w:val="single" w:sz="4" w:space="0" w:color="ADD6EA"/>
              <w:left w:val="nil"/>
              <w:bottom w:val="single" w:sz="4" w:space="0" w:color="ADD6EA"/>
              <w:right w:val="nil"/>
            </w:tcBorders>
            <w:shd w:val="clear" w:color="auto" w:fill="99CCC3"/>
            <w:noWrap/>
            <w:vAlign w:val="bottom"/>
            <w:hideMark/>
          </w:tcPr>
          <w:p w14:paraId="0D1D7531"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-6,287</w:t>
            </w:r>
          </w:p>
        </w:tc>
        <w:tc>
          <w:tcPr>
            <w:tcW w:w="666" w:type="dxa"/>
            <w:tcBorders>
              <w:top w:val="single" w:sz="4" w:space="0" w:color="ADD6EA"/>
              <w:left w:val="nil"/>
              <w:bottom w:val="single" w:sz="4" w:space="0" w:color="ADD6EA"/>
              <w:right w:val="nil"/>
            </w:tcBorders>
            <w:shd w:val="clear" w:color="auto" w:fill="99CCC3"/>
            <w:noWrap/>
            <w:vAlign w:val="bottom"/>
            <w:hideMark/>
          </w:tcPr>
          <w:p w14:paraId="3E2584C9"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2,031</w:t>
            </w:r>
          </w:p>
        </w:tc>
        <w:tc>
          <w:tcPr>
            <w:tcW w:w="666" w:type="dxa"/>
            <w:tcBorders>
              <w:top w:val="single" w:sz="4" w:space="0" w:color="ADD6EA"/>
              <w:left w:val="nil"/>
              <w:bottom w:val="single" w:sz="4" w:space="0" w:color="ADD6EA"/>
              <w:right w:val="nil"/>
            </w:tcBorders>
            <w:shd w:val="clear" w:color="auto" w:fill="99CCC3"/>
            <w:noWrap/>
            <w:vAlign w:val="bottom"/>
            <w:hideMark/>
          </w:tcPr>
          <w:p w14:paraId="4063DE66"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752</w:t>
            </w:r>
          </w:p>
        </w:tc>
        <w:tc>
          <w:tcPr>
            <w:tcW w:w="584" w:type="dxa"/>
            <w:tcBorders>
              <w:top w:val="single" w:sz="4" w:space="0" w:color="ADD6EA"/>
              <w:left w:val="nil"/>
              <w:bottom w:val="single" w:sz="4" w:space="0" w:color="ADD6EA"/>
              <w:right w:val="nil"/>
            </w:tcBorders>
            <w:shd w:val="clear" w:color="auto" w:fill="99CCC3"/>
            <w:noWrap/>
            <w:vAlign w:val="bottom"/>
            <w:hideMark/>
          </w:tcPr>
          <w:p w14:paraId="5257BE8E"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447</w:t>
            </w:r>
          </w:p>
        </w:tc>
        <w:tc>
          <w:tcPr>
            <w:tcW w:w="666" w:type="dxa"/>
            <w:tcBorders>
              <w:top w:val="single" w:sz="4" w:space="0" w:color="ADD6EA"/>
              <w:left w:val="nil"/>
              <w:bottom w:val="single" w:sz="4" w:space="0" w:color="ADD6EA"/>
              <w:right w:val="nil"/>
            </w:tcBorders>
            <w:shd w:val="clear" w:color="auto" w:fill="99CCC3"/>
            <w:noWrap/>
            <w:vAlign w:val="bottom"/>
            <w:hideMark/>
          </w:tcPr>
          <w:p w14:paraId="0B361CB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w:t>
            </w:r>
          </w:p>
        </w:tc>
        <w:tc>
          <w:tcPr>
            <w:tcW w:w="584" w:type="dxa"/>
            <w:tcBorders>
              <w:top w:val="single" w:sz="4" w:space="0" w:color="ADD6EA"/>
              <w:left w:val="nil"/>
              <w:bottom w:val="single" w:sz="4" w:space="0" w:color="ADD6EA"/>
              <w:right w:val="nil"/>
            </w:tcBorders>
            <w:shd w:val="clear" w:color="auto" w:fill="99CCC3"/>
            <w:noWrap/>
            <w:vAlign w:val="bottom"/>
            <w:hideMark/>
          </w:tcPr>
          <w:p w14:paraId="35F844C4"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6,445</w:t>
            </w:r>
          </w:p>
        </w:tc>
      </w:tr>
      <w:tr w:rsidR="00193203" w:rsidRPr="00D91282" w14:paraId="239A807F" w14:textId="77777777" w:rsidTr="00162AAC">
        <w:trPr>
          <w:trHeight w:val="310"/>
        </w:trPr>
        <w:tc>
          <w:tcPr>
            <w:tcW w:w="3131" w:type="dxa"/>
            <w:tcBorders>
              <w:top w:val="single" w:sz="8" w:space="0" w:color="ADD6EA"/>
              <w:left w:val="nil"/>
              <w:bottom w:val="single" w:sz="4" w:space="0" w:color="ADD6EA"/>
              <w:right w:val="nil"/>
            </w:tcBorders>
            <w:shd w:val="clear" w:color="auto" w:fill="auto"/>
            <w:noWrap/>
            <w:vAlign w:val="bottom"/>
            <w:hideMark/>
          </w:tcPr>
          <w:p w14:paraId="203F5BBC"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EFFECTS OF EXPENSE REQUIREMENTS</w:t>
            </w:r>
          </w:p>
        </w:tc>
        <w:tc>
          <w:tcPr>
            <w:tcW w:w="685" w:type="dxa"/>
            <w:tcBorders>
              <w:top w:val="single" w:sz="8" w:space="0" w:color="ADD6EA"/>
              <w:left w:val="nil"/>
              <w:bottom w:val="single" w:sz="4" w:space="0" w:color="ADD6EA"/>
              <w:right w:val="nil"/>
            </w:tcBorders>
            <w:shd w:val="clear" w:color="auto" w:fill="auto"/>
            <w:noWrap/>
            <w:vAlign w:val="bottom"/>
            <w:hideMark/>
          </w:tcPr>
          <w:p w14:paraId="39AF0BEC"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85" w:type="dxa"/>
            <w:tcBorders>
              <w:top w:val="single" w:sz="8" w:space="0" w:color="ADD6EA"/>
              <w:left w:val="nil"/>
              <w:bottom w:val="single" w:sz="4" w:space="0" w:color="ADD6EA"/>
              <w:right w:val="nil"/>
            </w:tcBorders>
            <w:shd w:val="clear" w:color="auto" w:fill="auto"/>
            <w:noWrap/>
            <w:vAlign w:val="bottom"/>
            <w:hideMark/>
          </w:tcPr>
          <w:p w14:paraId="0B69214C"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85" w:type="dxa"/>
            <w:tcBorders>
              <w:top w:val="single" w:sz="8" w:space="0" w:color="ADD6EA"/>
              <w:left w:val="nil"/>
              <w:bottom w:val="single" w:sz="4" w:space="0" w:color="ADD6EA"/>
              <w:right w:val="nil"/>
            </w:tcBorders>
            <w:shd w:val="clear" w:color="auto" w:fill="auto"/>
            <w:noWrap/>
            <w:vAlign w:val="bottom"/>
            <w:hideMark/>
          </w:tcPr>
          <w:p w14:paraId="5B2F1BCD"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85" w:type="dxa"/>
            <w:tcBorders>
              <w:top w:val="single" w:sz="8" w:space="0" w:color="ADD6EA"/>
              <w:left w:val="nil"/>
              <w:bottom w:val="single" w:sz="4" w:space="0" w:color="ADD6EA"/>
              <w:right w:val="nil"/>
            </w:tcBorders>
            <w:shd w:val="clear" w:color="auto" w:fill="auto"/>
            <w:noWrap/>
            <w:vAlign w:val="bottom"/>
            <w:hideMark/>
          </w:tcPr>
          <w:p w14:paraId="394A7458"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66" w:type="dxa"/>
            <w:tcBorders>
              <w:top w:val="single" w:sz="8" w:space="0" w:color="ADD6EA"/>
              <w:left w:val="nil"/>
              <w:bottom w:val="single" w:sz="4" w:space="0" w:color="ADD6EA"/>
              <w:right w:val="nil"/>
            </w:tcBorders>
            <w:shd w:val="clear" w:color="auto" w:fill="auto"/>
            <w:noWrap/>
            <w:vAlign w:val="bottom"/>
            <w:hideMark/>
          </w:tcPr>
          <w:p w14:paraId="785E2AE2"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66" w:type="dxa"/>
            <w:tcBorders>
              <w:top w:val="single" w:sz="8" w:space="0" w:color="ADD6EA"/>
              <w:left w:val="nil"/>
              <w:bottom w:val="single" w:sz="4" w:space="0" w:color="ADD6EA"/>
              <w:right w:val="nil"/>
            </w:tcBorders>
            <w:shd w:val="clear" w:color="auto" w:fill="auto"/>
            <w:noWrap/>
            <w:vAlign w:val="bottom"/>
            <w:hideMark/>
          </w:tcPr>
          <w:p w14:paraId="4FA014EA"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584" w:type="dxa"/>
            <w:tcBorders>
              <w:top w:val="single" w:sz="8" w:space="0" w:color="ADD6EA"/>
              <w:left w:val="nil"/>
              <w:bottom w:val="single" w:sz="4" w:space="0" w:color="ADD6EA"/>
              <w:right w:val="nil"/>
            </w:tcBorders>
            <w:shd w:val="clear" w:color="auto" w:fill="auto"/>
            <w:noWrap/>
            <w:vAlign w:val="bottom"/>
            <w:hideMark/>
          </w:tcPr>
          <w:p w14:paraId="4B4F35BD"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666" w:type="dxa"/>
            <w:tcBorders>
              <w:top w:val="single" w:sz="8" w:space="0" w:color="ADD6EA"/>
              <w:left w:val="nil"/>
              <w:bottom w:val="single" w:sz="4" w:space="0" w:color="ADD6EA"/>
              <w:right w:val="nil"/>
            </w:tcBorders>
            <w:shd w:val="clear" w:color="auto" w:fill="auto"/>
            <w:noWrap/>
            <w:vAlign w:val="bottom"/>
            <w:hideMark/>
          </w:tcPr>
          <w:p w14:paraId="38CD809B"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c>
          <w:tcPr>
            <w:tcW w:w="584" w:type="dxa"/>
            <w:tcBorders>
              <w:top w:val="single" w:sz="8" w:space="0" w:color="ADD6EA"/>
              <w:left w:val="nil"/>
              <w:bottom w:val="single" w:sz="4" w:space="0" w:color="ADD6EA"/>
              <w:right w:val="nil"/>
            </w:tcBorders>
            <w:shd w:val="clear" w:color="auto" w:fill="auto"/>
            <w:noWrap/>
            <w:vAlign w:val="bottom"/>
            <w:hideMark/>
          </w:tcPr>
          <w:p w14:paraId="3ECB9832"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 </w:t>
            </w:r>
          </w:p>
        </w:tc>
      </w:tr>
      <w:tr w:rsidR="00193203" w:rsidRPr="00D91282" w14:paraId="7151C532" w14:textId="77777777" w:rsidTr="00162AAC">
        <w:trPr>
          <w:trHeight w:val="310"/>
        </w:trPr>
        <w:tc>
          <w:tcPr>
            <w:tcW w:w="3131" w:type="dxa"/>
            <w:tcBorders>
              <w:top w:val="nil"/>
              <w:left w:val="nil"/>
              <w:bottom w:val="nil"/>
              <w:right w:val="nil"/>
            </w:tcBorders>
            <w:shd w:val="clear" w:color="auto" w:fill="auto"/>
            <w:noWrap/>
            <w:vAlign w:val="bottom"/>
            <w:hideMark/>
          </w:tcPr>
          <w:p w14:paraId="794042CD"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Sociodemographic composition (SDC)</w:t>
            </w:r>
          </w:p>
        </w:tc>
        <w:tc>
          <w:tcPr>
            <w:tcW w:w="685" w:type="dxa"/>
            <w:tcBorders>
              <w:top w:val="nil"/>
              <w:left w:val="nil"/>
              <w:bottom w:val="nil"/>
              <w:right w:val="nil"/>
            </w:tcBorders>
            <w:shd w:val="clear" w:color="auto" w:fill="auto"/>
            <w:noWrap/>
            <w:vAlign w:val="bottom"/>
            <w:hideMark/>
          </w:tcPr>
          <w:p w14:paraId="314FBB4B"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p>
        </w:tc>
        <w:tc>
          <w:tcPr>
            <w:tcW w:w="685" w:type="dxa"/>
            <w:tcBorders>
              <w:top w:val="nil"/>
              <w:left w:val="nil"/>
              <w:bottom w:val="nil"/>
              <w:right w:val="nil"/>
            </w:tcBorders>
            <w:shd w:val="clear" w:color="auto" w:fill="auto"/>
            <w:noWrap/>
            <w:vAlign w:val="bottom"/>
            <w:hideMark/>
          </w:tcPr>
          <w:p w14:paraId="5AD0F9CC"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c>
          <w:tcPr>
            <w:tcW w:w="685" w:type="dxa"/>
            <w:tcBorders>
              <w:top w:val="nil"/>
              <w:left w:val="nil"/>
              <w:bottom w:val="nil"/>
              <w:right w:val="nil"/>
            </w:tcBorders>
            <w:shd w:val="clear" w:color="auto" w:fill="auto"/>
            <w:noWrap/>
            <w:vAlign w:val="bottom"/>
            <w:hideMark/>
          </w:tcPr>
          <w:p w14:paraId="1E0BE0E0"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c>
          <w:tcPr>
            <w:tcW w:w="685" w:type="dxa"/>
            <w:tcBorders>
              <w:top w:val="nil"/>
              <w:left w:val="nil"/>
              <w:bottom w:val="nil"/>
              <w:right w:val="nil"/>
            </w:tcBorders>
            <w:shd w:val="clear" w:color="auto" w:fill="auto"/>
            <w:noWrap/>
            <w:vAlign w:val="bottom"/>
            <w:hideMark/>
          </w:tcPr>
          <w:p w14:paraId="48BEBC14"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c>
          <w:tcPr>
            <w:tcW w:w="666" w:type="dxa"/>
            <w:tcBorders>
              <w:top w:val="nil"/>
              <w:left w:val="nil"/>
              <w:bottom w:val="nil"/>
              <w:right w:val="nil"/>
            </w:tcBorders>
            <w:shd w:val="clear" w:color="auto" w:fill="auto"/>
            <w:noWrap/>
            <w:vAlign w:val="bottom"/>
            <w:hideMark/>
          </w:tcPr>
          <w:p w14:paraId="584228C6"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c>
          <w:tcPr>
            <w:tcW w:w="666" w:type="dxa"/>
            <w:tcBorders>
              <w:top w:val="nil"/>
              <w:left w:val="nil"/>
              <w:bottom w:val="nil"/>
              <w:right w:val="nil"/>
            </w:tcBorders>
            <w:shd w:val="clear" w:color="auto" w:fill="auto"/>
            <w:noWrap/>
            <w:vAlign w:val="bottom"/>
            <w:hideMark/>
          </w:tcPr>
          <w:p w14:paraId="7D232824"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c>
          <w:tcPr>
            <w:tcW w:w="584" w:type="dxa"/>
            <w:tcBorders>
              <w:top w:val="nil"/>
              <w:left w:val="nil"/>
              <w:bottom w:val="nil"/>
              <w:right w:val="nil"/>
            </w:tcBorders>
            <w:shd w:val="clear" w:color="auto" w:fill="auto"/>
            <w:noWrap/>
            <w:vAlign w:val="bottom"/>
            <w:hideMark/>
          </w:tcPr>
          <w:p w14:paraId="48C7E2B7"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c>
          <w:tcPr>
            <w:tcW w:w="666" w:type="dxa"/>
            <w:tcBorders>
              <w:top w:val="nil"/>
              <w:left w:val="nil"/>
              <w:bottom w:val="nil"/>
              <w:right w:val="nil"/>
            </w:tcBorders>
            <w:shd w:val="clear" w:color="auto" w:fill="auto"/>
            <w:noWrap/>
            <w:vAlign w:val="bottom"/>
            <w:hideMark/>
          </w:tcPr>
          <w:p w14:paraId="37516737"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c>
          <w:tcPr>
            <w:tcW w:w="584" w:type="dxa"/>
            <w:tcBorders>
              <w:top w:val="nil"/>
              <w:left w:val="nil"/>
              <w:bottom w:val="nil"/>
              <w:right w:val="nil"/>
            </w:tcBorders>
            <w:shd w:val="clear" w:color="auto" w:fill="auto"/>
            <w:noWrap/>
            <w:vAlign w:val="bottom"/>
            <w:hideMark/>
          </w:tcPr>
          <w:p w14:paraId="48F16F90" w14:textId="77777777" w:rsidR="00193203" w:rsidRPr="00D91282" w:rsidRDefault="00193203" w:rsidP="003A6452">
            <w:pPr>
              <w:keepNext/>
              <w:keepLines/>
              <w:tabs>
                <w:tab w:val="clear" w:pos="567"/>
              </w:tabs>
              <w:spacing w:before="0" w:line="240" w:lineRule="auto"/>
              <w:rPr>
                <w:rFonts w:ascii="Times New Roman" w:eastAsia="Times New Roman" w:hAnsi="Times New Roman" w:cs="Times New Roman"/>
                <w:szCs w:val="20"/>
                <w:lang w:eastAsia="en-AU"/>
              </w:rPr>
            </w:pPr>
          </w:p>
        </w:tc>
      </w:tr>
      <w:tr w:rsidR="00193203" w:rsidRPr="00D91282" w14:paraId="4369DA32"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6906FFDB" w14:textId="77777777" w:rsidR="00193203" w:rsidRPr="00D91282" w:rsidRDefault="00193203" w:rsidP="003A6452">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D91282">
              <w:rPr>
                <w:rFonts w:eastAsia="Times New Roman" w:cs="Open Sans Light"/>
                <w:color w:val="000000"/>
                <w:sz w:val="16"/>
                <w:szCs w:val="16"/>
                <w:lang w:eastAsia="en-AU"/>
              </w:rPr>
              <w:t>Population dispersion</w:t>
            </w:r>
          </w:p>
        </w:tc>
        <w:tc>
          <w:tcPr>
            <w:tcW w:w="685" w:type="dxa"/>
            <w:tcBorders>
              <w:top w:val="single" w:sz="4" w:space="0" w:color="ADD6EA"/>
              <w:left w:val="nil"/>
              <w:bottom w:val="nil"/>
              <w:right w:val="nil"/>
            </w:tcBorders>
            <w:shd w:val="clear" w:color="auto" w:fill="auto"/>
            <w:noWrap/>
            <w:vAlign w:val="bottom"/>
            <w:hideMark/>
          </w:tcPr>
          <w:p w14:paraId="4C92559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-1,573</w:t>
            </w:r>
          </w:p>
        </w:tc>
        <w:tc>
          <w:tcPr>
            <w:tcW w:w="685" w:type="dxa"/>
            <w:tcBorders>
              <w:top w:val="single" w:sz="4" w:space="0" w:color="ADD6EA"/>
              <w:left w:val="nil"/>
              <w:bottom w:val="nil"/>
              <w:right w:val="nil"/>
            </w:tcBorders>
            <w:shd w:val="clear" w:color="auto" w:fill="auto"/>
            <w:noWrap/>
            <w:vAlign w:val="bottom"/>
            <w:hideMark/>
          </w:tcPr>
          <w:p w14:paraId="24EA645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-1,395</w:t>
            </w:r>
          </w:p>
        </w:tc>
        <w:tc>
          <w:tcPr>
            <w:tcW w:w="685" w:type="dxa"/>
            <w:tcBorders>
              <w:top w:val="single" w:sz="4" w:space="0" w:color="ADD6EA"/>
              <w:left w:val="nil"/>
              <w:bottom w:val="nil"/>
              <w:right w:val="nil"/>
            </w:tcBorders>
            <w:shd w:val="clear" w:color="auto" w:fill="auto"/>
            <w:noWrap/>
            <w:vAlign w:val="bottom"/>
            <w:hideMark/>
          </w:tcPr>
          <w:p w14:paraId="4F171E7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891</w:t>
            </w:r>
          </w:p>
        </w:tc>
        <w:tc>
          <w:tcPr>
            <w:tcW w:w="685" w:type="dxa"/>
            <w:tcBorders>
              <w:top w:val="single" w:sz="4" w:space="0" w:color="ADD6EA"/>
              <w:left w:val="nil"/>
              <w:bottom w:val="nil"/>
              <w:right w:val="nil"/>
            </w:tcBorders>
            <w:shd w:val="clear" w:color="auto" w:fill="auto"/>
            <w:noWrap/>
            <w:vAlign w:val="bottom"/>
            <w:hideMark/>
          </w:tcPr>
          <w:p w14:paraId="44F8870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538</w:t>
            </w:r>
          </w:p>
        </w:tc>
        <w:tc>
          <w:tcPr>
            <w:tcW w:w="666" w:type="dxa"/>
            <w:tcBorders>
              <w:top w:val="single" w:sz="4" w:space="0" w:color="ADD6EA"/>
              <w:left w:val="nil"/>
              <w:bottom w:val="nil"/>
              <w:right w:val="nil"/>
            </w:tcBorders>
            <w:shd w:val="clear" w:color="auto" w:fill="auto"/>
            <w:noWrap/>
            <w:vAlign w:val="bottom"/>
            <w:hideMark/>
          </w:tcPr>
          <w:p w14:paraId="0D621D6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93</w:t>
            </w:r>
          </w:p>
        </w:tc>
        <w:tc>
          <w:tcPr>
            <w:tcW w:w="666" w:type="dxa"/>
            <w:tcBorders>
              <w:top w:val="single" w:sz="4" w:space="0" w:color="ADD6EA"/>
              <w:left w:val="nil"/>
              <w:bottom w:val="nil"/>
              <w:right w:val="nil"/>
            </w:tcBorders>
            <w:shd w:val="clear" w:color="auto" w:fill="auto"/>
            <w:noWrap/>
            <w:vAlign w:val="bottom"/>
            <w:hideMark/>
          </w:tcPr>
          <w:p w14:paraId="080E887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506</w:t>
            </w:r>
          </w:p>
        </w:tc>
        <w:tc>
          <w:tcPr>
            <w:tcW w:w="584" w:type="dxa"/>
            <w:tcBorders>
              <w:top w:val="single" w:sz="4" w:space="0" w:color="ADD6EA"/>
              <w:left w:val="nil"/>
              <w:bottom w:val="nil"/>
              <w:right w:val="nil"/>
            </w:tcBorders>
            <w:shd w:val="clear" w:color="auto" w:fill="auto"/>
            <w:noWrap/>
            <w:vAlign w:val="bottom"/>
            <w:hideMark/>
          </w:tcPr>
          <w:p w14:paraId="30959F0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-222</w:t>
            </w:r>
          </w:p>
        </w:tc>
        <w:tc>
          <w:tcPr>
            <w:tcW w:w="666" w:type="dxa"/>
            <w:tcBorders>
              <w:top w:val="single" w:sz="4" w:space="0" w:color="ADD6EA"/>
              <w:left w:val="nil"/>
              <w:bottom w:val="nil"/>
              <w:right w:val="nil"/>
            </w:tcBorders>
            <w:shd w:val="clear" w:color="auto" w:fill="auto"/>
            <w:noWrap/>
            <w:vAlign w:val="bottom"/>
            <w:hideMark/>
          </w:tcPr>
          <w:p w14:paraId="7702EE6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1,162</w:t>
            </w:r>
          </w:p>
        </w:tc>
        <w:tc>
          <w:tcPr>
            <w:tcW w:w="584" w:type="dxa"/>
            <w:tcBorders>
              <w:top w:val="single" w:sz="4" w:space="0" w:color="ADD6EA"/>
              <w:left w:val="nil"/>
              <w:bottom w:val="nil"/>
              <w:right w:val="nil"/>
            </w:tcBorders>
            <w:shd w:val="clear" w:color="auto" w:fill="auto"/>
            <w:noWrap/>
            <w:vAlign w:val="bottom"/>
            <w:hideMark/>
          </w:tcPr>
          <w:p w14:paraId="46804F2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3,190</w:t>
            </w:r>
          </w:p>
        </w:tc>
      </w:tr>
      <w:tr w:rsidR="00193203" w:rsidRPr="00D91282" w14:paraId="5604DEDF"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4EE48522" w14:textId="77777777" w:rsidR="00193203" w:rsidRPr="00D91282" w:rsidRDefault="00193203" w:rsidP="003A6452">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D91282">
              <w:rPr>
                <w:rFonts w:eastAsia="Times New Roman" w:cs="Open Sans Light"/>
                <w:color w:val="000000"/>
                <w:sz w:val="16"/>
                <w:szCs w:val="16"/>
                <w:lang w:eastAsia="en-AU"/>
              </w:rPr>
              <w:t>Indigenous status</w:t>
            </w:r>
          </w:p>
        </w:tc>
        <w:tc>
          <w:tcPr>
            <w:tcW w:w="685" w:type="dxa"/>
            <w:tcBorders>
              <w:top w:val="single" w:sz="4" w:space="0" w:color="ADD6EA"/>
              <w:left w:val="nil"/>
              <w:bottom w:val="nil"/>
              <w:right w:val="nil"/>
            </w:tcBorders>
            <w:shd w:val="clear" w:color="auto" w:fill="auto"/>
            <w:noWrap/>
            <w:vAlign w:val="bottom"/>
            <w:hideMark/>
          </w:tcPr>
          <w:p w14:paraId="2FD4427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118</w:t>
            </w:r>
          </w:p>
        </w:tc>
        <w:tc>
          <w:tcPr>
            <w:tcW w:w="685" w:type="dxa"/>
            <w:tcBorders>
              <w:top w:val="single" w:sz="4" w:space="0" w:color="ADD6EA"/>
              <w:left w:val="nil"/>
              <w:bottom w:val="nil"/>
              <w:right w:val="nil"/>
            </w:tcBorders>
            <w:shd w:val="clear" w:color="auto" w:fill="auto"/>
            <w:noWrap/>
            <w:vAlign w:val="bottom"/>
            <w:hideMark/>
          </w:tcPr>
          <w:p w14:paraId="7D05C1C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-1,879</w:t>
            </w:r>
          </w:p>
        </w:tc>
        <w:tc>
          <w:tcPr>
            <w:tcW w:w="685" w:type="dxa"/>
            <w:tcBorders>
              <w:top w:val="single" w:sz="4" w:space="0" w:color="ADD6EA"/>
              <w:left w:val="nil"/>
              <w:bottom w:val="nil"/>
              <w:right w:val="nil"/>
            </w:tcBorders>
            <w:shd w:val="clear" w:color="auto" w:fill="auto"/>
            <w:noWrap/>
            <w:vAlign w:val="bottom"/>
            <w:hideMark/>
          </w:tcPr>
          <w:p w14:paraId="60E7587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818</w:t>
            </w:r>
          </w:p>
        </w:tc>
        <w:tc>
          <w:tcPr>
            <w:tcW w:w="685" w:type="dxa"/>
            <w:tcBorders>
              <w:top w:val="single" w:sz="4" w:space="0" w:color="ADD6EA"/>
              <w:left w:val="nil"/>
              <w:bottom w:val="nil"/>
              <w:right w:val="nil"/>
            </w:tcBorders>
            <w:shd w:val="clear" w:color="auto" w:fill="auto"/>
            <w:noWrap/>
            <w:vAlign w:val="bottom"/>
            <w:hideMark/>
          </w:tcPr>
          <w:p w14:paraId="2638B19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227</w:t>
            </w:r>
          </w:p>
        </w:tc>
        <w:tc>
          <w:tcPr>
            <w:tcW w:w="666" w:type="dxa"/>
            <w:tcBorders>
              <w:top w:val="single" w:sz="4" w:space="0" w:color="ADD6EA"/>
              <w:left w:val="nil"/>
              <w:bottom w:val="nil"/>
              <w:right w:val="nil"/>
            </w:tcBorders>
            <w:shd w:val="clear" w:color="auto" w:fill="auto"/>
            <w:noWrap/>
            <w:vAlign w:val="bottom"/>
            <w:hideMark/>
          </w:tcPr>
          <w:p w14:paraId="680256E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-160</w:t>
            </w:r>
          </w:p>
        </w:tc>
        <w:tc>
          <w:tcPr>
            <w:tcW w:w="666" w:type="dxa"/>
            <w:tcBorders>
              <w:top w:val="single" w:sz="4" w:space="0" w:color="ADD6EA"/>
              <w:left w:val="nil"/>
              <w:bottom w:val="nil"/>
              <w:right w:val="nil"/>
            </w:tcBorders>
            <w:shd w:val="clear" w:color="auto" w:fill="auto"/>
            <w:noWrap/>
            <w:vAlign w:val="bottom"/>
            <w:hideMark/>
          </w:tcPr>
          <w:p w14:paraId="3CCBF23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139</w:t>
            </w:r>
          </w:p>
        </w:tc>
        <w:tc>
          <w:tcPr>
            <w:tcW w:w="584" w:type="dxa"/>
            <w:tcBorders>
              <w:top w:val="single" w:sz="4" w:space="0" w:color="ADD6EA"/>
              <w:left w:val="nil"/>
              <w:bottom w:val="nil"/>
              <w:right w:val="nil"/>
            </w:tcBorders>
            <w:shd w:val="clear" w:color="auto" w:fill="auto"/>
            <w:noWrap/>
            <w:vAlign w:val="bottom"/>
            <w:hideMark/>
          </w:tcPr>
          <w:p w14:paraId="771736B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-73</w:t>
            </w:r>
          </w:p>
        </w:tc>
        <w:tc>
          <w:tcPr>
            <w:tcW w:w="666" w:type="dxa"/>
            <w:tcBorders>
              <w:top w:val="single" w:sz="4" w:space="0" w:color="ADD6EA"/>
              <w:left w:val="nil"/>
              <w:bottom w:val="nil"/>
              <w:right w:val="nil"/>
            </w:tcBorders>
            <w:shd w:val="clear" w:color="auto" w:fill="auto"/>
            <w:noWrap/>
            <w:vAlign w:val="bottom"/>
            <w:hideMark/>
          </w:tcPr>
          <w:p w14:paraId="5099E59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810</w:t>
            </w:r>
          </w:p>
        </w:tc>
        <w:tc>
          <w:tcPr>
            <w:tcW w:w="584" w:type="dxa"/>
            <w:tcBorders>
              <w:top w:val="single" w:sz="4" w:space="0" w:color="ADD6EA"/>
              <w:left w:val="nil"/>
              <w:bottom w:val="nil"/>
              <w:right w:val="nil"/>
            </w:tcBorders>
            <w:shd w:val="clear" w:color="auto" w:fill="auto"/>
            <w:noWrap/>
            <w:vAlign w:val="bottom"/>
            <w:hideMark/>
          </w:tcPr>
          <w:p w14:paraId="3B08A73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2,112</w:t>
            </w:r>
          </w:p>
        </w:tc>
      </w:tr>
      <w:tr w:rsidR="00193203" w:rsidRPr="00D91282" w14:paraId="18D3A660"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13E6F9B1" w14:textId="77777777" w:rsidR="00193203" w:rsidRPr="00D91282" w:rsidRDefault="00193203" w:rsidP="003A6452">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D91282">
              <w:rPr>
                <w:rFonts w:eastAsia="Times New Roman" w:cs="Open Sans Light"/>
                <w:color w:val="000000"/>
                <w:sz w:val="16"/>
                <w:szCs w:val="16"/>
                <w:lang w:eastAsia="en-AU"/>
              </w:rPr>
              <w:t>Non-Indigenous disadvantage</w:t>
            </w:r>
          </w:p>
        </w:tc>
        <w:tc>
          <w:tcPr>
            <w:tcW w:w="685" w:type="dxa"/>
            <w:tcBorders>
              <w:top w:val="single" w:sz="4" w:space="0" w:color="ADD6EA"/>
              <w:left w:val="nil"/>
              <w:bottom w:val="nil"/>
              <w:right w:val="nil"/>
            </w:tcBorders>
            <w:shd w:val="clear" w:color="auto" w:fill="auto"/>
            <w:noWrap/>
            <w:vAlign w:val="bottom"/>
            <w:hideMark/>
          </w:tcPr>
          <w:p w14:paraId="1F05A54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27</w:t>
            </w:r>
          </w:p>
        </w:tc>
        <w:tc>
          <w:tcPr>
            <w:tcW w:w="685" w:type="dxa"/>
            <w:tcBorders>
              <w:top w:val="single" w:sz="4" w:space="0" w:color="ADD6EA"/>
              <w:left w:val="nil"/>
              <w:bottom w:val="nil"/>
              <w:right w:val="nil"/>
            </w:tcBorders>
            <w:shd w:val="clear" w:color="auto" w:fill="auto"/>
            <w:noWrap/>
            <w:vAlign w:val="bottom"/>
            <w:hideMark/>
          </w:tcPr>
          <w:p w14:paraId="36A1CA6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-193</w:t>
            </w:r>
          </w:p>
        </w:tc>
        <w:tc>
          <w:tcPr>
            <w:tcW w:w="685" w:type="dxa"/>
            <w:tcBorders>
              <w:top w:val="single" w:sz="4" w:space="0" w:color="ADD6EA"/>
              <w:left w:val="nil"/>
              <w:bottom w:val="nil"/>
              <w:right w:val="nil"/>
            </w:tcBorders>
            <w:shd w:val="clear" w:color="auto" w:fill="auto"/>
            <w:noWrap/>
            <w:vAlign w:val="bottom"/>
            <w:hideMark/>
          </w:tcPr>
          <w:p w14:paraId="77DE2A0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209</w:t>
            </w:r>
          </w:p>
        </w:tc>
        <w:tc>
          <w:tcPr>
            <w:tcW w:w="685" w:type="dxa"/>
            <w:tcBorders>
              <w:top w:val="single" w:sz="4" w:space="0" w:color="ADD6EA"/>
              <w:left w:val="nil"/>
              <w:bottom w:val="nil"/>
              <w:right w:val="nil"/>
            </w:tcBorders>
            <w:shd w:val="clear" w:color="auto" w:fill="auto"/>
            <w:noWrap/>
            <w:vAlign w:val="bottom"/>
            <w:hideMark/>
          </w:tcPr>
          <w:p w14:paraId="20FE53B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-204</w:t>
            </w:r>
          </w:p>
        </w:tc>
        <w:tc>
          <w:tcPr>
            <w:tcW w:w="666" w:type="dxa"/>
            <w:tcBorders>
              <w:top w:val="single" w:sz="4" w:space="0" w:color="ADD6EA"/>
              <w:left w:val="nil"/>
              <w:bottom w:val="nil"/>
              <w:right w:val="nil"/>
            </w:tcBorders>
            <w:shd w:val="clear" w:color="auto" w:fill="auto"/>
            <w:noWrap/>
            <w:vAlign w:val="bottom"/>
            <w:hideMark/>
          </w:tcPr>
          <w:p w14:paraId="57DF386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392</w:t>
            </w:r>
          </w:p>
        </w:tc>
        <w:tc>
          <w:tcPr>
            <w:tcW w:w="666" w:type="dxa"/>
            <w:tcBorders>
              <w:top w:val="single" w:sz="4" w:space="0" w:color="ADD6EA"/>
              <w:left w:val="nil"/>
              <w:bottom w:val="nil"/>
              <w:right w:val="nil"/>
            </w:tcBorders>
            <w:shd w:val="clear" w:color="auto" w:fill="auto"/>
            <w:noWrap/>
            <w:vAlign w:val="bottom"/>
            <w:hideMark/>
          </w:tcPr>
          <w:p w14:paraId="298295F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140</w:t>
            </w:r>
          </w:p>
        </w:tc>
        <w:tc>
          <w:tcPr>
            <w:tcW w:w="584" w:type="dxa"/>
            <w:tcBorders>
              <w:top w:val="single" w:sz="4" w:space="0" w:color="ADD6EA"/>
              <w:left w:val="nil"/>
              <w:bottom w:val="nil"/>
              <w:right w:val="nil"/>
            </w:tcBorders>
            <w:shd w:val="clear" w:color="auto" w:fill="auto"/>
            <w:noWrap/>
            <w:vAlign w:val="bottom"/>
            <w:hideMark/>
          </w:tcPr>
          <w:p w14:paraId="11C0DFF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-259</w:t>
            </w:r>
          </w:p>
        </w:tc>
        <w:tc>
          <w:tcPr>
            <w:tcW w:w="666" w:type="dxa"/>
            <w:tcBorders>
              <w:top w:val="single" w:sz="4" w:space="0" w:color="ADD6EA"/>
              <w:left w:val="nil"/>
              <w:bottom w:val="nil"/>
              <w:right w:val="nil"/>
            </w:tcBorders>
            <w:shd w:val="clear" w:color="auto" w:fill="auto"/>
            <w:noWrap/>
            <w:vAlign w:val="bottom"/>
            <w:hideMark/>
          </w:tcPr>
          <w:p w14:paraId="2F5C73B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-112</w:t>
            </w:r>
          </w:p>
        </w:tc>
        <w:tc>
          <w:tcPr>
            <w:tcW w:w="584" w:type="dxa"/>
            <w:tcBorders>
              <w:top w:val="single" w:sz="4" w:space="0" w:color="ADD6EA"/>
              <w:left w:val="nil"/>
              <w:bottom w:val="nil"/>
              <w:right w:val="nil"/>
            </w:tcBorders>
            <w:shd w:val="clear" w:color="auto" w:fill="auto"/>
            <w:noWrap/>
            <w:vAlign w:val="bottom"/>
            <w:hideMark/>
          </w:tcPr>
          <w:p w14:paraId="08CF6EA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768</w:t>
            </w:r>
          </w:p>
        </w:tc>
      </w:tr>
      <w:tr w:rsidR="00193203" w:rsidRPr="00D91282" w14:paraId="1D88BFA6"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0AA277D6" w14:textId="77777777" w:rsidR="00193203" w:rsidRPr="00D91282" w:rsidRDefault="00193203" w:rsidP="003A6452">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D91282">
              <w:rPr>
                <w:rFonts w:eastAsia="Times New Roman" w:cs="Open Sans Light"/>
                <w:color w:val="000000"/>
                <w:sz w:val="16"/>
                <w:szCs w:val="16"/>
                <w:lang w:eastAsia="en-AU"/>
              </w:rPr>
              <w:t>Age</w:t>
            </w:r>
          </w:p>
        </w:tc>
        <w:tc>
          <w:tcPr>
            <w:tcW w:w="685" w:type="dxa"/>
            <w:tcBorders>
              <w:top w:val="single" w:sz="4" w:space="0" w:color="ADD6EA"/>
              <w:left w:val="nil"/>
              <w:bottom w:val="nil"/>
              <w:right w:val="nil"/>
            </w:tcBorders>
            <w:shd w:val="clear" w:color="auto" w:fill="auto"/>
            <w:noWrap/>
            <w:vAlign w:val="bottom"/>
            <w:hideMark/>
          </w:tcPr>
          <w:p w14:paraId="15DC00B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180</w:t>
            </w:r>
          </w:p>
        </w:tc>
        <w:tc>
          <w:tcPr>
            <w:tcW w:w="685" w:type="dxa"/>
            <w:tcBorders>
              <w:top w:val="single" w:sz="4" w:space="0" w:color="ADD6EA"/>
              <w:left w:val="nil"/>
              <w:bottom w:val="nil"/>
              <w:right w:val="nil"/>
            </w:tcBorders>
            <w:shd w:val="clear" w:color="auto" w:fill="auto"/>
            <w:noWrap/>
            <w:vAlign w:val="bottom"/>
            <w:hideMark/>
          </w:tcPr>
          <w:p w14:paraId="3415551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-66</w:t>
            </w:r>
          </w:p>
        </w:tc>
        <w:tc>
          <w:tcPr>
            <w:tcW w:w="685" w:type="dxa"/>
            <w:tcBorders>
              <w:top w:val="single" w:sz="4" w:space="0" w:color="ADD6EA"/>
              <w:left w:val="nil"/>
              <w:bottom w:val="nil"/>
              <w:right w:val="nil"/>
            </w:tcBorders>
            <w:shd w:val="clear" w:color="auto" w:fill="auto"/>
            <w:noWrap/>
            <w:vAlign w:val="bottom"/>
            <w:hideMark/>
          </w:tcPr>
          <w:p w14:paraId="316EF61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-148</w:t>
            </w:r>
          </w:p>
        </w:tc>
        <w:tc>
          <w:tcPr>
            <w:tcW w:w="685" w:type="dxa"/>
            <w:tcBorders>
              <w:top w:val="single" w:sz="4" w:space="0" w:color="ADD6EA"/>
              <w:left w:val="nil"/>
              <w:bottom w:val="nil"/>
              <w:right w:val="nil"/>
            </w:tcBorders>
            <w:shd w:val="clear" w:color="auto" w:fill="auto"/>
            <w:noWrap/>
            <w:vAlign w:val="bottom"/>
            <w:hideMark/>
          </w:tcPr>
          <w:p w14:paraId="08E32E1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-64</w:t>
            </w:r>
          </w:p>
        </w:tc>
        <w:tc>
          <w:tcPr>
            <w:tcW w:w="666" w:type="dxa"/>
            <w:tcBorders>
              <w:top w:val="single" w:sz="4" w:space="0" w:color="ADD6EA"/>
              <w:left w:val="nil"/>
              <w:bottom w:val="nil"/>
              <w:right w:val="nil"/>
            </w:tcBorders>
            <w:shd w:val="clear" w:color="auto" w:fill="auto"/>
            <w:noWrap/>
            <w:vAlign w:val="bottom"/>
            <w:hideMark/>
          </w:tcPr>
          <w:p w14:paraId="0E6CE80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169</w:t>
            </w:r>
          </w:p>
        </w:tc>
        <w:tc>
          <w:tcPr>
            <w:tcW w:w="666" w:type="dxa"/>
            <w:tcBorders>
              <w:top w:val="single" w:sz="4" w:space="0" w:color="ADD6EA"/>
              <w:left w:val="nil"/>
              <w:bottom w:val="nil"/>
              <w:right w:val="nil"/>
            </w:tcBorders>
            <w:shd w:val="clear" w:color="auto" w:fill="auto"/>
            <w:noWrap/>
            <w:vAlign w:val="bottom"/>
            <w:hideMark/>
          </w:tcPr>
          <w:p w14:paraId="030D1D3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w:t>
            </w:r>
          </w:p>
        </w:tc>
        <w:tc>
          <w:tcPr>
            <w:tcW w:w="584" w:type="dxa"/>
            <w:tcBorders>
              <w:top w:val="single" w:sz="4" w:space="0" w:color="ADD6EA"/>
              <w:left w:val="nil"/>
              <w:bottom w:val="nil"/>
              <w:right w:val="nil"/>
            </w:tcBorders>
            <w:shd w:val="clear" w:color="auto" w:fill="auto"/>
            <w:noWrap/>
            <w:vAlign w:val="bottom"/>
            <w:hideMark/>
          </w:tcPr>
          <w:p w14:paraId="2925CEC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-18</w:t>
            </w:r>
          </w:p>
        </w:tc>
        <w:tc>
          <w:tcPr>
            <w:tcW w:w="666" w:type="dxa"/>
            <w:tcBorders>
              <w:top w:val="single" w:sz="4" w:space="0" w:color="ADD6EA"/>
              <w:left w:val="nil"/>
              <w:bottom w:val="nil"/>
              <w:right w:val="nil"/>
            </w:tcBorders>
            <w:shd w:val="clear" w:color="auto" w:fill="auto"/>
            <w:noWrap/>
            <w:vAlign w:val="bottom"/>
            <w:hideMark/>
          </w:tcPr>
          <w:p w14:paraId="2A7B347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-46</w:t>
            </w:r>
          </w:p>
        </w:tc>
        <w:tc>
          <w:tcPr>
            <w:tcW w:w="584" w:type="dxa"/>
            <w:tcBorders>
              <w:top w:val="single" w:sz="4" w:space="0" w:color="ADD6EA"/>
              <w:left w:val="nil"/>
              <w:bottom w:val="nil"/>
              <w:right w:val="nil"/>
            </w:tcBorders>
            <w:shd w:val="clear" w:color="auto" w:fill="auto"/>
            <w:noWrap/>
            <w:vAlign w:val="bottom"/>
            <w:hideMark/>
          </w:tcPr>
          <w:p w14:paraId="5398873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349</w:t>
            </w:r>
          </w:p>
        </w:tc>
      </w:tr>
      <w:tr w:rsidR="00193203" w:rsidRPr="00D91282" w14:paraId="0183DF1F"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222CF549" w14:textId="77777777" w:rsidR="00193203" w:rsidRPr="00D91282" w:rsidRDefault="00193203" w:rsidP="003A6452">
            <w:pPr>
              <w:keepNext/>
              <w:keepLines/>
              <w:tabs>
                <w:tab w:val="clear" w:pos="567"/>
              </w:tabs>
              <w:spacing w:before="0" w:line="240" w:lineRule="auto"/>
              <w:ind w:firstLineChars="200" w:firstLine="320"/>
              <w:rPr>
                <w:rFonts w:eastAsia="Times New Roman" w:cs="Open Sans Light"/>
                <w:color w:val="000000"/>
                <w:sz w:val="16"/>
                <w:szCs w:val="16"/>
                <w:lang w:eastAsia="en-AU"/>
              </w:rPr>
            </w:pPr>
            <w:r w:rsidRPr="00D91282">
              <w:rPr>
                <w:rFonts w:eastAsia="Times New Roman" w:cs="Open Sans Light"/>
                <w:color w:val="000000"/>
                <w:sz w:val="16"/>
                <w:szCs w:val="16"/>
                <w:lang w:eastAsia="en-AU"/>
              </w:rPr>
              <w:t>Other SDC (a)</w:t>
            </w:r>
          </w:p>
        </w:tc>
        <w:tc>
          <w:tcPr>
            <w:tcW w:w="685" w:type="dxa"/>
            <w:tcBorders>
              <w:top w:val="single" w:sz="4" w:space="0" w:color="ADD6EA"/>
              <w:left w:val="nil"/>
              <w:bottom w:val="nil"/>
              <w:right w:val="nil"/>
            </w:tcBorders>
            <w:shd w:val="clear" w:color="auto" w:fill="auto"/>
            <w:noWrap/>
            <w:vAlign w:val="bottom"/>
            <w:hideMark/>
          </w:tcPr>
          <w:p w14:paraId="31CAAAE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-33</w:t>
            </w:r>
          </w:p>
        </w:tc>
        <w:tc>
          <w:tcPr>
            <w:tcW w:w="685" w:type="dxa"/>
            <w:tcBorders>
              <w:top w:val="single" w:sz="4" w:space="0" w:color="ADD6EA"/>
              <w:left w:val="nil"/>
              <w:bottom w:val="nil"/>
              <w:right w:val="nil"/>
            </w:tcBorders>
            <w:shd w:val="clear" w:color="auto" w:fill="auto"/>
            <w:noWrap/>
            <w:vAlign w:val="bottom"/>
            <w:hideMark/>
          </w:tcPr>
          <w:p w14:paraId="470BB21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-249</w:t>
            </w:r>
          </w:p>
        </w:tc>
        <w:tc>
          <w:tcPr>
            <w:tcW w:w="685" w:type="dxa"/>
            <w:tcBorders>
              <w:top w:val="single" w:sz="4" w:space="0" w:color="ADD6EA"/>
              <w:left w:val="nil"/>
              <w:bottom w:val="nil"/>
              <w:right w:val="nil"/>
            </w:tcBorders>
            <w:shd w:val="clear" w:color="auto" w:fill="auto"/>
            <w:noWrap/>
            <w:vAlign w:val="bottom"/>
            <w:hideMark/>
          </w:tcPr>
          <w:p w14:paraId="26BC097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142</w:t>
            </w:r>
          </w:p>
        </w:tc>
        <w:tc>
          <w:tcPr>
            <w:tcW w:w="685" w:type="dxa"/>
            <w:tcBorders>
              <w:top w:val="single" w:sz="4" w:space="0" w:color="ADD6EA"/>
              <w:left w:val="nil"/>
              <w:bottom w:val="nil"/>
              <w:right w:val="nil"/>
            </w:tcBorders>
            <w:shd w:val="clear" w:color="auto" w:fill="auto"/>
            <w:noWrap/>
            <w:vAlign w:val="bottom"/>
            <w:hideMark/>
          </w:tcPr>
          <w:p w14:paraId="16C36C9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87</w:t>
            </w:r>
          </w:p>
        </w:tc>
        <w:tc>
          <w:tcPr>
            <w:tcW w:w="666" w:type="dxa"/>
            <w:tcBorders>
              <w:top w:val="single" w:sz="4" w:space="0" w:color="ADD6EA"/>
              <w:left w:val="nil"/>
              <w:bottom w:val="nil"/>
              <w:right w:val="nil"/>
            </w:tcBorders>
            <w:shd w:val="clear" w:color="auto" w:fill="auto"/>
            <w:noWrap/>
            <w:vAlign w:val="bottom"/>
            <w:hideMark/>
          </w:tcPr>
          <w:p w14:paraId="622A120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55</w:t>
            </w:r>
          </w:p>
        </w:tc>
        <w:tc>
          <w:tcPr>
            <w:tcW w:w="666" w:type="dxa"/>
            <w:tcBorders>
              <w:top w:val="single" w:sz="4" w:space="0" w:color="ADD6EA"/>
              <w:left w:val="nil"/>
              <w:bottom w:val="nil"/>
              <w:right w:val="nil"/>
            </w:tcBorders>
            <w:shd w:val="clear" w:color="auto" w:fill="auto"/>
            <w:noWrap/>
            <w:vAlign w:val="bottom"/>
            <w:hideMark/>
          </w:tcPr>
          <w:p w14:paraId="03029EB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-29</w:t>
            </w:r>
          </w:p>
        </w:tc>
        <w:tc>
          <w:tcPr>
            <w:tcW w:w="584" w:type="dxa"/>
            <w:tcBorders>
              <w:top w:val="single" w:sz="4" w:space="0" w:color="ADD6EA"/>
              <w:left w:val="nil"/>
              <w:bottom w:val="nil"/>
              <w:right w:val="nil"/>
            </w:tcBorders>
            <w:shd w:val="clear" w:color="auto" w:fill="auto"/>
            <w:noWrap/>
            <w:vAlign w:val="bottom"/>
            <w:hideMark/>
          </w:tcPr>
          <w:p w14:paraId="168EA15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-24</w:t>
            </w:r>
          </w:p>
        </w:tc>
        <w:tc>
          <w:tcPr>
            <w:tcW w:w="666" w:type="dxa"/>
            <w:tcBorders>
              <w:top w:val="single" w:sz="4" w:space="0" w:color="ADD6EA"/>
              <w:left w:val="nil"/>
              <w:bottom w:val="nil"/>
              <w:right w:val="nil"/>
            </w:tcBorders>
            <w:shd w:val="clear" w:color="auto" w:fill="auto"/>
            <w:noWrap/>
            <w:vAlign w:val="bottom"/>
            <w:hideMark/>
          </w:tcPr>
          <w:p w14:paraId="78D0C44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51</w:t>
            </w:r>
          </w:p>
        </w:tc>
        <w:tc>
          <w:tcPr>
            <w:tcW w:w="584" w:type="dxa"/>
            <w:tcBorders>
              <w:top w:val="single" w:sz="4" w:space="0" w:color="ADD6EA"/>
              <w:left w:val="nil"/>
              <w:bottom w:val="nil"/>
              <w:right w:val="nil"/>
            </w:tcBorders>
            <w:shd w:val="clear" w:color="auto" w:fill="auto"/>
            <w:noWrap/>
            <w:vAlign w:val="bottom"/>
            <w:hideMark/>
          </w:tcPr>
          <w:p w14:paraId="7C05B1D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336</w:t>
            </w:r>
          </w:p>
        </w:tc>
      </w:tr>
      <w:tr w:rsidR="00162AAC" w:rsidRPr="00D91282" w14:paraId="59674E68" w14:textId="77777777" w:rsidTr="00162AAC">
        <w:trPr>
          <w:trHeight w:val="310"/>
        </w:trPr>
        <w:tc>
          <w:tcPr>
            <w:tcW w:w="3131" w:type="dxa"/>
            <w:tcBorders>
              <w:top w:val="single" w:sz="4" w:space="0" w:color="ADD6EA"/>
              <w:left w:val="nil"/>
              <w:bottom w:val="single" w:sz="4" w:space="0" w:color="ADD6EA"/>
              <w:right w:val="nil"/>
            </w:tcBorders>
            <w:shd w:val="clear" w:color="auto" w:fill="99CCC3"/>
            <w:noWrap/>
            <w:vAlign w:val="bottom"/>
            <w:hideMark/>
          </w:tcPr>
          <w:p w14:paraId="3B13584B" w14:textId="77777777" w:rsidR="00193203" w:rsidRPr="00D91282" w:rsidRDefault="00193203" w:rsidP="003A6452">
            <w:pPr>
              <w:keepNext/>
              <w:keepLines/>
              <w:tabs>
                <w:tab w:val="clear" w:pos="567"/>
              </w:tabs>
              <w:spacing w:before="0" w:line="240" w:lineRule="auto"/>
              <w:ind w:firstLineChars="200" w:firstLine="320"/>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Total SDC</w:t>
            </w:r>
          </w:p>
        </w:tc>
        <w:tc>
          <w:tcPr>
            <w:tcW w:w="685" w:type="dxa"/>
            <w:tcBorders>
              <w:top w:val="single" w:sz="4" w:space="0" w:color="ADD6EA"/>
              <w:left w:val="nil"/>
              <w:bottom w:val="single" w:sz="4" w:space="0" w:color="ADD6EA"/>
              <w:right w:val="nil"/>
            </w:tcBorders>
            <w:shd w:val="clear" w:color="auto" w:fill="99CCC3"/>
            <w:noWrap/>
            <w:vAlign w:val="bottom"/>
            <w:hideMark/>
          </w:tcPr>
          <w:p w14:paraId="702EF948"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-1,282</w:t>
            </w:r>
          </w:p>
        </w:tc>
        <w:tc>
          <w:tcPr>
            <w:tcW w:w="685" w:type="dxa"/>
            <w:tcBorders>
              <w:top w:val="single" w:sz="4" w:space="0" w:color="ADD6EA"/>
              <w:left w:val="nil"/>
              <w:bottom w:val="single" w:sz="4" w:space="0" w:color="ADD6EA"/>
              <w:right w:val="nil"/>
            </w:tcBorders>
            <w:shd w:val="clear" w:color="auto" w:fill="99CCC3"/>
            <w:noWrap/>
            <w:vAlign w:val="bottom"/>
            <w:hideMark/>
          </w:tcPr>
          <w:p w14:paraId="551E21C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-3,784</w:t>
            </w:r>
          </w:p>
        </w:tc>
        <w:tc>
          <w:tcPr>
            <w:tcW w:w="685" w:type="dxa"/>
            <w:tcBorders>
              <w:top w:val="single" w:sz="4" w:space="0" w:color="ADD6EA"/>
              <w:left w:val="nil"/>
              <w:bottom w:val="single" w:sz="4" w:space="0" w:color="ADD6EA"/>
              <w:right w:val="nil"/>
            </w:tcBorders>
            <w:shd w:val="clear" w:color="auto" w:fill="99CCC3"/>
            <w:noWrap/>
            <w:vAlign w:val="bottom"/>
            <w:hideMark/>
          </w:tcPr>
          <w:p w14:paraId="0002112F"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1,912</w:t>
            </w:r>
          </w:p>
        </w:tc>
        <w:tc>
          <w:tcPr>
            <w:tcW w:w="685" w:type="dxa"/>
            <w:tcBorders>
              <w:top w:val="single" w:sz="4" w:space="0" w:color="ADD6EA"/>
              <w:left w:val="nil"/>
              <w:bottom w:val="single" w:sz="4" w:space="0" w:color="ADD6EA"/>
              <w:right w:val="nil"/>
            </w:tcBorders>
            <w:shd w:val="clear" w:color="auto" w:fill="99CCC3"/>
            <w:noWrap/>
            <w:vAlign w:val="bottom"/>
            <w:hideMark/>
          </w:tcPr>
          <w:p w14:paraId="6A59D54B"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584</w:t>
            </w:r>
          </w:p>
        </w:tc>
        <w:tc>
          <w:tcPr>
            <w:tcW w:w="666" w:type="dxa"/>
            <w:tcBorders>
              <w:top w:val="single" w:sz="4" w:space="0" w:color="ADD6EA"/>
              <w:left w:val="nil"/>
              <w:bottom w:val="single" w:sz="4" w:space="0" w:color="ADD6EA"/>
              <w:right w:val="nil"/>
            </w:tcBorders>
            <w:shd w:val="clear" w:color="auto" w:fill="99CCC3"/>
            <w:noWrap/>
            <w:vAlign w:val="bottom"/>
            <w:hideMark/>
          </w:tcPr>
          <w:p w14:paraId="1358984F"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550</w:t>
            </w:r>
          </w:p>
        </w:tc>
        <w:tc>
          <w:tcPr>
            <w:tcW w:w="666" w:type="dxa"/>
            <w:tcBorders>
              <w:top w:val="single" w:sz="4" w:space="0" w:color="ADD6EA"/>
              <w:left w:val="nil"/>
              <w:bottom w:val="single" w:sz="4" w:space="0" w:color="ADD6EA"/>
              <w:right w:val="nil"/>
            </w:tcBorders>
            <w:shd w:val="clear" w:color="auto" w:fill="99CCC3"/>
            <w:noWrap/>
            <w:vAlign w:val="bottom"/>
            <w:hideMark/>
          </w:tcPr>
          <w:p w14:paraId="48D7CBEA"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750</w:t>
            </w:r>
          </w:p>
        </w:tc>
        <w:tc>
          <w:tcPr>
            <w:tcW w:w="584" w:type="dxa"/>
            <w:tcBorders>
              <w:top w:val="single" w:sz="4" w:space="0" w:color="ADD6EA"/>
              <w:left w:val="nil"/>
              <w:bottom w:val="single" w:sz="4" w:space="0" w:color="ADD6EA"/>
              <w:right w:val="nil"/>
            </w:tcBorders>
            <w:shd w:val="clear" w:color="auto" w:fill="99CCC3"/>
            <w:noWrap/>
            <w:vAlign w:val="bottom"/>
            <w:hideMark/>
          </w:tcPr>
          <w:p w14:paraId="19B6B936"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-596</w:t>
            </w:r>
          </w:p>
        </w:tc>
        <w:tc>
          <w:tcPr>
            <w:tcW w:w="666" w:type="dxa"/>
            <w:tcBorders>
              <w:top w:val="single" w:sz="4" w:space="0" w:color="ADD6EA"/>
              <w:left w:val="nil"/>
              <w:bottom w:val="single" w:sz="4" w:space="0" w:color="ADD6EA"/>
              <w:right w:val="nil"/>
            </w:tcBorders>
            <w:shd w:val="clear" w:color="auto" w:fill="99CCC3"/>
            <w:noWrap/>
            <w:vAlign w:val="bottom"/>
            <w:hideMark/>
          </w:tcPr>
          <w:p w14:paraId="11EC00FF"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1,865</w:t>
            </w:r>
          </w:p>
        </w:tc>
        <w:tc>
          <w:tcPr>
            <w:tcW w:w="584" w:type="dxa"/>
            <w:tcBorders>
              <w:top w:val="single" w:sz="4" w:space="0" w:color="ADD6EA"/>
              <w:left w:val="nil"/>
              <w:bottom w:val="single" w:sz="4" w:space="0" w:color="ADD6EA"/>
              <w:right w:val="nil"/>
            </w:tcBorders>
            <w:shd w:val="clear" w:color="auto" w:fill="99CCC3"/>
            <w:noWrap/>
            <w:vAlign w:val="bottom"/>
            <w:hideMark/>
          </w:tcPr>
          <w:p w14:paraId="25EEE8D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5,661</w:t>
            </w:r>
          </w:p>
        </w:tc>
      </w:tr>
      <w:tr w:rsidR="00193203" w:rsidRPr="00D91282" w14:paraId="561C7478" w14:textId="77777777" w:rsidTr="00162AAC">
        <w:trPr>
          <w:trHeight w:val="310"/>
        </w:trPr>
        <w:tc>
          <w:tcPr>
            <w:tcW w:w="3131" w:type="dxa"/>
            <w:tcBorders>
              <w:top w:val="nil"/>
              <w:left w:val="nil"/>
              <w:bottom w:val="nil"/>
              <w:right w:val="nil"/>
            </w:tcBorders>
            <w:shd w:val="clear" w:color="auto" w:fill="auto"/>
            <w:noWrap/>
            <w:vAlign w:val="bottom"/>
            <w:hideMark/>
          </w:tcPr>
          <w:p w14:paraId="6B37BE80"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Urban centre characteristics</w:t>
            </w:r>
          </w:p>
        </w:tc>
        <w:tc>
          <w:tcPr>
            <w:tcW w:w="685" w:type="dxa"/>
            <w:tcBorders>
              <w:top w:val="nil"/>
              <w:left w:val="nil"/>
              <w:bottom w:val="nil"/>
              <w:right w:val="nil"/>
            </w:tcBorders>
            <w:shd w:val="clear" w:color="auto" w:fill="auto"/>
            <w:noWrap/>
            <w:vAlign w:val="bottom"/>
            <w:hideMark/>
          </w:tcPr>
          <w:p w14:paraId="549422B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1,153</w:t>
            </w:r>
          </w:p>
        </w:tc>
        <w:tc>
          <w:tcPr>
            <w:tcW w:w="685" w:type="dxa"/>
            <w:tcBorders>
              <w:top w:val="nil"/>
              <w:left w:val="nil"/>
              <w:bottom w:val="nil"/>
              <w:right w:val="nil"/>
            </w:tcBorders>
            <w:shd w:val="clear" w:color="auto" w:fill="auto"/>
            <w:noWrap/>
            <w:vAlign w:val="bottom"/>
            <w:hideMark/>
          </w:tcPr>
          <w:p w14:paraId="5204CE2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459</w:t>
            </w:r>
          </w:p>
        </w:tc>
        <w:tc>
          <w:tcPr>
            <w:tcW w:w="685" w:type="dxa"/>
            <w:tcBorders>
              <w:top w:val="nil"/>
              <w:left w:val="nil"/>
              <w:bottom w:val="nil"/>
              <w:right w:val="nil"/>
            </w:tcBorders>
            <w:shd w:val="clear" w:color="auto" w:fill="auto"/>
            <w:noWrap/>
            <w:vAlign w:val="bottom"/>
            <w:hideMark/>
          </w:tcPr>
          <w:p w14:paraId="1D666C5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-734</w:t>
            </w:r>
          </w:p>
        </w:tc>
        <w:tc>
          <w:tcPr>
            <w:tcW w:w="685" w:type="dxa"/>
            <w:tcBorders>
              <w:top w:val="nil"/>
              <w:left w:val="nil"/>
              <w:bottom w:val="nil"/>
              <w:right w:val="nil"/>
            </w:tcBorders>
            <w:shd w:val="clear" w:color="auto" w:fill="auto"/>
            <w:noWrap/>
            <w:vAlign w:val="bottom"/>
            <w:hideMark/>
          </w:tcPr>
          <w:p w14:paraId="7D561C5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-281</w:t>
            </w:r>
          </w:p>
        </w:tc>
        <w:tc>
          <w:tcPr>
            <w:tcW w:w="666" w:type="dxa"/>
            <w:tcBorders>
              <w:top w:val="nil"/>
              <w:left w:val="nil"/>
              <w:bottom w:val="nil"/>
              <w:right w:val="nil"/>
            </w:tcBorders>
            <w:shd w:val="clear" w:color="auto" w:fill="auto"/>
            <w:noWrap/>
            <w:vAlign w:val="bottom"/>
            <w:hideMark/>
          </w:tcPr>
          <w:p w14:paraId="6B8A294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-263</w:t>
            </w:r>
          </w:p>
        </w:tc>
        <w:tc>
          <w:tcPr>
            <w:tcW w:w="666" w:type="dxa"/>
            <w:tcBorders>
              <w:top w:val="nil"/>
              <w:left w:val="nil"/>
              <w:bottom w:val="nil"/>
              <w:right w:val="nil"/>
            </w:tcBorders>
            <w:shd w:val="clear" w:color="auto" w:fill="auto"/>
            <w:noWrap/>
            <w:vAlign w:val="bottom"/>
            <w:hideMark/>
          </w:tcPr>
          <w:p w14:paraId="2E5F0D7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-195</w:t>
            </w:r>
          </w:p>
        </w:tc>
        <w:tc>
          <w:tcPr>
            <w:tcW w:w="584" w:type="dxa"/>
            <w:tcBorders>
              <w:top w:val="nil"/>
              <w:left w:val="nil"/>
              <w:bottom w:val="nil"/>
              <w:right w:val="nil"/>
            </w:tcBorders>
            <w:shd w:val="clear" w:color="auto" w:fill="auto"/>
            <w:noWrap/>
            <w:vAlign w:val="bottom"/>
            <w:hideMark/>
          </w:tcPr>
          <w:p w14:paraId="0F948BB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-59</w:t>
            </w:r>
          </w:p>
        </w:tc>
        <w:tc>
          <w:tcPr>
            <w:tcW w:w="666" w:type="dxa"/>
            <w:tcBorders>
              <w:top w:val="nil"/>
              <w:left w:val="nil"/>
              <w:bottom w:val="nil"/>
              <w:right w:val="nil"/>
            </w:tcBorders>
            <w:shd w:val="clear" w:color="auto" w:fill="auto"/>
            <w:noWrap/>
            <w:vAlign w:val="bottom"/>
            <w:hideMark/>
          </w:tcPr>
          <w:p w14:paraId="50C18EA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-81</w:t>
            </w:r>
          </w:p>
        </w:tc>
        <w:tc>
          <w:tcPr>
            <w:tcW w:w="584" w:type="dxa"/>
            <w:tcBorders>
              <w:top w:val="nil"/>
              <w:left w:val="nil"/>
              <w:bottom w:val="nil"/>
              <w:right w:val="nil"/>
            </w:tcBorders>
            <w:shd w:val="clear" w:color="auto" w:fill="auto"/>
            <w:noWrap/>
            <w:vAlign w:val="bottom"/>
            <w:hideMark/>
          </w:tcPr>
          <w:p w14:paraId="2C8A70F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1,612</w:t>
            </w:r>
          </w:p>
        </w:tc>
      </w:tr>
      <w:tr w:rsidR="00193203" w:rsidRPr="00D91282" w14:paraId="5CD6D62A"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1CACF70A"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Administrative scale</w:t>
            </w:r>
          </w:p>
        </w:tc>
        <w:tc>
          <w:tcPr>
            <w:tcW w:w="685" w:type="dxa"/>
            <w:tcBorders>
              <w:top w:val="single" w:sz="4" w:space="0" w:color="ADD6EA"/>
              <w:left w:val="nil"/>
              <w:bottom w:val="nil"/>
              <w:right w:val="nil"/>
            </w:tcBorders>
            <w:shd w:val="clear" w:color="auto" w:fill="auto"/>
            <w:noWrap/>
            <w:vAlign w:val="bottom"/>
            <w:hideMark/>
          </w:tcPr>
          <w:p w14:paraId="328DED2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-587</w:t>
            </w:r>
          </w:p>
        </w:tc>
        <w:tc>
          <w:tcPr>
            <w:tcW w:w="685" w:type="dxa"/>
            <w:tcBorders>
              <w:top w:val="single" w:sz="4" w:space="0" w:color="ADD6EA"/>
              <w:left w:val="nil"/>
              <w:bottom w:val="nil"/>
              <w:right w:val="nil"/>
            </w:tcBorders>
            <w:shd w:val="clear" w:color="auto" w:fill="auto"/>
            <w:noWrap/>
            <w:vAlign w:val="bottom"/>
            <w:hideMark/>
          </w:tcPr>
          <w:p w14:paraId="09CF1B8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-411</w:t>
            </w:r>
          </w:p>
        </w:tc>
        <w:tc>
          <w:tcPr>
            <w:tcW w:w="685" w:type="dxa"/>
            <w:tcBorders>
              <w:top w:val="single" w:sz="4" w:space="0" w:color="ADD6EA"/>
              <w:left w:val="nil"/>
              <w:bottom w:val="nil"/>
              <w:right w:val="nil"/>
            </w:tcBorders>
            <w:shd w:val="clear" w:color="auto" w:fill="auto"/>
            <w:noWrap/>
            <w:vAlign w:val="bottom"/>
            <w:hideMark/>
          </w:tcPr>
          <w:p w14:paraId="695FCC4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-230</w:t>
            </w:r>
          </w:p>
        </w:tc>
        <w:tc>
          <w:tcPr>
            <w:tcW w:w="685" w:type="dxa"/>
            <w:tcBorders>
              <w:top w:val="single" w:sz="4" w:space="0" w:color="ADD6EA"/>
              <w:left w:val="nil"/>
              <w:bottom w:val="nil"/>
              <w:right w:val="nil"/>
            </w:tcBorders>
            <w:shd w:val="clear" w:color="auto" w:fill="auto"/>
            <w:noWrap/>
            <w:vAlign w:val="bottom"/>
            <w:hideMark/>
          </w:tcPr>
          <w:p w14:paraId="1B2CAF8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69</w:t>
            </w:r>
          </w:p>
        </w:tc>
        <w:tc>
          <w:tcPr>
            <w:tcW w:w="666" w:type="dxa"/>
            <w:tcBorders>
              <w:top w:val="single" w:sz="4" w:space="0" w:color="ADD6EA"/>
              <w:left w:val="nil"/>
              <w:bottom w:val="nil"/>
              <w:right w:val="nil"/>
            </w:tcBorders>
            <w:shd w:val="clear" w:color="auto" w:fill="auto"/>
            <w:noWrap/>
            <w:vAlign w:val="bottom"/>
            <w:hideMark/>
          </w:tcPr>
          <w:p w14:paraId="1C5607C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173</w:t>
            </w:r>
          </w:p>
        </w:tc>
        <w:tc>
          <w:tcPr>
            <w:tcW w:w="666" w:type="dxa"/>
            <w:tcBorders>
              <w:top w:val="single" w:sz="4" w:space="0" w:color="ADD6EA"/>
              <w:left w:val="nil"/>
              <w:bottom w:val="nil"/>
              <w:right w:val="nil"/>
            </w:tcBorders>
            <w:shd w:val="clear" w:color="auto" w:fill="auto"/>
            <w:noWrap/>
            <w:vAlign w:val="bottom"/>
            <w:hideMark/>
          </w:tcPr>
          <w:p w14:paraId="2B748F2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322</w:t>
            </w:r>
          </w:p>
        </w:tc>
        <w:tc>
          <w:tcPr>
            <w:tcW w:w="584" w:type="dxa"/>
            <w:tcBorders>
              <w:top w:val="single" w:sz="4" w:space="0" w:color="ADD6EA"/>
              <w:left w:val="nil"/>
              <w:bottom w:val="nil"/>
              <w:right w:val="nil"/>
            </w:tcBorders>
            <w:shd w:val="clear" w:color="auto" w:fill="auto"/>
            <w:noWrap/>
            <w:vAlign w:val="bottom"/>
            <w:hideMark/>
          </w:tcPr>
          <w:p w14:paraId="31A446F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323</w:t>
            </w:r>
          </w:p>
        </w:tc>
        <w:tc>
          <w:tcPr>
            <w:tcW w:w="666" w:type="dxa"/>
            <w:tcBorders>
              <w:top w:val="single" w:sz="4" w:space="0" w:color="ADD6EA"/>
              <w:left w:val="nil"/>
              <w:bottom w:val="nil"/>
              <w:right w:val="nil"/>
            </w:tcBorders>
            <w:shd w:val="clear" w:color="auto" w:fill="auto"/>
            <w:noWrap/>
            <w:vAlign w:val="bottom"/>
            <w:hideMark/>
          </w:tcPr>
          <w:p w14:paraId="064391B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341</w:t>
            </w:r>
          </w:p>
        </w:tc>
        <w:tc>
          <w:tcPr>
            <w:tcW w:w="584" w:type="dxa"/>
            <w:tcBorders>
              <w:top w:val="single" w:sz="4" w:space="0" w:color="ADD6EA"/>
              <w:left w:val="nil"/>
              <w:bottom w:val="nil"/>
              <w:right w:val="nil"/>
            </w:tcBorders>
            <w:shd w:val="clear" w:color="auto" w:fill="auto"/>
            <w:noWrap/>
            <w:vAlign w:val="bottom"/>
            <w:hideMark/>
          </w:tcPr>
          <w:p w14:paraId="693978A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1,228</w:t>
            </w:r>
          </w:p>
        </w:tc>
      </w:tr>
      <w:tr w:rsidR="00193203" w:rsidRPr="00D91282" w14:paraId="0C4C6C51"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38E3033E"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Wage costs</w:t>
            </w:r>
          </w:p>
        </w:tc>
        <w:tc>
          <w:tcPr>
            <w:tcW w:w="685" w:type="dxa"/>
            <w:tcBorders>
              <w:top w:val="single" w:sz="4" w:space="0" w:color="ADD6EA"/>
              <w:left w:val="nil"/>
              <w:bottom w:val="nil"/>
              <w:right w:val="nil"/>
            </w:tcBorders>
            <w:shd w:val="clear" w:color="auto" w:fill="auto"/>
            <w:noWrap/>
            <w:vAlign w:val="bottom"/>
            <w:hideMark/>
          </w:tcPr>
          <w:p w14:paraId="7800304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421</w:t>
            </w:r>
          </w:p>
        </w:tc>
        <w:tc>
          <w:tcPr>
            <w:tcW w:w="685" w:type="dxa"/>
            <w:tcBorders>
              <w:top w:val="single" w:sz="4" w:space="0" w:color="ADD6EA"/>
              <w:left w:val="nil"/>
              <w:bottom w:val="nil"/>
              <w:right w:val="nil"/>
            </w:tcBorders>
            <w:shd w:val="clear" w:color="auto" w:fill="auto"/>
            <w:noWrap/>
            <w:vAlign w:val="bottom"/>
            <w:hideMark/>
          </w:tcPr>
          <w:p w14:paraId="3A48C39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-203</w:t>
            </w:r>
          </w:p>
        </w:tc>
        <w:tc>
          <w:tcPr>
            <w:tcW w:w="685" w:type="dxa"/>
            <w:tcBorders>
              <w:top w:val="single" w:sz="4" w:space="0" w:color="ADD6EA"/>
              <w:left w:val="nil"/>
              <w:bottom w:val="nil"/>
              <w:right w:val="nil"/>
            </w:tcBorders>
            <w:shd w:val="clear" w:color="auto" w:fill="auto"/>
            <w:noWrap/>
            <w:vAlign w:val="bottom"/>
            <w:hideMark/>
          </w:tcPr>
          <w:p w14:paraId="14849A3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-220</w:t>
            </w:r>
          </w:p>
        </w:tc>
        <w:tc>
          <w:tcPr>
            <w:tcW w:w="685" w:type="dxa"/>
            <w:tcBorders>
              <w:top w:val="single" w:sz="4" w:space="0" w:color="ADD6EA"/>
              <w:left w:val="nil"/>
              <w:bottom w:val="nil"/>
              <w:right w:val="nil"/>
            </w:tcBorders>
            <w:shd w:val="clear" w:color="auto" w:fill="auto"/>
            <w:noWrap/>
            <w:vAlign w:val="bottom"/>
            <w:hideMark/>
          </w:tcPr>
          <w:p w14:paraId="3E1D6E2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349</w:t>
            </w:r>
          </w:p>
        </w:tc>
        <w:tc>
          <w:tcPr>
            <w:tcW w:w="666" w:type="dxa"/>
            <w:tcBorders>
              <w:top w:val="single" w:sz="4" w:space="0" w:color="ADD6EA"/>
              <w:left w:val="nil"/>
              <w:bottom w:val="nil"/>
              <w:right w:val="nil"/>
            </w:tcBorders>
            <w:shd w:val="clear" w:color="auto" w:fill="auto"/>
            <w:noWrap/>
            <w:vAlign w:val="bottom"/>
            <w:hideMark/>
          </w:tcPr>
          <w:p w14:paraId="0A1781C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-393</w:t>
            </w:r>
          </w:p>
        </w:tc>
        <w:tc>
          <w:tcPr>
            <w:tcW w:w="666" w:type="dxa"/>
            <w:tcBorders>
              <w:top w:val="single" w:sz="4" w:space="0" w:color="ADD6EA"/>
              <w:left w:val="nil"/>
              <w:bottom w:val="nil"/>
              <w:right w:val="nil"/>
            </w:tcBorders>
            <w:shd w:val="clear" w:color="auto" w:fill="auto"/>
            <w:noWrap/>
            <w:vAlign w:val="bottom"/>
            <w:hideMark/>
          </w:tcPr>
          <w:p w14:paraId="42DB285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-158</w:t>
            </w:r>
          </w:p>
        </w:tc>
        <w:tc>
          <w:tcPr>
            <w:tcW w:w="584" w:type="dxa"/>
            <w:tcBorders>
              <w:top w:val="single" w:sz="4" w:space="0" w:color="ADD6EA"/>
              <w:left w:val="nil"/>
              <w:bottom w:val="nil"/>
              <w:right w:val="nil"/>
            </w:tcBorders>
            <w:shd w:val="clear" w:color="auto" w:fill="auto"/>
            <w:noWrap/>
            <w:vAlign w:val="bottom"/>
            <w:hideMark/>
          </w:tcPr>
          <w:p w14:paraId="6CA7FC3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119</w:t>
            </w:r>
          </w:p>
        </w:tc>
        <w:tc>
          <w:tcPr>
            <w:tcW w:w="666" w:type="dxa"/>
            <w:tcBorders>
              <w:top w:val="single" w:sz="4" w:space="0" w:color="ADD6EA"/>
              <w:left w:val="nil"/>
              <w:bottom w:val="nil"/>
              <w:right w:val="nil"/>
            </w:tcBorders>
            <w:shd w:val="clear" w:color="auto" w:fill="auto"/>
            <w:noWrap/>
            <w:vAlign w:val="bottom"/>
            <w:hideMark/>
          </w:tcPr>
          <w:p w14:paraId="03834C3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85</w:t>
            </w:r>
          </w:p>
        </w:tc>
        <w:tc>
          <w:tcPr>
            <w:tcW w:w="584" w:type="dxa"/>
            <w:tcBorders>
              <w:top w:val="single" w:sz="4" w:space="0" w:color="ADD6EA"/>
              <w:left w:val="nil"/>
              <w:bottom w:val="nil"/>
              <w:right w:val="nil"/>
            </w:tcBorders>
            <w:shd w:val="clear" w:color="auto" w:fill="auto"/>
            <w:noWrap/>
            <w:vAlign w:val="bottom"/>
            <w:hideMark/>
          </w:tcPr>
          <w:p w14:paraId="5F10384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975</w:t>
            </w:r>
          </w:p>
        </w:tc>
      </w:tr>
      <w:tr w:rsidR="00193203" w:rsidRPr="00D91282" w14:paraId="0150E427"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6AE41572"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Student populations (b)</w:t>
            </w:r>
          </w:p>
        </w:tc>
        <w:tc>
          <w:tcPr>
            <w:tcW w:w="685" w:type="dxa"/>
            <w:tcBorders>
              <w:top w:val="single" w:sz="4" w:space="0" w:color="ADD6EA"/>
              <w:left w:val="nil"/>
              <w:bottom w:val="nil"/>
              <w:right w:val="nil"/>
            </w:tcBorders>
            <w:shd w:val="clear" w:color="auto" w:fill="auto"/>
            <w:noWrap/>
            <w:vAlign w:val="bottom"/>
            <w:hideMark/>
          </w:tcPr>
          <w:p w14:paraId="4B17B53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-367</w:t>
            </w:r>
          </w:p>
        </w:tc>
        <w:tc>
          <w:tcPr>
            <w:tcW w:w="685" w:type="dxa"/>
            <w:tcBorders>
              <w:top w:val="single" w:sz="4" w:space="0" w:color="ADD6EA"/>
              <w:left w:val="nil"/>
              <w:bottom w:val="nil"/>
              <w:right w:val="nil"/>
            </w:tcBorders>
            <w:shd w:val="clear" w:color="auto" w:fill="auto"/>
            <w:noWrap/>
            <w:vAlign w:val="bottom"/>
            <w:hideMark/>
          </w:tcPr>
          <w:p w14:paraId="678EFF8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-231</w:t>
            </w:r>
          </w:p>
        </w:tc>
        <w:tc>
          <w:tcPr>
            <w:tcW w:w="685" w:type="dxa"/>
            <w:tcBorders>
              <w:top w:val="single" w:sz="4" w:space="0" w:color="ADD6EA"/>
              <w:left w:val="nil"/>
              <w:bottom w:val="nil"/>
              <w:right w:val="nil"/>
            </w:tcBorders>
            <w:shd w:val="clear" w:color="auto" w:fill="auto"/>
            <w:noWrap/>
            <w:vAlign w:val="bottom"/>
            <w:hideMark/>
          </w:tcPr>
          <w:p w14:paraId="73EDB90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184</w:t>
            </w:r>
          </w:p>
        </w:tc>
        <w:tc>
          <w:tcPr>
            <w:tcW w:w="685" w:type="dxa"/>
            <w:tcBorders>
              <w:top w:val="single" w:sz="4" w:space="0" w:color="ADD6EA"/>
              <w:left w:val="nil"/>
              <w:bottom w:val="nil"/>
              <w:right w:val="nil"/>
            </w:tcBorders>
            <w:shd w:val="clear" w:color="auto" w:fill="auto"/>
            <w:noWrap/>
            <w:vAlign w:val="bottom"/>
            <w:hideMark/>
          </w:tcPr>
          <w:p w14:paraId="01DF48D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310</w:t>
            </w:r>
          </w:p>
        </w:tc>
        <w:tc>
          <w:tcPr>
            <w:tcW w:w="666" w:type="dxa"/>
            <w:tcBorders>
              <w:top w:val="single" w:sz="4" w:space="0" w:color="ADD6EA"/>
              <w:left w:val="nil"/>
              <w:bottom w:val="nil"/>
              <w:right w:val="nil"/>
            </w:tcBorders>
            <w:shd w:val="clear" w:color="auto" w:fill="auto"/>
            <w:noWrap/>
            <w:vAlign w:val="bottom"/>
            <w:hideMark/>
          </w:tcPr>
          <w:p w14:paraId="6DF9FBC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-19</w:t>
            </w:r>
          </w:p>
        </w:tc>
        <w:tc>
          <w:tcPr>
            <w:tcW w:w="666" w:type="dxa"/>
            <w:tcBorders>
              <w:top w:val="single" w:sz="4" w:space="0" w:color="ADD6EA"/>
              <w:left w:val="nil"/>
              <w:bottom w:val="nil"/>
              <w:right w:val="nil"/>
            </w:tcBorders>
            <w:shd w:val="clear" w:color="auto" w:fill="auto"/>
            <w:noWrap/>
            <w:vAlign w:val="bottom"/>
            <w:hideMark/>
          </w:tcPr>
          <w:p w14:paraId="2A3BF5E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35</w:t>
            </w:r>
          </w:p>
        </w:tc>
        <w:tc>
          <w:tcPr>
            <w:tcW w:w="584" w:type="dxa"/>
            <w:tcBorders>
              <w:top w:val="single" w:sz="4" w:space="0" w:color="ADD6EA"/>
              <w:left w:val="nil"/>
              <w:bottom w:val="nil"/>
              <w:right w:val="nil"/>
            </w:tcBorders>
            <w:shd w:val="clear" w:color="auto" w:fill="auto"/>
            <w:noWrap/>
            <w:vAlign w:val="bottom"/>
            <w:hideMark/>
          </w:tcPr>
          <w:p w14:paraId="59567BB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100</w:t>
            </w:r>
          </w:p>
        </w:tc>
        <w:tc>
          <w:tcPr>
            <w:tcW w:w="666" w:type="dxa"/>
            <w:tcBorders>
              <w:top w:val="single" w:sz="4" w:space="0" w:color="ADD6EA"/>
              <w:left w:val="nil"/>
              <w:bottom w:val="nil"/>
              <w:right w:val="nil"/>
            </w:tcBorders>
            <w:shd w:val="clear" w:color="auto" w:fill="auto"/>
            <w:noWrap/>
            <w:vAlign w:val="bottom"/>
            <w:hideMark/>
          </w:tcPr>
          <w:p w14:paraId="65D4BD3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-13</w:t>
            </w:r>
          </w:p>
        </w:tc>
        <w:tc>
          <w:tcPr>
            <w:tcW w:w="584" w:type="dxa"/>
            <w:tcBorders>
              <w:top w:val="single" w:sz="4" w:space="0" w:color="ADD6EA"/>
              <w:left w:val="nil"/>
              <w:bottom w:val="nil"/>
              <w:right w:val="nil"/>
            </w:tcBorders>
            <w:shd w:val="clear" w:color="auto" w:fill="auto"/>
            <w:noWrap/>
            <w:vAlign w:val="bottom"/>
            <w:hideMark/>
          </w:tcPr>
          <w:p w14:paraId="2D6B1D5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630</w:t>
            </w:r>
          </w:p>
        </w:tc>
      </w:tr>
      <w:tr w:rsidR="00193203" w:rsidRPr="00D91282" w14:paraId="69E1347D"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174D6E55"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Other expenses</w:t>
            </w:r>
          </w:p>
        </w:tc>
        <w:tc>
          <w:tcPr>
            <w:tcW w:w="685" w:type="dxa"/>
            <w:tcBorders>
              <w:top w:val="single" w:sz="4" w:space="0" w:color="ADD6EA"/>
              <w:left w:val="nil"/>
              <w:bottom w:val="nil"/>
              <w:right w:val="nil"/>
            </w:tcBorders>
            <w:shd w:val="clear" w:color="auto" w:fill="auto"/>
            <w:noWrap/>
            <w:vAlign w:val="bottom"/>
            <w:hideMark/>
          </w:tcPr>
          <w:p w14:paraId="108E754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-407</w:t>
            </w:r>
          </w:p>
        </w:tc>
        <w:tc>
          <w:tcPr>
            <w:tcW w:w="685" w:type="dxa"/>
            <w:tcBorders>
              <w:top w:val="single" w:sz="4" w:space="0" w:color="ADD6EA"/>
              <w:left w:val="nil"/>
              <w:bottom w:val="nil"/>
              <w:right w:val="nil"/>
            </w:tcBorders>
            <w:shd w:val="clear" w:color="auto" w:fill="auto"/>
            <w:noWrap/>
            <w:vAlign w:val="bottom"/>
            <w:hideMark/>
          </w:tcPr>
          <w:p w14:paraId="4435947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-678</w:t>
            </w:r>
          </w:p>
        </w:tc>
        <w:tc>
          <w:tcPr>
            <w:tcW w:w="685" w:type="dxa"/>
            <w:tcBorders>
              <w:top w:val="single" w:sz="4" w:space="0" w:color="ADD6EA"/>
              <w:left w:val="nil"/>
              <w:bottom w:val="nil"/>
              <w:right w:val="nil"/>
            </w:tcBorders>
            <w:shd w:val="clear" w:color="auto" w:fill="auto"/>
            <w:noWrap/>
            <w:vAlign w:val="bottom"/>
            <w:hideMark/>
          </w:tcPr>
          <w:p w14:paraId="568EA5B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391</w:t>
            </w:r>
          </w:p>
        </w:tc>
        <w:tc>
          <w:tcPr>
            <w:tcW w:w="685" w:type="dxa"/>
            <w:tcBorders>
              <w:top w:val="single" w:sz="4" w:space="0" w:color="ADD6EA"/>
              <w:left w:val="nil"/>
              <w:bottom w:val="nil"/>
              <w:right w:val="nil"/>
            </w:tcBorders>
            <w:shd w:val="clear" w:color="auto" w:fill="auto"/>
            <w:noWrap/>
            <w:vAlign w:val="bottom"/>
            <w:hideMark/>
          </w:tcPr>
          <w:p w14:paraId="397829E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437</w:t>
            </w:r>
          </w:p>
        </w:tc>
        <w:tc>
          <w:tcPr>
            <w:tcW w:w="666" w:type="dxa"/>
            <w:tcBorders>
              <w:top w:val="single" w:sz="4" w:space="0" w:color="ADD6EA"/>
              <w:left w:val="nil"/>
              <w:bottom w:val="nil"/>
              <w:right w:val="nil"/>
            </w:tcBorders>
            <w:shd w:val="clear" w:color="auto" w:fill="auto"/>
            <w:noWrap/>
            <w:vAlign w:val="bottom"/>
            <w:hideMark/>
          </w:tcPr>
          <w:p w14:paraId="51EC8D9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111</w:t>
            </w:r>
          </w:p>
        </w:tc>
        <w:tc>
          <w:tcPr>
            <w:tcW w:w="666" w:type="dxa"/>
            <w:tcBorders>
              <w:top w:val="single" w:sz="4" w:space="0" w:color="ADD6EA"/>
              <w:left w:val="nil"/>
              <w:bottom w:val="nil"/>
              <w:right w:val="nil"/>
            </w:tcBorders>
            <w:shd w:val="clear" w:color="auto" w:fill="auto"/>
            <w:noWrap/>
            <w:vAlign w:val="bottom"/>
            <w:hideMark/>
          </w:tcPr>
          <w:p w14:paraId="7B017BD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80</w:t>
            </w:r>
          </w:p>
        </w:tc>
        <w:tc>
          <w:tcPr>
            <w:tcW w:w="584" w:type="dxa"/>
            <w:tcBorders>
              <w:top w:val="single" w:sz="4" w:space="0" w:color="ADD6EA"/>
              <w:left w:val="nil"/>
              <w:bottom w:val="nil"/>
              <w:right w:val="nil"/>
            </w:tcBorders>
            <w:shd w:val="clear" w:color="auto" w:fill="auto"/>
            <w:noWrap/>
            <w:vAlign w:val="bottom"/>
            <w:hideMark/>
          </w:tcPr>
          <w:p w14:paraId="02F84BE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-79</w:t>
            </w:r>
          </w:p>
        </w:tc>
        <w:tc>
          <w:tcPr>
            <w:tcW w:w="666" w:type="dxa"/>
            <w:tcBorders>
              <w:top w:val="single" w:sz="4" w:space="0" w:color="ADD6EA"/>
              <w:left w:val="nil"/>
              <w:bottom w:val="nil"/>
              <w:right w:val="nil"/>
            </w:tcBorders>
            <w:shd w:val="clear" w:color="auto" w:fill="auto"/>
            <w:noWrap/>
            <w:vAlign w:val="bottom"/>
            <w:hideMark/>
          </w:tcPr>
          <w:p w14:paraId="0A84DFA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145</w:t>
            </w:r>
          </w:p>
        </w:tc>
        <w:tc>
          <w:tcPr>
            <w:tcW w:w="584" w:type="dxa"/>
            <w:tcBorders>
              <w:top w:val="single" w:sz="4" w:space="0" w:color="ADD6EA"/>
              <w:left w:val="nil"/>
              <w:bottom w:val="nil"/>
              <w:right w:val="nil"/>
            </w:tcBorders>
            <w:shd w:val="clear" w:color="auto" w:fill="auto"/>
            <w:noWrap/>
            <w:vAlign w:val="bottom"/>
            <w:hideMark/>
          </w:tcPr>
          <w:p w14:paraId="26857B8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1,164</w:t>
            </w:r>
          </w:p>
        </w:tc>
      </w:tr>
      <w:tr w:rsidR="00162AAC" w:rsidRPr="00D91282" w14:paraId="40E84D48" w14:textId="77777777" w:rsidTr="00162AAC">
        <w:trPr>
          <w:trHeight w:val="310"/>
        </w:trPr>
        <w:tc>
          <w:tcPr>
            <w:tcW w:w="3131" w:type="dxa"/>
            <w:tcBorders>
              <w:top w:val="single" w:sz="4" w:space="0" w:color="ADD6EA"/>
              <w:left w:val="nil"/>
              <w:bottom w:val="single" w:sz="4" w:space="0" w:color="ADD6EA"/>
              <w:right w:val="nil"/>
            </w:tcBorders>
            <w:shd w:val="clear" w:color="auto" w:fill="99CCC3"/>
            <w:noWrap/>
            <w:vAlign w:val="bottom"/>
            <w:hideMark/>
          </w:tcPr>
          <w:p w14:paraId="7FA7886B" w14:textId="77777777" w:rsidR="00193203" w:rsidRPr="00D91282" w:rsidRDefault="00193203" w:rsidP="003A6452">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TOTAL EXPENSES</w:t>
            </w:r>
          </w:p>
        </w:tc>
        <w:tc>
          <w:tcPr>
            <w:tcW w:w="685" w:type="dxa"/>
            <w:tcBorders>
              <w:top w:val="single" w:sz="4" w:space="0" w:color="ADD6EA"/>
              <w:left w:val="nil"/>
              <w:bottom w:val="single" w:sz="4" w:space="0" w:color="ADD6EA"/>
              <w:right w:val="nil"/>
            </w:tcBorders>
            <w:shd w:val="clear" w:color="auto" w:fill="99CCC3"/>
            <w:noWrap/>
            <w:vAlign w:val="bottom"/>
            <w:hideMark/>
          </w:tcPr>
          <w:p w14:paraId="592973B2"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-1,068</w:t>
            </w:r>
          </w:p>
        </w:tc>
        <w:tc>
          <w:tcPr>
            <w:tcW w:w="685" w:type="dxa"/>
            <w:tcBorders>
              <w:top w:val="single" w:sz="4" w:space="0" w:color="ADD6EA"/>
              <w:left w:val="nil"/>
              <w:bottom w:val="single" w:sz="4" w:space="0" w:color="ADD6EA"/>
              <w:right w:val="nil"/>
            </w:tcBorders>
            <w:shd w:val="clear" w:color="auto" w:fill="99CCC3"/>
            <w:noWrap/>
            <w:vAlign w:val="bottom"/>
            <w:hideMark/>
          </w:tcPr>
          <w:p w14:paraId="2648533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-4,848</w:t>
            </w:r>
          </w:p>
        </w:tc>
        <w:tc>
          <w:tcPr>
            <w:tcW w:w="685" w:type="dxa"/>
            <w:tcBorders>
              <w:top w:val="single" w:sz="4" w:space="0" w:color="ADD6EA"/>
              <w:left w:val="nil"/>
              <w:bottom w:val="single" w:sz="4" w:space="0" w:color="ADD6EA"/>
              <w:right w:val="nil"/>
            </w:tcBorders>
            <w:shd w:val="clear" w:color="auto" w:fill="99CCC3"/>
            <w:noWrap/>
            <w:vAlign w:val="bottom"/>
            <w:hideMark/>
          </w:tcPr>
          <w:p w14:paraId="3FAC95B5"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1,302</w:t>
            </w:r>
          </w:p>
        </w:tc>
        <w:tc>
          <w:tcPr>
            <w:tcW w:w="685" w:type="dxa"/>
            <w:tcBorders>
              <w:top w:val="single" w:sz="4" w:space="0" w:color="ADD6EA"/>
              <w:left w:val="nil"/>
              <w:bottom w:val="single" w:sz="4" w:space="0" w:color="ADD6EA"/>
              <w:right w:val="nil"/>
            </w:tcBorders>
            <w:shd w:val="clear" w:color="auto" w:fill="99CCC3"/>
            <w:noWrap/>
            <w:vAlign w:val="bottom"/>
            <w:hideMark/>
          </w:tcPr>
          <w:p w14:paraId="5AF813D9"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1,469</w:t>
            </w:r>
          </w:p>
        </w:tc>
        <w:tc>
          <w:tcPr>
            <w:tcW w:w="666" w:type="dxa"/>
            <w:tcBorders>
              <w:top w:val="single" w:sz="4" w:space="0" w:color="ADD6EA"/>
              <w:left w:val="nil"/>
              <w:bottom w:val="single" w:sz="4" w:space="0" w:color="ADD6EA"/>
              <w:right w:val="nil"/>
            </w:tcBorders>
            <w:shd w:val="clear" w:color="auto" w:fill="99CCC3"/>
            <w:noWrap/>
            <w:vAlign w:val="bottom"/>
            <w:hideMark/>
          </w:tcPr>
          <w:p w14:paraId="7A1E568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159</w:t>
            </w:r>
          </w:p>
        </w:tc>
        <w:tc>
          <w:tcPr>
            <w:tcW w:w="666" w:type="dxa"/>
            <w:tcBorders>
              <w:top w:val="single" w:sz="4" w:space="0" w:color="ADD6EA"/>
              <w:left w:val="nil"/>
              <w:bottom w:val="single" w:sz="4" w:space="0" w:color="ADD6EA"/>
              <w:right w:val="nil"/>
            </w:tcBorders>
            <w:shd w:val="clear" w:color="auto" w:fill="99CCC3"/>
            <w:noWrap/>
            <w:vAlign w:val="bottom"/>
            <w:hideMark/>
          </w:tcPr>
          <w:p w14:paraId="78EA6C0E"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834</w:t>
            </w:r>
          </w:p>
        </w:tc>
        <w:tc>
          <w:tcPr>
            <w:tcW w:w="584" w:type="dxa"/>
            <w:tcBorders>
              <w:top w:val="single" w:sz="4" w:space="0" w:color="ADD6EA"/>
              <w:left w:val="nil"/>
              <w:bottom w:val="single" w:sz="4" w:space="0" w:color="ADD6EA"/>
              <w:right w:val="nil"/>
            </w:tcBorders>
            <w:shd w:val="clear" w:color="auto" w:fill="99CCC3"/>
            <w:noWrap/>
            <w:vAlign w:val="bottom"/>
            <w:hideMark/>
          </w:tcPr>
          <w:p w14:paraId="54404E65"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-191</w:t>
            </w:r>
          </w:p>
        </w:tc>
        <w:tc>
          <w:tcPr>
            <w:tcW w:w="666" w:type="dxa"/>
            <w:tcBorders>
              <w:top w:val="single" w:sz="4" w:space="0" w:color="ADD6EA"/>
              <w:left w:val="nil"/>
              <w:bottom w:val="single" w:sz="4" w:space="0" w:color="ADD6EA"/>
              <w:right w:val="nil"/>
            </w:tcBorders>
            <w:shd w:val="clear" w:color="auto" w:fill="99CCC3"/>
            <w:noWrap/>
            <w:vAlign w:val="bottom"/>
            <w:hideMark/>
          </w:tcPr>
          <w:p w14:paraId="420C558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2,342</w:t>
            </w:r>
          </w:p>
        </w:tc>
        <w:tc>
          <w:tcPr>
            <w:tcW w:w="584" w:type="dxa"/>
            <w:tcBorders>
              <w:top w:val="single" w:sz="4" w:space="0" w:color="ADD6EA"/>
              <w:left w:val="nil"/>
              <w:bottom w:val="single" w:sz="4" w:space="0" w:color="ADD6EA"/>
              <w:right w:val="nil"/>
            </w:tcBorders>
            <w:shd w:val="clear" w:color="auto" w:fill="99CCC3"/>
            <w:noWrap/>
            <w:vAlign w:val="bottom"/>
            <w:hideMark/>
          </w:tcPr>
          <w:p w14:paraId="6E39F7E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6,107</w:t>
            </w:r>
          </w:p>
        </w:tc>
      </w:tr>
      <w:tr w:rsidR="00193203" w:rsidRPr="00D91282" w14:paraId="38463B2B" w14:textId="77777777" w:rsidTr="00162AAC">
        <w:trPr>
          <w:trHeight w:val="310"/>
        </w:trPr>
        <w:tc>
          <w:tcPr>
            <w:tcW w:w="3131" w:type="dxa"/>
            <w:tcBorders>
              <w:top w:val="nil"/>
              <w:left w:val="nil"/>
              <w:bottom w:val="nil"/>
              <w:right w:val="nil"/>
            </w:tcBorders>
            <w:shd w:val="clear" w:color="auto" w:fill="auto"/>
            <w:noWrap/>
            <w:vAlign w:val="bottom"/>
            <w:hideMark/>
          </w:tcPr>
          <w:p w14:paraId="2AE9A072"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INVESTMENT</w:t>
            </w:r>
          </w:p>
        </w:tc>
        <w:tc>
          <w:tcPr>
            <w:tcW w:w="685" w:type="dxa"/>
            <w:tcBorders>
              <w:top w:val="nil"/>
              <w:left w:val="nil"/>
              <w:bottom w:val="nil"/>
              <w:right w:val="nil"/>
            </w:tcBorders>
            <w:shd w:val="clear" w:color="auto" w:fill="auto"/>
            <w:noWrap/>
            <w:vAlign w:val="bottom"/>
            <w:hideMark/>
          </w:tcPr>
          <w:p w14:paraId="5FBCEE5C"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685" w:type="dxa"/>
            <w:tcBorders>
              <w:top w:val="nil"/>
              <w:left w:val="nil"/>
              <w:bottom w:val="nil"/>
              <w:right w:val="nil"/>
            </w:tcBorders>
            <w:shd w:val="clear" w:color="auto" w:fill="auto"/>
            <w:noWrap/>
            <w:vAlign w:val="bottom"/>
            <w:hideMark/>
          </w:tcPr>
          <w:p w14:paraId="6E111B0F"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685" w:type="dxa"/>
            <w:tcBorders>
              <w:top w:val="nil"/>
              <w:left w:val="nil"/>
              <w:bottom w:val="nil"/>
              <w:right w:val="nil"/>
            </w:tcBorders>
            <w:shd w:val="clear" w:color="auto" w:fill="auto"/>
            <w:noWrap/>
            <w:vAlign w:val="bottom"/>
            <w:hideMark/>
          </w:tcPr>
          <w:p w14:paraId="2147EDE9"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685" w:type="dxa"/>
            <w:tcBorders>
              <w:top w:val="nil"/>
              <w:left w:val="nil"/>
              <w:bottom w:val="nil"/>
              <w:right w:val="nil"/>
            </w:tcBorders>
            <w:shd w:val="clear" w:color="auto" w:fill="auto"/>
            <w:noWrap/>
            <w:vAlign w:val="bottom"/>
            <w:hideMark/>
          </w:tcPr>
          <w:p w14:paraId="5F7EC701"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666" w:type="dxa"/>
            <w:tcBorders>
              <w:top w:val="nil"/>
              <w:left w:val="nil"/>
              <w:bottom w:val="nil"/>
              <w:right w:val="nil"/>
            </w:tcBorders>
            <w:shd w:val="clear" w:color="auto" w:fill="auto"/>
            <w:noWrap/>
            <w:vAlign w:val="bottom"/>
            <w:hideMark/>
          </w:tcPr>
          <w:p w14:paraId="1DA55685"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666" w:type="dxa"/>
            <w:tcBorders>
              <w:top w:val="nil"/>
              <w:left w:val="nil"/>
              <w:bottom w:val="nil"/>
              <w:right w:val="nil"/>
            </w:tcBorders>
            <w:shd w:val="clear" w:color="auto" w:fill="auto"/>
            <w:noWrap/>
            <w:vAlign w:val="bottom"/>
            <w:hideMark/>
          </w:tcPr>
          <w:p w14:paraId="6AF4E808"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584" w:type="dxa"/>
            <w:tcBorders>
              <w:top w:val="nil"/>
              <w:left w:val="nil"/>
              <w:bottom w:val="nil"/>
              <w:right w:val="nil"/>
            </w:tcBorders>
            <w:shd w:val="clear" w:color="auto" w:fill="auto"/>
            <w:noWrap/>
            <w:vAlign w:val="bottom"/>
            <w:hideMark/>
          </w:tcPr>
          <w:p w14:paraId="50767231"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666" w:type="dxa"/>
            <w:tcBorders>
              <w:top w:val="nil"/>
              <w:left w:val="nil"/>
              <w:bottom w:val="nil"/>
              <w:right w:val="nil"/>
            </w:tcBorders>
            <w:shd w:val="clear" w:color="auto" w:fill="auto"/>
            <w:noWrap/>
            <w:vAlign w:val="bottom"/>
            <w:hideMark/>
          </w:tcPr>
          <w:p w14:paraId="6B07A23B"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c>
          <w:tcPr>
            <w:tcW w:w="584" w:type="dxa"/>
            <w:tcBorders>
              <w:top w:val="nil"/>
              <w:left w:val="nil"/>
              <w:bottom w:val="nil"/>
              <w:right w:val="nil"/>
            </w:tcBorders>
            <w:shd w:val="clear" w:color="auto" w:fill="auto"/>
            <w:noWrap/>
            <w:vAlign w:val="bottom"/>
            <w:hideMark/>
          </w:tcPr>
          <w:p w14:paraId="1EE7A8DF"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D91282">
              <w:rPr>
                <w:rFonts w:ascii="Open Sans Semibold" w:eastAsia="Times New Roman" w:hAnsi="Open Sans Semibold" w:cs="Open Sans Semibold"/>
                <w:b/>
                <w:bCs/>
                <w:color w:val="000000"/>
                <w:sz w:val="16"/>
                <w:szCs w:val="16"/>
                <w:lang w:eastAsia="en-AU"/>
              </w:rPr>
              <w:t> </w:t>
            </w:r>
          </w:p>
        </w:tc>
      </w:tr>
      <w:tr w:rsidR="00193203" w:rsidRPr="00D91282" w14:paraId="3F85BBFC"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7958B763"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Capital requirement</w:t>
            </w:r>
          </w:p>
        </w:tc>
        <w:tc>
          <w:tcPr>
            <w:tcW w:w="685" w:type="dxa"/>
            <w:tcBorders>
              <w:top w:val="single" w:sz="4" w:space="0" w:color="ADD6EA"/>
              <w:left w:val="nil"/>
              <w:bottom w:val="nil"/>
              <w:right w:val="nil"/>
            </w:tcBorders>
            <w:shd w:val="clear" w:color="auto" w:fill="auto"/>
            <w:noWrap/>
            <w:vAlign w:val="bottom"/>
            <w:hideMark/>
          </w:tcPr>
          <w:p w14:paraId="5B8037D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-257</w:t>
            </w:r>
          </w:p>
        </w:tc>
        <w:tc>
          <w:tcPr>
            <w:tcW w:w="685" w:type="dxa"/>
            <w:tcBorders>
              <w:top w:val="single" w:sz="4" w:space="0" w:color="ADD6EA"/>
              <w:left w:val="nil"/>
              <w:bottom w:val="nil"/>
              <w:right w:val="nil"/>
            </w:tcBorders>
            <w:shd w:val="clear" w:color="auto" w:fill="auto"/>
            <w:noWrap/>
            <w:vAlign w:val="bottom"/>
            <w:hideMark/>
          </w:tcPr>
          <w:p w14:paraId="60EB1C1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1,085</w:t>
            </w:r>
          </w:p>
        </w:tc>
        <w:tc>
          <w:tcPr>
            <w:tcW w:w="685" w:type="dxa"/>
            <w:tcBorders>
              <w:top w:val="single" w:sz="4" w:space="0" w:color="ADD6EA"/>
              <w:left w:val="nil"/>
              <w:bottom w:val="nil"/>
              <w:right w:val="nil"/>
            </w:tcBorders>
            <w:shd w:val="clear" w:color="auto" w:fill="auto"/>
            <w:noWrap/>
            <w:vAlign w:val="bottom"/>
            <w:hideMark/>
          </w:tcPr>
          <w:p w14:paraId="36A1177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33</w:t>
            </w:r>
          </w:p>
        </w:tc>
        <w:tc>
          <w:tcPr>
            <w:tcW w:w="685" w:type="dxa"/>
            <w:tcBorders>
              <w:top w:val="single" w:sz="4" w:space="0" w:color="ADD6EA"/>
              <w:left w:val="nil"/>
              <w:bottom w:val="nil"/>
              <w:right w:val="nil"/>
            </w:tcBorders>
            <w:shd w:val="clear" w:color="auto" w:fill="auto"/>
            <w:noWrap/>
            <w:vAlign w:val="bottom"/>
            <w:hideMark/>
          </w:tcPr>
          <w:p w14:paraId="5D0DEEC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-363</w:t>
            </w:r>
          </w:p>
        </w:tc>
        <w:tc>
          <w:tcPr>
            <w:tcW w:w="666" w:type="dxa"/>
            <w:tcBorders>
              <w:top w:val="single" w:sz="4" w:space="0" w:color="ADD6EA"/>
              <w:left w:val="nil"/>
              <w:bottom w:val="nil"/>
              <w:right w:val="nil"/>
            </w:tcBorders>
            <w:shd w:val="clear" w:color="auto" w:fill="auto"/>
            <w:noWrap/>
            <w:vAlign w:val="bottom"/>
            <w:hideMark/>
          </w:tcPr>
          <w:p w14:paraId="7A8ED54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-349</w:t>
            </w:r>
          </w:p>
        </w:tc>
        <w:tc>
          <w:tcPr>
            <w:tcW w:w="666" w:type="dxa"/>
            <w:tcBorders>
              <w:top w:val="single" w:sz="4" w:space="0" w:color="ADD6EA"/>
              <w:left w:val="nil"/>
              <w:bottom w:val="nil"/>
              <w:right w:val="nil"/>
            </w:tcBorders>
            <w:shd w:val="clear" w:color="auto" w:fill="auto"/>
            <w:noWrap/>
            <w:vAlign w:val="bottom"/>
            <w:hideMark/>
          </w:tcPr>
          <w:p w14:paraId="54992EC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-55</w:t>
            </w:r>
          </w:p>
        </w:tc>
        <w:tc>
          <w:tcPr>
            <w:tcW w:w="584" w:type="dxa"/>
            <w:tcBorders>
              <w:top w:val="single" w:sz="4" w:space="0" w:color="ADD6EA"/>
              <w:left w:val="nil"/>
              <w:bottom w:val="nil"/>
              <w:right w:val="nil"/>
            </w:tcBorders>
            <w:shd w:val="clear" w:color="auto" w:fill="auto"/>
            <w:noWrap/>
            <w:vAlign w:val="bottom"/>
            <w:hideMark/>
          </w:tcPr>
          <w:p w14:paraId="13A5743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-20</w:t>
            </w:r>
          </w:p>
        </w:tc>
        <w:tc>
          <w:tcPr>
            <w:tcW w:w="666" w:type="dxa"/>
            <w:tcBorders>
              <w:top w:val="single" w:sz="4" w:space="0" w:color="ADD6EA"/>
              <w:left w:val="nil"/>
              <w:bottom w:val="nil"/>
              <w:right w:val="nil"/>
            </w:tcBorders>
            <w:shd w:val="clear" w:color="auto" w:fill="auto"/>
            <w:noWrap/>
            <w:vAlign w:val="bottom"/>
            <w:hideMark/>
          </w:tcPr>
          <w:p w14:paraId="4D686AF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-74</w:t>
            </w:r>
          </w:p>
        </w:tc>
        <w:tc>
          <w:tcPr>
            <w:tcW w:w="584" w:type="dxa"/>
            <w:tcBorders>
              <w:top w:val="single" w:sz="4" w:space="0" w:color="ADD6EA"/>
              <w:left w:val="nil"/>
              <w:bottom w:val="nil"/>
              <w:right w:val="nil"/>
            </w:tcBorders>
            <w:shd w:val="clear" w:color="auto" w:fill="auto"/>
            <w:noWrap/>
            <w:vAlign w:val="bottom"/>
            <w:hideMark/>
          </w:tcPr>
          <w:p w14:paraId="39DBC79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1,118</w:t>
            </w:r>
          </w:p>
        </w:tc>
      </w:tr>
      <w:tr w:rsidR="00193203" w:rsidRPr="00D91282" w14:paraId="74CED63F"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0889863F"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Capital improvements</w:t>
            </w:r>
          </w:p>
        </w:tc>
        <w:tc>
          <w:tcPr>
            <w:tcW w:w="685" w:type="dxa"/>
            <w:tcBorders>
              <w:top w:val="single" w:sz="4" w:space="0" w:color="ADD6EA"/>
              <w:left w:val="nil"/>
              <w:bottom w:val="nil"/>
              <w:right w:val="nil"/>
            </w:tcBorders>
            <w:shd w:val="clear" w:color="auto" w:fill="auto"/>
            <w:noWrap/>
            <w:vAlign w:val="bottom"/>
            <w:hideMark/>
          </w:tcPr>
          <w:p w14:paraId="1EEFCE3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86</w:t>
            </w:r>
          </w:p>
        </w:tc>
        <w:tc>
          <w:tcPr>
            <w:tcW w:w="685" w:type="dxa"/>
            <w:tcBorders>
              <w:top w:val="single" w:sz="4" w:space="0" w:color="ADD6EA"/>
              <w:left w:val="nil"/>
              <w:bottom w:val="nil"/>
              <w:right w:val="nil"/>
            </w:tcBorders>
            <w:shd w:val="clear" w:color="auto" w:fill="auto"/>
            <w:noWrap/>
            <w:vAlign w:val="bottom"/>
            <w:hideMark/>
          </w:tcPr>
          <w:p w14:paraId="70C7F29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-495</w:t>
            </w:r>
          </w:p>
        </w:tc>
        <w:tc>
          <w:tcPr>
            <w:tcW w:w="685" w:type="dxa"/>
            <w:tcBorders>
              <w:top w:val="single" w:sz="4" w:space="0" w:color="ADD6EA"/>
              <w:left w:val="nil"/>
              <w:bottom w:val="nil"/>
              <w:right w:val="nil"/>
            </w:tcBorders>
            <w:shd w:val="clear" w:color="auto" w:fill="auto"/>
            <w:noWrap/>
            <w:vAlign w:val="bottom"/>
            <w:hideMark/>
          </w:tcPr>
          <w:p w14:paraId="41B1A0E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84</w:t>
            </w:r>
          </w:p>
        </w:tc>
        <w:tc>
          <w:tcPr>
            <w:tcW w:w="685" w:type="dxa"/>
            <w:tcBorders>
              <w:top w:val="single" w:sz="4" w:space="0" w:color="ADD6EA"/>
              <w:left w:val="nil"/>
              <w:bottom w:val="nil"/>
              <w:right w:val="nil"/>
            </w:tcBorders>
            <w:shd w:val="clear" w:color="auto" w:fill="auto"/>
            <w:noWrap/>
            <w:vAlign w:val="bottom"/>
            <w:hideMark/>
          </w:tcPr>
          <w:p w14:paraId="5676C46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187</w:t>
            </w:r>
          </w:p>
        </w:tc>
        <w:tc>
          <w:tcPr>
            <w:tcW w:w="666" w:type="dxa"/>
            <w:tcBorders>
              <w:top w:val="single" w:sz="4" w:space="0" w:color="ADD6EA"/>
              <w:left w:val="nil"/>
              <w:bottom w:val="nil"/>
              <w:right w:val="nil"/>
            </w:tcBorders>
            <w:shd w:val="clear" w:color="auto" w:fill="auto"/>
            <w:noWrap/>
            <w:vAlign w:val="bottom"/>
            <w:hideMark/>
          </w:tcPr>
          <w:p w14:paraId="2559F21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-33</w:t>
            </w:r>
          </w:p>
        </w:tc>
        <w:tc>
          <w:tcPr>
            <w:tcW w:w="666" w:type="dxa"/>
            <w:tcBorders>
              <w:top w:val="single" w:sz="4" w:space="0" w:color="ADD6EA"/>
              <w:left w:val="nil"/>
              <w:bottom w:val="nil"/>
              <w:right w:val="nil"/>
            </w:tcBorders>
            <w:shd w:val="clear" w:color="auto" w:fill="auto"/>
            <w:noWrap/>
            <w:vAlign w:val="bottom"/>
            <w:hideMark/>
          </w:tcPr>
          <w:p w14:paraId="06A8750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-31</w:t>
            </w:r>
          </w:p>
        </w:tc>
        <w:tc>
          <w:tcPr>
            <w:tcW w:w="584" w:type="dxa"/>
            <w:tcBorders>
              <w:top w:val="single" w:sz="4" w:space="0" w:color="ADD6EA"/>
              <w:left w:val="nil"/>
              <w:bottom w:val="nil"/>
              <w:right w:val="nil"/>
            </w:tcBorders>
            <w:shd w:val="clear" w:color="auto" w:fill="auto"/>
            <w:noWrap/>
            <w:vAlign w:val="bottom"/>
            <w:hideMark/>
          </w:tcPr>
          <w:p w14:paraId="079E7B3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-137</w:t>
            </w:r>
          </w:p>
        </w:tc>
        <w:tc>
          <w:tcPr>
            <w:tcW w:w="666" w:type="dxa"/>
            <w:tcBorders>
              <w:top w:val="single" w:sz="4" w:space="0" w:color="ADD6EA"/>
              <w:left w:val="nil"/>
              <w:bottom w:val="nil"/>
              <w:right w:val="nil"/>
            </w:tcBorders>
            <w:shd w:val="clear" w:color="auto" w:fill="auto"/>
            <w:noWrap/>
            <w:vAlign w:val="bottom"/>
            <w:hideMark/>
          </w:tcPr>
          <w:p w14:paraId="65EAAA0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338</w:t>
            </w:r>
          </w:p>
        </w:tc>
        <w:tc>
          <w:tcPr>
            <w:tcW w:w="584" w:type="dxa"/>
            <w:tcBorders>
              <w:top w:val="single" w:sz="4" w:space="0" w:color="ADD6EA"/>
              <w:left w:val="nil"/>
              <w:bottom w:val="nil"/>
              <w:right w:val="nil"/>
            </w:tcBorders>
            <w:shd w:val="clear" w:color="auto" w:fill="auto"/>
            <w:noWrap/>
            <w:vAlign w:val="bottom"/>
            <w:hideMark/>
          </w:tcPr>
          <w:p w14:paraId="7688AFD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696</w:t>
            </w:r>
          </w:p>
        </w:tc>
      </w:tr>
      <w:tr w:rsidR="00193203" w:rsidRPr="00D91282" w14:paraId="6CBAFFF0"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3DFE1491"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Cost of construction</w:t>
            </w:r>
          </w:p>
        </w:tc>
        <w:tc>
          <w:tcPr>
            <w:tcW w:w="685" w:type="dxa"/>
            <w:tcBorders>
              <w:top w:val="single" w:sz="4" w:space="0" w:color="ADD6EA"/>
              <w:left w:val="nil"/>
              <w:bottom w:val="nil"/>
              <w:right w:val="nil"/>
            </w:tcBorders>
            <w:shd w:val="clear" w:color="auto" w:fill="auto"/>
            <w:noWrap/>
            <w:vAlign w:val="bottom"/>
            <w:hideMark/>
          </w:tcPr>
          <w:p w14:paraId="5767C4E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112</w:t>
            </w:r>
          </w:p>
        </w:tc>
        <w:tc>
          <w:tcPr>
            <w:tcW w:w="685" w:type="dxa"/>
            <w:tcBorders>
              <w:top w:val="single" w:sz="4" w:space="0" w:color="ADD6EA"/>
              <w:left w:val="nil"/>
              <w:bottom w:val="nil"/>
              <w:right w:val="nil"/>
            </w:tcBorders>
            <w:shd w:val="clear" w:color="auto" w:fill="auto"/>
            <w:noWrap/>
            <w:vAlign w:val="bottom"/>
            <w:hideMark/>
          </w:tcPr>
          <w:p w14:paraId="42F8F38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-517</w:t>
            </w:r>
          </w:p>
        </w:tc>
        <w:tc>
          <w:tcPr>
            <w:tcW w:w="685" w:type="dxa"/>
            <w:tcBorders>
              <w:top w:val="single" w:sz="4" w:space="0" w:color="ADD6EA"/>
              <w:left w:val="nil"/>
              <w:bottom w:val="nil"/>
              <w:right w:val="nil"/>
            </w:tcBorders>
            <w:shd w:val="clear" w:color="auto" w:fill="auto"/>
            <w:noWrap/>
            <w:vAlign w:val="bottom"/>
            <w:hideMark/>
          </w:tcPr>
          <w:p w14:paraId="63A2A12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w:t>
            </w:r>
          </w:p>
        </w:tc>
        <w:tc>
          <w:tcPr>
            <w:tcW w:w="685" w:type="dxa"/>
            <w:tcBorders>
              <w:top w:val="single" w:sz="4" w:space="0" w:color="ADD6EA"/>
              <w:left w:val="nil"/>
              <w:bottom w:val="nil"/>
              <w:right w:val="nil"/>
            </w:tcBorders>
            <w:shd w:val="clear" w:color="auto" w:fill="auto"/>
            <w:noWrap/>
            <w:vAlign w:val="bottom"/>
            <w:hideMark/>
          </w:tcPr>
          <w:p w14:paraId="710D810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340</w:t>
            </w:r>
          </w:p>
        </w:tc>
        <w:tc>
          <w:tcPr>
            <w:tcW w:w="666" w:type="dxa"/>
            <w:tcBorders>
              <w:top w:val="single" w:sz="4" w:space="0" w:color="ADD6EA"/>
              <w:left w:val="nil"/>
              <w:bottom w:val="nil"/>
              <w:right w:val="nil"/>
            </w:tcBorders>
            <w:shd w:val="clear" w:color="auto" w:fill="auto"/>
            <w:noWrap/>
            <w:vAlign w:val="bottom"/>
            <w:hideMark/>
          </w:tcPr>
          <w:p w14:paraId="2E1CC3C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-30</w:t>
            </w:r>
          </w:p>
        </w:tc>
        <w:tc>
          <w:tcPr>
            <w:tcW w:w="666" w:type="dxa"/>
            <w:tcBorders>
              <w:top w:val="single" w:sz="4" w:space="0" w:color="ADD6EA"/>
              <w:left w:val="nil"/>
              <w:bottom w:val="nil"/>
              <w:right w:val="nil"/>
            </w:tcBorders>
            <w:shd w:val="clear" w:color="auto" w:fill="auto"/>
            <w:noWrap/>
            <w:vAlign w:val="bottom"/>
            <w:hideMark/>
          </w:tcPr>
          <w:p w14:paraId="208FDDC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-44</w:t>
            </w:r>
          </w:p>
        </w:tc>
        <w:tc>
          <w:tcPr>
            <w:tcW w:w="584" w:type="dxa"/>
            <w:tcBorders>
              <w:top w:val="single" w:sz="4" w:space="0" w:color="ADD6EA"/>
              <w:left w:val="nil"/>
              <w:bottom w:val="nil"/>
              <w:right w:val="nil"/>
            </w:tcBorders>
            <w:shd w:val="clear" w:color="auto" w:fill="auto"/>
            <w:noWrap/>
            <w:vAlign w:val="bottom"/>
            <w:hideMark/>
          </w:tcPr>
          <w:p w14:paraId="4A3CA48A"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w:t>
            </w:r>
          </w:p>
        </w:tc>
        <w:tc>
          <w:tcPr>
            <w:tcW w:w="666" w:type="dxa"/>
            <w:tcBorders>
              <w:top w:val="single" w:sz="4" w:space="0" w:color="ADD6EA"/>
              <w:left w:val="nil"/>
              <w:bottom w:val="nil"/>
              <w:right w:val="nil"/>
            </w:tcBorders>
            <w:shd w:val="clear" w:color="auto" w:fill="auto"/>
            <w:noWrap/>
            <w:vAlign w:val="bottom"/>
            <w:hideMark/>
          </w:tcPr>
          <w:p w14:paraId="13811C46"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139</w:t>
            </w:r>
          </w:p>
        </w:tc>
        <w:tc>
          <w:tcPr>
            <w:tcW w:w="584" w:type="dxa"/>
            <w:tcBorders>
              <w:top w:val="single" w:sz="4" w:space="0" w:color="ADD6EA"/>
              <w:left w:val="nil"/>
              <w:bottom w:val="nil"/>
              <w:right w:val="nil"/>
            </w:tcBorders>
            <w:shd w:val="clear" w:color="auto" w:fill="auto"/>
            <w:noWrap/>
            <w:vAlign w:val="bottom"/>
            <w:hideMark/>
          </w:tcPr>
          <w:p w14:paraId="5B26709C"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603</w:t>
            </w:r>
          </w:p>
        </w:tc>
      </w:tr>
      <w:tr w:rsidR="00193203" w:rsidRPr="00D91282" w14:paraId="7DFBF3DE" w14:textId="77777777" w:rsidTr="00162AAC">
        <w:trPr>
          <w:trHeight w:val="310"/>
        </w:trPr>
        <w:tc>
          <w:tcPr>
            <w:tcW w:w="3131" w:type="dxa"/>
            <w:tcBorders>
              <w:top w:val="single" w:sz="4" w:space="0" w:color="ADD6EA"/>
              <w:left w:val="nil"/>
              <w:bottom w:val="nil"/>
              <w:right w:val="nil"/>
            </w:tcBorders>
            <w:shd w:val="clear" w:color="auto" w:fill="auto"/>
            <w:noWrap/>
            <w:vAlign w:val="bottom"/>
            <w:hideMark/>
          </w:tcPr>
          <w:p w14:paraId="5CF99046" w14:textId="77777777" w:rsidR="00193203" w:rsidRPr="00D91282" w:rsidRDefault="00193203" w:rsidP="003A6452">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D91282">
              <w:rPr>
                <w:rFonts w:eastAsia="Times New Roman" w:cs="Open Sans Light"/>
                <w:color w:val="000000"/>
                <w:sz w:val="16"/>
                <w:szCs w:val="16"/>
                <w:lang w:eastAsia="en-AU"/>
              </w:rPr>
              <w:t>Net borrowing</w:t>
            </w:r>
          </w:p>
        </w:tc>
        <w:tc>
          <w:tcPr>
            <w:tcW w:w="685" w:type="dxa"/>
            <w:tcBorders>
              <w:top w:val="single" w:sz="4" w:space="0" w:color="ADD6EA"/>
              <w:left w:val="nil"/>
              <w:bottom w:val="nil"/>
              <w:right w:val="nil"/>
            </w:tcBorders>
            <w:shd w:val="clear" w:color="auto" w:fill="auto"/>
            <w:noWrap/>
            <w:vAlign w:val="bottom"/>
            <w:hideMark/>
          </w:tcPr>
          <w:p w14:paraId="6D20B17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114</w:t>
            </w:r>
          </w:p>
        </w:tc>
        <w:tc>
          <w:tcPr>
            <w:tcW w:w="685" w:type="dxa"/>
            <w:tcBorders>
              <w:top w:val="single" w:sz="4" w:space="0" w:color="ADD6EA"/>
              <w:left w:val="nil"/>
              <w:bottom w:val="nil"/>
              <w:right w:val="nil"/>
            </w:tcBorders>
            <w:shd w:val="clear" w:color="auto" w:fill="auto"/>
            <w:noWrap/>
            <w:vAlign w:val="bottom"/>
            <w:hideMark/>
          </w:tcPr>
          <w:p w14:paraId="1A44C227"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-245</w:t>
            </w:r>
          </w:p>
        </w:tc>
        <w:tc>
          <w:tcPr>
            <w:tcW w:w="685" w:type="dxa"/>
            <w:tcBorders>
              <w:top w:val="single" w:sz="4" w:space="0" w:color="ADD6EA"/>
              <w:left w:val="nil"/>
              <w:bottom w:val="nil"/>
              <w:right w:val="nil"/>
            </w:tcBorders>
            <w:shd w:val="clear" w:color="auto" w:fill="auto"/>
            <w:noWrap/>
            <w:vAlign w:val="bottom"/>
            <w:hideMark/>
          </w:tcPr>
          <w:p w14:paraId="5AD9145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-50</w:t>
            </w:r>
          </w:p>
        </w:tc>
        <w:tc>
          <w:tcPr>
            <w:tcW w:w="685" w:type="dxa"/>
            <w:tcBorders>
              <w:top w:val="single" w:sz="4" w:space="0" w:color="ADD6EA"/>
              <w:left w:val="nil"/>
              <w:bottom w:val="nil"/>
              <w:right w:val="nil"/>
            </w:tcBorders>
            <w:shd w:val="clear" w:color="auto" w:fill="auto"/>
            <w:noWrap/>
            <w:vAlign w:val="bottom"/>
            <w:hideMark/>
          </w:tcPr>
          <w:p w14:paraId="54EDC34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62</w:t>
            </w:r>
          </w:p>
        </w:tc>
        <w:tc>
          <w:tcPr>
            <w:tcW w:w="666" w:type="dxa"/>
            <w:tcBorders>
              <w:top w:val="single" w:sz="4" w:space="0" w:color="ADD6EA"/>
              <w:left w:val="nil"/>
              <w:bottom w:val="nil"/>
              <w:right w:val="nil"/>
            </w:tcBorders>
            <w:shd w:val="clear" w:color="auto" w:fill="auto"/>
            <w:noWrap/>
            <w:vAlign w:val="bottom"/>
            <w:hideMark/>
          </w:tcPr>
          <w:p w14:paraId="4068DEF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76</w:t>
            </w:r>
          </w:p>
        </w:tc>
        <w:tc>
          <w:tcPr>
            <w:tcW w:w="666" w:type="dxa"/>
            <w:tcBorders>
              <w:top w:val="single" w:sz="4" w:space="0" w:color="ADD6EA"/>
              <w:left w:val="nil"/>
              <w:bottom w:val="nil"/>
              <w:right w:val="nil"/>
            </w:tcBorders>
            <w:shd w:val="clear" w:color="auto" w:fill="auto"/>
            <w:noWrap/>
            <w:vAlign w:val="bottom"/>
            <w:hideMark/>
          </w:tcPr>
          <w:p w14:paraId="123FA79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13</w:t>
            </w:r>
          </w:p>
        </w:tc>
        <w:tc>
          <w:tcPr>
            <w:tcW w:w="584" w:type="dxa"/>
            <w:tcBorders>
              <w:top w:val="single" w:sz="4" w:space="0" w:color="ADD6EA"/>
              <w:left w:val="nil"/>
              <w:bottom w:val="nil"/>
              <w:right w:val="nil"/>
            </w:tcBorders>
            <w:shd w:val="clear" w:color="auto" w:fill="auto"/>
            <w:noWrap/>
            <w:vAlign w:val="bottom"/>
            <w:hideMark/>
          </w:tcPr>
          <w:p w14:paraId="2F0C31B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w:t>
            </w:r>
          </w:p>
        </w:tc>
        <w:tc>
          <w:tcPr>
            <w:tcW w:w="666" w:type="dxa"/>
            <w:tcBorders>
              <w:top w:val="single" w:sz="4" w:space="0" w:color="ADD6EA"/>
              <w:left w:val="nil"/>
              <w:bottom w:val="nil"/>
              <w:right w:val="nil"/>
            </w:tcBorders>
            <w:shd w:val="clear" w:color="auto" w:fill="auto"/>
            <w:noWrap/>
            <w:vAlign w:val="bottom"/>
            <w:hideMark/>
          </w:tcPr>
          <w:p w14:paraId="01DC946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28</w:t>
            </w:r>
          </w:p>
        </w:tc>
        <w:tc>
          <w:tcPr>
            <w:tcW w:w="584" w:type="dxa"/>
            <w:tcBorders>
              <w:top w:val="single" w:sz="4" w:space="0" w:color="ADD6EA"/>
              <w:left w:val="nil"/>
              <w:bottom w:val="nil"/>
              <w:right w:val="nil"/>
            </w:tcBorders>
            <w:shd w:val="clear" w:color="auto" w:fill="auto"/>
            <w:noWrap/>
            <w:vAlign w:val="bottom"/>
            <w:hideMark/>
          </w:tcPr>
          <w:p w14:paraId="0636C3A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295</w:t>
            </w:r>
          </w:p>
        </w:tc>
      </w:tr>
      <w:tr w:rsidR="00162AAC" w:rsidRPr="00D91282" w14:paraId="3645DE31" w14:textId="77777777" w:rsidTr="00162AAC">
        <w:trPr>
          <w:trHeight w:val="310"/>
        </w:trPr>
        <w:tc>
          <w:tcPr>
            <w:tcW w:w="3131" w:type="dxa"/>
            <w:tcBorders>
              <w:top w:val="single" w:sz="4" w:space="0" w:color="ADD6EA"/>
              <w:left w:val="nil"/>
              <w:bottom w:val="single" w:sz="4" w:space="0" w:color="ADD6EA"/>
              <w:right w:val="nil"/>
            </w:tcBorders>
            <w:shd w:val="clear" w:color="auto" w:fill="99CCC3"/>
            <w:noWrap/>
            <w:vAlign w:val="bottom"/>
            <w:hideMark/>
          </w:tcPr>
          <w:p w14:paraId="45C79090" w14:textId="77777777" w:rsidR="00193203" w:rsidRPr="00D91282" w:rsidRDefault="00193203" w:rsidP="003A6452">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TOTAL INVESTMENT</w:t>
            </w:r>
          </w:p>
        </w:tc>
        <w:tc>
          <w:tcPr>
            <w:tcW w:w="685" w:type="dxa"/>
            <w:tcBorders>
              <w:top w:val="single" w:sz="4" w:space="0" w:color="ADD6EA"/>
              <w:left w:val="nil"/>
              <w:bottom w:val="single" w:sz="4" w:space="0" w:color="ADD6EA"/>
              <w:right w:val="nil"/>
            </w:tcBorders>
            <w:shd w:val="clear" w:color="auto" w:fill="99CCC3"/>
            <w:noWrap/>
            <w:vAlign w:val="bottom"/>
            <w:hideMark/>
          </w:tcPr>
          <w:p w14:paraId="1401B7DC"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55</w:t>
            </w:r>
          </w:p>
        </w:tc>
        <w:tc>
          <w:tcPr>
            <w:tcW w:w="685" w:type="dxa"/>
            <w:tcBorders>
              <w:top w:val="single" w:sz="4" w:space="0" w:color="ADD6EA"/>
              <w:left w:val="nil"/>
              <w:bottom w:val="single" w:sz="4" w:space="0" w:color="ADD6EA"/>
              <w:right w:val="nil"/>
            </w:tcBorders>
            <w:shd w:val="clear" w:color="auto" w:fill="99CCC3"/>
            <w:noWrap/>
            <w:vAlign w:val="bottom"/>
            <w:hideMark/>
          </w:tcPr>
          <w:p w14:paraId="20F73AB5"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-171</w:t>
            </w:r>
          </w:p>
        </w:tc>
        <w:tc>
          <w:tcPr>
            <w:tcW w:w="685" w:type="dxa"/>
            <w:tcBorders>
              <w:top w:val="single" w:sz="4" w:space="0" w:color="ADD6EA"/>
              <w:left w:val="nil"/>
              <w:bottom w:val="single" w:sz="4" w:space="0" w:color="ADD6EA"/>
              <w:right w:val="nil"/>
            </w:tcBorders>
            <w:shd w:val="clear" w:color="auto" w:fill="99CCC3"/>
            <w:noWrap/>
            <w:vAlign w:val="bottom"/>
            <w:hideMark/>
          </w:tcPr>
          <w:p w14:paraId="4793E5AE"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55</w:t>
            </w:r>
          </w:p>
        </w:tc>
        <w:tc>
          <w:tcPr>
            <w:tcW w:w="685" w:type="dxa"/>
            <w:tcBorders>
              <w:top w:val="single" w:sz="4" w:space="0" w:color="ADD6EA"/>
              <w:left w:val="nil"/>
              <w:bottom w:val="single" w:sz="4" w:space="0" w:color="ADD6EA"/>
              <w:right w:val="nil"/>
            </w:tcBorders>
            <w:shd w:val="clear" w:color="auto" w:fill="99CCC3"/>
            <w:noWrap/>
            <w:vAlign w:val="bottom"/>
            <w:hideMark/>
          </w:tcPr>
          <w:p w14:paraId="0FDF1955"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225</w:t>
            </w:r>
          </w:p>
        </w:tc>
        <w:tc>
          <w:tcPr>
            <w:tcW w:w="666" w:type="dxa"/>
            <w:tcBorders>
              <w:top w:val="single" w:sz="4" w:space="0" w:color="ADD6EA"/>
              <w:left w:val="nil"/>
              <w:bottom w:val="single" w:sz="4" w:space="0" w:color="ADD6EA"/>
              <w:right w:val="nil"/>
            </w:tcBorders>
            <w:shd w:val="clear" w:color="auto" w:fill="99CCC3"/>
            <w:noWrap/>
            <w:vAlign w:val="bottom"/>
            <w:hideMark/>
          </w:tcPr>
          <w:p w14:paraId="7CDB928A"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-336</w:t>
            </w:r>
          </w:p>
        </w:tc>
        <w:tc>
          <w:tcPr>
            <w:tcW w:w="666" w:type="dxa"/>
            <w:tcBorders>
              <w:top w:val="single" w:sz="4" w:space="0" w:color="ADD6EA"/>
              <w:left w:val="nil"/>
              <w:bottom w:val="single" w:sz="4" w:space="0" w:color="ADD6EA"/>
              <w:right w:val="nil"/>
            </w:tcBorders>
            <w:shd w:val="clear" w:color="auto" w:fill="99CCC3"/>
            <w:noWrap/>
            <w:vAlign w:val="bottom"/>
            <w:hideMark/>
          </w:tcPr>
          <w:p w14:paraId="0E91AEF9"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-118</w:t>
            </w:r>
          </w:p>
        </w:tc>
        <w:tc>
          <w:tcPr>
            <w:tcW w:w="584" w:type="dxa"/>
            <w:tcBorders>
              <w:top w:val="single" w:sz="4" w:space="0" w:color="ADD6EA"/>
              <w:left w:val="nil"/>
              <w:bottom w:val="single" w:sz="4" w:space="0" w:color="ADD6EA"/>
              <w:right w:val="nil"/>
            </w:tcBorders>
            <w:shd w:val="clear" w:color="auto" w:fill="99CCC3"/>
            <w:noWrap/>
            <w:vAlign w:val="bottom"/>
            <w:hideMark/>
          </w:tcPr>
          <w:p w14:paraId="05F23D3C"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-142</w:t>
            </w:r>
          </w:p>
        </w:tc>
        <w:tc>
          <w:tcPr>
            <w:tcW w:w="666" w:type="dxa"/>
            <w:tcBorders>
              <w:top w:val="single" w:sz="4" w:space="0" w:color="ADD6EA"/>
              <w:left w:val="nil"/>
              <w:bottom w:val="single" w:sz="4" w:space="0" w:color="ADD6EA"/>
              <w:right w:val="nil"/>
            </w:tcBorders>
            <w:shd w:val="clear" w:color="auto" w:fill="99CCC3"/>
            <w:noWrap/>
            <w:vAlign w:val="bottom"/>
            <w:hideMark/>
          </w:tcPr>
          <w:p w14:paraId="3923D1CE"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432</w:t>
            </w:r>
          </w:p>
        </w:tc>
        <w:tc>
          <w:tcPr>
            <w:tcW w:w="584" w:type="dxa"/>
            <w:tcBorders>
              <w:top w:val="single" w:sz="4" w:space="0" w:color="ADD6EA"/>
              <w:left w:val="nil"/>
              <w:bottom w:val="single" w:sz="4" w:space="0" w:color="ADD6EA"/>
              <w:right w:val="nil"/>
            </w:tcBorders>
            <w:shd w:val="clear" w:color="auto" w:fill="99CCC3"/>
            <w:noWrap/>
            <w:vAlign w:val="bottom"/>
            <w:hideMark/>
          </w:tcPr>
          <w:p w14:paraId="2E34AFB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767</w:t>
            </w:r>
          </w:p>
        </w:tc>
      </w:tr>
      <w:tr w:rsidR="00162AAC" w:rsidRPr="00D91282" w14:paraId="046517D4" w14:textId="77777777" w:rsidTr="00162AAC">
        <w:trPr>
          <w:trHeight w:val="310"/>
        </w:trPr>
        <w:tc>
          <w:tcPr>
            <w:tcW w:w="3131" w:type="dxa"/>
            <w:tcBorders>
              <w:top w:val="nil"/>
              <w:left w:val="nil"/>
              <w:bottom w:val="single" w:sz="4" w:space="0" w:color="ADD6EA"/>
              <w:right w:val="nil"/>
            </w:tcBorders>
            <w:shd w:val="clear" w:color="auto" w:fill="99CCC3"/>
            <w:noWrap/>
            <w:vAlign w:val="bottom"/>
            <w:hideMark/>
          </w:tcPr>
          <w:p w14:paraId="3169C80E"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Total expense and investment</w:t>
            </w:r>
          </w:p>
        </w:tc>
        <w:tc>
          <w:tcPr>
            <w:tcW w:w="685" w:type="dxa"/>
            <w:tcBorders>
              <w:top w:val="nil"/>
              <w:left w:val="nil"/>
              <w:bottom w:val="single" w:sz="4" w:space="0" w:color="ADD6EA"/>
              <w:right w:val="nil"/>
            </w:tcBorders>
            <w:shd w:val="clear" w:color="auto" w:fill="99CCC3"/>
            <w:noWrap/>
            <w:vAlign w:val="bottom"/>
            <w:hideMark/>
          </w:tcPr>
          <w:p w14:paraId="422C9B26"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-1,013</w:t>
            </w:r>
          </w:p>
        </w:tc>
        <w:tc>
          <w:tcPr>
            <w:tcW w:w="685" w:type="dxa"/>
            <w:tcBorders>
              <w:top w:val="nil"/>
              <w:left w:val="nil"/>
              <w:bottom w:val="single" w:sz="4" w:space="0" w:color="ADD6EA"/>
              <w:right w:val="nil"/>
            </w:tcBorders>
            <w:shd w:val="clear" w:color="auto" w:fill="99CCC3"/>
            <w:noWrap/>
            <w:vAlign w:val="bottom"/>
            <w:hideMark/>
          </w:tcPr>
          <w:p w14:paraId="4448E762"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-5,019</w:t>
            </w:r>
          </w:p>
        </w:tc>
        <w:tc>
          <w:tcPr>
            <w:tcW w:w="685" w:type="dxa"/>
            <w:tcBorders>
              <w:top w:val="nil"/>
              <w:left w:val="nil"/>
              <w:bottom w:val="single" w:sz="4" w:space="0" w:color="ADD6EA"/>
              <w:right w:val="nil"/>
            </w:tcBorders>
            <w:shd w:val="clear" w:color="auto" w:fill="99CCC3"/>
            <w:noWrap/>
            <w:vAlign w:val="bottom"/>
            <w:hideMark/>
          </w:tcPr>
          <w:p w14:paraId="3BE167A1"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1,358</w:t>
            </w:r>
          </w:p>
        </w:tc>
        <w:tc>
          <w:tcPr>
            <w:tcW w:w="685" w:type="dxa"/>
            <w:tcBorders>
              <w:top w:val="nil"/>
              <w:left w:val="nil"/>
              <w:bottom w:val="single" w:sz="4" w:space="0" w:color="ADD6EA"/>
              <w:right w:val="nil"/>
            </w:tcBorders>
            <w:shd w:val="clear" w:color="auto" w:fill="99CCC3"/>
            <w:noWrap/>
            <w:vAlign w:val="bottom"/>
            <w:hideMark/>
          </w:tcPr>
          <w:p w14:paraId="51515AD6"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1,694</w:t>
            </w:r>
          </w:p>
        </w:tc>
        <w:tc>
          <w:tcPr>
            <w:tcW w:w="666" w:type="dxa"/>
            <w:tcBorders>
              <w:top w:val="nil"/>
              <w:left w:val="nil"/>
              <w:bottom w:val="single" w:sz="4" w:space="0" w:color="ADD6EA"/>
              <w:right w:val="nil"/>
            </w:tcBorders>
            <w:shd w:val="clear" w:color="auto" w:fill="99CCC3"/>
            <w:noWrap/>
            <w:vAlign w:val="bottom"/>
            <w:hideMark/>
          </w:tcPr>
          <w:p w14:paraId="3916AB4B"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-176</w:t>
            </w:r>
          </w:p>
        </w:tc>
        <w:tc>
          <w:tcPr>
            <w:tcW w:w="666" w:type="dxa"/>
            <w:tcBorders>
              <w:top w:val="nil"/>
              <w:left w:val="nil"/>
              <w:bottom w:val="single" w:sz="4" w:space="0" w:color="ADD6EA"/>
              <w:right w:val="nil"/>
            </w:tcBorders>
            <w:shd w:val="clear" w:color="auto" w:fill="99CCC3"/>
            <w:noWrap/>
            <w:vAlign w:val="bottom"/>
            <w:hideMark/>
          </w:tcPr>
          <w:p w14:paraId="35B6372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716</w:t>
            </w:r>
          </w:p>
        </w:tc>
        <w:tc>
          <w:tcPr>
            <w:tcW w:w="584" w:type="dxa"/>
            <w:tcBorders>
              <w:top w:val="nil"/>
              <w:left w:val="nil"/>
              <w:bottom w:val="single" w:sz="4" w:space="0" w:color="ADD6EA"/>
              <w:right w:val="nil"/>
            </w:tcBorders>
            <w:shd w:val="clear" w:color="auto" w:fill="99CCC3"/>
            <w:noWrap/>
            <w:vAlign w:val="bottom"/>
            <w:hideMark/>
          </w:tcPr>
          <w:p w14:paraId="2A6DF9DB"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-333</w:t>
            </w:r>
          </w:p>
        </w:tc>
        <w:tc>
          <w:tcPr>
            <w:tcW w:w="666" w:type="dxa"/>
            <w:tcBorders>
              <w:top w:val="nil"/>
              <w:left w:val="nil"/>
              <w:bottom w:val="single" w:sz="4" w:space="0" w:color="ADD6EA"/>
              <w:right w:val="nil"/>
            </w:tcBorders>
            <w:shd w:val="clear" w:color="auto" w:fill="99CCC3"/>
            <w:noWrap/>
            <w:vAlign w:val="bottom"/>
            <w:hideMark/>
          </w:tcPr>
          <w:p w14:paraId="58170C9E"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2,773</w:t>
            </w:r>
          </w:p>
        </w:tc>
        <w:tc>
          <w:tcPr>
            <w:tcW w:w="584" w:type="dxa"/>
            <w:tcBorders>
              <w:top w:val="nil"/>
              <w:left w:val="nil"/>
              <w:bottom w:val="single" w:sz="4" w:space="0" w:color="ADD6EA"/>
              <w:right w:val="nil"/>
            </w:tcBorders>
            <w:shd w:val="clear" w:color="auto" w:fill="99CCC3"/>
            <w:noWrap/>
            <w:vAlign w:val="bottom"/>
            <w:hideMark/>
          </w:tcPr>
          <w:p w14:paraId="074BDCDF"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6,542</w:t>
            </w:r>
          </w:p>
        </w:tc>
      </w:tr>
      <w:tr w:rsidR="00193203" w:rsidRPr="00D91282" w14:paraId="7C2DD8E3" w14:textId="77777777" w:rsidTr="00162AAC">
        <w:trPr>
          <w:trHeight w:val="310"/>
        </w:trPr>
        <w:tc>
          <w:tcPr>
            <w:tcW w:w="3131" w:type="dxa"/>
            <w:tcBorders>
              <w:top w:val="nil"/>
              <w:left w:val="nil"/>
              <w:bottom w:val="nil"/>
              <w:right w:val="nil"/>
            </w:tcBorders>
            <w:shd w:val="clear" w:color="auto" w:fill="auto"/>
            <w:noWrap/>
            <w:vAlign w:val="bottom"/>
            <w:hideMark/>
          </w:tcPr>
          <w:p w14:paraId="354FD810" w14:textId="77777777" w:rsidR="00193203" w:rsidRPr="00D91282" w:rsidRDefault="00193203" w:rsidP="003A6452">
            <w:pPr>
              <w:keepNext/>
              <w:keepLines/>
              <w:tabs>
                <w:tab w:val="clear" w:pos="567"/>
              </w:tabs>
              <w:spacing w:before="0" w:line="240" w:lineRule="auto"/>
              <w:rPr>
                <w:rFonts w:eastAsia="Times New Roman" w:cs="Open Sans Light"/>
                <w:color w:val="000000"/>
                <w:sz w:val="16"/>
                <w:szCs w:val="16"/>
                <w:lang w:eastAsia="en-AU"/>
              </w:rPr>
            </w:pPr>
            <w:r w:rsidRPr="00D91282">
              <w:rPr>
                <w:rFonts w:eastAsia="Times New Roman" w:cs="Open Sans Light"/>
                <w:color w:val="000000"/>
                <w:sz w:val="16"/>
                <w:szCs w:val="16"/>
                <w:lang w:eastAsia="en-AU"/>
              </w:rPr>
              <w:t>Commonwealth payments</w:t>
            </w:r>
          </w:p>
        </w:tc>
        <w:tc>
          <w:tcPr>
            <w:tcW w:w="685" w:type="dxa"/>
            <w:tcBorders>
              <w:top w:val="nil"/>
              <w:left w:val="nil"/>
              <w:bottom w:val="nil"/>
              <w:right w:val="nil"/>
            </w:tcBorders>
            <w:shd w:val="clear" w:color="auto" w:fill="auto"/>
            <w:noWrap/>
            <w:vAlign w:val="bottom"/>
            <w:hideMark/>
          </w:tcPr>
          <w:p w14:paraId="5320B28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450</w:t>
            </w:r>
          </w:p>
        </w:tc>
        <w:tc>
          <w:tcPr>
            <w:tcW w:w="685" w:type="dxa"/>
            <w:tcBorders>
              <w:top w:val="nil"/>
              <w:left w:val="nil"/>
              <w:bottom w:val="nil"/>
              <w:right w:val="nil"/>
            </w:tcBorders>
            <w:shd w:val="clear" w:color="auto" w:fill="auto"/>
            <w:noWrap/>
            <w:vAlign w:val="bottom"/>
            <w:hideMark/>
          </w:tcPr>
          <w:p w14:paraId="286EDC2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1,201</w:t>
            </w:r>
          </w:p>
        </w:tc>
        <w:tc>
          <w:tcPr>
            <w:tcW w:w="685" w:type="dxa"/>
            <w:tcBorders>
              <w:top w:val="nil"/>
              <w:left w:val="nil"/>
              <w:bottom w:val="nil"/>
              <w:right w:val="nil"/>
            </w:tcBorders>
            <w:shd w:val="clear" w:color="auto" w:fill="auto"/>
            <w:noWrap/>
            <w:vAlign w:val="bottom"/>
            <w:hideMark/>
          </w:tcPr>
          <w:p w14:paraId="3FFFE96E"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-974</w:t>
            </w:r>
          </w:p>
        </w:tc>
        <w:tc>
          <w:tcPr>
            <w:tcW w:w="685" w:type="dxa"/>
            <w:tcBorders>
              <w:top w:val="nil"/>
              <w:left w:val="nil"/>
              <w:bottom w:val="nil"/>
              <w:right w:val="nil"/>
            </w:tcBorders>
            <w:shd w:val="clear" w:color="auto" w:fill="auto"/>
            <w:noWrap/>
            <w:vAlign w:val="bottom"/>
            <w:hideMark/>
          </w:tcPr>
          <w:p w14:paraId="57AAFC13"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-71</w:t>
            </w:r>
          </w:p>
        </w:tc>
        <w:tc>
          <w:tcPr>
            <w:tcW w:w="666" w:type="dxa"/>
            <w:tcBorders>
              <w:top w:val="nil"/>
              <w:left w:val="nil"/>
              <w:bottom w:val="nil"/>
              <w:right w:val="nil"/>
            </w:tcBorders>
            <w:shd w:val="clear" w:color="auto" w:fill="auto"/>
            <w:noWrap/>
            <w:vAlign w:val="bottom"/>
            <w:hideMark/>
          </w:tcPr>
          <w:p w14:paraId="559539F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-204</w:t>
            </w:r>
          </w:p>
        </w:tc>
        <w:tc>
          <w:tcPr>
            <w:tcW w:w="666" w:type="dxa"/>
            <w:tcBorders>
              <w:top w:val="nil"/>
              <w:left w:val="nil"/>
              <w:bottom w:val="nil"/>
              <w:right w:val="nil"/>
            </w:tcBorders>
            <w:shd w:val="clear" w:color="auto" w:fill="auto"/>
            <w:noWrap/>
            <w:vAlign w:val="bottom"/>
            <w:hideMark/>
          </w:tcPr>
          <w:p w14:paraId="58DCD8F9"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-88</w:t>
            </w:r>
          </w:p>
        </w:tc>
        <w:tc>
          <w:tcPr>
            <w:tcW w:w="584" w:type="dxa"/>
            <w:tcBorders>
              <w:top w:val="nil"/>
              <w:left w:val="nil"/>
              <w:bottom w:val="nil"/>
              <w:right w:val="nil"/>
            </w:tcBorders>
            <w:shd w:val="clear" w:color="auto" w:fill="auto"/>
            <w:noWrap/>
            <w:vAlign w:val="bottom"/>
            <w:hideMark/>
          </w:tcPr>
          <w:p w14:paraId="2B7C9D0D"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81</w:t>
            </w:r>
          </w:p>
        </w:tc>
        <w:tc>
          <w:tcPr>
            <w:tcW w:w="666" w:type="dxa"/>
            <w:tcBorders>
              <w:top w:val="nil"/>
              <w:left w:val="nil"/>
              <w:bottom w:val="nil"/>
              <w:right w:val="nil"/>
            </w:tcBorders>
            <w:shd w:val="clear" w:color="auto" w:fill="auto"/>
            <w:noWrap/>
            <w:vAlign w:val="bottom"/>
            <w:hideMark/>
          </w:tcPr>
          <w:p w14:paraId="66A1D85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-395</w:t>
            </w:r>
          </w:p>
        </w:tc>
        <w:tc>
          <w:tcPr>
            <w:tcW w:w="584" w:type="dxa"/>
            <w:tcBorders>
              <w:top w:val="nil"/>
              <w:left w:val="nil"/>
              <w:bottom w:val="nil"/>
              <w:right w:val="nil"/>
            </w:tcBorders>
            <w:shd w:val="clear" w:color="auto" w:fill="auto"/>
            <w:noWrap/>
            <w:vAlign w:val="bottom"/>
            <w:hideMark/>
          </w:tcPr>
          <w:p w14:paraId="69F52232"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1,733</w:t>
            </w:r>
          </w:p>
        </w:tc>
      </w:tr>
      <w:tr w:rsidR="00162AAC" w:rsidRPr="00D91282" w14:paraId="0EF0B861" w14:textId="77777777" w:rsidTr="00162AAC">
        <w:trPr>
          <w:trHeight w:val="310"/>
        </w:trPr>
        <w:tc>
          <w:tcPr>
            <w:tcW w:w="3131" w:type="dxa"/>
            <w:tcBorders>
              <w:top w:val="single" w:sz="4" w:space="0" w:color="ADD6EA"/>
              <w:left w:val="nil"/>
              <w:bottom w:val="single" w:sz="4" w:space="0" w:color="ADD6EA"/>
              <w:right w:val="nil"/>
            </w:tcBorders>
            <w:shd w:val="clear" w:color="auto" w:fill="99CCC3"/>
            <w:noWrap/>
            <w:vAlign w:val="bottom"/>
            <w:hideMark/>
          </w:tcPr>
          <w:p w14:paraId="05E67EEB"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Total effect of fiscal capacities</w:t>
            </w:r>
          </w:p>
        </w:tc>
        <w:tc>
          <w:tcPr>
            <w:tcW w:w="685" w:type="dxa"/>
            <w:tcBorders>
              <w:top w:val="single" w:sz="4" w:space="0" w:color="ADD6EA"/>
              <w:left w:val="nil"/>
              <w:bottom w:val="single" w:sz="4" w:space="0" w:color="ADD6EA"/>
              <w:right w:val="nil"/>
            </w:tcBorders>
            <w:shd w:val="clear" w:color="auto" w:fill="99CCC3"/>
            <w:noWrap/>
            <w:vAlign w:val="bottom"/>
            <w:hideMark/>
          </w:tcPr>
          <w:p w14:paraId="769FB9FC"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-715</w:t>
            </w:r>
          </w:p>
        </w:tc>
        <w:tc>
          <w:tcPr>
            <w:tcW w:w="685" w:type="dxa"/>
            <w:tcBorders>
              <w:top w:val="single" w:sz="4" w:space="0" w:color="ADD6EA"/>
              <w:left w:val="nil"/>
              <w:bottom w:val="single" w:sz="4" w:space="0" w:color="ADD6EA"/>
              <w:right w:val="nil"/>
            </w:tcBorders>
            <w:shd w:val="clear" w:color="auto" w:fill="99CCC3"/>
            <w:noWrap/>
            <w:vAlign w:val="bottom"/>
            <w:hideMark/>
          </w:tcPr>
          <w:p w14:paraId="68AEF6B9"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-1,168</w:t>
            </w:r>
          </w:p>
        </w:tc>
        <w:tc>
          <w:tcPr>
            <w:tcW w:w="685" w:type="dxa"/>
            <w:tcBorders>
              <w:top w:val="single" w:sz="4" w:space="0" w:color="ADD6EA"/>
              <w:left w:val="nil"/>
              <w:bottom w:val="single" w:sz="4" w:space="0" w:color="ADD6EA"/>
              <w:right w:val="nil"/>
            </w:tcBorders>
            <w:shd w:val="clear" w:color="auto" w:fill="99CCC3"/>
            <w:noWrap/>
            <w:vAlign w:val="bottom"/>
            <w:hideMark/>
          </w:tcPr>
          <w:p w14:paraId="1B3C12EB"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947</w:t>
            </w:r>
          </w:p>
        </w:tc>
        <w:tc>
          <w:tcPr>
            <w:tcW w:w="685" w:type="dxa"/>
            <w:tcBorders>
              <w:top w:val="single" w:sz="4" w:space="0" w:color="ADD6EA"/>
              <w:left w:val="nil"/>
              <w:bottom w:val="single" w:sz="4" w:space="0" w:color="ADD6EA"/>
              <w:right w:val="nil"/>
            </w:tcBorders>
            <w:shd w:val="clear" w:color="auto" w:fill="99CCC3"/>
            <w:noWrap/>
            <w:vAlign w:val="bottom"/>
            <w:hideMark/>
          </w:tcPr>
          <w:p w14:paraId="6AAE709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-4,664</w:t>
            </w:r>
          </w:p>
        </w:tc>
        <w:tc>
          <w:tcPr>
            <w:tcW w:w="666" w:type="dxa"/>
            <w:tcBorders>
              <w:top w:val="single" w:sz="4" w:space="0" w:color="ADD6EA"/>
              <w:left w:val="nil"/>
              <w:bottom w:val="single" w:sz="4" w:space="0" w:color="ADD6EA"/>
              <w:right w:val="nil"/>
            </w:tcBorders>
            <w:shd w:val="clear" w:color="auto" w:fill="99CCC3"/>
            <w:noWrap/>
            <w:vAlign w:val="bottom"/>
            <w:hideMark/>
          </w:tcPr>
          <w:p w14:paraId="4121A1E0"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1,650</w:t>
            </w:r>
          </w:p>
        </w:tc>
        <w:tc>
          <w:tcPr>
            <w:tcW w:w="666" w:type="dxa"/>
            <w:tcBorders>
              <w:top w:val="single" w:sz="4" w:space="0" w:color="ADD6EA"/>
              <w:left w:val="nil"/>
              <w:bottom w:val="single" w:sz="4" w:space="0" w:color="ADD6EA"/>
              <w:right w:val="nil"/>
            </w:tcBorders>
            <w:shd w:val="clear" w:color="auto" w:fill="99CCC3"/>
            <w:noWrap/>
            <w:vAlign w:val="bottom"/>
            <w:hideMark/>
          </w:tcPr>
          <w:p w14:paraId="424BEC7C"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1,381</w:t>
            </w:r>
          </w:p>
        </w:tc>
        <w:tc>
          <w:tcPr>
            <w:tcW w:w="584" w:type="dxa"/>
            <w:tcBorders>
              <w:top w:val="single" w:sz="4" w:space="0" w:color="ADD6EA"/>
              <w:left w:val="nil"/>
              <w:bottom w:val="single" w:sz="4" w:space="0" w:color="ADD6EA"/>
              <w:right w:val="nil"/>
            </w:tcBorders>
            <w:shd w:val="clear" w:color="auto" w:fill="99CCC3"/>
            <w:noWrap/>
            <w:vAlign w:val="bottom"/>
            <w:hideMark/>
          </w:tcPr>
          <w:p w14:paraId="75BC3047"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195</w:t>
            </w:r>
          </w:p>
        </w:tc>
        <w:tc>
          <w:tcPr>
            <w:tcW w:w="666" w:type="dxa"/>
            <w:tcBorders>
              <w:top w:val="single" w:sz="4" w:space="0" w:color="ADD6EA"/>
              <w:left w:val="nil"/>
              <w:bottom w:val="single" w:sz="4" w:space="0" w:color="ADD6EA"/>
              <w:right w:val="nil"/>
            </w:tcBorders>
            <w:shd w:val="clear" w:color="auto" w:fill="99CCC3"/>
            <w:noWrap/>
            <w:vAlign w:val="bottom"/>
            <w:hideMark/>
          </w:tcPr>
          <w:p w14:paraId="4F950ED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2,374</w:t>
            </w:r>
          </w:p>
        </w:tc>
        <w:tc>
          <w:tcPr>
            <w:tcW w:w="584" w:type="dxa"/>
            <w:tcBorders>
              <w:top w:val="single" w:sz="4" w:space="0" w:color="ADD6EA"/>
              <w:left w:val="nil"/>
              <w:bottom w:val="single" w:sz="4" w:space="0" w:color="ADD6EA"/>
              <w:right w:val="nil"/>
            </w:tcBorders>
            <w:shd w:val="clear" w:color="auto" w:fill="99CCC3"/>
            <w:noWrap/>
            <w:vAlign w:val="bottom"/>
            <w:hideMark/>
          </w:tcPr>
          <w:p w14:paraId="24669862"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6,547</w:t>
            </w:r>
          </w:p>
        </w:tc>
      </w:tr>
      <w:tr w:rsidR="00193203" w:rsidRPr="00D91282" w14:paraId="1C636C4C" w14:textId="77777777" w:rsidTr="00162AAC">
        <w:trPr>
          <w:trHeight w:val="310"/>
        </w:trPr>
        <w:tc>
          <w:tcPr>
            <w:tcW w:w="3131" w:type="dxa"/>
            <w:tcBorders>
              <w:top w:val="nil"/>
              <w:left w:val="nil"/>
              <w:bottom w:val="nil"/>
              <w:right w:val="nil"/>
            </w:tcBorders>
            <w:shd w:val="clear" w:color="auto" w:fill="auto"/>
            <w:noWrap/>
            <w:vAlign w:val="bottom"/>
            <w:hideMark/>
          </w:tcPr>
          <w:p w14:paraId="43DE0D5F" w14:textId="77777777" w:rsidR="00193203" w:rsidRPr="00D91282" w:rsidRDefault="00193203" w:rsidP="003A6452">
            <w:pPr>
              <w:keepNext/>
              <w:keepLines/>
              <w:tabs>
                <w:tab w:val="clear" w:pos="567"/>
              </w:tabs>
              <w:spacing w:before="0" w:line="240" w:lineRule="auto"/>
              <w:rPr>
                <w:rFonts w:eastAsia="Times New Roman" w:cs="Open Sans Light"/>
                <w:color w:val="000000"/>
                <w:sz w:val="16"/>
                <w:szCs w:val="16"/>
                <w:lang w:eastAsia="en-AU"/>
              </w:rPr>
            </w:pPr>
            <w:r w:rsidRPr="00D91282">
              <w:rPr>
                <w:rFonts w:eastAsia="Times New Roman" w:cs="Open Sans Light"/>
                <w:color w:val="000000"/>
                <w:sz w:val="16"/>
                <w:szCs w:val="16"/>
                <w:lang w:eastAsia="en-AU"/>
              </w:rPr>
              <w:t>Effect of new HFE arrangements (c)</w:t>
            </w:r>
          </w:p>
        </w:tc>
        <w:tc>
          <w:tcPr>
            <w:tcW w:w="685" w:type="dxa"/>
            <w:tcBorders>
              <w:top w:val="nil"/>
              <w:left w:val="nil"/>
              <w:bottom w:val="nil"/>
              <w:right w:val="nil"/>
            </w:tcBorders>
            <w:shd w:val="clear" w:color="auto" w:fill="auto"/>
            <w:noWrap/>
            <w:vAlign w:val="bottom"/>
            <w:hideMark/>
          </w:tcPr>
          <w:p w14:paraId="38B3CED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-218</w:t>
            </w:r>
          </w:p>
        </w:tc>
        <w:tc>
          <w:tcPr>
            <w:tcW w:w="685" w:type="dxa"/>
            <w:tcBorders>
              <w:top w:val="nil"/>
              <w:left w:val="nil"/>
              <w:bottom w:val="nil"/>
              <w:right w:val="nil"/>
            </w:tcBorders>
            <w:shd w:val="clear" w:color="auto" w:fill="auto"/>
            <w:noWrap/>
            <w:vAlign w:val="bottom"/>
            <w:hideMark/>
          </w:tcPr>
          <w:p w14:paraId="6512624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-179</w:t>
            </w:r>
          </w:p>
        </w:tc>
        <w:tc>
          <w:tcPr>
            <w:tcW w:w="685" w:type="dxa"/>
            <w:tcBorders>
              <w:top w:val="nil"/>
              <w:left w:val="nil"/>
              <w:bottom w:val="nil"/>
              <w:right w:val="nil"/>
            </w:tcBorders>
            <w:shd w:val="clear" w:color="auto" w:fill="auto"/>
            <w:noWrap/>
            <w:vAlign w:val="bottom"/>
            <w:hideMark/>
          </w:tcPr>
          <w:p w14:paraId="0D50E74F"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-142</w:t>
            </w:r>
          </w:p>
        </w:tc>
        <w:tc>
          <w:tcPr>
            <w:tcW w:w="685" w:type="dxa"/>
            <w:tcBorders>
              <w:top w:val="nil"/>
              <w:left w:val="nil"/>
              <w:bottom w:val="nil"/>
              <w:right w:val="nil"/>
            </w:tcBorders>
            <w:shd w:val="clear" w:color="auto" w:fill="auto"/>
            <w:noWrap/>
            <w:vAlign w:val="bottom"/>
            <w:hideMark/>
          </w:tcPr>
          <w:p w14:paraId="73C666F0"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629</w:t>
            </w:r>
          </w:p>
        </w:tc>
        <w:tc>
          <w:tcPr>
            <w:tcW w:w="666" w:type="dxa"/>
            <w:tcBorders>
              <w:top w:val="nil"/>
              <w:left w:val="nil"/>
              <w:bottom w:val="nil"/>
              <w:right w:val="nil"/>
            </w:tcBorders>
            <w:shd w:val="clear" w:color="auto" w:fill="auto"/>
            <w:noWrap/>
            <w:vAlign w:val="bottom"/>
            <w:hideMark/>
          </w:tcPr>
          <w:p w14:paraId="1D67E998"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-51</w:t>
            </w:r>
          </w:p>
        </w:tc>
        <w:tc>
          <w:tcPr>
            <w:tcW w:w="666" w:type="dxa"/>
            <w:tcBorders>
              <w:top w:val="nil"/>
              <w:left w:val="nil"/>
              <w:bottom w:val="nil"/>
              <w:right w:val="nil"/>
            </w:tcBorders>
            <w:shd w:val="clear" w:color="auto" w:fill="auto"/>
            <w:noWrap/>
            <w:vAlign w:val="bottom"/>
            <w:hideMark/>
          </w:tcPr>
          <w:p w14:paraId="36792EFB"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-17</w:t>
            </w:r>
          </w:p>
        </w:tc>
        <w:tc>
          <w:tcPr>
            <w:tcW w:w="584" w:type="dxa"/>
            <w:tcBorders>
              <w:top w:val="nil"/>
              <w:left w:val="nil"/>
              <w:bottom w:val="nil"/>
              <w:right w:val="nil"/>
            </w:tcBorders>
            <w:shd w:val="clear" w:color="auto" w:fill="auto"/>
            <w:noWrap/>
            <w:vAlign w:val="bottom"/>
            <w:hideMark/>
          </w:tcPr>
          <w:p w14:paraId="620C26F4"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-12</w:t>
            </w:r>
          </w:p>
        </w:tc>
        <w:tc>
          <w:tcPr>
            <w:tcW w:w="666" w:type="dxa"/>
            <w:tcBorders>
              <w:top w:val="nil"/>
              <w:left w:val="nil"/>
              <w:bottom w:val="nil"/>
              <w:right w:val="nil"/>
            </w:tcBorders>
            <w:shd w:val="clear" w:color="auto" w:fill="auto"/>
            <w:noWrap/>
            <w:vAlign w:val="bottom"/>
            <w:hideMark/>
          </w:tcPr>
          <w:p w14:paraId="073F3B55"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-11</w:t>
            </w:r>
          </w:p>
        </w:tc>
        <w:tc>
          <w:tcPr>
            <w:tcW w:w="584" w:type="dxa"/>
            <w:tcBorders>
              <w:top w:val="nil"/>
              <w:left w:val="nil"/>
              <w:bottom w:val="nil"/>
              <w:right w:val="nil"/>
            </w:tcBorders>
            <w:shd w:val="clear" w:color="auto" w:fill="auto"/>
            <w:noWrap/>
            <w:vAlign w:val="bottom"/>
            <w:hideMark/>
          </w:tcPr>
          <w:p w14:paraId="1FD3D371" w14:textId="77777777" w:rsidR="00193203" w:rsidRPr="00D91282" w:rsidRDefault="00193203" w:rsidP="003A6452">
            <w:pPr>
              <w:keepNext/>
              <w:keepLines/>
              <w:tabs>
                <w:tab w:val="clear" w:pos="567"/>
              </w:tabs>
              <w:spacing w:before="0" w:line="240" w:lineRule="auto"/>
              <w:jc w:val="right"/>
              <w:rPr>
                <w:rFonts w:eastAsia="Times New Roman" w:cs="Open Sans Light"/>
                <w:color w:val="000000"/>
                <w:sz w:val="16"/>
                <w:szCs w:val="16"/>
                <w:lang w:eastAsia="en-AU"/>
              </w:rPr>
            </w:pPr>
            <w:r w:rsidRPr="00D91282">
              <w:rPr>
                <w:rFonts w:eastAsia="Times New Roman" w:cs="Open Sans Light"/>
                <w:color w:val="000000"/>
                <w:sz w:val="16"/>
                <w:szCs w:val="16"/>
                <w:lang w:eastAsia="en-AU"/>
              </w:rPr>
              <w:t>629</w:t>
            </w:r>
          </w:p>
        </w:tc>
      </w:tr>
      <w:tr w:rsidR="00162AAC" w:rsidRPr="00D91282" w14:paraId="7F266C12" w14:textId="77777777" w:rsidTr="00162AAC">
        <w:trPr>
          <w:trHeight w:val="310"/>
        </w:trPr>
        <w:tc>
          <w:tcPr>
            <w:tcW w:w="3131" w:type="dxa"/>
            <w:tcBorders>
              <w:top w:val="single" w:sz="4" w:space="0" w:color="ADD6EA"/>
              <w:left w:val="nil"/>
              <w:bottom w:val="single" w:sz="4" w:space="0" w:color="ADD6EA"/>
              <w:right w:val="nil"/>
            </w:tcBorders>
            <w:shd w:val="clear" w:color="auto" w:fill="99CCC3"/>
            <w:noWrap/>
            <w:vAlign w:val="bottom"/>
            <w:hideMark/>
          </w:tcPr>
          <w:p w14:paraId="2D3E55B6" w14:textId="77777777" w:rsidR="00193203" w:rsidRPr="00D91282" w:rsidRDefault="00193203" w:rsidP="003A6452">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TOTAL</w:t>
            </w:r>
          </w:p>
        </w:tc>
        <w:tc>
          <w:tcPr>
            <w:tcW w:w="685" w:type="dxa"/>
            <w:tcBorders>
              <w:top w:val="single" w:sz="4" w:space="0" w:color="ADD6EA"/>
              <w:left w:val="nil"/>
              <w:bottom w:val="single" w:sz="4" w:space="0" w:color="ADD6EA"/>
              <w:right w:val="nil"/>
            </w:tcBorders>
            <w:shd w:val="clear" w:color="auto" w:fill="99CCC3"/>
            <w:noWrap/>
            <w:vAlign w:val="bottom"/>
            <w:hideMark/>
          </w:tcPr>
          <w:p w14:paraId="4B6AE023"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-933</w:t>
            </w:r>
          </w:p>
        </w:tc>
        <w:tc>
          <w:tcPr>
            <w:tcW w:w="685" w:type="dxa"/>
            <w:tcBorders>
              <w:top w:val="single" w:sz="4" w:space="0" w:color="ADD6EA"/>
              <w:left w:val="nil"/>
              <w:bottom w:val="single" w:sz="4" w:space="0" w:color="ADD6EA"/>
              <w:right w:val="nil"/>
            </w:tcBorders>
            <w:shd w:val="clear" w:color="auto" w:fill="99CCC3"/>
            <w:noWrap/>
            <w:vAlign w:val="bottom"/>
            <w:hideMark/>
          </w:tcPr>
          <w:p w14:paraId="5E258152"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-1,346</w:t>
            </w:r>
          </w:p>
        </w:tc>
        <w:tc>
          <w:tcPr>
            <w:tcW w:w="685" w:type="dxa"/>
            <w:tcBorders>
              <w:top w:val="single" w:sz="4" w:space="0" w:color="ADD6EA"/>
              <w:left w:val="nil"/>
              <w:bottom w:val="single" w:sz="4" w:space="0" w:color="ADD6EA"/>
              <w:right w:val="nil"/>
            </w:tcBorders>
            <w:shd w:val="clear" w:color="auto" w:fill="99CCC3"/>
            <w:noWrap/>
            <w:vAlign w:val="bottom"/>
            <w:hideMark/>
          </w:tcPr>
          <w:p w14:paraId="5FDF0220"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805</w:t>
            </w:r>
          </w:p>
        </w:tc>
        <w:tc>
          <w:tcPr>
            <w:tcW w:w="685" w:type="dxa"/>
            <w:tcBorders>
              <w:top w:val="single" w:sz="4" w:space="0" w:color="ADD6EA"/>
              <w:left w:val="nil"/>
              <w:bottom w:val="single" w:sz="4" w:space="0" w:color="ADD6EA"/>
              <w:right w:val="nil"/>
            </w:tcBorders>
            <w:shd w:val="clear" w:color="auto" w:fill="99CCC3"/>
            <w:noWrap/>
            <w:vAlign w:val="bottom"/>
            <w:hideMark/>
          </w:tcPr>
          <w:p w14:paraId="09616F94"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-4,035</w:t>
            </w:r>
          </w:p>
        </w:tc>
        <w:tc>
          <w:tcPr>
            <w:tcW w:w="666" w:type="dxa"/>
            <w:tcBorders>
              <w:top w:val="single" w:sz="4" w:space="0" w:color="ADD6EA"/>
              <w:left w:val="nil"/>
              <w:bottom w:val="single" w:sz="4" w:space="0" w:color="ADD6EA"/>
              <w:right w:val="nil"/>
            </w:tcBorders>
            <w:shd w:val="clear" w:color="auto" w:fill="99CCC3"/>
            <w:noWrap/>
            <w:vAlign w:val="bottom"/>
            <w:hideMark/>
          </w:tcPr>
          <w:p w14:paraId="7A022E18"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1,600</w:t>
            </w:r>
          </w:p>
        </w:tc>
        <w:tc>
          <w:tcPr>
            <w:tcW w:w="666" w:type="dxa"/>
            <w:tcBorders>
              <w:top w:val="single" w:sz="4" w:space="0" w:color="ADD6EA"/>
              <w:left w:val="nil"/>
              <w:bottom w:val="single" w:sz="4" w:space="0" w:color="ADD6EA"/>
              <w:right w:val="nil"/>
            </w:tcBorders>
            <w:shd w:val="clear" w:color="auto" w:fill="99CCC3"/>
            <w:noWrap/>
            <w:vAlign w:val="bottom"/>
            <w:hideMark/>
          </w:tcPr>
          <w:p w14:paraId="40AF4ACD"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1,363</w:t>
            </w:r>
          </w:p>
        </w:tc>
        <w:tc>
          <w:tcPr>
            <w:tcW w:w="584" w:type="dxa"/>
            <w:tcBorders>
              <w:top w:val="single" w:sz="4" w:space="0" w:color="ADD6EA"/>
              <w:left w:val="nil"/>
              <w:bottom w:val="single" w:sz="4" w:space="0" w:color="ADD6EA"/>
              <w:right w:val="nil"/>
            </w:tcBorders>
            <w:shd w:val="clear" w:color="auto" w:fill="99CCC3"/>
            <w:noWrap/>
            <w:vAlign w:val="bottom"/>
            <w:hideMark/>
          </w:tcPr>
          <w:p w14:paraId="1FD56C85"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183</w:t>
            </w:r>
          </w:p>
        </w:tc>
        <w:tc>
          <w:tcPr>
            <w:tcW w:w="666" w:type="dxa"/>
            <w:tcBorders>
              <w:top w:val="single" w:sz="4" w:space="0" w:color="ADD6EA"/>
              <w:left w:val="nil"/>
              <w:bottom w:val="single" w:sz="4" w:space="0" w:color="ADD6EA"/>
              <w:right w:val="nil"/>
            </w:tcBorders>
            <w:shd w:val="clear" w:color="auto" w:fill="99CCC3"/>
            <w:noWrap/>
            <w:vAlign w:val="bottom"/>
            <w:hideMark/>
          </w:tcPr>
          <w:p w14:paraId="59B1002F"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2,363</w:t>
            </w:r>
          </w:p>
        </w:tc>
        <w:tc>
          <w:tcPr>
            <w:tcW w:w="584" w:type="dxa"/>
            <w:tcBorders>
              <w:top w:val="single" w:sz="4" w:space="0" w:color="ADD6EA"/>
              <w:left w:val="nil"/>
              <w:bottom w:val="single" w:sz="4" w:space="0" w:color="ADD6EA"/>
              <w:right w:val="nil"/>
            </w:tcBorders>
            <w:shd w:val="clear" w:color="auto" w:fill="99CCC3"/>
            <w:noWrap/>
            <w:vAlign w:val="bottom"/>
            <w:hideMark/>
          </w:tcPr>
          <w:p w14:paraId="7660EB0E" w14:textId="77777777" w:rsidR="00193203" w:rsidRPr="00D91282" w:rsidRDefault="00193203" w:rsidP="003A6452">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91282">
              <w:rPr>
                <w:rFonts w:ascii="Open Sans Semibold" w:eastAsia="Times New Roman" w:hAnsi="Open Sans Semibold" w:cs="Open Sans Semibold"/>
                <w:color w:val="000000"/>
                <w:sz w:val="16"/>
                <w:szCs w:val="16"/>
                <w:lang w:eastAsia="en-AU"/>
              </w:rPr>
              <w:t>6,314</w:t>
            </w:r>
          </w:p>
        </w:tc>
      </w:tr>
    </w:tbl>
    <w:p w14:paraId="1881D8B5" w14:textId="2F4D94D1" w:rsidR="00233C9A" w:rsidRPr="00D91282" w:rsidRDefault="00233C9A" w:rsidP="00AC6C54">
      <w:pPr>
        <w:pStyle w:val="CGCTablenote"/>
      </w:pPr>
      <w:r w:rsidRPr="00D91282">
        <w:t xml:space="preserve">Note: </w:t>
      </w:r>
      <w:r w:rsidRPr="00D91282">
        <w:tab/>
        <w:t xml:space="preserve">For further explanation of what each effect includes see the supporting information </w:t>
      </w:r>
      <w:r w:rsidR="007D05E0" w:rsidRPr="00D91282">
        <w:t xml:space="preserve">for the 2021 Update </w:t>
      </w:r>
      <w:r w:rsidRPr="00D91282">
        <w:t>on the Commission’s website.</w:t>
      </w:r>
    </w:p>
    <w:p w14:paraId="48635CFD" w14:textId="77777777" w:rsidR="00233C9A" w:rsidRPr="00D91282" w:rsidRDefault="00233C9A" w:rsidP="00AC6C54">
      <w:pPr>
        <w:pStyle w:val="CGCTablenote"/>
      </w:pPr>
      <w:r w:rsidRPr="00D91282">
        <w:t>(a)</w:t>
      </w:r>
      <w:r w:rsidRPr="00D91282">
        <w:tab/>
        <w:t>Other sociodemographic composition (SDC) includes the effects of age, Indigenous disadvantage, household size, State contributions to the NDIS and the full effect of SDC in Commonwealth funding for government schools.</w:t>
      </w:r>
    </w:p>
    <w:p w14:paraId="26F32975" w14:textId="4B4FC490" w:rsidR="00233C9A" w:rsidRPr="00D91282" w:rsidRDefault="00233C9A" w:rsidP="00AC6C54">
      <w:pPr>
        <w:pStyle w:val="CGCTablenote"/>
      </w:pPr>
      <w:r w:rsidRPr="00D91282">
        <w:t>(b)</w:t>
      </w:r>
      <w:r w:rsidRPr="00D91282">
        <w:tab/>
        <w:t>Student populations include both the size of the school student population and the government/non-government mix of students</w:t>
      </w:r>
      <w:r w:rsidR="00DF7AAC">
        <w:t>.</w:t>
      </w:r>
    </w:p>
    <w:p w14:paraId="598A3549" w14:textId="6F87FCE4" w:rsidR="00233C9A" w:rsidRPr="00D91282" w:rsidRDefault="00233C9A" w:rsidP="00AC6C54">
      <w:pPr>
        <w:pStyle w:val="CGCTablenote"/>
      </w:pPr>
      <w:r w:rsidRPr="00D91282">
        <w:t>(c)</w:t>
      </w:r>
      <w:r w:rsidRPr="00D91282">
        <w:tab/>
      </w:r>
      <w:r w:rsidR="002A1328" w:rsidRPr="002A1328">
        <w:t>Effect of change in relativities due to new arrangements. The effect of top-up to pool is not separately identified in this table, as the entire table uses a consistent, topped-up pool</w:t>
      </w:r>
      <w:r w:rsidRPr="00D91282">
        <w:t>.</w:t>
      </w:r>
    </w:p>
    <w:p w14:paraId="5575D6AD" w14:textId="262B0BCF" w:rsidR="00CB347F" w:rsidRPr="00667FA9" w:rsidRDefault="00233C9A" w:rsidP="00AC6C54">
      <w:pPr>
        <w:pStyle w:val="CGCTablenote"/>
      </w:pPr>
      <w:r w:rsidRPr="00D91282">
        <w:t>Source:</w:t>
      </w:r>
      <w:r w:rsidRPr="00D91282">
        <w:tab/>
        <w:t>Commission calculation.</w:t>
      </w:r>
    </w:p>
    <w:sectPr w:rsidR="00CB347F" w:rsidRPr="00667FA9" w:rsidSect="00543264">
      <w:pgSz w:w="11900" w:h="16840"/>
      <w:pgMar w:top="1418" w:right="1418" w:bottom="1418" w:left="1418"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FA52A" w14:textId="77777777" w:rsidR="000C182A" w:rsidRDefault="000C182A" w:rsidP="005C0550">
      <w:pPr>
        <w:spacing w:before="0" w:line="240" w:lineRule="auto"/>
      </w:pPr>
      <w:r>
        <w:separator/>
      </w:r>
    </w:p>
  </w:endnote>
  <w:endnote w:type="continuationSeparator" w:id="0">
    <w:p w14:paraId="53D4F433" w14:textId="77777777" w:rsidR="000C182A" w:rsidRDefault="000C182A" w:rsidP="005C0550">
      <w:pPr>
        <w:spacing w:before="0" w:line="240" w:lineRule="auto"/>
      </w:pPr>
      <w:r>
        <w:continuationSeparator/>
      </w:r>
    </w:p>
  </w:endnote>
  <w:endnote w:type="continuationNotice" w:id="1">
    <w:p w14:paraId="167AD514" w14:textId="77777777" w:rsidR="000C182A" w:rsidRDefault="000C182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Work Sans"/>
    <w:charset w:val="00"/>
    <w:family w:val="auto"/>
    <w:pitch w:val="variable"/>
    <w:sig w:usb0="A00000FF" w:usb1="5000E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Semibold">
    <w:panose1 w:val="020B0706030804020204"/>
    <w:charset w:val="00"/>
    <w:family w:val="swiss"/>
    <w:pitch w:val="variable"/>
    <w:sig w:usb0="E00002EF" w:usb1="4000205B" w:usb2="00000028" w:usb3="00000000" w:csb0="0000019F" w:csb1="00000000"/>
  </w:font>
  <w:font w:name="Montserrat Semi Bold">
    <w:panose1 w:val="000007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5555125"/>
      <w:docPartObj>
        <w:docPartGallery w:val="Page Numbers (Bottom of Page)"/>
        <w:docPartUnique/>
      </w:docPartObj>
    </w:sdtPr>
    <w:sdtEndPr>
      <w:rPr>
        <w:rStyle w:val="PageNumber"/>
      </w:rPr>
    </w:sdtEndPr>
    <w:sdtContent>
      <w:p w14:paraId="74BA921F" w14:textId="6126DBBB" w:rsidR="008B3F9B" w:rsidRDefault="008B3F9B" w:rsidP="009F22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03134E" w14:textId="77777777" w:rsidR="008B3F9B" w:rsidRDefault="008B3F9B" w:rsidP="008B3F9B">
    <w:pPr>
      <w:pStyle w:val="Footer"/>
      <w:ind w:right="360"/>
    </w:pPr>
  </w:p>
  <w:p w14:paraId="1887B699" w14:textId="77777777" w:rsidR="006A39C5" w:rsidRDefault="006A39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194099"/>
      <w:docPartObj>
        <w:docPartGallery w:val="Page Numbers (Bottom of Page)"/>
        <w:docPartUnique/>
      </w:docPartObj>
    </w:sdtPr>
    <w:sdtEndPr>
      <w:rPr>
        <w:noProof/>
      </w:rPr>
    </w:sdtEndPr>
    <w:sdtContent>
      <w:p w14:paraId="3D17B421" w14:textId="55268DA4" w:rsidR="00B01BF5" w:rsidRDefault="00B01B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75D425" w14:textId="727860DE" w:rsidR="006A39C5" w:rsidRPr="00AB51EA" w:rsidRDefault="000C182A" w:rsidP="00AB51EA">
    <w:pPr>
      <w:tabs>
        <w:tab w:val="clear" w:pos="567"/>
        <w:tab w:val="center" w:pos="4513"/>
        <w:tab w:val="right" w:pos="9026"/>
      </w:tabs>
      <w:ind w:right="357"/>
      <w:jc w:val="right"/>
      <w:rPr>
        <w:rFonts w:ascii="Work Sans" w:eastAsia="Calibri" w:hAnsi="Work Sans" w:cs="Open Sans"/>
        <w:bCs/>
        <w:color w:val="004563"/>
      </w:rPr>
    </w:pPr>
    <w:hyperlink r:id="rId1" w:history="1">
      <w:r w:rsidR="00AE2EF4" w:rsidRPr="00AE2EF4">
        <w:rPr>
          <w:rFonts w:ascii="Work Sans" w:eastAsia="Calibri" w:hAnsi="Work Sans" w:cs="Open Sans"/>
          <w:bCs/>
          <w:color w:val="006991"/>
          <w:u w:val="single"/>
        </w:rPr>
        <w:t>www.cgc.gov.au</w:t>
      </w:r>
    </w:hyperlink>
    <w:r w:rsidR="00AE2EF4" w:rsidRPr="00AE2EF4">
      <w:rPr>
        <w:rFonts w:ascii="Work Sans" w:eastAsia="Calibri" w:hAnsi="Work Sans" w:cs="Open Sans"/>
        <w:bCs/>
        <w:color w:val="004563"/>
      </w:rPr>
      <w:tab/>
      <w:t>Research Paper Series</w:t>
    </w:r>
    <w:r w:rsidR="00AE2EF4" w:rsidRPr="00AE2EF4">
      <w:rPr>
        <w:rFonts w:ascii="Work Sans" w:eastAsia="Calibri" w:hAnsi="Work Sans" w:cs="Open Sans"/>
        <w:bCs/>
        <w:color w:val="004563"/>
      </w:rPr>
      <w:tab/>
    </w:r>
    <w:r w:rsidR="001230F5">
      <w:rPr>
        <w:rFonts w:ascii="Work Sans" w:eastAsia="Calibri" w:hAnsi="Work Sans" w:cs="Open Sans"/>
        <w:bCs/>
        <w:color w:val="004563"/>
      </w:rPr>
      <w:t>October</w:t>
    </w:r>
    <w:r w:rsidR="00AE2EF4" w:rsidRPr="00AE2EF4">
      <w:rPr>
        <w:rFonts w:ascii="Work Sans" w:eastAsia="Calibri" w:hAnsi="Work Sans" w:cs="Open Sans"/>
        <w:bCs/>
        <w:color w:val="004563"/>
      </w:rPr>
      <w:t xml:space="preserve"> 202</w:t>
    </w:r>
    <w:r w:rsidR="001230F5">
      <w:rPr>
        <w:rFonts w:ascii="Work Sans" w:eastAsia="Calibri" w:hAnsi="Work Sans" w:cs="Open Sans"/>
        <w:bCs/>
        <w:color w:val="004563"/>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FE274" w14:textId="77777777" w:rsidR="000C182A" w:rsidRDefault="000C182A" w:rsidP="005C0550">
      <w:pPr>
        <w:spacing w:before="0" w:line="240" w:lineRule="auto"/>
      </w:pPr>
      <w:r>
        <w:separator/>
      </w:r>
    </w:p>
  </w:footnote>
  <w:footnote w:type="continuationSeparator" w:id="0">
    <w:p w14:paraId="6DC032D4" w14:textId="77777777" w:rsidR="000C182A" w:rsidRDefault="000C182A" w:rsidP="005C0550">
      <w:pPr>
        <w:spacing w:before="0" w:line="240" w:lineRule="auto"/>
      </w:pPr>
      <w:r>
        <w:continuationSeparator/>
      </w:r>
    </w:p>
  </w:footnote>
  <w:footnote w:type="continuationNotice" w:id="1">
    <w:p w14:paraId="7B4EACC8" w14:textId="77777777" w:rsidR="000C182A" w:rsidRDefault="000C182A">
      <w:pPr>
        <w:spacing w:before="0" w:line="240" w:lineRule="auto"/>
      </w:pPr>
    </w:p>
  </w:footnote>
  <w:footnote w:id="2">
    <w:p w14:paraId="03F4A4FA" w14:textId="77777777" w:rsidR="009102B1" w:rsidRPr="00D91282" w:rsidRDefault="009102B1" w:rsidP="00DD0641">
      <w:pPr>
        <w:pStyle w:val="FootnoteText"/>
        <w:rPr>
          <w:lang w:val="en-US"/>
        </w:rPr>
      </w:pPr>
      <w:r w:rsidRPr="00D91282">
        <w:rPr>
          <w:rStyle w:val="FootnoteReference"/>
        </w:rPr>
        <w:footnoteRef/>
      </w:r>
      <w:r w:rsidRPr="00D91282">
        <w:t xml:space="preserve"> </w:t>
      </w:r>
      <w:r w:rsidRPr="00D91282">
        <w:rPr>
          <w:lang w:val="en-GB"/>
        </w:rPr>
        <w:t xml:space="preserve">The Commission has published an occasional paper on </w:t>
      </w:r>
      <w:r w:rsidRPr="00D91282">
        <w:rPr>
          <w:i/>
          <w:iCs/>
          <w:lang w:val="en-GB"/>
        </w:rPr>
        <w:t>New arrangements for distributing GST</w:t>
      </w:r>
      <w:r w:rsidRPr="00D91282">
        <w:rPr>
          <w:lang w:val="en-GB"/>
        </w:rPr>
        <w:t>, which describes the new approach in more detail.</w:t>
      </w:r>
    </w:p>
  </w:footnote>
  <w:footnote w:id="3">
    <w:p w14:paraId="05C2C700" w14:textId="32ACAB2A" w:rsidR="004D3353" w:rsidRPr="00DD0641" w:rsidRDefault="004D3353" w:rsidP="00DD0641">
      <w:pPr>
        <w:pStyle w:val="FootnoteText"/>
      </w:pPr>
      <w:r w:rsidRPr="00D91282">
        <w:rPr>
          <w:rStyle w:val="FootnoteReference"/>
        </w:rPr>
        <w:footnoteRef/>
      </w:r>
      <w:r w:rsidRPr="00D91282">
        <w:t xml:space="preserve"> </w:t>
      </w:r>
      <w:r w:rsidRPr="00D91282">
        <w:tab/>
      </w:r>
      <w:r w:rsidRPr="00DD0641">
        <w:t xml:space="preserve">A complete table of the drivers of differences in State assessed fiscal capacities for 2021-22 is shown at Appendix 1. The CGC uses data from previous years to calculate the GST required in any given year. This paper looks at trends over time in the GST distribution. Dates refer to the year of the GST allocation. Therefore, references to 2021-22 refer to </w:t>
      </w:r>
      <w:r w:rsidR="000462A4" w:rsidRPr="00DD0641">
        <w:t>2021 Update calculations determining</w:t>
      </w:r>
      <w:r w:rsidR="00934D52" w:rsidRPr="00DD0641">
        <w:t xml:space="preserve"> </w:t>
      </w:r>
      <w:r w:rsidRPr="00DD0641">
        <w:t>GST distributed in 2021-22, based on the circumstances prevailing in 2017 18, 2018-19, 2019-20.</w:t>
      </w:r>
    </w:p>
  </w:footnote>
  <w:footnote w:id="4">
    <w:p w14:paraId="54547C42" w14:textId="77777777" w:rsidR="00300D4B" w:rsidRPr="00D91282" w:rsidRDefault="00300D4B" w:rsidP="00DD0641">
      <w:pPr>
        <w:pStyle w:val="FootnoteText"/>
      </w:pPr>
      <w:r w:rsidRPr="00D91282">
        <w:rPr>
          <w:rStyle w:val="FootnoteReference"/>
        </w:rPr>
        <w:footnoteRef/>
      </w:r>
      <w:r w:rsidRPr="00D91282">
        <w:t xml:space="preserve"> </w:t>
      </w:r>
      <w:r w:rsidRPr="00D91282">
        <w:tab/>
        <w:t xml:space="preserve">In 2012, the ACT started phasing out stamp duty and introducing higher land taxes to compensate for the loss in revenue. The Commission’s assessment assumes all states follow average policy, so this policy change does not affect its GST share. </w:t>
      </w:r>
    </w:p>
  </w:footnote>
  <w:footnote w:id="5">
    <w:p w14:paraId="1F793D9A" w14:textId="2A158228" w:rsidR="00F35611" w:rsidRPr="00655469" w:rsidRDefault="00F35611" w:rsidP="00DD0641">
      <w:pPr>
        <w:pStyle w:val="FootnoteText"/>
        <w:rPr>
          <w:lang w:val="en-US"/>
        </w:rPr>
      </w:pPr>
      <w:r w:rsidRPr="00D91282">
        <w:rPr>
          <w:rStyle w:val="FootnoteReference"/>
        </w:rPr>
        <w:footnoteRef/>
      </w:r>
      <w:r w:rsidRPr="00D91282">
        <w:t xml:space="preserve"> </w:t>
      </w:r>
      <w:r w:rsidRPr="00D91282">
        <w:rPr>
          <w:lang w:val="en-US"/>
        </w:rPr>
        <w:t xml:space="preserve">Commonwealth payments that do not impact on GST relativities have been excluded from this analysis. Payments are excluded if they are for purposes outside state responsibility (such as for aged care or local government services), support services where the CGC has not identified an appropriate assessment (such as environmental expenditure), or where explicitly directed by the federal Treasurer (such as </w:t>
      </w:r>
      <w:r w:rsidR="003358B4">
        <w:rPr>
          <w:lang w:val="en-US"/>
        </w:rPr>
        <w:t>the</w:t>
      </w:r>
      <w:r w:rsidRPr="00D91282">
        <w:rPr>
          <w:lang w:val="en-US"/>
        </w:rPr>
        <w:t xml:space="preserve"> Disability Care Australia Fund).</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54E5" w14:textId="588F6B8C" w:rsidR="00886DFD" w:rsidRDefault="00886DFD">
    <w:pPr>
      <w:pStyle w:val="Header"/>
    </w:pPr>
    <w:r w:rsidRPr="00D91282">
      <w:rPr>
        <w:noProof/>
      </w:rPr>
      <w:drawing>
        <wp:anchor distT="0" distB="0" distL="114300" distR="114300" simplePos="0" relativeHeight="251658244" behindDoc="1" locked="1" layoutInCell="1" allowOverlap="1" wp14:anchorId="111DC17D" wp14:editId="5F677347">
          <wp:simplePos x="0" y="0"/>
          <wp:positionH relativeFrom="page">
            <wp:posOffset>-6985</wp:posOffset>
          </wp:positionH>
          <wp:positionV relativeFrom="page">
            <wp:posOffset>8255</wp:posOffset>
          </wp:positionV>
          <wp:extent cx="7563485" cy="10690225"/>
          <wp:effectExtent l="0" t="0" r="0" b="0"/>
          <wp:wrapNone/>
          <wp:docPr id="49" name="Picture 4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59C9" w14:textId="713926D7" w:rsidR="00C25219" w:rsidRDefault="00AB73C2">
    <w:pPr>
      <w:pStyle w:val="Header"/>
    </w:pPr>
    <w:r>
      <w:rPr>
        <w:noProof/>
      </w:rPr>
      <w:drawing>
        <wp:anchor distT="0" distB="0" distL="114300" distR="114300" simplePos="0" relativeHeight="251658240" behindDoc="1" locked="0" layoutInCell="1" allowOverlap="1" wp14:anchorId="3D0DD578" wp14:editId="34A479C4">
          <wp:simplePos x="0" y="0"/>
          <wp:positionH relativeFrom="column">
            <wp:posOffset>-899907</wp:posOffset>
          </wp:positionH>
          <wp:positionV relativeFrom="paragraph">
            <wp:posOffset>-469723</wp:posOffset>
          </wp:positionV>
          <wp:extent cx="7562789" cy="10689589"/>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3" behindDoc="1" locked="0" layoutInCell="1" allowOverlap="1" wp14:anchorId="5E0448FF" wp14:editId="3893EFC1">
          <wp:simplePos x="0" y="0"/>
          <wp:positionH relativeFrom="column">
            <wp:posOffset>-923290</wp:posOffset>
          </wp:positionH>
          <wp:positionV relativeFrom="paragraph">
            <wp:posOffset>10351135</wp:posOffset>
          </wp:positionV>
          <wp:extent cx="7580630" cy="10691495"/>
          <wp:effectExtent l="0" t="0" r="127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2" behindDoc="1" locked="0" layoutInCell="1" allowOverlap="1" wp14:anchorId="2CFE1E5C" wp14:editId="795823A5">
          <wp:simplePos x="0" y="0"/>
          <wp:positionH relativeFrom="column">
            <wp:posOffset>-900430</wp:posOffset>
          </wp:positionH>
          <wp:positionV relativeFrom="paragraph">
            <wp:posOffset>10362565</wp:posOffset>
          </wp:positionV>
          <wp:extent cx="7580630" cy="10691495"/>
          <wp:effectExtent l="0" t="0" r="127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1" behindDoc="1" locked="0" layoutInCell="1" allowOverlap="1" wp14:anchorId="355101D3" wp14:editId="6682A560">
          <wp:simplePos x="0" y="0"/>
          <wp:positionH relativeFrom="column">
            <wp:posOffset>-1037590</wp:posOffset>
          </wp:positionH>
          <wp:positionV relativeFrom="paragraph">
            <wp:posOffset>10328275</wp:posOffset>
          </wp:positionV>
          <wp:extent cx="7683500" cy="10836275"/>
          <wp:effectExtent l="38100" t="38100" r="63500" b="349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71B9C"/>
    <w:multiLevelType w:val="hybridMultilevel"/>
    <w:tmpl w:val="9E1AF732"/>
    <w:lvl w:ilvl="0" w:tplc="D4FA3AEA">
      <w:start w:val="1"/>
      <w:numFmt w:val="bullet"/>
      <w:lvlText w:val=""/>
      <w:lvlJc w:val="left"/>
      <w:pPr>
        <w:ind w:left="72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5A2F29"/>
    <w:multiLevelType w:val="hybridMultilevel"/>
    <w:tmpl w:val="BD72730A"/>
    <w:lvl w:ilvl="0" w:tplc="BEAEC32A">
      <w:start w:val="1"/>
      <w:numFmt w:val="decimal"/>
      <w:lvlText w:val="%1"/>
      <w:lvlJc w:val="left"/>
      <w:pPr>
        <w:ind w:left="720" w:hanging="360"/>
      </w:pPr>
      <w:rPr>
        <w:rFonts w:ascii="Open Sans Light" w:hAnsi="Open Sans Light" w:hint="default"/>
        <w:b w:val="0"/>
        <w:i w:val="0"/>
        <w:caps w:val="0"/>
        <w:strike w:val="0"/>
        <w:dstrike w:val="0"/>
        <w:vanish w:val="0"/>
        <w:color w:val="auto"/>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FE17F2"/>
    <w:multiLevelType w:val="hybridMultilevel"/>
    <w:tmpl w:val="23C824E4"/>
    <w:lvl w:ilvl="0" w:tplc="B1E2BBA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5BDA78CA"/>
    <w:multiLevelType w:val="hybridMultilevel"/>
    <w:tmpl w:val="02E45C5C"/>
    <w:lvl w:ilvl="0" w:tplc="B7585008">
      <w:start w:val="1"/>
      <w:numFmt w:val="bullet"/>
      <w:pStyle w:val="CGCBullet1"/>
      <w:lvlText w:val=""/>
      <w:lvlJc w:val="left"/>
      <w:pPr>
        <w:ind w:left="720" w:hanging="360"/>
      </w:pPr>
      <w:rPr>
        <w:rFonts w:ascii="Symbol" w:hAnsi="Symbol" w:hint="default"/>
        <w:color w:val="0080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15701E9"/>
    <w:multiLevelType w:val="hybridMultilevel"/>
    <w:tmpl w:val="0B7E28DC"/>
    <w:lvl w:ilvl="0" w:tplc="C0B6828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50"/>
    <w:rsid w:val="00000105"/>
    <w:rsid w:val="00000BDE"/>
    <w:rsid w:val="00006E15"/>
    <w:rsid w:val="00007471"/>
    <w:rsid w:val="0000748C"/>
    <w:rsid w:val="00010AA7"/>
    <w:rsid w:val="00012894"/>
    <w:rsid w:val="000128F4"/>
    <w:rsid w:val="00013CC1"/>
    <w:rsid w:val="00015E8A"/>
    <w:rsid w:val="00020F63"/>
    <w:rsid w:val="00023B66"/>
    <w:rsid w:val="000276FF"/>
    <w:rsid w:val="00030A46"/>
    <w:rsid w:val="00030DDD"/>
    <w:rsid w:val="000317CF"/>
    <w:rsid w:val="0003180A"/>
    <w:rsid w:val="00032CE9"/>
    <w:rsid w:val="000330D5"/>
    <w:rsid w:val="00042729"/>
    <w:rsid w:val="0004553A"/>
    <w:rsid w:val="00045DBB"/>
    <w:rsid w:val="000462A4"/>
    <w:rsid w:val="000465DF"/>
    <w:rsid w:val="00046EF9"/>
    <w:rsid w:val="000471A6"/>
    <w:rsid w:val="000478C1"/>
    <w:rsid w:val="0005073D"/>
    <w:rsid w:val="0005454A"/>
    <w:rsid w:val="00056708"/>
    <w:rsid w:val="0006098C"/>
    <w:rsid w:val="00060DD8"/>
    <w:rsid w:val="000613D5"/>
    <w:rsid w:val="00064679"/>
    <w:rsid w:val="00072F43"/>
    <w:rsid w:val="00073400"/>
    <w:rsid w:val="00074A3F"/>
    <w:rsid w:val="00074EB6"/>
    <w:rsid w:val="000759D5"/>
    <w:rsid w:val="00086E53"/>
    <w:rsid w:val="00087CD6"/>
    <w:rsid w:val="00090AD3"/>
    <w:rsid w:val="00090DF1"/>
    <w:rsid w:val="0009247C"/>
    <w:rsid w:val="000940FE"/>
    <w:rsid w:val="000945A7"/>
    <w:rsid w:val="00094917"/>
    <w:rsid w:val="000A0672"/>
    <w:rsid w:val="000A12CE"/>
    <w:rsid w:val="000A1F83"/>
    <w:rsid w:val="000A225D"/>
    <w:rsid w:val="000A2BBD"/>
    <w:rsid w:val="000A2F8C"/>
    <w:rsid w:val="000A3197"/>
    <w:rsid w:val="000A452C"/>
    <w:rsid w:val="000A54CE"/>
    <w:rsid w:val="000B5EC9"/>
    <w:rsid w:val="000B6411"/>
    <w:rsid w:val="000B7490"/>
    <w:rsid w:val="000C182A"/>
    <w:rsid w:val="000C4121"/>
    <w:rsid w:val="000C4A5F"/>
    <w:rsid w:val="000C521F"/>
    <w:rsid w:val="000C5936"/>
    <w:rsid w:val="000C5F84"/>
    <w:rsid w:val="000C6A05"/>
    <w:rsid w:val="000C7F03"/>
    <w:rsid w:val="000D1423"/>
    <w:rsid w:val="000D2DB5"/>
    <w:rsid w:val="000D393A"/>
    <w:rsid w:val="000D3B44"/>
    <w:rsid w:val="000D5514"/>
    <w:rsid w:val="000D6890"/>
    <w:rsid w:val="000E2EE5"/>
    <w:rsid w:val="000E3571"/>
    <w:rsid w:val="000E413D"/>
    <w:rsid w:val="000E47EA"/>
    <w:rsid w:val="000E74EE"/>
    <w:rsid w:val="000F249B"/>
    <w:rsid w:val="000F32DE"/>
    <w:rsid w:val="000F3A27"/>
    <w:rsid w:val="000F4F2A"/>
    <w:rsid w:val="000F53DF"/>
    <w:rsid w:val="000F7041"/>
    <w:rsid w:val="000F7358"/>
    <w:rsid w:val="00102DE9"/>
    <w:rsid w:val="00102ED3"/>
    <w:rsid w:val="0010381D"/>
    <w:rsid w:val="001038CE"/>
    <w:rsid w:val="00105CBA"/>
    <w:rsid w:val="00106BE1"/>
    <w:rsid w:val="00107370"/>
    <w:rsid w:val="00113C48"/>
    <w:rsid w:val="001157E1"/>
    <w:rsid w:val="00117E05"/>
    <w:rsid w:val="00120C8B"/>
    <w:rsid w:val="001230F5"/>
    <w:rsid w:val="00125DB3"/>
    <w:rsid w:val="00126FAE"/>
    <w:rsid w:val="001303FC"/>
    <w:rsid w:val="00131AB8"/>
    <w:rsid w:val="00133E6B"/>
    <w:rsid w:val="001347A2"/>
    <w:rsid w:val="00135E64"/>
    <w:rsid w:val="00140C64"/>
    <w:rsid w:val="0014158A"/>
    <w:rsid w:val="001452B6"/>
    <w:rsid w:val="00146C39"/>
    <w:rsid w:val="00146D79"/>
    <w:rsid w:val="0015205C"/>
    <w:rsid w:val="00152D99"/>
    <w:rsid w:val="00153DDF"/>
    <w:rsid w:val="00155232"/>
    <w:rsid w:val="001558F3"/>
    <w:rsid w:val="00155FA7"/>
    <w:rsid w:val="001563DD"/>
    <w:rsid w:val="00157F84"/>
    <w:rsid w:val="00161A39"/>
    <w:rsid w:val="00161D92"/>
    <w:rsid w:val="00162AAC"/>
    <w:rsid w:val="001642B8"/>
    <w:rsid w:val="0016454C"/>
    <w:rsid w:val="00167802"/>
    <w:rsid w:val="00167BF3"/>
    <w:rsid w:val="0017088D"/>
    <w:rsid w:val="00170C21"/>
    <w:rsid w:val="001710D0"/>
    <w:rsid w:val="00171F18"/>
    <w:rsid w:val="001727DA"/>
    <w:rsid w:val="00175436"/>
    <w:rsid w:val="00175D5B"/>
    <w:rsid w:val="00176342"/>
    <w:rsid w:val="00180BC4"/>
    <w:rsid w:val="001823F5"/>
    <w:rsid w:val="00183B53"/>
    <w:rsid w:val="00184AEA"/>
    <w:rsid w:val="0018755C"/>
    <w:rsid w:val="00190FDF"/>
    <w:rsid w:val="00193203"/>
    <w:rsid w:val="001936FF"/>
    <w:rsid w:val="00193DCC"/>
    <w:rsid w:val="00195E98"/>
    <w:rsid w:val="00196D31"/>
    <w:rsid w:val="001A0AB1"/>
    <w:rsid w:val="001A0FF9"/>
    <w:rsid w:val="001A1604"/>
    <w:rsid w:val="001A2AA7"/>
    <w:rsid w:val="001A466C"/>
    <w:rsid w:val="001A472C"/>
    <w:rsid w:val="001A548C"/>
    <w:rsid w:val="001A6002"/>
    <w:rsid w:val="001A6D45"/>
    <w:rsid w:val="001B06CC"/>
    <w:rsid w:val="001B2592"/>
    <w:rsid w:val="001B54F8"/>
    <w:rsid w:val="001B66C4"/>
    <w:rsid w:val="001B70A2"/>
    <w:rsid w:val="001B72D7"/>
    <w:rsid w:val="001B7AEE"/>
    <w:rsid w:val="001C00BB"/>
    <w:rsid w:val="001C06F1"/>
    <w:rsid w:val="001C1AED"/>
    <w:rsid w:val="001C5449"/>
    <w:rsid w:val="001C6619"/>
    <w:rsid w:val="001D0876"/>
    <w:rsid w:val="001D1593"/>
    <w:rsid w:val="001D1FFF"/>
    <w:rsid w:val="001D4DC3"/>
    <w:rsid w:val="001D4EC5"/>
    <w:rsid w:val="001D639E"/>
    <w:rsid w:val="001D63A1"/>
    <w:rsid w:val="001D6461"/>
    <w:rsid w:val="001E1C04"/>
    <w:rsid w:val="001E228E"/>
    <w:rsid w:val="001E4853"/>
    <w:rsid w:val="001E66B2"/>
    <w:rsid w:val="001E6CD0"/>
    <w:rsid w:val="001F0152"/>
    <w:rsid w:val="001F0353"/>
    <w:rsid w:val="001F0462"/>
    <w:rsid w:val="001F15F1"/>
    <w:rsid w:val="001F25E9"/>
    <w:rsid w:val="001F3392"/>
    <w:rsid w:val="001F4A75"/>
    <w:rsid w:val="001F656C"/>
    <w:rsid w:val="001F6982"/>
    <w:rsid w:val="001F76CA"/>
    <w:rsid w:val="001F7A6F"/>
    <w:rsid w:val="0020760C"/>
    <w:rsid w:val="00210A02"/>
    <w:rsid w:val="00214161"/>
    <w:rsid w:val="00215283"/>
    <w:rsid w:val="00215D01"/>
    <w:rsid w:val="00216A61"/>
    <w:rsid w:val="00217FAE"/>
    <w:rsid w:val="00220BB8"/>
    <w:rsid w:val="00220F74"/>
    <w:rsid w:val="00221429"/>
    <w:rsid w:val="00221573"/>
    <w:rsid w:val="002220E6"/>
    <w:rsid w:val="00222216"/>
    <w:rsid w:val="00222667"/>
    <w:rsid w:val="00222A48"/>
    <w:rsid w:val="00224A04"/>
    <w:rsid w:val="00226FD6"/>
    <w:rsid w:val="002277A7"/>
    <w:rsid w:val="00227C27"/>
    <w:rsid w:val="00233C9A"/>
    <w:rsid w:val="00234822"/>
    <w:rsid w:val="00237651"/>
    <w:rsid w:val="002377EC"/>
    <w:rsid w:val="00237E84"/>
    <w:rsid w:val="0024078A"/>
    <w:rsid w:val="0024326E"/>
    <w:rsid w:val="002437FD"/>
    <w:rsid w:val="0024505B"/>
    <w:rsid w:val="0024537A"/>
    <w:rsid w:val="00247D02"/>
    <w:rsid w:val="00247F36"/>
    <w:rsid w:val="00250980"/>
    <w:rsid w:val="002531A5"/>
    <w:rsid w:val="0025378C"/>
    <w:rsid w:val="00253F50"/>
    <w:rsid w:val="00260ADB"/>
    <w:rsid w:val="00261FA5"/>
    <w:rsid w:val="002635AE"/>
    <w:rsid w:val="00263E24"/>
    <w:rsid w:val="002642E6"/>
    <w:rsid w:val="002653ED"/>
    <w:rsid w:val="0026595E"/>
    <w:rsid w:val="00271836"/>
    <w:rsid w:val="002721EA"/>
    <w:rsid w:val="00274686"/>
    <w:rsid w:val="00274C2C"/>
    <w:rsid w:val="002752BD"/>
    <w:rsid w:val="00276C04"/>
    <w:rsid w:val="00280AD1"/>
    <w:rsid w:val="00282CE8"/>
    <w:rsid w:val="00285FF1"/>
    <w:rsid w:val="002860A2"/>
    <w:rsid w:val="0029197E"/>
    <w:rsid w:val="00292032"/>
    <w:rsid w:val="00292588"/>
    <w:rsid w:val="002931D2"/>
    <w:rsid w:val="00295F9B"/>
    <w:rsid w:val="00296E27"/>
    <w:rsid w:val="002A0390"/>
    <w:rsid w:val="002A0DD3"/>
    <w:rsid w:val="002A0FA6"/>
    <w:rsid w:val="002A1328"/>
    <w:rsid w:val="002A1BDB"/>
    <w:rsid w:val="002A23E3"/>
    <w:rsid w:val="002A2AA9"/>
    <w:rsid w:val="002A48DE"/>
    <w:rsid w:val="002A5663"/>
    <w:rsid w:val="002A66A6"/>
    <w:rsid w:val="002B16FA"/>
    <w:rsid w:val="002B21C5"/>
    <w:rsid w:val="002B30CD"/>
    <w:rsid w:val="002C0E2F"/>
    <w:rsid w:val="002C561B"/>
    <w:rsid w:val="002C5918"/>
    <w:rsid w:val="002D1190"/>
    <w:rsid w:val="002D1360"/>
    <w:rsid w:val="002D20F6"/>
    <w:rsid w:val="002D321B"/>
    <w:rsid w:val="002D3534"/>
    <w:rsid w:val="002D35B5"/>
    <w:rsid w:val="002D47BB"/>
    <w:rsid w:val="002D4D5B"/>
    <w:rsid w:val="002D5989"/>
    <w:rsid w:val="002D72B9"/>
    <w:rsid w:val="002E1109"/>
    <w:rsid w:val="002E1C5C"/>
    <w:rsid w:val="002E5477"/>
    <w:rsid w:val="002E67DD"/>
    <w:rsid w:val="002E75ED"/>
    <w:rsid w:val="002E763D"/>
    <w:rsid w:val="002F000A"/>
    <w:rsid w:val="002F0961"/>
    <w:rsid w:val="002F1088"/>
    <w:rsid w:val="002F16FF"/>
    <w:rsid w:val="002F70A5"/>
    <w:rsid w:val="00300D4B"/>
    <w:rsid w:val="003012A0"/>
    <w:rsid w:val="003056CE"/>
    <w:rsid w:val="00307725"/>
    <w:rsid w:val="00307C38"/>
    <w:rsid w:val="003125A5"/>
    <w:rsid w:val="00313E2D"/>
    <w:rsid w:val="003140B8"/>
    <w:rsid w:val="00314AFC"/>
    <w:rsid w:val="0031617F"/>
    <w:rsid w:val="003174BB"/>
    <w:rsid w:val="00317DF6"/>
    <w:rsid w:val="003205EE"/>
    <w:rsid w:val="00320E83"/>
    <w:rsid w:val="003210AC"/>
    <w:rsid w:val="003219F2"/>
    <w:rsid w:val="00321E72"/>
    <w:rsid w:val="003226A5"/>
    <w:rsid w:val="00323007"/>
    <w:rsid w:val="00325227"/>
    <w:rsid w:val="00325D08"/>
    <w:rsid w:val="003300AD"/>
    <w:rsid w:val="003319FA"/>
    <w:rsid w:val="00333267"/>
    <w:rsid w:val="0033465D"/>
    <w:rsid w:val="00334D5F"/>
    <w:rsid w:val="003358B4"/>
    <w:rsid w:val="0033683E"/>
    <w:rsid w:val="00341A06"/>
    <w:rsid w:val="00343BC3"/>
    <w:rsid w:val="00344C00"/>
    <w:rsid w:val="00345CA7"/>
    <w:rsid w:val="003536A0"/>
    <w:rsid w:val="00355151"/>
    <w:rsid w:val="003553ED"/>
    <w:rsid w:val="00356FD4"/>
    <w:rsid w:val="003573CA"/>
    <w:rsid w:val="00357D49"/>
    <w:rsid w:val="00360809"/>
    <w:rsid w:val="00362BD1"/>
    <w:rsid w:val="003631EA"/>
    <w:rsid w:val="00365010"/>
    <w:rsid w:val="00365A15"/>
    <w:rsid w:val="003665E2"/>
    <w:rsid w:val="00371FD1"/>
    <w:rsid w:val="00372DA4"/>
    <w:rsid w:val="003740A7"/>
    <w:rsid w:val="003759A1"/>
    <w:rsid w:val="00375B2B"/>
    <w:rsid w:val="00376BC1"/>
    <w:rsid w:val="00377BE4"/>
    <w:rsid w:val="0038019E"/>
    <w:rsid w:val="00380967"/>
    <w:rsid w:val="003827E2"/>
    <w:rsid w:val="00383488"/>
    <w:rsid w:val="0038372C"/>
    <w:rsid w:val="0038681E"/>
    <w:rsid w:val="003868DE"/>
    <w:rsid w:val="00390527"/>
    <w:rsid w:val="00390D66"/>
    <w:rsid w:val="00391832"/>
    <w:rsid w:val="00392F48"/>
    <w:rsid w:val="00393E2D"/>
    <w:rsid w:val="00395AFB"/>
    <w:rsid w:val="00395ECC"/>
    <w:rsid w:val="003964A0"/>
    <w:rsid w:val="003975AA"/>
    <w:rsid w:val="00397E24"/>
    <w:rsid w:val="003A04D1"/>
    <w:rsid w:val="003A1733"/>
    <w:rsid w:val="003A1AD6"/>
    <w:rsid w:val="003A39C2"/>
    <w:rsid w:val="003A3A55"/>
    <w:rsid w:val="003A59E9"/>
    <w:rsid w:val="003A605D"/>
    <w:rsid w:val="003A61E0"/>
    <w:rsid w:val="003A6452"/>
    <w:rsid w:val="003A77C8"/>
    <w:rsid w:val="003A7F40"/>
    <w:rsid w:val="003B1FA2"/>
    <w:rsid w:val="003B3FD3"/>
    <w:rsid w:val="003B67A9"/>
    <w:rsid w:val="003B7181"/>
    <w:rsid w:val="003B767B"/>
    <w:rsid w:val="003C05D3"/>
    <w:rsid w:val="003C232D"/>
    <w:rsid w:val="003C448B"/>
    <w:rsid w:val="003C48C1"/>
    <w:rsid w:val="003C4964"/>
    <w:rsid w:val="003C5172"/>
    <w:rsid w:val="003C54BF"/>
    <w:rsid w:val="003C612E"/>
    <w:rsid w:val="003C78A4"/>
    <w:rsid w:val="003C7BC2"/>
    <w:rsid w:val="003D331C"/>
    <w:rsid w:val="003D4A64"/>
    <w:rsid w:val="003D59FF"/>
    <w:rsid w:val="003E2F2D"/>
    <w:rsid w:val="003E3202"/>
    <w:rsid w:val="003E4EC5"/>
    <w:rsid w:val="003E5913"/>
    <w:rsid w:val="003E67DD"/>
    <w:rsid w:val="003E712E"/>
    <w:rsid w:val="003E7580"/>
    <w:rsid w:val="003F1722"/>
    <w:rsid w:val="003F2D67"/>
    <w:rsid w:val="003F4E02"/>
    <w:rsid w:val="00400247"/>
    <w:rsid w:val="00402B3C"/>
    <w:rsid w:val="004033BF"/>
    <w:rsid w:val="00404626"/>
    <w:rsid w:val="0040515C"/>
    <w:rsid w:val="00405C67"/>
    <w:rsid w:val="00417D3F"/>
    <w:rsid w:val="00420BBB"/>
    <w:rsid w:val="0042152E"/>
    <w:rsid w:val="00422F1C"/>
    <w:rsid w:val="004256BF"/>
    <w:rsid w:val="00430A20"/>
    <w:rsid w:val="0043255E"/>
    <w:rsid w:val="004346B4"/>
    <w:rsid w:val="004356EA"/>
    <w:rsid w:val="0044071D"/>
    <w:rsid w:val="004408F8"/>
    <w:rsid w:val="004409BB"/>
    <w:rsid w:val="00440A17"/>
    <w:rsid w:val="00440E54"/>
    <w:rsid w:val="00443876"/>
    <w:rsid w:val="00443DBC"/>
    <w:rsid w:val="00444214"/>
    <w:rsid w:val="00444DB6"/>
    <w:rsid w:val="0044643F"/>
    <w:rsid w:val="004468A0"/>
    <w:rsid w:val="00450235"/>
    <w:rsid w:val="00450A8A"/>
    <w:rsid w:val="004516E5"/>
    <w:rsid w:val="0045268D"/>
    <w:rsid w:val="0045527D"/>
    <w:rsid w:val="0045537F"/>
    <w:rsid w:val="00455F43"/>
    <w:rsid w:val="00456AF5"/>
    <w:rsid w:val="00457374"/>
    <w:rsid w:val="00457526"/>
    <w:rsid w:val="00462025"/>
    <w:rsid w:val="00464E2A"/>
    <w:rsid w:val="00465DD5"/>
    <w:rsid w:val="00466055"/>
    <w:rsid w:val="004662D7"/>
    <w:rsid w:val="004664DE"/>
    <w:rsid w:val="004700D2"/>
    <w:rsid w:val="00470A7C"/>
    <w:rsid w:val="00471E3D"/>
    <w:rsid w:val="00473120"/>
    <w:rsid w:val="00474F7E"/>
    <w:rsid w:val="00477ACC"/>
    <w:rsid w:val="00477DCA"/>
    <w:rsid w:val="00480BA4"/>
    <w:rsid w:val="00482574"/>
    <w:rsid w:val="004839FC"/>
    <w:rsid w:val="004870F0"/>
    <w:rsid w:val="00487BD1"/>
    <w:rsid w:val="0049032A"/>
    <w:rsid w:val="00491721"/>
    <w:rsid w:val="004918D6"/>
    <w:rsid w:val="0049478E"/>
    <w:rsid w:val="004A2621"/>
    <w:rsid w:val="004A36AF"/>
    <w:rsid w:val="004A52CA"/>
    <w:rsid w:val="004A6B13"/>
    <w:rsid w:val="004A769D"/>
    <w:rsid w:val="004B2E5F"/>
    <w:rsid w:val="004B4D11"/>
    <w:rsid w:val="004B600B"/>
    <w:rsid w:val="004B7AD4"/>
    <w:rsid w:val="004C0931"/>
    <w:rsid w:val="004C0AA6"/>
    <w:rsid w:val="004C117A"/>
    <w:rsid w:val="004C6256"/>
    <w:rsid w:val="004C78B6"/>
    <w:rsid w:val="004D19D4"/>
    <w:rsid w:val="004D1F3D"/>
    <w:rsid w:val="004D217C"/>
    <w:rsid w:val="004D3353"/>
    <w:rsid w:val="004D34E4"/>
    <w:rsid w:val="004D3C89"/>
    <w:rsid w:val="004D59D4"/>
    <w:rsid w:val="004D6206"/>
    <w:rsid w:val="004D63D4"/>
    <w:rsid w:val="004D6F9E"/>
    <w:rsid w:val="004E2480"/>
    <w:rsid w:val="004E6999"/>
    <w:rsid w:val="004E7052"/>
    <w:rsid w:val="004E70BB"/>
    <w:rsid w:val="004F0B64"/>
    <w:rsid w:val="004F4A58"/>
    <w:rsid w:val="004F74C9"/>
    <w:rsid w:val="00501600"/>
    <w:rsid w:val="00501646"/>
    <w:rsid w:val="00501732"/>
    <w:rsid w:val="00501D3D"/>
    <w:rsid w:val="00501FFE"/>
    <w:rsid w:val="005030BE"/>
    <w:rsid w:val="00505820"/>
    <w:rsid w:val="00507992"/>
    <w:rsid w:val="0051038F"/>
    <w:rsid w:val="00511B75"/>
    <w:rsid w:val="00515333"/>
    <w:rsid w:val="005209E0"/>
    <w:rsid w:val="0052176C"/>
    <w:rsid w:val="00527862"/>
    <w:rsid w:val="00527CB2"/>
    <w:rsid w:val="005300BB"/>
    <w:rsid w:val="0053033D"/>
    <w:rsid w:val="00530581"/>
    <w:rsid w:val="005315CE"/>
    <w:rsid w:val="00531F42"/>
    <w:rsid w:val="0053283D"/>
    <w:rsid w:val="00532E94"/>
    <w:rsid w:val="005358F6"/>
    <w:rsid w:val="00536F33"/>
    <w:rsid w:val="00537EC2"/>
    <w:rsid w:val="0054084E"/>
    <w:rsid w:val="00542C46"/>
    <w:rsid w:val="00543264"/>
    <w:rsid w:val="0054388E"/>
    <w:rsid w:val="0054468E"/>
    <w:rsid w:val="00545F0E"/>
    <w:rsid w:val="005504D6"/>
    <w:rsid w:val="00551D7A"/>
    <w:rsid w:val="005531BF"/>
    <w:rsid w:val="00553D76"/>
    <w:rsid w:val="005543D4"/>
    <w:rsid w:val="00554E82"/>
    <w:rsid w:val="00556D74"/>
    <w:rsid w:val="0055739B"/>
    <w:rsid w:val="00561B29"/>
    <w:rsid w:val="00561DCE"/>
    <w:rsid w:val="00563B14"/>
    <w:rsid w:val="005640D1"/>
    <w:rsid w:val="0056450D"/>
    <w:rsid w:val="0057281D"/>
    <w:rsid w:val="00573126"/>
    <w:rsid w:val="00573292"/>
    <w:rsid w:val="005771E8"/>
    <w:rsid w:val="005779B5"/>
    <w:rsid w:val="00577EB7"/>
    <w:rsid w:val="005801FB"/>
    <w:rsid w:val="005802C2"/>
    <w:rsid w:val="005809C1"/>
    <w:rsid w:val="00580C30"/>
    <w:rsid w:val="005825B3"/>
    <w:rsid w:val="005865FA"/>
    <w:rsid w:val="005914A2"/>
    <w:rsid w:val="00591CE3"/>
    <w:rsid w:val="00593085"/>
    <w:rsid w:val="00594F25"/>
    <w:rsid w:val="00595AFC"/>
    <w:rsid w:val="005A014A"/>
    <w:rsid w:val="005A2C26"/>
    <w:rsid w:val="005A301B"/>
    <w:rsid w:val="005A33F1"/>
    <w:rsid w:val="005A5BA8"/>
    <w:rsid w:val="005A5BFD"/>
    <w:rsid w:val="005A74B5"/>
    <w:rsid w:val="005B19C0"/>
    <w:rsid w:val="005B266B"/>
    <w:rsid w:val="005B5323"/>
    <w:rsid w:val="005C0550"/>
    <w:rsid w:val="005C1B83"/>
    <w:rsid w:val="005C1BF9"/>
    <w:rsid w:val="005C276A"/>
    <w:rsid w:val="005C2F9C"/>
    <w:rsid w:val="005C3172"/>
    <w:rsid w:val="005C3445"/>
    <w:rsid w:val="005C3667"/>
    <w:rsid w:val="005C4FE7"/>
    <w:rsid w:val="005C645D"/>
    <w:rsid w:val="005D0751"/>
    <w:rsid w:val="005D07BE"/>
    <w:rsid w:val="005D0AD1"/>
    <w:rsid w:val="005D2B9E"/>
    <w:rsid w:val="005D5214"/>
    <w:rsid w:val="005D6FDF"/>
    <w:rsid w:val="005D7039"/>
    <w:rsid w:val="005D70D2"/>
    <w:rsid w:val="005E049D"/>
    <w:rsid w:val="005E2901"/>
    <w:rsid w:val="005E293A"/>
    <w:rsid w:val="005E30B1"/>
    <w:rsid w:val="005E3347"/>
    <w:rsid w:val="005E3433"/>
    <w:rsid w:val="005E3FA2"/>
    <w:rsid w:val="005E3FB2"/>
    <w:rsid w:val="005E4547"/>
    <w:rsid w:val="005E4E4D"/>
    <w:rsid w:val="005E534C"/>
    <w:rsid w:val="005E56D9"/>
    <w:rsid w:val="005E5C95"/>
    <w:rsid w:val="005E762E"/>
    <w:rsid w:val="005E7C30"/>
    <w:rsid w:val="005E7F63"/>
    <w:rsid w:val="005F1442"/>
    <w:rsid w:val="005F16BE"/>
    <w:rsid w:val="005F1DC9"/>
    <w:rsid w:val="005F2ACD"/>
    <w:rsid w:val="005F73F0"/>
    <w:rsid w:val="00600974"/>
    <w:rsid w:val="00600EF7"/>
    <w:rsid w:val="00601DF9"/>
    <w:rsid w:val="00602179"/>
    <w:rsid w:val="00603A66"/>
    <w:rsid w:val="00604353"/>
    <w:rsid w:val="00604BAA"/>
    <w:rsid w:val="006055F5"/>
    <w:rsid w:val="00605FEC"/>
    <w:rsid w:val="00611CDF"/>
    <w:rsid w:val="00612001"/>
    <w:rsid w:val="00613FB1"/>
    <w:rsid w:val="00613FB3"/>
    <w:rsid w:val="00614B6C"/>
    <w:rsid w:val="00617EAC"/>
    <w:rsid w:val="006207B1"/>
    <w:rsid w:val="006211BD"/>
    <w:rsid w:val="00622CCB"/>
    <w:rsid w:val="00623C0F"/>
    <w:rsid w:val="006252E5"/>
    <w:rsid w:val="006265AE"/>
    <w:rsid w:val="00627297"/>
    <w:rsid w:val="00627B98"/>
    <w:rsid w:val="0063025E"/>
    <w:rsid w:val="00632EF7"/>
    <w:rsid w:val="0063498C"/>
    <w:rsid w:val="0063645E"/>
    <w:rsid w:val="0064252E"/>
    <w:rsid w:val="00642942"/>
    <w:rsid w:val="00642ACF"/>
    <w:rsid w:val="00642CDD"/>
    <w:rsid w:val="006451FC"/>
    <w:rsid w:val="00645CC9"/>
    <w:rsid w:val="00647E09"/>
    <w:rsid w:val="006505C0"/>
    <w:rsid w:val="00651764"/>
    <w:rsid w:val="00652781"/>
    <w:rsid w:val="00653BFE"/>
    <w:rsid w:val="00656980"/>
    <w:rsid w:val="00657D96"/>
    <w:rsid w:val="00657F5C"/>
    <w:rsid w:val="00657FEF"/>
    <w:rsid w:val="00660DD9"/>
    <w:rsid w:val="00661FCD"/>
    <w:rsid w:val="00662035"/>
    <w:rsid w:val="00662179"/>
    <w:rsid w:val="0066410B"/>
    <w:rsid w:val="00667249"/>
    <w:rsid w:val="00667FA9"/>
    <w:rsid w:val="00670191"/>
    <w:rsid w:val="00670411"/>
    <w:rsid w:val="0067340B"/>
    <w:rsid w:val="00673C84"/>
    <w:rsid w:val="00674674"/>
    <w:rsid w:val="00674956"/>
    <w:rsid w:val="00675315"/>
    <w:rsid w:val="00676DC4"/>
    <w:rsid w:val="006807E6"/>
    <w:rsid w:val="00683482"/>
    <w:rsid w:val="00684823"/>
    <w:rsid w:val="00685B9A"/>
    <w:rsid w:val="00696005"/>
    <w:rsid w:val="006960B5"/>
    <w:rsid w:val="006960C5"/>
    <w:rsid w:val="00696353"/>
    <w:rsid w:val="00696C8A"/>
    <w:rsid w:val="00696CDB"/>
    <w:rsid w:val="00696E14"/>
    <w:rsid w:val="006A0AF5"/>
    <w:rsid w:val="006A0DE5"/>
    <w:rsid w:val="006A0E4E"/>
    <w:rsid w:val="006A39C5"/>
    <w:rsid w:val="006A50DC"/>
    <w:rsid w:val="006A75A3"/>
    <w:rsid w:val="006B4420"/>
    <w:rsid w:val="006B644D"/>
    <w:rsid w:val="006B7495"/>
    <w:rsid w:val="006C0ABA"/>
    <w:rsid w:val="006C1018"/>
    <w:rsid w:val="006C3ECC"/>
    <w:rsid w:val="006C4F96"/>
    <w:rsid w:val="006C5610"/>
    <w:rsid w:val="006C5E1E"/>
    <w:rsid w:val="006C624B"/>
    <w:rsid w:val="006D02EE"/>
    <w:rsid w:val="006D1236"/>
    <w:rsid w:val="006D18B5"/>
    <w:rsid w:val="006D5C38"/>
    <w:rsid w:val="006D60FF"/>
    <w:rsid w:val="006D61F0"/>
    <w:rsid w:val="006D66CD"/>
    <w:rsid w:val="006D718E"/>
    <w:rsid w:val="006E4CCB"/>
    <w:rsid w:val="006E55A9"/>
    <w:rsid w:val="006E6000"/>
    <w:rsid w:val="006E6F06"/>
    <w:rsid w:val="006E75DE"/>
    <w:rsid w:val="006E7F61"/>
    <w:rsid w:val="006F00E6"/>
    <w:rsid w:val="006F098C"/>
    <w:rsid w:val="006F1157"/>
    <w:rsid w:val="006F254F"/>
    <w:rsid w:val="006F2939"/>
    <w:rsid w:val="006F3413"/>
    <w:rsid w:val="006F4324"/>
    <w:rsid w:val="006F5D32"/>
    <w:rsid w:val="006F7B83"/>
    <w:rsid w:val="0070016E"/>
    <w:rsid w:val="0070083D"/>
    <w:rsid w:val="00703C0C"/>
    <w:rsid w:val="00703D00"/>
    <w:rsid w:val="00704489"/>
    <w:rsid w:val="007066EE"/>
    <w:rsid w:val="0070770F"/>
    <w:rsid w:val="00711168"/>
    <w:rsid w:val="007122A5"/>
    <w:rsid w:val="00714CC3"/>
    <w:rsid w:val="00717442"/>
    <w:rsid w:val="00717CF5"/>
    <w:rsid w:val="00724DA3"/>
    <w:rsid w:val="007251D1"/>
    <w:rsid w:val="00725200"/>
    <w:rsid w:val="007254B8"/>
    <w:rsid w:val="00725F95"/>
    <w:rsid w:val="00726818"/>
    <w:rsid w:val="00727AA1"/>
    <w:rsid w:val="007304A5"/>
    <w:rsid w:val="007309B2"/>
    <w:rsid w:val="00732874"/>
    <w:rsid w:val="00733794"/>
    <w:rsid w:val="00735E20"/>
    <w:rsid w:val="00736C5D"/>
    <w:rsid w:val="0074017A"/>
    <w:rsid w:val="00740679"/>
    <w:rsid w:val="0074082B"/>
    <w:rsid w:val="007409DD"/>
    <w:rsid w:val="007418E9"/>
    <w:rsid w:val="00742FCB"/>
    <w:rsid w:val="007505EC"/>
    <w:rsid w:val="00750796"/>
    <w:rsid w:val="007509DC"/>
    <w:rsid w:val="00750FE6"/>
    <w:rsid w:val="00752F87"/>
    <w:rsid w:val="007563EC"/>
    <w:rsid w:val="00757964"/>
    <w:rsid w:val="007601D3"/>
    <w:rsid w:val="00760790"/>
    <w:rsid w:val="00761427"/>
    <w:rsid w:val="00761D8D"/>
    <w:rsid w:val="00762781"/>
    <w:rsid w:val="007628AD"/>
    <w:rsid w:val="007635B0"/>
    <w:rsid w:val="0076395F"/>
    <w:rsid w:val="00764832"/>
    <w:rsid w:val="00764B49"/>
    <w:rsid w:val="00766EBB"/>
    <w:rsid w:val="007706C5"/>
    <w:rsid w:val="00770FBF"/>
    <w:rsid w:val="007715F1"/>
    <w:rsid w:val="0077273D"/>
    <w:rsid w:val="0077600E"/>
    <w:rsid w:val="00780875"/>
    <w:rsid w:val="0078106D"/>
    <w:rsid w:val="00781266"/>
    <w:rsid w:val="00781B3F"/>
    <w:rsid w:val="00785087"/>
    <w:rsid w:val="00785C4C"/>
    <w:rsid w:val="00790295"/>
    <w:rsid w:val="0079243C"/>
    <w:rsid w:val="007942B0"/>
    <w:rsid w:val="007966DD"/>
    <w:rsid w:val="007A0F6F"/>
    <w:rsid w:val="007A0FF0"/>
    <w:rsid w:val="007A28CB"/>
    <w:rsid w:val="007A3415"/>
    <w:rsid w:val="007A3A35"/>
    <w:rsid w:val="007A4A32"/>
    <w:rsid w:val="007A79CD"/>
    <w:rsid w:val="007B486F"/>
    <w:rsid w:val="007B5B4A"/>
    <w:rsid w:val="007B7102"/>
    <w:rsid w:val="007B7512"/>
    <w:rsid w:val="007B7C0B"/>
    <w:rsid w:val="007C25FC"/>
    <w:rsid w:val="007C290A"/>
    <w:rsid w:val="007C409B"/>
    <w:rsid w:val="007C5167"/>
    <w:rsid w:val="007C519E"/>
    <w:rsid w:val="007C5953"/>
    <w:rsid w:val="007C59EE"/>
    <w:rsid w:val="007D03AE"/>
    <w:rsid w:val="007D03B7"/>
    <w:rsid w:val="007D05E0"/>
    <w:rsid w:val="007D2731"/>
    <w:rsid w:val="007D671A"/>
    <w:rsid w:val="007E3C7D"/>
    <w:rsid w:val="007E6C34"/>
    <w:rsid w:val="007E6CCF"/>
    <w:rsid w:val="007F1405"/>
    <w:rsid w:val="007F17A3"/>
    <w:rsid w:val="007F1D42"/>
    <w:rsid w:val="007F2032"/>
    <w:rsid w:val="007F28D5"/>
    <w:rsid w:val="007F3627"/>
    <w:rsid w:val="007F5946"/>
    <w:rsid w:val="007F5CA1"/>
    <w:rsid w:val="007F6EB6"/>
    <w:rsid w:val="00800FED"/>
    <w:rsid w:val="00802781"/>
    <w:rsid w:val="00803B12"/>
    <w:rsid w:val="0081020C"/>
    <w:rsid w:val="00811BE3"/>
    <w:rsid w:val="008128E4"/>
    <w:rsid w:val="0081294F"/>
    <w:rsid w:val="0081336B"/>
    <w:rsid w:val="00813611"/>
    <w:rsid w:val="00813E90"/>
    <w:rsid w:val="00814272"/>
    <w:rsid w:val="00814E92"/>
    <w:rsid w:val="008153B2"/>
    <w:rsid w:val="00816347"/>
    <w:rsid w:val="0081796D"/>
    <w:rsid w:val="00817F02"/>
    <w:rsid w:val="008216C8"/>
    <w:rsid w:val="00826523"/>
    <w:rsid w:val="00826815"/>
    <w:rsid w:val="00826B90"/>
    <w:rsid w:val="0082717A"/>
    <w:rsid w:val="00827999"/>
    <w:rsid w:val="00831124"/>
    <w:rsid w:val="00831BFA"/>
    <w:rsid w:val="00832D63"/>
    <w:rsid w:val="00835B72"/>
    <w:rsid w:val="008368C9"/>
    <w:rsid w:val="0083790C"/>
    <w:rsid w:val="00840688"/>
    <w:rsid w:val="008435EE"/>
    <w:rsid w:val="008474D8"/>
    <w:rsid w:val="008476E0"/>
    <w:rsid w:val="0085227F"/>
    <w:rsid w:val="00852B06"/>
    <w:rsid w:val="00854D03"/>
    <w:rsid w:val="0085505E"/>
    <w:rsid w:val="00856693"/>
    <w:rsid w:val="00857FC8"/>
    <w:rsid w:val="0086001F"/>
    <w:rsid w:val="008610DF"/>
    <w:rsid w:val="008615B5"/>
    <w:rsid w:val="00862B84"/>
    <w:rsid w:val="00863391"/>
    <w:rsid w:val="0086699C"/>
    <w:rsid w:val="00871966"/>
    <w:rsid w:val="00874AC2"/>
    <w:rsid w:val="008811AD"/>
    <w:rsid w:val="00882510"/>
    <w:rsid w:val="00883973"/>
    <w:rsid w:val="008869A8"/>
    <w:rsid w:val="00886DFD"/>
    <w:rsid w:val="00895B47"/>
    <w:rsid w:val="00896007"/>
    <w:rsid w:val="0089659A"/>
    <w:rsid w:val="008978D9"/>
    <w:rsid w:val="008A0CFA"/>
    <w:rsid w:val="008A178D"/>
    <w:rsid w:val="008A1BE2"/>
    <w:rsid w:val="008A28B9"/>
    <w:rsid w:val="008A2A7C"/>
    <w:rsid w:val="008A3962"/>
    <w:rsid w:val="008A5126"/>
    <w:rsid w:val="008A579A"/>
    <w:rsid w:val="008A5850"/>
    <w:rsid w:val="008A5914"/>
    <w:rsid w:val="008A7FBC"/>
    <w:rsid w:val="008B0DDB"/>
    <w:rsid w:val="008B2423"/>
    <w:rsid w:val="008B3D12"/>
    <w:rsid w:val="008B3F9B"/>
    <w:rsid w:val="008B4790"/>
    <w:rsid w:val="008B48BA"/>
    <w:rsid w:val="008B592B"/>
    <w:rsid w:val="008B6CE7"/>
    <w:rsid w:val="008C2473"/>
    <w:rsid w:val="008C6440"/>
    <w:rsid w:val="008D1F7B"/>
    <w:rsid w:val="008D4B49"/>
    <w:rsid w:val="008D4F40"/>
    <w:rsid w:val="008D58CA"/>
    <w:rsid w:val="008D5AD8"/>
    <w:rsid w:val="008E0052"/>
    <w:rsid w:val="008E00B8"/>
    <w:rsid w:val="008E1474"/>
    <w:rsid w:val="008E1FAC"/>
    <w:rsid w:val="008E378D"/>
    <w:rsid w:val="008E4086"/>
    <w:rsid w:val="008E42A1"/>
    <w:rsid w:val="008E5A77"/>
    <w:rsid w:val="008E5F92"/>
    <w:rsid w:val="008E7A05"/>
    <w:rsid w:val="008F107F"/>
    <w:rsid w:val="008F4E57"/>
    <w:rsid w:val="008F6238"/>
    <w:rsid w:val="008F63A0"/>
    <w:rsid w:val="008F63CC"/>
    <w:rsid w:val="008F6B5F"/>
    <w:rsid w:val="00900CC2"/>
    <w:rsid w:val="00902D63"/>
    <w:rsid w:val="00902FE4"/>
    <w:rsid w:val="009036D7"/>
    <w:rsid w:val="00903D3D"/>
    <w:rsid w:val="00903D66"/>
    <w:rsid w:val="009040AE"/>
    <w:rsid w:val="00905008"/>
    <w:rsid w:val="0090624C"/>
    <w:rsid w:val="00906462"/>
    <w:rsid w:val="00907F5B"/>
    <w:rsid w:val="009102B1"/>
    <w:rsid w:val="00910B00"/>
    <w:rsid w:val="00913503"/>
    <w:rsid w:val="00913C1C"/>
    <w:rsid w:val="0091441F"/>
    <w:rsid w:val="009152EA"/>
    <w:rsid w:val="00917B2B"/>
    <w:rsid w:val="009216AB"/>
    <w:rsid w:val="00921B6F"/>
    <w:rsid w:val="00923EA3"/>
    <w:rsid w:val="0092440C"/>
    <w:rsid w:val="00925C53"/>
    <w:rsid w:val="009276DE"/>
    <w:rsid w:val="00927738"/>
    <w:rsid w:val="00927DD8"/>
    <w:rsid w:val="00931B30"/>
    <w:rsid w:val="00932D47"/>
    <w:rsid w:val="00934D52"/>
    <w:rsid w:val="0093510B"/>
    <w:rsid w:val="00935322"/>
    <w:rsid w:val="00935777"/>
    <w:rsid w:val="00935FCF"/>
    <w:rsid w:val="00936247"/>
    <w:rsid w:val="00937FFE"/>
    <w:rsid w:val="00940D44"/>
    <w:rsid w:val="00941DAA"/>
    <w:rsid w:val="00942751"/>
    <w:rsid w:val="0094418C"/>
    <w:rsid w:val="009463DB"/>
    <w:rsid w:val="00950A56"/>
    <w:rsid w:val="0095626D"/>
    <w:rsid w:val="00956715"/>
    <w:rsid w:val="00957D34"/>
    <w:rsid w:val="00957F45"/>
    <w:rsid w:val="0096026B"/>
    <w:rsid w:val="00960B7B"/>
    <w:rsid w:val="00961371"/>
    <w:rsid w:val="00961B1B"/>
    <w:rsid w:val="00961BD2"/>
    <w:rsid w:val="00961D5A"/>
    <w:rsid w:val="00962BA2"/>
    <w:rsid w:val="00962C53"/>
    <w:rsid w:val="00962F69"/>
    <w:rsid w:val="0097280A"/>
    <w:rsid w:val="00974CC5"/>
    <w:rsid w:val="0097634E"/>
    <w:rsid w:val="00977190"/>
    <w:rsid w:val="00977FF2"/>
    <w:rsid w:val="00981747"/>
    <w:rsid w:val="00981B5E"/>
    <w:rsid w:val="00981C97"/>
    <w:rsid w:val="009916B3"/>
    <w:rsid w:val="00991DFA"/>
    <w:rsid w:val="00992AD8"/>
    <w:rsid w:val="00993C3F"/>
    <w:rsid w:val="0099529C"/>
    <w:rsid w:val="009A2934"/>
    <w:rsid w:val="009A3AA0"/>
    <w:rsid w:val="009A3ADB"/>
    <w:rsid w:val="009A468D"/>
    <w:rsid w:val="009A4D66"/>
    <w:rsid w:val="009B236B"/>
    <w:rsid w:val="009B3D33"/>
    <w:rsid w:val="009B3F46"/>
    <w:rsid w:val="009B4E0B"/>
    <w:rsid w:val="009B5FD2"/>
    <w:rsid w:val="009B6D60"/>
    <w:rsid w:val="009B70EF"/>
    <w:rsid w:val="009C12A6"/>
    <w:rsid w:val="009C4E1A"/>
    <w:rsid w:val="009C6188"/>
    <w:rsid w:val="009C68EF"/>
    <w:rsid w:val="009C6EFD"/>
    <w:rsid w:val="009D1F8C"/>
    <w:rsid w:val="009D3407"/>
    <w:rsid w:val="009D4CDB"/>
    <w:rsid w:val="009D7954"/>
    <w:rsid w:val="009D7E31"/>
    <w:rsid w:val="009E0F1F"/>
    <w:rsid w:val="009E105C"/>
    <w:rsid w:val="009E1B88"/>
    <w:rsid w:val="009E21D8"/>
    <w:rsid w:val="009E3721"/>
    <w:rsid w:val="009E474A"/>
    <w:rsid w:val="009E4AF9"/>
    <w:rsid w:val="009E75B6"/>
    <w:rsid w:val="009F142D"/>
    <w:rsid w:val="009F22E1"/>
    <w:rsid w:val="009F2DAF"/>
    <w:rsid w:val="009F34A8"/>
    <w:rsid w:val="009F37D9"/>
    <w:rsid w:val="009F3B9E"/>
    <w:rsid w:val="009F3DC7"/>
    <w:rsid w:val="009F6B9E"/>
    <w:rsid w:val="009F7F35"/>
    <w:rsid w:val="00A002EF"/>
    <w:rsid w:val="00A0052F"/>
    <w:rsid w:val="00A013F1"/>
    <w:rsid w:val="00A02216"/>
    <w:rsid w:val="00A027EE"/>
    <w:rsid w:val="00A03A8A"/>
    <w:rsid w:val="00A0684C"/>
    <w:rsid w:val="00A12646"/>
    <w:rsid w:val="00A13A4B"/>
    <w:rsid w:val="00A17F45"/>
    <w:rsid w:val="00A21081"/>
    <w:rsid w:val="00A21DE4"/>
    <w:rsid w:val="00A2324E"/>
    <w:rsid w:val="00A23D69"/>
    <w:rsid w:val="00A23E8D"/>
    <w:rsid w:val="00A240DA"/>
    <w:rsid w:val="00A2433E"/>
    <w:rsid w:val="00A26242"/>
    <w:rsid w:val="00A30150"/>
    <w:rsid w:val="00A31412"/>
    <w:rsid w:val="00A31DD6"/>
    <w:rsid w:val="00A345CD"/>
    <w:rsid w:val="00A34868"/>
    <w:rsid w:val="00A34C35"/>
    <w:rsid w:val="00A360A2"/>
    <w:rsid w:val="00A360E2"/>
    <w:rsid w:val="00A364DF"/>
    <w:rsid w:val="00A405F7"/>
    <w:rsid w:val="00A40F0A"/>
    <w:rsid w:val="00A4158C"/>
    <w:rsid w:val="00A437BE"/>
    <w:rsid w:val="00A4727C"/>
    <w:rsid w:val="00A47D00"/>
    <w:rsid w:val="00A54C01"/>
    <w:rsid w:val="00A55E77"/>
    <w:rsid w:val="00A56584"/>
    <w:rsid w:val="00A5674A"/>
    <w:rsid w:val="00A56D43"/>
    <w:rsid w:val="00A62917"/>
    <w:rsid w:val="00A62A7E"/>
    <w:rsid w:val="00A6316C"/>
    <w:rsid w:val="00A63A99"/>
    <w:rsid w:val="00A700A3"/>
    <w:rsid w:val="00A71CE1"/>
    <w:rsid w:val="00A74C35"/>
    <w:rsid w:val="00A757CD"/>
    <w:rsid w:val="00A76A68"/>
    <w:rsid w:val="00A804ED"/>
    <w:rsid w:val="00A80EBF"/>
    <w:rsid w:val="00A825E3"/>
    <w:rsid w:val="00A836C4"/>
    <w:rsid w:val="00A872EB"/>
    <w:rsid w:val="00A87443"/>
    <w:rsid w:val="00A90939"/>
    <w:rsid w:val="00A94412"/>
    <w:rsid w:val="00A94416"/>
    <w:rsid w:val="00A94AA5"/>
    <w:rsid w:val="00A94ACF"/>
    <w:rsid w:val="00A951AE"/>
    <w:rsid w:val="00A97B26"/>
    <w:rsid w:val="00AA02DC"/>
    <w:rsid w:val="00AA13F8"/>
    <w:rsid w:val="00AA1455"/>
    <w:rsid w:val="00AA1DFE"/>
    <w:rsid w:val="00AA2645"/>
    <w:rsid w:val="00AA303D"/>
    <w:rsid w:val="00AA3A53"/>
    <w:rsid w:val="00AA3DE9"/>
    <w:rsid w:val="00AA4D03"/>
    <w:rsid w:val="00AA5FBA"/>
    <w:rsid w:val="00AA6DC5"/>
    <w:rsid w:val="00AB025F"/>
    <w:rsid w:val="00AB13EC"/>
    <w:rsid w:val="00AB1D61"/>
    <w:rsid w:val="00AB2016"/>
    <w:rsid w:val="00AB51EA"/>
    <w:rsid w:val="00AB6529"/>
    <w:rsid w:val="00AB6C8A"/>
    <w:rsid w:val="00AB6D8C"/>
    <w:rsid w:val="00AB73C2"/>
    <w:rsid w:val="00AC0840"/>
    <w:rsid w:val="00AC21F3"/>
    <w:rsid w:val="00AC33AD"/>
    <w:rsid w:val="00AC5AC9"/>
    <w:rsid w:val="00AC6C54"/>
    <w:rsid w:val="00AC6F5F"/>
    <w:rsid w:val="00AD15FD"/>
    <w:rsid w:val="00AD174E"/>
    <w:rsid w:val="00AD2388"/>
    <w:rsid w:val="00AD2FB1"/>
    <w:rsid w:val="00AD388E"/>
    <w:rsid w:val="00AD4B99"/>
    <w:rsid w:val="00AD53D2"/>
    <w:rsid w:val="00AD5C3B"/>
    <w:rsid w:val="00AE29E4"/>
    <w:rsid w:val="00AE2EF4"/>
    <w:rsid w:val="00AE4544"/>
    <w:rsid w:val="00AE6593"/>
    <w:rsid w:val="00AE6BA4"/>
    <w:rsid w:val="00AF2ED0"/>
    <w:rsid w:val="00AF3303"/>
    <w:rsid w:val="00AF544C"/>
    <w:rsid w:val="00B01127"/>
    <w:rsid w:val="00B01BF5"/>
    <w:rsid w:val="00B03B10"/>
    <w:rsid w:val="00B07287"/>
    <w:rsid w:val="00B0742A"/>
    <w:rsid w:val="00B075B6"/>
    <w:rsid w:val="00B07A30"/>
    <w:rsid w:val="00B122C2"/>
    <w:rsid w:val="00B12513"/>
    <w:rsid w:val="00B12744"/>
    <w:rsid w:val="00B16391"/>
    <w:rsid w:val="00B17AD7"/>
    <w:rsid w:val="00B21525"/>
    <w:rsid w:val="00B21722"/>
    <w:rsid w:val="00B241BD"/>
    <w:rsid w:val="00B24E90"/>
    <w:rsid w:val="00B3044A"/>
    <w:rsid w:val="00B32F4A"/>
    <w:rsid w:val="00B330A3"/>
    <w:rsid w:val="00B35CEF"/>
    <w:rsid w:val="00B37616"/>
    <w:rsid w:val="00B417A0"/>
    <w:rsid w:val="00B460C0"/>
    <w:rsid w:val="00B460F6"/>
    <w:rsid w:val="00B4680B"/>
    <w:rsid w:val="00B4745E"/>
    <w:rsid w:val="00B47CCF"/>
    <w:rsid w:val="00B51346"/>
    <w:rsid w:val="00B523E3"/>
    <w:rsid w:val="00B53CB5"/>
    <w:rsid w:val="00B53E2A"/>
    <w:rsid w:val="00B54D05"/>
    <w:rsid w:val="00B55C54"/>
    <w:rsid w:val="00B57591"/>
    <w:rsid w:val="00B57AF9"/>
    <w:rsid w:val="00B64B4D"/>
    <w:rsid w:val="00B656E5"/>
    <w:rsid w:val="00B6586D"/>
    <w:rsid w:val="00B70827"/>
    <w:rsid w:val="00B71287"/>
    <w:rsid w:val="00B71AF8"/>
    <w:rsid w:val="00B731E7"/>
    <w:rsid w:val="00B74E55"/>
    <w:rsid w:val="00B75E32"/>
    <w:rsid w:val="00B76FE2"/>
    <w:rsid w:val="00B77F0C"/>
    <w:rsid w:val="00B80EBA"/>
    <w:rsid w:val="00B82021"/>
    <w:rsid w:val="00B8324B"/>
    <w:rsid w:val="00B847C1"/>
    <w:rsid w:val="00B877E9"/>
    <w:rsid w:val="00B90BB4"/>
    <w:rsid w:val="00B931EF"/>
    <w:rsid w:val="00B938C2"/>
    <w:rsid w:val="00B93E0C"/>
    <w:rsid w:val="00B9484F"/>
    <w:rsid w:val="00B96D91"/>
    <w:rsid w:val="00B97735"/>
    <w:rsid w:val="00B97D52"/>
    <w:rsid w:val="00BA088C"/>
    <w:rsid w:val="00BA303E"/>
    <w:rsid w:val="00BA3479"/>
    <w:rsid w:val="00BA64AE"/>
    <w:rsid w:val="00BA7B88"/>
    <w:rsid w:val="00BA7B9B"/>
    <w:rsid w:val="00BB05FA"/>
    <w:rsid w:val="00BB48F8"/>
    <w:rsid w:val="00BB65D6"/>
    <w:rsid w:val="00BC2CD1"/>
    <w:rsid w:val="00BC2FE1"/>
    <w:rsid w:val="00BC327D"/>
    <w:rsid w:val="00BC3ACA"/>
    <w:rsid w:val="00BC3B56"/>
    <w:rsid w:val="00BC74B0"/>
    <w:rsid w:val="00BC7CEE"/>
    <w:rsid w:val="00BD3943"/>
    <w:rsid w:val="00BD69C9"/>
    <w:rsid w:val="00BE07BD"/>
    <w:rsid w:val="00BE12A2"/>
    <w:rsid w:val="00BE1563"/>
    <w:rsid w:val="00BE30AC"/>
    <w:rsid w:val="00BE32BD"/>
    <w:rsid w:val="00BF0CEF"/>
    <w:rsid w:val="00BF1435"/>
    <w:rsid w:val="00BF251A"/>
    <w:rsid w:val="00BF3BF9"/>
    <w:rsid w:val="00BF5961"/>
    <w:rsid w:val="00BF7210"/>
    <w:rsid w:val="00C003AB"/>
    <w:rsid w:val="00C00D92"/>
    <w:rsid w:val="00C02152"/>
    <w:rsid w:val="00C02A1F"/>
    <w:rsid w:val="00C032AA"/>
    <w:rsid w:val="00C034E4"/>
    <w:rsid w:val="00C07F24"/>
    <w:rsid w:val="00C113BD"/>
    <w:rsid w:val="00C13B7C"/>
    <w:rsid w:val="00C2052E"/>
    <w:rsid w:val="00C20D8A"/>
    <w:rsid w:val="00C22043"/>
    <w:rsid w:val="00C23096"/>
    <w:rsid w:val="00C23813"/>
    <w:rsid w:val="00C24386"/>
    <w:rsid w:val="00C25219"/>
    <w:rsid w:val="00C25C96"/>
    <w:rsid w:val="00C26CDF"/>
    <w:rsid w:val="00C3094C"/>
    <w:rsid w:val="00C30AF5"/>
    <w:rsid w:val="00C31A05"/>
    <w:rsid w:val="00C32F36"/>
    <w:rsid w:val="00C33457"/>
    <w:rsid w:val="00C34DA5"/>
    <w:rsid w:val="00C365C3"/>
    <w:rsid w:val="00C36A12"/>
    <w:rsid w:val="00C37DFD"/>
    <w:rsid w:val="00C41067"/>
    <w:rsid w:val="00C414F6"/>
    <w:rsid w:val="00C4197C"/>
    <w:rsid w:val="00C42892"/>
    <w:rsid w:val="00C43FD7"/>
    <w:rsid w:val="00C44535"/>
    <w:rsid w:val="00C47930"/>
    <w:rsid w:val="00C502D0"/>
    <w:rsid w:val="00C51277"/>
    <w:rsid w:val="00C5193B"/>
    <w:rsid w:val="00C520D1"/>
    <w:rsid w:val="00C52CB7"/>
    <w:rsid w:val="00C5312A"/>
    <w:rsid w:val="00C55F92"/>
    <w:rsid w:val="00C57189"/>
    <w:rsid w:val="00C57676"/>
    <w:rsid w:val="00C60530"/>
    <w:rsid w:val="00C60A05"/>
    <w:rsid w:val="00C60EBD"/>
    <w:rsid w:val="00C62591"/>
    <w:rsid w:val="00C63222"/>
    <w:rsid w:val="00C63383"/>
    <w:rsid w:val="00C642D3"/>
    <w:rsid w:val="00C64529"/>
    <w:rsid w:val="00C6484C"/>
    <w:rsid w:val="00C64C09"/>
    <w:rsid w:val="00C6533D"/>
    <w:rsid w:val="00C672F0"/>
    <w:rsid w:val="00C677E8"/>
    <w:rsid w:val="00C71A1F"/>
    <w:rsid w:val="00C721B6"/>
    <w:rsid w:val="00C739CE"/>
    <w:rsid w:val="00C74091"/>
    <w:rsid w:val="00C745E8"/>
    <w:rsid w:val="00C7470A"/>
    <w:rsid w:val="00C7519E"/>
    <w:rsid w:val="00C7567D"/>
    <w:rsid w:val="00C75E2D"/>
    <w:rsid w:val="00C779DC"/>
    <w:rsid w:val="00C80A4F"/>
    <w:rsid w:val="00C8187F"/>
    <w:rsid w:val="00C91017"/>
    <w:rsid w:val="00C9182F"/>
    <w:rsid w:val="00C925B2"/>
    <w:rsid w:val="00C9296B"/>
    <w:rsid w:val="00C93067"/>
    <w:rsid w:val="00C9327A"/>
    <w:rsid w:val="00C93ADB"/>
    <w:rsid w:val="00C95A97"/>
    <w:rsid w:val="00C966CA"/>
    <w:rsid w:val="00C9701B"/>
    <w:rsid w:val="00C97275"/>
    <w:rsid w:val="00CA0748"/>
    <w:rsid w:val="00CA0A89"/>
    <w:rsid w:val="00CA1F77"/>
    <w:rsid w:val="00CA3745"/>
    <w:rsid w:val="00CA4051"/>
    <w:rsid w:val="00CA40BF"/>
    <w:rsid w:val="00CA643B"/>
    <w:rsid w:val="00CA64B1"/>
    <w:rsid w:val="00CB030E"/>
    <w:rsid w:val="00CB06C2"/>
    <w:rsid w:val="00CB0B33"/>
    <w:rsid w:val="00CB347F"/>
    <w:rsid w:val="00CB4356"/>
    <w:rsid w:val="00CB43F3"/>
    <w:rsid w:val="00CB5208"/>
    <w:rsid w:val="00CB68AC"/>
    <w:rsid w:val="00CB6F50"/>
    <w:rsid w:val="00CC15E7"/>
    <w:rsid w:val="00CC38DF"/>
    <w:rsid w:val="00CC46D5"/>
    <w:rsid w:val="00CC5055"/>
    <w:rsid w:val="00CC638F"/>
    <w:rsid w:val="00CD358A"/>
    <w:rsid w:val="00CD5F3D"/>
    <w:rsid w:val="00CD6147"/>
    <w:rsid w:val="00CE0071"/>
    <w:rsid w:val="00CE02F0"/>
    <w:rsid w:val="00CE2438"/>
    <w:rsid w:val="00CE25B0"/>
    <w:rsid w:val="00CE3828"/>
    <w:rsid w:val="00CE3CC3"/>
    <w:rsid w:val="00CE58C3"/>
    <w:rsid w:val="00CE6A4E"/>
    <w:rsid w:val="00CE6CBB"/>
    <w:rsid w:val="00CE6FC4"/>
    <w:rsid w:val="00CF309F"/>
    <w:rsid w:val="00CF416C"/>
    <w:rsid w:val="00CF4281"/>
    <w:rsid w:val="00CF5893"/>
    <w:rsid w:val="00CF5FD2"/>
    <w:rsid w:val="00D02D5A"/>
    <w:rsid w:val="00D0318E"/>
    <w:rsid w:val="00D06B10"/>
    <w:rsid w:val="00D07616"/>
    <w:rsid w:val="00D101B7"/>
    <w:rsid w:val="00D13C9D"/>
    <w:rsid w:val="00D16B21"/>
    <w:rsid w:val="00D175AB"/>
    <w:rsid w:val="00D17777"/>
    <w:rsid w:val="00D20721"/>
    <w:rsid w:val="00D20E12"/>
    <w:rsid w:val="00D211E5"/>
    <w:rsid w:val="00D238E1"/>
    <w:rsid w:val="00D23FDD"/>
    <w:rsid w:val="00D25876"/>
    <w:rsid w:val="00D30BA4"/>
    <w:rsid w:val="00D31E5D"/>
    <w:rsid w:val="00D33EED"/>
    <w:rsid w:val="00D33FC1"/>
    <w:rsid w:val="00D34A5F"/>
    <w:rsid w:val="00D353AC"/>
    <w:rsid w:val="00D35A81"/>
    <w:rsid w:val="00D40519"/>
    <w:rsid w:val="00D41A2C"/>
    <w:rsid w:val="00D41C12"/>
    <w:rsid w:val="00D41F84"/>
    <w:rsid w:val="00D42B84"/>
    <w:rsid w:val="00D4393B"/>
    <w:rsid w:val="00D43A1A"/>
    <w:rsid w:val="00D43E1F"/>
    <w:rsid w:val="00D44F4B"/>
    <w:rsid w:val="00D4547C"/>
    <w:rsid w:val="00D45D0E"/>
    <w:rsid w:val="00D46A48"/>
    <w:rsid w:val="00D46CA4"/>
    <w:rsid w:val="00D53926"/>
    <w:rsid w:val="00D55623"/>
    <w:rsid w:val="00D567A0"/>
    <w:rsid w:val="00D574F0"/>
    <w:rsid w:val="00D575ED"/>
    <w:rsid w:val="00D57B31"/>
    <w:rsid w:val="00D60083"/>
    <w:rsid w:val="00D62FC2"/>
    <w:rsid w:val="00D676EC"/>
    <w:rsid w:val="00D70B74"/>
    <w:rsid w:val="00D7260A"/>
    <w:rsid w:val="00D728D9"/>
    <w:rsid w:val="00D729C9"/>
    <w:rsid w:val="00D72AA1"/>
    <w:rsid w:val="00D75F82"/>
    <w:rsid w:val="00D75FFD"/>
    <w:rsid w:val="00D76226"/>
    <w:rsid w:val="00D7652A"/>
    <w:rsid w:val="00D775E6"/>
    <w:rsid w:val="00D838D7"/>
    <w:rsid w:val="00D84F3D"/>
    <w:rsid w:val="00D85AF8"/>
    <w:rsid w:val="00D862D2"/>
    <w:rsid w:val="00D87CBF"/>
    <w:rsid w:val="00D87EC2"/>
    <w:rsid w:val="00D91282"/>
    <w:rsid w:val="00D92099"/>
    <w:rsid w:val="00D9398A"/>
    <w:rsid w:val="00D93D24"/>
    <w:rsid w:val="00D9695A"/>
    <w:rsid w:val="00D97D22"/>
    <w:rsid w:val="00D97E7E"/>
    <w:rsid w:val="00DA0177"/>
    <w:rsid w:val="00DA0FC4"/>
    <w:rsid w:val="00DA2E8A"/>
    <w:rsid w:val="00DA3BAC"/>
    <w:rsid w:val="00DA463D"/>
    <w:rsid w:val="00DA46FD"/>
    <w:rsid w:val="00DA4D40"/>
    <w:rsid w:val="00DA54BB"/>
    <w:rsid w:val="00DA5723"/>
    <w:rsid w:val="00DA6CA7"/>
    <w:rsid w:val="00DB2467"/>
    <w:rsid w:val="00DB2F4C"/>
    <w:rsid w:val="00DB38A3"/>
    <w:rsid w:val="00DB45A2"/>
    <w:rsid w:val="00DB4E42"/>
    <w:rsid w:val="00DC1914"/>
    <w:rsid w:val="00DC5A7A"/>
    <w:rsid w:val="00DC6452"/>
    <w:rsid w:val="00DC7487"/>
    <w:rsid w:val="00DC777F"/>
    <w:rsid w:val="00DD0641"/>
    <w:rsid w:val="00DD1481"/>
    <w:rsid w:val="00DD5CDF"/>
    <w:rsid w:val="00DE09E6"/>
    <w:rsid w:val="00DE2CEB"/>
    <w:rsid w:val="00DE4E84"/>
    <w:rsid w:val="00DE4F83"/>
    <w:rsid w:val="00DE4FDB"/>
    <w:rsid w:val="00DE53FE"/>
    <w:rsid w:val="00DE635A"/>
    <w:rsid w:val="00DE6EE2"/>
    <w:rsid w:val="00DE7362"/>
    <w:rsid w:val="00DE7A72"/>
    <w:rsid w:val="00DF05B8"/>
    <w:rsid w:val="00DF08EE"/>
    <w:rsid w:val="00DF2383"/>
    <w:rsid w:val="00DF26CB"/>
    <w:rsid w:val="00DF2996"/>
    <w:rsid w:val="00DF2FDA"/>
    <w:rsid w:val="00DF3F0F"/>
    <w:rsid w:val="00DF4425"/>
    <w:rsid w:val="00DF5EBE"/>
    <w:rsid w:val="00DF6B60"/>
    <w:rsid w:val="00DF6C62"/>
    <w:rsid w:val="00DF7AAC"/>
    <w:rsid w:val="00DF7B9C"/>
    <w:rsid w:val="00E003CE"/>
    <w:rsid w:val="00E0091E"/>
    <w:rsid w:val="00E00C21"/>
    <w:rsid w:val="00E02FCB"/>
    <w:rsid w:val="00E039B7"/>
    <w:rsid w:val="00E052CF"/>
    <w:rsid w:val="00E055E9"/>
    <w:rsid w:val="00E072E4"/>
    <w:rsid w:val="00E10C70"/>
    <w:rsid w:val="00E14CAE"/>
    <w:rsid w:val="00E15303"/>
    <w:rsid w:val="00E155FF"/>
    <w:rsid w:val="00E15BD4"/>
    <w:rsid w:val="00E16FD8"/>
    <w:rsid w:val="00E216E4"/>
    <w:rsid w:val="00E21841"/>
    <w:rsid w:val="00E22AF2"/>
    <w:rsid w:val="00E2367E"/>
    <w:rsid w:val="00E25961"/>
    <w:rsid w:val="00E2673B"/>
    <w:rsid w:val="00E26793"/>
    <w:rsid w:val="00E26DDA"/>
    <w:rsid w:val="00E279CD"/>
    <w:rsid w:val="00E30173"/>
    <w:rsid w:val="00E305B8"/>
    <w:rsid w:val="00E307F3"/>
    <w:rsid w:val="00E32B62"/>
    <w:rsid w:val="00E32EEC"/>
    <w:rsid w:val="00E33208"/>
    <w:rsid w:val="00E34EC0"/>
    <w:rsid w:val="00E352E1"/>
    <w:rsid w:val="00E36F9A"/>
    <w:rsid w:val="00E432E4"/>
    <w:rsid w:val="00E50D38"/>
    <w:rsid w:val="00E5183A"/>
    <w:rsid w:val="00E51CE7"/>
    <w:rsid w:val="00E5481A"/>
    <w:rsid w:val="00E549F0"/>
    <w:rsid w:val="00E54A46"/>
    <w:rsid w:val="00E575FC"/>
    <w:rsid w:val="00E67197"/>
    <w:rsid w:val="00E704ED"/>
    <w:rsid w:val="00E72013"/>
    <w:rsid w:val="00E726E0"/>
    <w:rsid w:val="00E7664B"/>
    <w:rsid w:val="00E8053C"/>
    <w:rsid w:val="00E807E0"/>
    <w:rsid w:val="00E80BFD"/>
    <w:rsid w:val="00E86A64"/>
    <w:rsid w:val="00E87189"/>
    <w:rsid w:val="00E91D81"/>
    <w:rsid w:val="00E92980"/>
    <w:rsid w:val="00E94649"/>
    <w:rsid w:val="00E9695E"/>
    <w:rsid w:val="00EA00F1"/>
    <w:rsid w:val="00EA0AE1"/>
    <w:rsid w:val="00EA1B13"/>
    <w:rsid w:val="00EA256B"/>
    <w:rsid w:val="00EA2DE7"/>
    <w:rsid w:val="00EA418B"/>
    <w:rsid w:val="00EA4E13"/>
    <w:rsid w:val="00EA647E"/>
    <w:rsid w:val="00EA6C7A"/>
    <w:rsid w:val="00EA7D1C"/>
    <w:rsid w:val="00EB1BAD"/>
    <w:rsid w:val="00EB2D34"/>
    <w:rsid w:val="00EB3E8E"/>
    <w:rsid w:val="00EB4F66"/>
    <w:rsid w:val="00EB58EE"/>
    <w:rsid w:val="00EB66A2"/>
    <w:rsid w:val="00EC128E"/>
    <w:rsid w:val="00EC1BEE"/>
    <w:rsid w:val="00EC45E0"/>
    <w:rsid w:val="00EC70A4"/>
    <w:rsid w:val="00EC77B6"/>
    <w:rsid w:val="00ED1506"/>
    <w:rsid w:val="00ED2370"/>
    <w:rsid w:val="00ED4F46"/>
    <w:rsid w:val="00ED7CA1"/>
    <w:rsid w:val="00EE16F2"/>
    <w:rsid w:val="00EE2650"/>
    <w:rsid w:val="00EE48B5"/>
    <w:rsid w:val="00EE498D"/>
    <w:rsid w:val="00EE4B5E"/>
    <w:rsid w:val="00EE5B72"/>
    <w:rsid w:val="00EF03BD"/>
    <w:rsid w:val="00EF14E2"/>
    <w:rsid w:val="00EF39CE"/>
    <w:rsid w:val="00EF5D85"/>
    <w:rsid w:val="00EF5E4A"/>
    <w:rsid w:val="00F02638"/>
    <w:rsid w:val="00F0326B"/>
    <w:rsid w:val="00F041E6"/>
    <w:rsid w:val="00F045AD"/>
    <w:rsid w:val="00F05F90"/>
    <w:rsid w:val="00F061B3"/>
    <w:rsid w:val="00F06840"/>
    <w:rsid w:val="00F07336"/>
    <w:rsid w:val="00F11654"/>
    <w:rsid w:val="00F2068B"/>
    <w:rsid w:val="00F23C8D"/>
    <w:rsid w:val="00F306D5"/>
    <w:rsid w:val="00F3077D"/>
    <w:rsid w:val="00F35611"/>
    <w:rsid w:val="00F35E95"/>
    <w:rsid w:val="00F44B95"/>
    <w:rsid w:val="00F45065"/>
    <w:rsid w:val="00F461B3"/>
    <w:rsid w:val="00F46375"/>
    <w:rsid w:val="00F513D1"/>
    <w:rsid w:val="00F5165C"/>
    <w:rsid w:val="00F51863"/>
    <w:rsid w:val="00F51F1D"/>
    <w:rsid w:val="00F56465"/>
    <w:rsid w:val="00F61305"/>
    <w:rsid w:val="00F6381B"/>
    <w:rsid w:val="00F66DED"/>
    <w:rsid w:val="00F71B00"/>
    <w:rsid w:val="00F71E23"/>
    <w:rsid w:val="00F722D2"/>
    <w:rsid w:val="00F7432E"/>
    <w:rsid w:val="00F74EF1"/>
    <w:rsid w:val="00F7507F"/>
    <w:rsid w:val="00F7543A"/>
    <w:rsid w:val="00F75B7E"/>
    <w:rsid w:val="00F7788F"/>
    <w:rsid w:val="00F77ACB"/>
    <w:rsid w:val="00F77AE0"/>
    <w:rsid w:val="00F80FF2"/>
    <w:rsid w:val="00F81249"/>
    <w:rsid w:val="00F826C6"/>
    <w:rsid w:val="00F8371D"/>
    <w:rsid w:val="00F84EFA"/>
    <w:rsid w:val="00F9024B"/>
    <w:rsid w:val="00F91E68"/>
    <w:rsid w:val="00F926DB"/>
    <w:rsid w:val="00F94A2E"/>
    <w:rsid w:val="00FA0A35"/>
    <w:rsid w:val="00FA0E35"/>
    <w:rsid w:val="00FA274D"/>
    <w:rsid w:val="00FA2907"/>
    <w:rsid w:val="00FA4041"/>
    <w:rsid w:val="00FA70D4"/>
    <w:rsid w:val="00FA72E5"/>
    <w:rsid w:val="00FB1051"/>
    <w:rsid w:val="00FB3955"/>
    <w:rsid w:val="00FB3C3A"/>
    <w:rsid w:val="00FB4F86"/>
    <w:rsid w:val="00FC0A86"/>
    <w:rsid w:val="00FC1619"/>
    <w:rsid w:val="00FC1926"/>
    <w:rsid w:val="00FC2B06"/>
    <w:rsid w:val="00FC4779"/>
    <w:rsid w:val="00FD056F"/>
    <w:rsid w:val="00FD0DCA"/>
    <w:rsid w:val="00FD1D84"/>
    <w:rsid w:val="00FD3356"/>
    <w:rsid w:val="00FD376E"/>
    <w:rsid w:val="00FD3F11"/>
    <w:rsid w:val="00FD4197"/>
    <w:rsid w:val="00FD599E"/>
    <w:rsid w:val="00FE5193"/>
    <w:rsid w:val="00FF3D96"/>
    <w:rsid w:val="00FF3F42"/>
    <w:rsid w:val="00FF40EF"/>
    <w:rsid w:val="00FF6650"/>
    <w:rsid w:val="00FF7FBB"/>
    <w:rsid w:val="04F27B61"/>
    <w:rsid w:val="0E53D69D"/>
    <w:rsid w:val="2D736704"/>
    <w:rsid w:val="66A5EB06"/>
    <w:rsid w:val="6A5ADA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6998"/>
  <w15:chartTrackingRefBased/>
  <w15:docId w15:val="{48812B2E-1D02-48A1-B98D-02D19711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550"/>
    <w:pPr>
      <w:tabs>
        <w:tab w:val="left" w:pos="567"/>
      </w:tabs>
      <w:spacing w:before="120" w:line="254" w:lineRule="auto"/>
    </w:pPr>
    <w:rPr>
      <w:rFonts w:ascii="Open Sans Light" w:hAnsi="Open Sans Light"/>
      <w:sz w:val="20"/>
      <w:szCs w:val="22"/>
    </w:rPr>
  </w:style>
  <w:style w:type="paragraph" w:styleId="Heading1">
    <w:name w:val="heading 1"/>
    <w:basedOn w:val="CGCSubHead"/>
    <w:next w:val="Normal"/>
    <w:link w:val="Heading1Char"/>
    <w:uiPriority w:val="9"/>
    <w:qFormat/>
    <w:rsid w:val="00600974"/>
    <w:pPr>
      <w:spacing w:before="360"/>
      <w:outlineLvl w:val="0"/>
    </w:pPr>
    <w:rPr>
      <w:sz w:val="40"/>
      <w:szCs w:val="40"/>
    </w:rPr>
  </w:style>
  <w:style w:type="paragraph" w:styleId="Heading2">
    <w:name w:val="heading 2"/>
    <w:basedOn w:val="CGCSubHead"/>
    <w:next w:val="Normal"/>
    <w:link w:val="Heading2Char"/>
    <w:uiPriority w:val="9"/>
    <w:unhideWhenUsed/>
    <w:qFormat/>
    <w:rsid w:val="00600974"/>
    <w:pPr>
      <w:spacing w:before="360"/>
      <w:outlineLvl w:val="1"/>
    </w:pPr>
    <w:rPr>
      <w:sz w:val="36"/>
      <w:szCs w:val="36"/>
    </w:rPr>
  </w:style>
  <w:style w:type="paragraph" w:styleId="Heading3">
    <w:name w:val="heading 3"/>
    <w:basedOn w:val="CGCSubHead"/>
    <w:next w:val="Normal"/>
    <w:link w:val="Heading3Char"/>
    <w:uiPriority w:val="9"/>
    <w:unhideWhenUsed/>
    <w:qFormat/>
    <w:rsid w:val="00600974"/>
    <w:pPr>
      <w:outlineLvl w:val="2"/>
    </w:pPr>
  </w:style>
  <w:style w:type="paragraph" w:styleId="Heading4">
    <w:name w:val="heading 4"/>
    <w:basedOn w:val="Normal"/>
    <w:next w:val="Normal"/>
    <w:link w:val="Heading4Char"/>
    <w:uiPriority w:val="9"/>
    <w:unhideWhenUsed/>
    <w:qFormat/>
    <w:rsid w:val="00015E8A"/>
    <w:pPr>
      <w:keepNext/>
      <w:keepLines/>
      <w:spacing w:before="40"/>
      <w:outlineLvl w:val="3"/>
    </w:pPr>
    <w:rPr>
      <w:rFonts w:asciiTheme="majorHAnsi" w:eastAsiaTheme="majorEastAsia" w:hAnsiTheme="majorHAnsi" w:cstheme="majorBidi"/>
      <w:i/>
      <w:iCs/>
      <w:color w:val="00334A" w:themeColor="accent1" w:themeShade="BF"/>
    </w:rPr>
  </w:style>
  <w:style w:type="paragraph" w:styleId="Heading5">
    <w:name w:val="heading 5"/>
    <w:basedOn w:val="Normal"/>
    <w:next w:val="Normal"/>
    <w:link w:val="Heading5Char"/>
    <w:uiPriority w:val="9"/>
    <w:semiHidden/>
    <w:unhideWhenUsed/>
    <w:qFormat/>
    <w:rsid w:val="00015E8A"/>
    <w:pPr>
      <w:keepNext/>
      <w:keepLines/>
      <w:spacing w:before="40"/>
      <w:outlineLvl w:val="4"/>
    </w:pPr>
    <w:rPr>
      <w:rFonts w:asciiTheme="majorHAnsi" w:eastAsiaTheme="majorEastAsia" w:hAnsiTheme="majorHAnsi" w:cstheme="majorBidi"/>
      <w:color w:val="00334A" w:themeColor="accent1" w:themeShade="BF"/>
    </w:rPr>
  </w:style>
  <w:style w:type="paragraph" w:styleId="Heading6">
    <w:name w:val="heading 6"/>
    <w:basedOn w:val="Normal"/>
    <w:next w:val="Normal"/>
    <w:link w:val="Heading6Char"/>
    <w:uiPriority w:val="9"/>
    <w:semiHidden/>
    <w:unhideWhenUsed/>
    <w:qFormat/>
    <w:rsid w:val="00300D4B"/>
    <w:pPr>
      <w:keepNext/>
      <w:keepLines/>
      <w:spacing w:before="40"/>
      <w:outlineLvl w:val="5"/>
    </w:pPr>
    <w:rPr>
      <w:rFonts w:asciiTheme="majorHAnsi" w:eastAsiaTheme="majorEastAsia" w:hAnsiTheme="majorHAnsi" w:cstheme="majorBidi"/>
      <w:color w:val="002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1E6CD0"/>
    <w:pPr>
      <w:keepNext/>
      <w:keepLines/>
      <w:tabs>
        <w:tab w:val="clear" w:pos="567"/>
        <w:tab w:val="left" w:pos="1134"/>
        <w:tab w:val="left" w:pos="1418"/>
      </w:tabs>
      <w:spacing w:before="240" w:after="120" w:line="240" w:lineRule="auto"/>
      <w:ind w:left="1134" w:hanging="1134"/>
    </w:pPr>
    <w:rPr>
      <w:rFonts w:ascii="Work Sans" w:hAnsi="Work Sans"/>
      <w:b/>
      <w:bCs/>
      <w:szCs w:val="20"/>
    </w:rPr>
  </w:style>
  <w:style w:type="character" w:customStyle="1" w:styleId="CaptionChar">
    <w:name w:val="Caption Char"/>
    <w:basedOn w:val="DefaultParagraphFont"/>
    <w:link w:val="Caption"/>
    <w:rsid w:val="001E6CD0"/>
    <w:rPr>
      <w:rFonts w:ascii="Work Sans" w:hAnsi="Work Sans"/>
      <w:b/>
      <w:bCs/>
      <w:sz w:val="20"/>
      <w:szCs w:val="20"/>
    </w:rPr>
  </w:style>
  <w:style w:type="paragraph" w:customStyle="1" w:styleId="CGCTablenote">
    <w:name w:val="CGC Table note"/>
    <w:basedOn w:val="CGCTablerow"/>
    <w:next w:val="Normal"/>
    <w:qFormat/>
    <w:rsid w:val="00AC6C54"/>
    <w:pPr>
      <w:ind w:left="709" w:hanging="709"/>
    </w:pPr>
    <w:rPr>
      <w:rFonts w:ascii="Work Sans" w:hAnsi="Work Sans"/>
      <w:lang w:eastAsia="en-AU"/>
    </w:rPr>
  </w:style>
  <w:style w:type="paragraph" w:styleId="BodyText">
    <w:name w:val="Body Text"/>
    <w:link w:val="BodyTextChar"/>
    <w:qFormat/>
    <w:rsid w:val="005C0550"/>
    <w:pPr>
      <w:spacing w:before="240" w:line="300" w:lineRule="atLeast"/>
      <w:jc w:val="both"/>
    </w:pPr>
    <w:rPr>
      <w:rFonts w:ascii="Open Sans Light" w:eastAsia="Times New Roman" w:hAnsi="Open Sans Light" w:cs="Times New Roman"/>
      <w:szCs w:val="20"/>
      <w:lang w:eastAsia="en-AU"/>
    </w:rPr>
  </w:style>
  <w:style w:type="character" w:customStyle="1" w:styleId="BodyTextChar">
    <w:name w:val="Body Text Char"/>
    <w:basedOn w:val="DefaultParagraphFont"/>
    <w:link w:val="BodyText"/>
    <w:rsid w:val="005C0550"/>
    <w:rPr>
      <w:rFonts w:ascii="Open Sans Light" w:eastAsia="Times New Roman" w:hAnsi="Open Sans Light" w:cs="Times New Roman"/>
      <w:szCs w:val="20"/>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C9327A"/>
    <w:pPr>
      <w:jc w:val="both"/>
    </w:pPr>
    <w:rPr>
      <w:rFonts w:cs="Cambria Math"/>
      <w:color w:val="000000"/>
      <w:sz w:val="24"/>
      <w:szCs w:val="21"/>
      <w:shd w:val="clear" w:color="auto" w:fill="FFFFFF"/>
    </w:rPr>
  </w:style>
  <w:style w:type="paragraph" w:customStyle="1" w:styleId="CGCSubHead">
    <w:name w:val="CGC Sub Head"/>
    <w:autoRedefine/>
    <w:qFormat/>
    <w:rsid w:val="00600974"/>
    <w:pPr>
      <w:spacing w:before="240" w:after="200" w:line="276" w:lineRule="auto"/>
    </w:pPr>
    <w:rPr>
      <w:rFonts w:ascii="Work Sans" w:eastAsiaTheme="majorEastAsia" w:hAnsi="Work Sans" w:cs="Open Sans"/>
      <w:b/>
      <w:bCs/>
      <w:color w:val="008069" w:themeColor="accent5"/>
      <w:sz w:val="28"/>
      <w:szCs w:val="28"/>
    </w:rPr>
  </w:style>
  <w:style w:type="character" w:styleId="Hyperlink">
    <w:name w:val="Hyperlink"/>
    <w:basedOn w:val="DefaultParagraphFont"/>
    <w:uiPriority w:val="99"/>
    <w:unhideWhenUsed/>
    <w:rsid w:val="008B3F9B"/>
    <w:rPr>
      <w:color w:val="006991" w:themeColor="hyperlink"/>
      <w:u w:val="single"/>
    </w:rPr>
  </w:style>
  <w:style w:type="character" w:styleId="UnresolvedMention">
    <w:name w:val="Unresolved Mention"/>
    <w:basedOn w:val="DefaultParagraphFont"/>
    <w:uiPriority w:val="99"/>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600974"/>
    <w:rPr>
      <w:rFonts w:ascii="Work Sans" w:eastAsiaTheme="majorEastAsia" w:hAnsi="Work Sans" w:cs="Open Sans"/>
      <w:b/>
      <w:bCs/>
      <w:color w:val="008069" w:themeColor="accent5"/>
      <w:sz w:val="40"/>
      <w:szCs w:val="40"/>
    </w:rPr>
  </w:style>
  <w:style w:type="character" w:customStyle="1" w:styleId="Heading2Char">
    <w:name w:val="Heading 2 Char"/>
    <w:basedOn w:val="DefaultParagraphFont"/>
    <w:link w:val="Heading2"/>
    <w:uiPriority w:val="9"/>
    <w:rsid w:val="00600974"/>
    <w:rPr>
      <w:rFonts w:ascii="Work Sans" w:eastAsiaTheme="majorEastAsia" w:hAnsi="Work Sans" w:cs="Open Sans"/>
      <w:b/>
      <w:bCs/>
      <w:color w:val="008069" w:themeColor="accent5"/>
      <w:sz w:val="36"/>
      <w:szCs w:val="36"/>
    </w:rPr>
  </w:style>
  <w:style w:type="character" w:customStyle="1" w:styleId="Heading3Char">
    <w:name w:val="Heading 3 Char"/>
    <w:basedOn w:val="DefaultParagraphFont"/>
    <w:link w:val="Heading3"/>
    <w:uiPriority w:val="9"/>
    <w:rsid w:val="00600974"/>
    <w:rPr>
      <w:rFonts w:ascii="Work Sans" w:eastAsiaTheme="majorEastAsia" w:hAnsi="Work Sans" w:cs="Open Sans"/>
      <w:b/>
      <w:bCs/>
      <w:color w:val="008069" w:themeColor="accent5"/>
      <w:sz w:val="28"/>
      <w:szCs w:val="28"/>
    </w:rPr>
  </w:style>
  <w:style w:type="paragraph" w:customStyle="1" w:styleId="CGCBullet1">
    <w:name w:val="CGC Bullet 1"/>
    <w:basedOn w:val="Normal"/>
    <w:qFormat/>
    <w:rsid w:val="00673C84"/>
    <w:pPr>
      <w:numPr>
        <w:numId w:val="6"/>
      </w:numPr>
    </w:pPr>
  </w:style>
  <w:style w:type="character" w:styleId="FootnoteReference">
    <w:name w:val="footnote reference"/>
    <w:basedOn w:val="DefaultParagraphFont"/>
    <w:qFormat/>
    <w:rsid w:val="009102B1"/>
    <w:rPr>
      <w:vertAlign w:val="superscript"/>
    </w:rPr>
  </w:style>
  <w:style w:type="paragraph" w:styleId="FootnoteText">
    <w:name w:val="footnote text"/>
    <w:basedOn w:val="Normal"/>
    <w:link w:val="FootnoteTextChar"/>
    <w:qFormat/>
    <w:rsid w:val="00DD0641"/>
    <w:pPr>
      <w:tabs>
        <w:tab w:val="clear" w:pos="567"/>
        <w:tab w:val="left" w:pos="680"/>
      </w:tabs>
      <w:spacing w:before="0" w:after="40" w:line="240" w:lineRule="auto"/>
      <w:ind w:left="113" w:hanging="113"/>
      <w:jc w:val="both"/>
    </w:pPr>
    <w:rPr>
      <w:rFonts w:ascii="Work Sans" w:hAnsi="Work Sans"/>
      <w:sz w:val="14"/>
      <w:szCs w:val="20"/>
    </w:rPr>
  </w:style>
  <w:style w:type="character" w:customStyle="1" w:styleId="FootnoteTextChar">
    <w:name w:val="Footnote Text Char"/>
    <w:basedOn w:val="DefaultParagraphFont"/>
    <w:link w:val="FootnoteText"/>
    <w:rsid w:val="00DD0641"/>
    <w:rPr>
      <w:rFonts w:ascii="Work Sans" w:hAnsi="Work Sans"/>
      <w:sz w:val="14"/>
      <w:szCs w:val="20"/>
    </w:rPr>
  </w:style>
  <w:style w:type="character" w:customStyle="1" w:styleId="Heading6Char">
    <w:name w:val="Heading 6 Char"/>
    <w:basedOn w:val="DefaultParagraphFont"/>
    <w:link w:val="Heading6"/>
    <w:uiPriority w:val="9"/>
    <w:rsid w:val="00300D4B"/>
    <w:rPr>
      <w:rFonts w:asciiTheme="majorHAnsi" w:eastAsiaTheme="majorEastAsia" w:hAnsiTheme="majorHAnsi" w:cstheme="majorBidi"/>
      <w:color w:val="002231" w:themeColor="accent1" w:themeShade="7F"/>
      <w:sz w:val="20"/>
      <w:szCs w:val="22"/>
    </w:rPr>
  </w:style>
  <w:style w:type="character" w:styleId="CommentReference">
    <w:name w:val="annotation reference"/>
    <w:basedOn w:val="DefaultParagraphFont"/>
    <w:uiPriority w:val="99"/>
    <w:semiHidden/>
    <w:unhideWhenUsed/>
    <w:rsid w:val="00501600"/>
    <w:rPr>
      <w:sz w:val="16"/>
      <w:szCs w:val="16"/>
    </w:rPr>
  </w:style>
  <w:style w:type="paragraph" w:styleId="CommentText">
    <w:name w:val="annotation text"/>
    <w:basedOn w:val="Normal"/>
    <w:link w:val="CommentTextChar"/>
    <w:uiPriority w:val="99"/>
    <w:semiHidden/>
    <w:unhideWhenUsed/>
    <w:rsid w:val="00501600"/>
    <w:pPr>
      <w:spacing w:line="240" w:lineRule="auto"/>
    </w:pPr>
    <w:rPr>
      <w:szCs w:val="20"/>
    </w:rPr>
  </w:style>
  <w:style w:type="character" w:customStyle="1" w:styleId="CommentTextChar">
    <w:name w:val="Comment Text Char"/>
    <w:basedOn w:val="DefaultParagraphFont"/>
    <w:link w:val="CommentText"/>
    <w:uiPriority w:val="99"/>
    <w:semiHidden/>
    <w:rsid w:val="00501600"/>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501600"/>
    <w:rPr>
      <w:b/>
      <w:bCs/>
    </w:rPr>
  </w:style>
  <w:style w:type="character" w:customStyle="1" w:styleId="CommentSubjectChar">
    <w:name w:val="Comment Subject Char"/>
    <w:basedOn w:val="CommentTextChar"/>
    <w:link w:val="CommentSubject"/>
    <w:uiPriority w:val="99"/>
    <w:semiHidden/>
    <w:rsid w:val="00501600"/>
    <w:rPr>
      <w:rFonts w:ascii="Open Sans Light" w:hAnsi="Open Sans Light"/>
      <w:b/>
      <w:bCs/>
      <w:sz w:val="20"/>
      <w:szCs w:val="20"/>
    </w:rPr>
  </w:style>
  <w:style w:type="character" w:customStyle="1" w:styleId="Heading4Char">
    <w:name w:val="Heading 4 Char"/>
    <w:basedOn w:val="DefaultParagraphFont"/>
    <w:link w:val="Heading4"/>
    <w:uiPriority w:val="9"/>
    <w:rsid w:val="00015E8A"/>
    <w:rPr>
      <w:rFonts w:asciiTheme="majorHAnsi" w:eastAsiaTheme="majorEastAsia" w:hAnsiTheme="majorHAnsi" w:cstheme="majorBidi"/>
      <w:i/>
      <w:iCs/>
      <w:color w:val="00334A" w:themeColor="accent1" w:themeShade="BF"/>
      <w:sz w:val="20"/>
      <w:szCs w:val="22"/>
    </w:rPr>
  </w:style>
  <w:style w:type="character" w:customStyle="1" w:styleId="Heading5Char">
    <w:name w:val="Heading 5 Char"/>
    <w:basedOn w:val="DefaultParagraphFont"/>
    <w:link w:val="Heading5"/>
    <w:uiPriority w:val="9"/>
    <w:semiHidden/>
    <w:rsid w:val="00015E8A"/>
    <w:rPr>
      <w:rFonts w:asciiTheme="majorHAnsi" w:eastAsiaTheme="majorEastAsia" w:hAnsiTheme="majorHAnsi" w:cstheme="majorBidi"/>
      <w:color w:val="00334A" w:themeColor="accent1" w:themeShade="BF"/>
      <w:sz w:val="20"/>
      <w:szCs w:val="22"/>
    </w:rPr>
  </w:style>
  <w:style w:type="paragraph" w:styleId="TOC3">
    <w:name w:val="toc 3"/>
    <w:basedOn w:val="TOC2"/>
    <w:next w:val="Normal"/>
    <w:uiPriority w:val="39"/>
    <w:rsid w:val="007E3C7D"/>
    <w:pPr>
      <w:tabs>
        <w:tab w:val="right" w:pos="8942"/>
      </w:tabs>
      <w:spacing w:after="0"/>
      <w:ind w:left="397"/>
    </w:pPr>
    <w:rPr>
      <w:bCs/>
      <w:iCs/>
      <w:color w:val="636466"/>
      <w:szCs w:val="20"/>
    </w:rPr>
  </w:style>
  <w:style w:type="paragraph" w:customStyle="1" w:styleId="CGCParaNumber">
    <w:name w:val="CGC Para Number"/>
    <w:basedOn w:val="Normal"/>
    <w:qFormat/>
    <w:rsid w:val="007E3C7D"/>
  </w:style>
  <w:style w:type="paragraph" w:styleId="TOC2">
    <w:name w:val="toc 2"/>
    <w:basedOn w:val="Normal"/>
    <w:next w:val="Normal"/>
    <w:autoRedefine/>
    <w:uiPriority w:val="39"/>
    <w:semiHidden/>
    <w:unhideWhenUsed/>
    <w:rsid w:val="007E3C7D"/>
    <w:pPr>
      <w:tabs>
        <w:tab w:val="clear" w:pos="567"/>
      </w:tabs>
      <w:spacing w:after="100"/>
      <w:ind w:left="200"/>
    </w:pPr>
  </w:style>
  <w:style w:type="character" w:styleId="Mention">
    <w:name w:val="Mention"/>
    <w:basedOn w:val="DefaultParagraphFont"/>
    <w:uiPriority w:val="99"/>
    <w:unhideWhenUsed/>
    <w:rsid w:val="006C5E1E"/>
    <w:rPr>
      <w:color w:val="2B579A"/>
      <w:shd w:val="clear" w:color="auto" w:fill="E1DFDD"/>
    </w:rPr>
  </w:style>
  <w:style w:type="paragraph" w:styleId="NormalWeb">
    <w:name w:val="Normal (Web)"/>
    <w:basedOn w:val="Normal"/>
    <w:uiPriority w:val="99"/>
    <w:unhideWhenUsed/>
    <w:rsid w:val="009F142D"/>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GCTablerow">
    <w:name w:val="CGC Table row"/>
    <w:basedOn w:val="Normal"/>
    <w:qFormat/>
    <w:rsid w:val="00AC6C54"/>
    <w:pPr>
      <w:spacing w:before="0" w:line="240" w:lineRule="auto"/>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147965-d003-4c9e-9913-90f0d9e77379">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0" ma:contentTypeDescription="Create a new document." ma:contentTypeScope="" ma:versionID="5d39d10a32ccba9c96e4777a503aeead">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77dc74ff3cf2b8b3397f2f35b7aae2c9"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9A49F1-E6B0-485E-966F-62C9C5A7B50F}">
  <ds:schemaRefs>
    <ds:schemaRef ds:uri="http://schemas.microsoft.com/office/2006/metadata/properties"/>
    <ds:schemaRef ds:uri="http://schemas.microsoft.com/office/infopath/2007/PartnerControls"/>
    <ds:schemaRef ds:uri="3b147965-d003-4c9e-9913-90f0d9e77379"/>
  </ds:schemaRefs>
</ds:datastoreItem>
</file>

<file path=customXml/itemProps2.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customXml/itemProps3.xml><?xml version="1.0" encoding="utf-8"?>
<ds:datastoreItem xmlns:ds="http://schemas.openxmlformats.org/officeDocument/2006/customXml" ds:itemID="{B29D9E8F-074E-4B6D-9E54-B1AA93C78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229DE4-E501-4708-9A87-95C1CECAC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19</Pages>
  <Words>4451</Words>
  <Characters>25374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Warder</dc:creator>
  <cp:keywords/>
  <dc:description/>
  <cp:lastModifiedBy>Annie Abello</cp:lastModifiedBy>
  <cp:revision>308</cp:revision>
  <cp:lastPrinted>2022-04-22T00:57:00Z</cp:lastPrinted>
  <dcterms:created xsi:type="dcterms:W3CDTF">2021-09-21T06:08:00Z</dcterms:created>
  <dcterms:modified xsi:type="dcterms:W3CDTF">2022-04-22T04:45:00Z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y fmtid="{D5CDD505-2E9C-101B-9397-08002B2CF9AE}" pid="3" name="Order">
    <vt:r8>1167200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ies>
</file>