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07D47B" w14:textId="078FDC6F" w:rsidR="004D7F21" w:rsidRPr="002C5B2F" w:rsidRDefault="004D7F21" w:rsidP="00C330D1">
      <w:pPr>
        <w:ind w:left="426" w:hanging="426"/>
        <w:jc w:val="center"/>
        <w:rPr>
          <w:rFonts w:ascii="Work Sans" w:hAnsi="Work Sans"/>
        </w:rPr>
      </w:pPr>
      <w:bookmarkStart w:id="0" w:name="Content"/>
      <w:bookmarkEnd w:id="0"/>
      <w:r w:rsidRPr="002C5B2F">
        <w:rPr>
          <w:rFonts w:ascii="Work Sans" w:hAnsi="Work Sans"/>
          <w:noProof/>
          <w:lang w:val="en-US"/>
        </w:rPr>
        <w:drawing>
          <wp:anchor distT="0" distB="0" distL="114300" distR="114300" simplePos="0" relativeHeight="251658242" behindDoc="1" locked="0" layoutInCell="1" allowOverlap="1" wp14:anchorId="7A5459B5" wp14:editId="66262025">
            <wp:simplePos x="0" y="0"/>
            <wp:positionH relativeFrom="page">
              <wp:align>left</wp:align>
            </wp:positionH>
            <wp:positionV relativeFrom="paragraph">
              <wp:posOffset>-1131570</wp:posOffset>
            </wp:positionV>
            <wp:extent cx="7725600" cy="10919713"/>
            <wp:effectExtent l="0" t="0" r="889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25600" cy="10919713"/>
                    </a:xfrm>
                    <a:prstGeom prst="rect">
                      <a:avLst/>
                    </a:prstGeom>
                  </pic:spPr>
                </pic:pic>
              </a:graphicData>
            </a:graphic>
            <wp14:sizeRelH relativeFrom="margin">
              <wp14:pctWidth>0</wp14:pctWidth>
            </wp14:sizeRelH>
            <wp14:sizeRelV relativeFrom="margin">
              <wp14:pctHeight>0</wp14:pctHeight>
            </wp14:sizeRelV>
          </wp:anchor>
        </w:drawing>
      </w:r>
    </w:p>
    <w:p w14:paraId="3A6F275C" w14:textId="77777777" w:rsidR="004D7F21" w:rsidRPr="002C5B2F" w:rsidRDefault="004D7F21" w:rsidP="00690F98">
      <w:pPr>
        <w:ind w:left="426" w:firstLine="283"/>
        <w:rPr>
          <w:rFonts w:ascii="Work Sans" w:hAnsi="Work Sans"/>
        </w:rPr>
      </w:pPr>
      <w:r w:rsidRPr="002C5B2F">
        <w:rPr>
          <w:rFonts w:ascii="Work Sans" w:hAnsi="Work Sans"/>
          <w:noProof/>
          <w:lang w:val="en-US"/>
        </w:rPr>
        <w:drawing>
          <wp:inline distT="0" distB="0" distL="0" distR="0" wp14:anchorId="23932C1B" wp14:editId="600FBECE">
            <wp:extent cx="2441749" cy="460926"/>
            <wp:effectExtent l="0" t="0" r="0"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32597" cy="496952"/>
                    </a:xfrm>
                    <a:prstGeom prst="rect">
                      <a:avLst/>
                    </a:prstGeom>
                  </pic:spPr>
                </pic:pic>
              </a:graphicData>
            </a:graphic>
          </wp:inline>
        </w:drawing>
      </w:r>
    </w:p>
    <w:p w14:paraId="5545C27F" w14:textId="77777777" w:rsidR="004D7F21" w:rsidRPr="002C5B2F" w:rsidRDefault="004D7F21" w:rsidP="004D7F21">
      <w:pPr>
        <w:jc w:val="center"/>
        <w:rPr>
          <w:rFonts w:ascii="Work Sans" w:hAnsi="Work Sans"/>
        </w:rPr>
      </w:pPr>
    </w:p>
    <w:p w14:paraId="64B905A5" w14:textId="77777777" w:rsidR="004D7F21" w:rsidRPr="002C5B2F" w:rsidRDefault="004D7F21" w:rsidP="004D7F21">
      <w:pPr>
        <w:rPr>
          <w:rFonts w:ascii="Work Sans" w:hAnsi="Work Sans"/>
        </w:rPr>
      </w:pPr>
    </w:p>
    <w:p w14:paraId="291A6B13" w14:textId="77777777" w:rsidR="004D7F21" w:rsidRPr="002C5B2F" w:rsidRDefault="004D7F21" w:rsidP="004D7F21">
      <w:pPr>
        <w:rPr>
          <w:rFonts w:ascii="Work Sans" w:hAnsi="Work Sans"/>
        </w:rPr>
      </w:pPr>
    </w:p>
    <w:p w14:paraId="107839AA" w14:textId="77777777" w:rsidR="005A512A" w:rsidRPr="002C5B2F" w:rsidRDefault="005A512A" w:rsidP="004D7F21">
      <w:pPr>
        <w:rPr>
          <w:rFonts w:ascii="Work Sans" w:hAnsi="Work Sans"/>
        </w:rPr>
      </w:pPr>
    </w:p>
    <w:p w14:paraId="5D52047B" w14:textId="77777777" w:rsidR="005A512A" w:rsidRPr="002C5B2F" w:rsidRDefault="005A512A" w:rsidP="004D7F21">
      <w:pPr>
        <w:rPr>
          <w:rFonts w:ascii="Work Sans" w:hAnsi="Work Sans"/>
        </w:rPr>
      </w:pPr>
    </w:p>
    <w:p w14:paraId="758A9376" w14:textId="77777777" w:rsidR="004D7F21" w:rsidRPr="002C5B2F" w:rsidRDefault="004D7F21" w:rsidP="004D7F21">
      <w:pPr>
        <w:rPr>
          <w:rFonts w:ascii="Work Sans" w:hAnsi="Work Sans"/>
        </w:rPr>
      </w:pPr>
    </w:p>
    <w:p w14:paraId="604814B8" w14:textId="77777777" w:rsidR="004D7F21" w:rsidRPr="002C5B2F" w:rsidRDefault="004D7F21" w:rsidP="004D7F21">
      <w:pPr>
        <w:rPr>
          <w:rFonts w:ascii="Work Sans" w:hAnsi="Work Sans"/>
        </w:rPr>
      </w:pPr>
    </w:p>
    <w:p w14:paraId="484FC49D" w14:textId="77777777" w:rsidR="004D7F21" w:rsidRPr="002C5B2F" w:rsidRDefault="004D7F21" w:rsidP="004D7F21">
      <w:pPr>
        <w:rPr>
          <w:rFonts w:ascii="Work Sans" w:hAnsi="Work Sans"/>
        </w:rPr>
      </w:pPr>
      <w:r w:rsidRPr="002C5B2F">
        <w:rPr>
          <w:rFonts w:ascii="Work Sans" w:hAnsi="Work Sans"/>
          <w:noProof/>
          <w:lang w:val="en-US"/>
        </w:rPr>
        <mc:AlternateContent>
          <mc:Choice Requires="wps">
            <w:drawing>
              <wp:anchor distT="0" distB="0" distL="114300" distR="114300" simplePos="0" relativeHeight="251658240" behindDoc="0" locked="0" layoutInCell="1" allowOverlap="1" wp14:anchorId="5717CB1D" wp14:editId="42495807">
                <wp:simplePos x="0" y="0"/>
                <wp:positionH relativeFrom="margin">
                  <wp:posOffset>284972</wp:posOffset>
                </wp:positionH>
                <wp:positionV relativeFrom="paragraph">
                  <wp:posOffset>82003</wp:posOffset>
                </wp:positionV>
                <wp:extent cx="6194663" cy="2434856"/>
                <wp:effectExtent l="0" t="0" r="0" b="3810"/>
                <wp:wrapNone/>
                <wp:docPr id="13" name="Text Box 13"/>
                <wp:cNvGraphicFramePr/>
                <a:graphic xmlns:a="http://schemas.openxmlformats.org/drawingml/2006/main">
                  <a:graphicData uri="http://schemas.microsoft.com/office/word/2010/wordprocessingShape">
                    <wps:wsp>
                      <wps:cNvSpPr txBox="1"/>
                      <wps:spPr>
                        <a:xfrm>
                          <a:off x="0" y="0"/>
                          <a:ext cx="6194663" cy="2434856"/>
                        </a:xfrm>
                        <a:prstGeom prst="rect">
                          <a:avLst/>
                        </a:prstGeom>
                        <a:noFill/>
                        <a:ln w="6350">
                          <a:noFill/>
                        </a:ln>
                      </wps:spPr>
                      <wps:txbx>
                        <w:txbxContent>
                          <w:p w14:paraId="07A68F45" w14:textId="1F50A360" w:rsidR="004D7F21" w:rsidRPr="004D7BA5" w:rsidRDefault="004401E1" w:rsidP="004D7F21">
                            <w:pPr>
                              <w:rPr>
                                <w:rFonts w:ascii="Work Sans" w:hAnsi="Work Sans" w:cs="Open Sans"/>
                                <w:b/>
                                <w:color w:val="FFFFFF"/>
                                <w:sz w:val="72"/>
                                <w:szCs w:val="72"/>
                              </w:rPr>
                            </w:pPr>
                            <w:bookmarkStart w:id="1" w:name="_Hlk101357185"/>
                            <w:bookmarkStart w:id="2" w:name="_Hlk101357186"/>
                            <w:bookmarkStart w:id="3" w:name="_Hlk101357187"/>
                            <w:bookmarkStart w:id="4" w:name="_Hlk101357188"/>
                            <w:bookmarkStart w:id="5" w:name="_Hlk101357189"/>
                            <w:bookmarkStart w:id="6" w:name="_Hlk101357190"/>
                            <w:r w:rsidRPr="008C535E">
                              <w:rPr>
                                <w:rFonts w:ascii="Work Sans" w:hAnsi="Work Sans" w:cs="Open Sans"/>
                                <w:b/>
                                <w:color w:val="FFFFFF"/>
                                <w:sz w:val="72"/>
                                <w:szCs w:val="72"/>
                              </w:rPr>
                              <w:t>S</w:t>
                            </w:r>
                            <w:r w:rsidR="008C535E">
                              <w:rPr>
                                <w:rFonts w:ascii="Work Sans" w:hAnsi="Work Sans" w:cs="Open Sans"/>
                                <w:b/>
                                <w:color w:val="FFFFFF"/>
                                <w:sz w:val="72"/>
                                <w:szCs w:val="72"/>
                              </w:rPr>
                              <w:t>ome</w:t>
                            </w:r>
                            <w:r w:rsidRPr="008C535E">
                              <w:rPr>
                                <w:rFonts w:ascii="Work Sans" w:hAnsi="Work Sans" w:cs="Open Sans"/>
                                <w:b/>
                                <w:color w:val="FFFFFF"/>
                                <w:sz w:val="72"/>
                                <w:szCs w:val="72"/>
                              </w:rPr>
                              <w:t xml:space="preserve"> </w:t>
                            </w:r>
                            <w:r w:rsidR="00A5362C" w:rsidRPr="008C535E">
                              <w:rPr>
                                <w:rFonts w:ascii="Work Sans" w:hAnsi="Work Sans" w:cs="Open Sans"/>
                                <w:b/>
                                <w:color w:val="FFFFFF"/>
                                <w:sz w:val="72"/>
                                <w:szCs w:val="72"/>
                              </w:rPr>
                              <w:t>i</w:t>
                            </w:r>
                            <w:r w:rsidR="004D7F21" w:rsidRPr="008C535E">
                              <w:rPr>
                                <w:rFonts w:ascii="Work Sans" w:hAnsi="Work Sans" w:cs="Open Sans"/>
                                <w:b/>
                                <w:color w:val="FFFFFF"/>
                                <w:sz w:val="72"/>
                                <w:szCs w:val="72"/>
                              </w:rPr>
                              <w:t>nternational themes in fiscal equalisation</w:t>
                            </w:r>
                            <w:r w:rsidR="00B67EEA" w:rsidRPr="008C535E">
                              <w:rPr>
                                <w:rFonts w:ascii="Work Sans" w:hAnsi="Work Sans" w:cs="Open Sans"/>
                                <w:b/>
                                <w:color w:val="FFFFFF"/>
                                <w:sz w:val="72"/>
                                <w:szCs w:val="72"/>
                              </w:rPr>
                              <w:t>:</w:t>
                            </w:r>
                            <w:r w:rsidR="004D7F21" w:rsidRPr="008C535E">
                              <w:rPr>
                                <w:rFonts w:ascii="Work Sans" w:hAnsi="Work Sans" w:cs="Open Sans"/>
                                <w:b/>
                                <w:color w:val="FFFFFF"/>
                                <w:sz w:val="72"/>
                                <w:szCs w:val="72"/>
                              </w:rPr>
                              <w:t xml:space="preserve"> </w:t>
                            </w:r>
                            <w:r w:rsidR="008C535E" w:rsidRPr="008C535E">
                              <w:rPr>
                                <w:rFonts w:ascii="Work Sans" w:hAnsi="Work Sans" w:cs="Open Sans"/>
                                <w:b/>
                                <w:color w:val="FFFFFF"/>
                                <w:sz w:val="72"/>
                                <w:szCs w:val="72"/>
                              </w:rPr>
                              <w:br/>
                            </w:r>
                            <w:r w:rsidR="00015455" w:rsidRPr="008C535E">
                              <w:rPr>
                                <w:rFonts w:ascii="Work Sans" w:hAnsi="Work Sans" w:cs="Open Sans"/>
                                <w:b/>
                                <w:color w:val="FFFFFF"/>
                                <w:sz w:val="72"/>
                                <w:szCs w:val="72"/>
                              </w:rPr>
                              <w:t>a</w:t>
                            </w:r>
                            <w:r w:rsidR="007F39B2" w:rsidRPr="008C535E">
                              <w:rPr>
                                <w:rFonts w:ascii="Work Sans" w:hAnsi="Work Sans" w:cs="Open Sans"/>
                                <w:b/>
                                <w:color w:val="FFFFFF"/>
                                <w:sz w:val="72"/>
                                <w:szCs w:val="72"/>
                              </w:rPr>
                              <w:t xml:space="preserve">n Australian </w:t>
                            </w:r>
                            <w:r w:rsidR="00B81333" w:rsidRPr="008C535E">
                              <w:rPr>
                                <w:rFonts w:ascii="Work Sans" w:hAnsi="Work Sans" w:cs="Open Sans"/>
                                <w:b/>
                                <w:color w:val="FFFFFF"/>
                                <w:sz w:val="72"/>
                                <w:szCs w:val="72"/>
                              </w:rPr>
                              <w:t>perspective</w:t>
                            </w:r>
                            <w:r w:rsidR="004D7F21" w:rsidRPr="004D7BA5">
                              <w:rPr>
                                <w:rFonts w:ascii="Work Sans" w:hAnsi="Work Sans" w:cs="Open Sans"/>
                                <w:b/>
                                <w:color w:val="FFFFFF"/>
                                <w:sz w:val="72"/>
                                <w:szCs w:val="72"/>
                              </w:rPr>
                              <w:t xml:space="preserve"> </w:t>
                            </w:r>
                            <w:bookmarkEnd w:id="1"/>
                            <w:bookmarkEnd w:id="2"/>
                            <w:bookmarkEnd w:id="3"/>
                            <w:bookmarkEnd w:id="4"/>
                            <w:bookmarkEnd w:id="5"/>
                            <w:bookmarkEnd w:id="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17CB1D" id="_x0000_t202" coordsize="21600,21600" o:spt="202" path="m,l,21600r21600,l21600,xe">
                <v:stroke joinstyle="miter"/>
                <v:path gradientshapeok="t" o:connecttype="rect"/>
              </v:shapetype>
              <v:shape id="Text Box 13" o:spid="_x0000_s1026" type="#_x0000_t202" style="position:absolute;margin-left:22.45pt;margin-top:6.45pt;width:487.75pt;height:191.7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" filled="f" stroked="f" strokeweight=".5pt">
                <v:textbox>
                  <w:txbxContent>
                    <w:p w14:paraId="07A68F45" w14:textId="1F50A360" w:rsidR="004D7F21" w:rsidRPr="004D7BA5" w:rsidRDefault="004401E1" w:rsidP="004D7F21">
                      <w:pPr>
                        <w:rPr>
                          <w:rFonts w:ascii="Work Sans" w:hAnsi="Work Sans" w:cs="Open Sans"/>
                          <w:b/>
                          <w:color w:val="FFFFFF"/>
                          <w:sz w:val="72"/>
                          <w:szCs w:val="72"/>
                        </w:rPr>
                      </w:pPr>
                      <w:bookmarkStart w:id="7" w:name="_Hlk101357185"/>
                      <w:bookmarkStart w:id="8" w:name="_Hlk101357186"/>
                      <w:bookmarkStart w:id="9" w:name="_Hlk101357187"/>
                      <w:bookmarkStart w:id="10" w:name="_Hlk101357188"/>
                      <w:bookmarkStart w:id="11" w:name="_Hlk101357189"/>
                      <w:bookmarkStart w:id="12" w:name="_Hlk101357190"/>
                      <w:r w:rsidRPr="008C535E">
                        <w:rPr>
                          <w:rFonts w:ascii="Work Sans" w:hAnsi="Work Sans" w:cs="Open Sans"/>
                          <w:b/>
                          <w:color w:val="FFFFFF"/>
                          <w:sz w:val="72"/>
                          <w:szCs w:val="72"/>
                        </w:rPr>
                        <w:t>S</w:t>
                      </w:r>
                      <w:r w:rsidR="008C535E">
                        <w:rPr>
                          <w:rFonts w:ascii="Work Sans" w:hAnsi="Work Sans" w:cs="Open Sans"/>
                          <w:b/>
                          <w:color w:val="FFFFFF"/>
                          <w:sz w:val="72"/>
                          <w:szCs w:val="72"/>
                        </w:rPr>
                        <w:t>ome</w:t>
                      </w:r>
                      <w:r w:rsidRPr="008C535E">
                        <w:rPr>
                          <w:rFonts w:ascii="Work Sans" w:hAnsi="Work Sans" w:cs="Open Sans"/>
                          <w:b/>
                          <w:color w:val="FFFFFF"/>
                          <w:sz w:val="72"/>
                          <w:szCs w:val="72"/>
                        </w:rPr>
                        <w:t xml:space="preserve"> </w:t>
                      </w:r>
                      <w:r w:rsidR="00A5362C" w:rsidRPr="008C535E">
                        <w:rPr>
                          <w:rFonts w:ascii="Work Sans" w:hAnsi="Work Sans" w:cs="Open Sans"/>
                          <w:b/>
                          <w:color w:val="FFFFFF"/>
                          <w:sz w:val="72"/>
                          <w:szCs w:val="72"/>
                        </w:rPr>
                        <w:t>i</w:t>
                      </w:r>
                      <w:r w:rsidR="004D7F21" w:rsidRPr="008C535E">
                        <w:rPr>
                          <w:rFonts w:ascii="Work Sans" w:hAnsi="Work Sans" w:cs="Open Sans"/>
                          <w:b/>
                          <w:color w:val="FFFFFF"/>
                          <w:sz w:val="72"/>
                          <w:szCs w:val="72"/>
                        </w:rPr>
                        <w:t>nternational themes in fiscal equalisation</w:t>
                      </w:r>
                      <w:r w:rsidR="00B67EEA" w:rsidRPr="008C535E">
                        <w:rPr>
                          <w:rFonts w:ascii="Work Sans" w:hAnsi="Work Sans" w:cs="Open Sans"/>
                          <w:b/>
                          <w:color w:val="FFFFFF"/>
                          <w:sz w:val="72"/>
                          <w:szCs w:val="72"/>
                        </w:rPr>
                        <w:t>:</w:t>
                      </w:r>
                      <w:r w:rsidR="004D7F21" w:rsidRPr="008C535E">
                        <w:rPr>
                          <w:rFonts w:ascii="Work Sans" w:hAnsi="Work Sans" w:cs="Open Sans"/>
                          <w:b/>
                          <w:color w:val="FFFFFF"/>
                          <w:sz w:val="72"/>
                          <w:szCs w:val="72"/>
                        </w:rPr>
                        <w:t xml:space="preserve"> </w:t>
                      </w:r>
                      <w:r w:rsidR="008C535E" w:rsidRPr="008C535E">
                        <w:rPr>
                          <w:rFonts w:ascii="Work Sans" w:hAnsi="Work Sans" w:cs="Open Sans"/>
                          <w:b/>
                          <w:color w:val="FFFFFF"/>
                          <w:sz w:val="72"/>
                          <w:szCs w:val="72"/>
                        </w:rPr>
                        <w:br/>
                      </w:r>
                      <w:r w:rsidR="00015455" w:rsidRPr="008C535E">
                        <w:rPr>
                          <w:rFonts w:ascii="Work Sans" w:hAnsi="Work Sans" w:cs="Open Sans"/>
                          <w:b/>
                          <w:color w:val="FFFFFF"/>
                          <w:sz w:val="72"/>
                          <w:szCs w:val="72"/>
                        </w:rPr>
                        <w:t>a</w:t>
                      </w:r>
                      <w:r w:rsidR="007F39B2" w:rsidRPr="008C535E">
                        <w:rPr>
                          <w:rFonts w:ascii="Work Sans" w:hAnsi="Work Sans" w:cs="Open Sans"/>
                          <w:b/>
                          <w:color w:val="FFFFFF"/>
                          <w:sz w:val="72"/>
                          <w:szCs w:val="72"/>
                        </w:rPr>
                        <w:t xml:space="preserve">n Australian </w:t>
                      </w:r>
                      <w:r w:rsidR="00B81333" w:rsidRPr="008C535E">
                        <w:rPr>
                          <w:rFonts w:ascii="Work Sans" w:hAnsi="Work Sans" w:cs="Open Sans"/>
                          <w:b/>
                          <w:color w:val="FFFFFF"/>
                          <w:sz w:val="72"/>
                          <w:szCs w:val="72"/>
                        </w:rPr>
                        <w:t>perspective</w:t>
                      </w:r>
                      <w:r w:rsidR="004D7F21" w:rsidRPr="004D7BA5">
                        <w:rPr>
                          <w:rFonts w:ascii="Work Sans" w:hAnsi="Work Sans" w:cs="Open Sans"/>
                          <w:b/>
                          <w:color w:val="FFFFFF"/>
                          <w:sz w:val="72"/>
                          <w:szCs w:val="72"/>
                        </w:rPr>
                        <w:t xml:space="preserve"> </w:t>
                      </w:r>
                      <w:bookmarkEnd w:id="7"/>
                      <w:bookmarkEnd w:id="8"/>
                      <w:bookmarkEnd w:id="9"/>
                      <w:bookmarkEnd w:id="10"/>
                      <w:bookmarkEnd w:id="11"/>
                      <w:bookmarkEnd w:id="12"/>
                    </w:p>
                  </w:txbxContent>
                </v:textbox>
                <w10:wrap anchorx="margin"/>
              </v:shape>
            </w:pict>
          </mc:Fallback>
        </mc:AlternateContent>
      </w:r>
    </w:p>
    <w:p w14:paraId="373698D9" w14:textId="77777777" w:rsidR="004D7F21" w:rsidRPr="002C5B2F" w:rsidRDefault="004D7F21" w:rsidP="004D7F21">
      <w:pPr>
        <w:rPr>
          <w:rFonts w:ascii="Work Sans" w:hAnsi="Work Sans"/>
        </w:rPr>
      </w:pPr>
    </w:p>
    <w:p w14:paraId="44928031" w14:textId="77777777" w:rsidR="004D7F21" w:rsidRPr="002C5B2F" w:rsidRDefault="004D7F21" w:rsidP="004D7F21">
      <w:pPr>
        <w:rPr>
          <w:rFonts w:ascii="Work Sans" w:hAnsi="Work Sans"/>
        </w:rPr>
      </w:pPr>
    </w:p>
    <w:p w14:paraId="434CBCF4" w14:textId="77777777" w:rsidR="004D7F21" w:rsidRPr="002C5B2F" w:rsidRDefault="004D7F21" w:rsidP="004D7F21">
      <w:pPr>
        <w:rPr>
          <w:rFonts w:ascii="Work Sans" w:hAnsi="Work Sans"/>
        </w:rPr>
      </w:pPr>
    </w:p>
    <w:p w14:paraId="71F9BEB8" w14:textId="77777777" w:rsidR="004D7F21" w:rsidRPr="002C5B2F" w:rsidRDefault="004D7F21" w:rsidP="004D7F21">
      <w:pPr>
        <w:rPr>
          <w:rFonts w:ascii="Work Sans" w:hAnsi="Work Sans"/>
        </w:rPr>
      </w:pPr>
    </w:p>
    <w:p w14:paraId="15169022" w14:textId="77777777" w:rsidR="004D7F21" w:rsidRPr="002C5B2F" w:rsidRDefault="004D7F21" w:rsidP="004D7F21">
      <w:pPr>
        <w:rPr>
          <w:rFonts w:ascii="Work Sans" w:hAnsi="Work Sans"/>
        </w:rPr>
      </w:pPr>
    </w:p>
    <w:p w14:paraId="1DA4226C" w14:textId="0893CDC1" w:rsidR="004D7F21" w:rsidRPr="002C5B2F" w:rsidRDefault="004D7F21" w:rsidP="004D7F21">
      <w:pPr>
        <w:rPr>
          <w:rFonts w:ascii="Work Sans" w:hAnsi="Work Sans"/>
        </w:rPr>
      </w:pPr>
    </w:p>
    <w:p w14:paraId="3CC95A4F" w14:textId="77777777" w:rsidR="004D7F21" w:rsidRPr="002C5B2F" w:rsidRDefault="004D7F21" w:rsidP="004D7F21">
      <w:pPr>
        <w:rPr>
          <w:rFonts w:ascii="Work Sans" w:hAnsi="Work Sans"/>
        </w:rPr>
      </w:pPr>
    </w:p>
    <w:p w14:paraId="139A50B5" w14:textId="77777777" w:rsidR="004D7F21" w:rsidRPr="002C5B2F" w:rsidRDefault="004D7F21" w:rsidP="004D7F21">
      <w:pPr>
        <w:rPr>
          <w:rFonts w:ascii="Work Sans" w:hAnsi="Work Sans"/>
        </w:rPr>
      </w:pPr>
    </w:p>
    <w:p w14:paraId="2216F896" w14:textId="77777777" w:rsidR="004D7F21" w:rsidRPr="002C5B2F" w:rsidRDefault="004D7F21" w:rsidP="004D7F21">
      <w:pPr>
        <w:rPr>
          <w:rFonts w:ascii="Work Sans" w:hAnsi="Work Sans"/>
        </w:rPr>
      </w:pPr>
    </w:p>
    <w:p w14:paraId="664B5B3F" w14:textId="77777777" w:rsidR="004D7F21" w:rsidRPr="002C5B2F" w:rsidRDefault="004D7F21" w:rsidP="004D7F21">
      <w:pPr>
        <w:rPr>
          <w:rFonts w:ascii="Work Sans" w:hAnsi="Work Sans"/>
        </w:rPr>
      </w:pPr>
    </w:p>
    <w:p w14:paraId="5B26BF71" w14:textId="77777777" w:rsidR="00DC3B9D" w:rsidRPr="002C5B2F" w:rsidRDefault="00DC3B9D" w:rsidP="004D7F21">
      <w:pPr>
        <w:rPr>
          <w:rFonts w:ascii="Work Sans" w:hAnsi="Work Sans"/>
        </w:rPr>
      </w:pPr>
    </w:p>
    <w:p w14:paraId="73F86809" w14:textId="702869C3" w:rsidR="004D7F21" w:rsidRPr="004D7BA5" w:rsidRDefault="00D800AE" w:rsidP="004D7F21">
      <w:pPr>
        <w:rPr>
          <w:rFonts w:ascii="Work Sans" w:hAnsi="Work Sans"/>
          <w:color w:val="FFFFFF" w:themeColor="background1"/>
          <w:sz w:val="48"/>
          <w:szCs w:val="48"/>
        </w:rPr>
      </w:pPr>
      <w:r>
        <w:rPr>
          <w:rFonts w:ascii="Work Sans" w:hAnsi="Work Sans"/>
          <w:color w:val="FFFFFF" w:themeColor="background1"/>
          <w:sz w:val="48"/>
          <w:szCs w:val="48"/>
        </w:rPr>
        <w:t xml:space="preserve"> </w:t>
      </w:r>
      <w:r w:rsidR="005A206F">
        <w:rPr>
          <w:rFonts w:ascii="Work Sans" w:hAnsi="Work Sans"/>
          <w:color w:val="FFFFFF" w:themeColor="background1"/>
          <w:sz w:val="48"/>
          <w:szCs w:val="48"/>
        </w:rPr>
        <w:t xml:space="preserve">   </w:t>
      </w:r>
      <w:r w:rsidR="005979AF" w:rsidRPr="004D7BA5">
        <w:rPr>
          <w:rFonts w:ascii="Work Sans" w:hAnsi="Work Sans"/>
          <w:color w:val="FFFFFF" w:themeColor="background1"/>
          <w:sz w:val="48"/>
          <w:szCs w:val="48"/>
        </w:rPr>
        <w:t>Research</w:t>
      </w:r>
      <w:r w:rsidR="00967FF5" w:rsidRPr="004D7BA5">
        <w:rPr>
          <w:rFonts w:ascii="Work Sans" w:hAnsi="Work Sans"/>
          <w:color w:val="FFFFFF" w:themeColor="background1"/>
          <w:sz w:val="48"/>
          <w:szCs w:val="48"/>
        </w:rPr>
        <w:t xml:space="preserve"> paper</w:t>
      </w:r>
      <w:r w:rsidR="00FC0EAE">
        <w:rPr>
          <w:rFonts w:ascii="Work Sans" w:hAnsi="Work Sans"/>
          <w:color w:val="FFFFFF" w:themeColor="background1"/>
          <w:sz w:val="48"/>
          <w:szCs w:val="48"/>
        </w:rPr>
        <w:t xml:space="preserve"> 3</w:t>
      </w:r>
    </w:p>
    <w:p w14:paraId="4B4D4D6F" w14:textId="77777777" w:rsidR="004A1ED8" w:rsidRPr="002C5B2F" w:rsidRDefault="004A1ED8" w:rsidP="004D7F21">
      <w:pPr>
        <w:rPr>
          <w:rFonts w:ascii="Work Sans" w:hAnsi="Work Sans"/>
        </w:rPr>
      </w:pPr>
    </w:p>
    <w:p w14:paraId="132BE65A" w14:textId="77777777" w:rsidR="004317EB" w:rsidRPr="002C5B2F" w:rsidRDefault="004317EB" w:rsidP="004D7F21">
      <w:pPr>
        <w:rPr>
          <w:rFonts w:ascii="Work Sans" w:hAnsi="Work Sans"/>
        </w:rPr>
      </w:pPr>
    </w:p>
    <w:p w14:paraId="690A77FD" w14:textId="77777777" w:rsidR="004317EB" w:rsidRPr="002C5B2F" w:rsidRDefault="004317EB" w:rsidP="004D7F21">
      <w:pPr>
        <w:rPr>
          <w:rFonts w:ascii="Work Sans" w:hAnsi="Work Sans"/>
        </w:rPr>
      </w:pPr>
    </w:p>
    <w:p w14:paraId="1BBC0D8B" w14:textId="77777777" w:rsidR="004D7F21" w:rsidRPr="002C5B2F" w:rsidRDefault="004D7F21" w:rsidP="004D7F21">
      <w:pPr>
        <w:rPr>
          <w:rFonts w:ascii="Work Sans" w:hAnsi="Work Sans"/>
        </w:rPr>
      </w:pPr>
      <w:r w:rsidRPr="002C5B2F">
        <w:rPr>
          <w:rFonts w:ascii="Work Sans" w:hAnsi="Work Sans"/>
          <w:noProof/>
          <w:lang w:val="en-US"/>
        </w:rPr>
        <mc:AlternateContent>
          <mc:Choice Requires="wps">
            <w:drawing>
              <wp:anchor distT="0" distB="0" distL="114300" distR="114300" simplePos="0" relativeHeight="251658241" behindDoc="0" locked="0" layoutInCell="1" allowOverlap="1" wp14:anchorId="78DA3C30" wp14:editId="2B137544">
                <wp:simplePos x="0" y="0"/>
                <wp:positionH relativeFrom="margin">
                  <wp:posOffset>329181</wp:posOffset>
                </wp:positionH>
                <wp:positionV relativeFrom="paragraph">
                  <wp:posOffset>29210</wp:posOffset>
                </wp:positionV>
                <wp:extent cx="1638300" cy="402336"/>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638300" cy="402336"/>
                        </a:xfrm>
                        <a:prstGeom prst="rect">
                          <a:avLst/>
                        </a:prstGeom>
                        <a:noFill/>
                        <a:ln w="6350">
                          <a:noFill/>
                        </a:ln>
                      </wps:spPr>
                      <wps:txbx>
                        <w:txbxContent>
                          <w:p w14:paraId="66801AD5" w14:textId="7874C8B7" w:rsidR="00F876C0" w:rsidRDefault="00A523B2" w:rsidP="004D7F21">
                            <w:pPr>
                              <w:rPr>
                                <w:rFonts w:cs="Open Sans"/>
                                <w:color w:val="FFFFFF"/>
                                <w:sz w:val="28"/>
                                <w:szCs w:val="28"/>
                              </w:rPr>
                            </w:pPr>
                            <w:r w:rsidRPr="004D7BA5">
                              <w:rPr>
                                <w:rFonts w:ascii="Work Sans" w:hAnsi="Work Sans" w:cs="Open Sans"/>
                                <w:color w:val="FFFFFF"/>
                                <w:sz w:val="28"/>
                                <w:szCs w:val="28"/>
                              </w:rPr>
                              <w:t>April</w:t>
                            </w:r>
                            <w:r w:rsidR="003554CD">
                              <w:rPr>
                                <w:rFonts w:ascii="Work Sans" w:hAnsi="Work Sans" w:cs="Open Sans"/>
                                <w:color w:val="FFFFFF"/>
                                <w:sz w:val="28"/>
                                <w:szCs w:val="28"/>
                              </w:rPr>
                              <w:t xml:space="preserve"> 2022</w:t>
                            </w:r>
                          </w:p>
                          <w:p w14:paraId="15624DC5" w14:textId="75934143" w:rsidR="004D7F21" w:rsidRPr="004D7BA5" w:rsidRDefault="004D7F21" w:rsidP="004D7F21">
                            <w:pPr>
                              <w:rPr>
                                <w:rFonts w:ascii="Work Sans" w:hAnsi="Work Sans" w:cs="Open Sans"/>
                                <w:color w:val="FFFFFF"/>
                                <w:sz w:val="28"/>
                                <w:szCs w:val="28"/>
                              </w:rPr>
                            </w:pPr>
                            <w:r w:rsidRPr="004D7BA5">
                              <w:rPr>
                                <w:rFonts w:ascii="Work Sans" w:hAnsi="Work Sans" w:cs="Open Sans"/>
                                <w:color w:val="FFFFFF"/>
                                <w:sz w:val="28"/>
                                <w:szCs w:val="28"/>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A3C30" id="Text Box 15" o:spid="_x0000_s1027" type="#_x0000_t202" style="position:absolute;margin-left:25.9pt;margin-top:2.3pt;width:129pt;height:31.7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" filled="f" stroked="f" strokeweight=".5pt">
                <v:textbox>
                  <w:txbxContent>
                    <w:p w14:paraId="66801AD5" w14:textId="7874C8B7" w:rsidR="00F876C0" w:rsidRDefault="00A523B2" w:rsidP="004D7F21">
                      <w:pPr>
                        <w:rPr>
                          <w:rFonts w:cs="Open Sans"/>
                          <w:color w:val="FFFFFF"/>
                          <w:sz w:val="28"/>
                          <w:szCs w:val="28"/>
                        </w:rPr>
                      </w:pPr>
                      <w:r w:rsidRPr="004D7BA5">
                        <w:rPr>
                          <w:rFonts w:ascii="Work Sans" w:hAnsi="Work Sans" w:cs="Open Sans"/>
                          <w:color w:val="FFFFFF"/>
                          <w:sz w:val="28"/>
                          <w:szCs w:val="28"/>
                        </w:rPr>
                        <w:t>April</w:t>
                      </w:r>
                      <w:r w:rsidR="003554CD">
                        <w:rPr>
                          <w:rFonts w:ascii="Work Sans" w:hAnsi="Work Sans" w:cs="Open Sans"/>
                          <w:color w:val="FFFFFF"/>
                          <w:sz w:val="28"/>
                          <w:szCs w:val="28"/>
                        </w:rPr>
                        <w:t xml:space="preserve"> 2022</w:t>
                      </w:r>
                    </w:p>
                    <w:p w14:paraId="15624DC5" w14:textId="75934143" w:rsidR="004D7F21" w:rsidRPr="004D7BA5" w:rsidRDefault="004D7F21" w:rsidP="004D7F21">
                      <w:pPr>
                        <w:rPr>
                          <w:rFonts w:ascii="Work Sans" w:hAnsi="Work Sans" w:cs="Open Sans"/>
                          <w:color w:val="FFFFFF"/>
                          <w:sz w:val="28"/>
                          <w:szCs w:val="28"/>
                        </w:rPr>
                      </w:pPr>
                      <w:r w:rsidRPr="004D7BA5">
                        <w:rPr>
                          <w:rFonts w:ascii="Work Sans" w:hAnsi="Work Sans" w:cs="Open Sans"/>
                          <w:color w:val="FFFFFF"/>
                          <w:sz w:val="28"/>
                          <w:szCs w:val="28"/>
                        </w:rPr>
                        <w:t xml:space="preserve"> 2022</w:t>
                      </w:r>
                    </w:p>
                  </w:txbxContent>
                </v:textbox>
                <w10:wrap anchorx="margin"/>
              </v:shape>
            </w:pict>
          </mc:Fallback>
        </mc:AlternateContent>
      </w:r>
    </w:p>
    <w:p w14:paraId="1860531B" w14:textId="77777777" w:rsidR="004D7F21" w:rsidRPr="002C5B2F" w:rsidRDefault="004D7F21" w:rsidP="004D7F21">
      <w:pPr>
        <w:rPr>
          <w:rFonts w:ascii="Work Sans" w:hAnsi="Work Sans"/>
        </w:rPr>
      </w:pPr>
    </w:p>
    <w:p w14:paraId="426102D5" w14:textId="77777777" w:rsidR="004D7F21" w:rsidRPr="002C5B2F" w:rsidRDefault="004D7F21" w:rsidP="004D7F21">
      <w:pPr>
        <w:rPr>
          <w:rFonts w:ascii="Work Sans" w:hAnsi="Work Sans"/>
        </w:rPr>
      </w:pPr>
    </w:p>
    <w:p w14:paraId="1EB67EEC" w14:textId="77777777" w:rsidR="004D7F21" w:rsidRPr="002C5B2F" w:rsidRDefault="004D7F21" w:rsidP="004D7F21">
      <w:pPr>
        <w:rPr>
          <w:rFonts w:ascii="Work Sans" w:hAnsi="Work Sans"/>
        </w:rPr>
      </w:pPr>
    </w:p>
    <w:p w14:paraId="5A2FD988" w14:textId="77777777" w:rsidR="004D7F21" w:rsidRPr="002C5B2F" w:rsidRDefault="004D7F21" w:rsidP="004D7F21">
      <w:pPr>
        <w:rPr>
          <w:rFonts w:ascii="Work Sans" w:hAnsi="Work Sans"/>
        </w:rPr>
      </w:pPr>
    </w:p>
    <w:p w14:paraId="78B92047" w14:textId="77777777" w:rsidR="004D7F21" w:rsidRPr="002C5B2F" w:rsidRDefault="004D7F21" w:rsidP="00D073A2">
      <w:pPr>
        <w:rPr>
          <w:rFonts w:ascii="Work Sans" w:hAnsi="Work Sans"/>
        </w:rPr>
      </w:pPr>
    </w:p>
    <w:p w14:paraId="638794EE" w14:textId="77777777" w:rsidR="00256801" w:rsidRDefault="00256801" w:rsidP="00D073A2">
      <w:pPr>
        <w:rPr>
          <w:rFonts w:ascii="Work Sans" w:hAnsi="Work Sans"/>
        </w:rPr>
        <w:sectPr w:rsidR="00256801" w:rsidSect="00DC6BFB">
          <w:headerReference w:type="default" r:id="rId13"/>
          <w:footerReference w:type="default" r:id="rId14"/>
          <w:headerReference w:type="first" r:id="rId15"/>
          <w:footerReference w:type="first" r:id="rId16"/>
          <w:footnotePr>
            <w:numRestart w:val="eachSect"/>
          </w:footnotePr>
          <w:pgSz w:w="11907" w:h="16840" w:code="9"/>
          <w:pgMar w:top="1418" w:right="1474" w:bottom="1418" w:left="1474" w:header="567" w:footer="567" w:gutter="0"/>
          <w:cols w:space="720"/>
          <w:titlePg/>
          <w:docGrid w:linePitch="360"/>
        </w:sectPr>
      </w:pPr>
    </w:p>
    <w:p w14:paraId="7144CB70" w14:textId="547DE8DB" w:rsidR="0069642A" w:rsidRDefault="0069642A" w:rsidP="0069642A">
      <w:pPr>
        <w:pStyle w:val="NormalWeb"/>
        <w:rPr>
          <w:rFonts w:ascii="Work Sans" w:hAnsi="Work Sans"/>
        </w:rPr>
      </w:pPr>
    </w:p>
    <w:p w14:paraId="0C542172" w14:textId="77777777" w:rsidR="0069642A" w:rsidRDefault="0069642A" w:rsidP="0069642A">
      <w:pPr>
        <w:pStyle w:val="NormalWeb"/>
        <w:rPr>
          <w:rFonts w:ascii="Work Sans" w:hAnsi="Work Sans"/>
        </w:rPr>
      </w:pPr>
    </w:p>
    <w:p w14:paraId="4821A443" w14:textId="77777777" w:rsidR="0069642A" w:rsidRDefault="0069642A" w:rsidP="0069642A">
      <w:pPr>
        <w:pStyle w:val="NormalWeb"/>
        <w:rPr>
          <w:rFonts w:ascii="Work Sans" w:hAnsi="Work Sans"/>
        </w:rPr>
      </w:pPr>
    </w:p>
    <w:p w14:paraId="2C1F155E" w14:textId="77777777" w:rsidR="0069642A" w:rsidRDefault="0069642A" w:rsidP="0069642A">
      <w:pPr>
        <w:pStyle w:val="NormalWeb"/>
        <w:rPr>
          <w:rFonts w:ascii="Work Sans" w:hAnsi="Work Sans"/>
        </w:rPr>
      </w:pPr>
    </w:p>
    <w:p w14:paraId="3427998D" w14:textId="77777777" w:rsidR="0069642A" w:rsidRDefault="0069642A" w:rsidP="0069642A">
      <w:pPr>
        <w:pStyle w:val="NormalWeb"/>
        <w:rPr>
          <w:rFonts w:ascii="Work Sans" w:hAnsi="Work Sans"/>
        </w:rPr>
      </w:pPr>
    </w:p>
    <w:p w14:paraId="5559E2A4" w14:textId="77777777" w:rsidR="0069642A" w:rsidRDefault="0069642A" w:rsidP="0069642A">
      <w:pPr>
        <w:pStyle w:val="NormalWeb"/>
        <w:rPr>
          <w:rFonts w:ascii="Work Sans" w:hAnsi="Work Sans"/>
        </w:rPr>
      </w:pPr>
    </w:p>
    <w:p w14:paraId="0674C156" w14:textId="77777777" w:rsidR="0069642A" w:rsidRDefault="0069642A" w:rsidP="0069642A">
      <w:pPr>
        <w:pStyle w:val="NormalWeb"/>
        <w:rPr>
          <w:rFonts w:ascii="Work Sans" w:hAnsi="Work Sans"/>
        </w:rPr>
      </w:pPr>
    </w:p>
    <w:p w14:paraId="0261F136" w14:textId="77777777" w:rsidR="0069642A" w:rsidRDefault="0069642A" w:rsidP="0069642A">
      <w:pPr>
        <w:pStyle w:val="NormalWeb"/>
        <w:rPr>
          <w:rFonts w:ascii="Work Sans" w:hAnsi="Work Sans"/>
        </w:rPr>
      </w:pPr>
    </w:p>
    <w:p w14:paraId="3CE140C6" w14:textId="77777777" w:rsidR="0069642A" w:rsidRDefault="0069642A" w:rsidP="0069642A">
      <w:pPr>
        <w:pStyle w:val="NormalWeb"/>
        <w:rPr>
          <w:rFonts w:ascii="Work Sans" w:hAnsi="Work Sans"/>
        </w:rPr>
      </w:pPr>
    </w:p>
    <w:p w14:paraId="1DBBD6A8" w14:textId="410A22AE" w:rsidR="0069642A" w:rsidRPr="00C3472D" w:rsidRDefault="0069642A" w:rsidP="0069642A">
      <w:pPr>
        <w:pStyle w:val="NormalWeb"/>
        <w:rPr>
          <w:rFonts w:ascii="Work Sans" w:hAnsi="Work Sans"/>
          <w:b/>
          <w:bCs/>
          <w:color w:val="000000"/>
        </w:rPr>
      </w:pPr>
      <w:r w:rsidRPr="00C3472D">
        <w:rPr>
          <w:rFonts w:ascii="Work Sans" w:hAnsi="Work Sans"/>
          <w:b/>
          <w:bCs/>
          <w:color w:val="000000"/>
        </w:rPr>
        <w:t>Copyright</w:t>
      </w:r>
    </w:p>
    <w:p w14:paraId="4A26A57A" w14:textId="77777777" w:rsidR="0069642A" w:rsidRPr="00C3472D" w:rsidRDefault="0069642A" w:rsidP="0069642A">
      <w:pPr>
        <w:pStyle w:val="NormalWeb"/>
        <w:rPr>
          <w:rFonts w:ascii="Work Sans" w:hAnsi="Work Sans"/>
          <w:color w:val="000000"/>
        </w:rPr>
      </w:pPr>
      <w:r w:rsidRPr="00C3472D">
        <w:rPr>
          <w:rFonts w:ascii="Work Sans" w:hAnsi="Work Sans"/>
          <w:color w:val="000000"/>
        </w:rPr>
        <w:t>© Commonwealth of Australia 202</w:t>
      </w:r>
      <w:r>
        <w:rPr>
          <w:rFonts w:ascii="Work Sans" w:hAnsi="Work Sans"/>
          <w:color w:val="000000"/>
        </w:rPr>
        <w:t>2</w:t>
      </w:r>
    </w:p>
    <w:p w14:paraId="47A706DF" w14:textId="77777777" w:rsidR="0069642A" w:rsidRDefault="0069642A" w:rsidP="0069642A">
      <w:pPr>
        <w:pStyle w:val="NormalWeb"/>
        <w:rPr>
          <w:rFonts w:ascii="Work Sans" w:hAnsi="Work Sans"/>
          <w:color w:val="000000"/>
        </w:rPr>
      </w:pPr>
      <w:r w:rsidRPr="00C3472D">
        <w:rPr>
          <w:rFonts w:ascii="Work Sans" w:hAnsi="Work Sans"/>
          <w:color w:val="000000"/>
        </w:rPr>
        <w:t>With the exception of the Commonwealth Coat of Arms, all material presented in this document is provided under Creative Commons Attribution 4.0 (https://creativecommons.org/licenses/by/4.0/) licence. The details of the relevant licence conditions are available on the Creative Commons website as is the full legal code for CC BY 4.0 International (</w:t>
      </w:r>
      <w:hyperlink r:id="rId17" w:history="1">
        <w:r w:rsidRPr="00DC711F">
          <w:rPr>
            <w:rStyle w:val="Hyperlink"/>
            <w:rFonts w:ascii="Work Sans" w:hAnsi="Work Sans"/>
          </w:rPr>
          <w:t>https://creativecommons.org/licenses/by/4.0/legalcode</w:t>
        </w:r>
      </w:hyperlink>
      <w:r w:rsidRPr="00C3472D">
        <w:rPr>
          <w:rFonts w:ascii="Work Sans" w:hAnsi="Work Sans"/>
          <w:color w:val="000000"/>
        </w:rPr>
        <w:t>).</w:t>
      </w:r>
    </w:p>
    <w:p w14:paraId="6DBF72C6" w14:textId="77777777" w:rsidR="0069642A" w:rsidRPr="00C3472D" w:rsidRDefault="0069642A" w:rsidP="0069642A">
      <w:pPr>
        <w:pStyle w:val="NormalWeb"/>
        <w:rPr>
          <w:rFonts w:ascii="Work Sans" w:hAnsi="Work Sans"/>
          <w:color w:val="000000"/>
        </w:rPr>
      </w:pPr>
      <w:r w:rsidRPr="000A2C87">
        <w:rPr>
          <w:noProof/>
          <w:sz w:val="20"/>
          <w:szCs w:val="20"/>
        </w:rPr>
        <w:drawing>
          <wp:inline distT="0" distB="0" distL="0" distR="0" wp14:anchorId="36281A16" wp14:editId="3B7D90F0">
            <wp:extent cx="828675" cy="295275"/>
            <wp:effectExtent l="19050" t="0" r="9525" b="0"/>
            <wp:docPr id="31" name="Picture 1" descr="Creative Commons - At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 Attribution"/>
                    <pic:cNvPicPr>
                      <a:picLocks noChangeAspect="1" noChangeArrowheads="1"/>
                    </pic:cNvPicPr>
                  </pic:nvPicPr>
                  <pic:blipFill>
                    <a:blip r:embed="rId18" cstate="print"/>
                    <a:srcRect/>
                    <a:stretch>
                      <a:fillRect/>
                    </a:stretch>
                  </pic:blipFill>
                  <pic:spPr bwMode="auto">
                    <a:xfrm>
                      <a:off x="0" y="0"/>
                      <a:ext cx="828675" cy="295275"/>
                    </a:xfrm>
                    <a:prstGeom prst="rect">
                      <a:avLst/>
                    </a:prstGeom>
                    <a:noFill/>
                    <a:ln w="9525">
                      <a:noFill/>
                      <a:miter lim="800000"/>
                      <a:headEnd/>
                      <a:tailEnd/>
                    </a:ln>
                  </pic:spPr>
                </pic:pic>
              </a:graphicData>
            </a:graphic>
          </wp:inline>
        </w:drawing>
      </w:r>
    </w:p>
    <w:p w14:paraId="64A306FF" w14:textId="77777777" w:rsidR="0069642A" w:rsidRPr="00C3472D" w:rsidRDefault="0069642A" w:rsidP="0069642A">
      <w:pPr>
        <w:pStyle w:val="NormalWeb"/>
        <w:rPr>
          <w:rFonts w:ascii="Work Sans" w:hAnsi="Work Sans"/>
          <w:b/>
          <w:bCs/>
          <w:color w:val="000000"/>
        </w:rPr>
      </w:pPr>
      <w:r w:rsidRPr="00C3472D">
        <w:rPr>
          <w:rFonts w:ascii="Work Sans" w:hAnsi="Work Sans"/>
          <w:b/>
          <w:bCs/>
          <w:color w:val="000000"/>
        </w:rPr>
        <w:t>Attribution</w:t>
      </w:r>
    </w:p>
    <w:p w14:paraId="5D504238" w14:textId="337CFC92" w:rsidR="0069642A" w:rsidRPr="00C3472D" w:rsidRDefault="0069642A" w:rsidP="000D280A">
      <w:pPr>
        <w:pStyle w:val="NormalWeb"/>
        <w:rPr>
          <w:rFonts w:ascii="Work Sans" w:hAnsi="Work Sans"/>
          <w:color w:val="000000"/>
        </w:rPr>
      </w:pPr>
      <w:r w:rsidRPr="00C3472D">
        <w:rPr>
          <w:rFonts w:ascii="Work Sans" w:hAnsi="Work Sans"/>
          <w:color w:val="000000"/>
        </w:rPr>
        <w:t xml:space="preserve">The recommended attribution for this document is Commonwealth Grants Commission, </w:t>
      </w:r>
      <w:r w:rsidR="006E4853">
        <w:rPr>
          <w:rFonts w:ascii="Work Sans" w:hAnsi="Work Sans"/>
          <w:color w:val="000000"/>
        </w:rPr>
        <w:t>Research</w:t>
      </w:r>
      <w:r w:rsidRPr="00C3472D">
        <w:rPr>
          <w:rFonts w:ascii="Work Sans" w:hAnsi="Work Sans"/>
          <w:color w:val="000000"/>
        </w:rPr>
        <w:t xml:space="preserve"> </w:t>
      </w:r>
      <w:r w:rsidR="001901C6">
        <w:rPr>
          <w:rFonts w:ascii="Work Sans" w:hAnsi="Work Sans"/>
          <w:color w:val="000000"/>
        </w:rPr>
        <w:t>p</w:t>
      </w:r>
      <w:r w:rsidRPr="00C3472D">
        <w:rPr>
          <w:rFonts w:ascii="Work Sans" w:hAnsi="Work Sans"/>
          <w:color w:val="000000"/>
        </w:rPr>
        <w:t xml:space="preserve">aper </w:t>
      </w:r>
      <w:r w:rsidR="006E4853">
        <w:rPr>
          <w:rFonts w:ascii="Work Sans" w:hAnsi="Work Sans"/>
          <w:color w:val="000000"/>
        </w:rPr>
        <w:t>3</w:t>
      </w:r>
      <w:r w:rsidRPr="00C3472D">
        <w:rPr>
          <w:rFonts w:ascii="Work Sans" w:hAnsi="Work Sans"/>
          <w:color w:val="000000"/>
        </w:rPr>
        <w:t xml:space="preserve">: </w:t>
      </w:r>
      <w:r w:rsidR="000D280A" w:rsidRPr="000D280A">
        <w:rPr>
          <w:rFonts w:ascii="Work Sans" w:hAnsi="Work Sans"/>
          <w:color w:val="000000"/>
        </w:rPr>
        <w:t>Some international themes in fiscal equalisation: an Australian perspective</w:t>
      </w:r>
      <w:r>
        <w:rPr>
          <w:rFonts w:ascii="Work Sans" w:hAnsi="Work Sans"/>
          <w:color w:val="000000"/>
        </w:rPr>
        <w:t>.</w:t>
      </w:r>
    </w:p>
    <w:p w14:paraId="6B095986" w14:textId="77777777" w:rsidR="0069642A" w:rsidRDefault="0069642A" w:rsidP="0069642A">
      <w:pPr>
        <w:pStyle w:val="NormalWeb"/>
        <w:rPr>
          <w:rFonts w:ascii="Work Sans" w:hAnsi="Work Sans"/>
          <w:color w:val="000000"/>
        </w:rPr>
      </w:pPr>
      <w:r w:rsidRPr="00C3472D">
        <w:rPr>
          <w:rFonts w:ascii="Work Sans" w:hAnsi="Work Sans"/>
          <w:b/>
          <w:bCs/>
          <w:color w:val="000000"/>
        </w:rPr>
        <w:t>Contact us</w:t>
      </w:r>
      <w:r w:rsidRPr="00C3472D">
        <w:rPr>
          <w:rFonts w:ascii="Work Sans" w:hAnsi="Work Sans"/>
          <w:color w:val="000000"/>
        </w:rPr>
        <w:t xml:space="preserve"> </w:t>
      </w:r>
    </w:p>
    <w:p w14:paraId="60BC5B32" w14:textId="77777777" w:rsidR="0069642A" w:rsidRPr="00C3472D" w:rsidRDefault="0069642A" w:rsidP="0069642A">
      <w:pPr>
        <w:pStyle w:val="NormalWeb"/>
        <w:rPr>
          <w:rFonts w:ascii="Work Sans" w:hAnsi="Work Sans"/>
          <w:color w:val="000000"/>
        </w:rPr>
      </w:pPr>
      <w:r w:rsidRPr="00C3472D">
        <w:rPr>
          <w:rFonts w:ascii="Work Sans" w:hAnsi="Work Sans"/>
          <w:color w:val="000000"/>
        </w:rPr>
        <w:t>Inquiries regarding the use of this document should be directed to secretary@cgc.gov.au.</w:t>
      </w:r>
    </w:p>
    <w:p w14:paraId="35036E32" w14:textId="77777777" w:rsidR="0069642A" w:rsidRPr="00D627B5" w:rsidRDefault="0069642A" w:rsidP="0069642A">
      <w:pPr>
        <w:pStyle w:val="NormalWeb"/>
        <w:rPr>
          <w:rFonts w:ascii="Work Sans" w:hAnsi="Work Sans"/>
          <w:b/>
          <w:bCs/>
          <w:color w:val="000000"/>
        </w:rPr>
      </w:pPr>
      <w:r w:rsidRPr="00D627B5">
        <w:rPr>
          <w:rFonts w:ascii="Work Sans" w:hAnsi="Work Sans"/>
          <w:b/>
          <w:bCs/>
          <w:color w:val="000000"/>
        </w:rPr>
        <w:t xml:space="preserve">Internet </w:t>
      </w:r>
    </w:p>
    <w:p w14:paraId="5FA7569E" w14:textId="77777777" w:rsidR="0069642A" w:rsidRPr="0090223F" w:rsidRDefault="0069642A" w:rsidP="0069642A">
      <w:pPr>
        <w:pStyle w:val="NormalWeb"/>
        <w:rPr>
          <w:rFonts w:ascii="Work Sans" w:hAnsi="Work Sans"/>
          <w:color w:val="000000"/>
        </w:rPr>
      </w:pPr>
      <w:r w:rsidRPr="00C3472D">
        <w:rPr>
          <w:rFonts w:ascii="Work Sans" w:hAnsi="Work Sans"/>
          <w:color w:val="000000"/>
        </w:rPr>
        <w:t>A copy of this paper is available on the Commission’s website (http://www.cgc.gov.au).</w:t>
      </w:r>
    </w:p>
    <w:p w14:paraId="4941A23F" w14:textId="77777777" w:rsidR="00C5751B" w:rsidRDefault="00C5751B" w:rsidP="00EF5841">
      <w:pPr>
        <w:rPr>
          <w:rFonts w:ascii="Work Sans" w:hAnsi="Work Sans"/>
        </w:rPr>
        <w:sectPr w:rsidR="00C5751B" w:rsidSect="00A975E2">
          <w:footnotePr>
            <w:numRestart w:val="eachSect"/>
          </w:footnotePr>
          <w:pgSz w:w="11907" w:h="16840" w:code="9"/>
          <w:pgMar w:top="1418" w:right="1474" w:bottom="1418" w:left="1474" w:header="567" w:footer="283" w:gutter="0"/>
          <w:pgNumType w:fmt="lowerRoman" w:start="1"/>
          <w:cols w:space="720"/>
          <w:titlePg/>
          <w:docGrid w:linePitch="360"/>
        </w:sectPr>
      </w:pPr>
    </w:p>
    <w:p w14:paraId="63CBCA43" w14:textId="75FA2ED7" w:rsidR="00E176FE" w:rsidRPr="002C5B2F" w:rsidRDefault="00E176FE" w:rsidP="00EF5841">
      <w:pPr>
        <w:rPr>
          <w:rFonts w:ascii="Work Sans" w:hAnsi="Work Sans"/>
        </w:rPr>
      </w:pPr>
    </w:p>
    <w:tbl>
      <w:tblPr>
        <w:tblW w:w="0" w:type="auto"/>
        <w:shd w:val="clear" w:color="auto" w:fill="D9F3E6"/>
        <w:tblLayout w:type="fixed"/>
        <w:tblLook w:val="0000" w:firstRow="0" w:lastRow="0" w:firstColumn="0" w:lastColumn="0" w:noHBand="0" w:noVBand="0"/>
      </w:tblPr>
      <w:tblGrid>
        <w:gridCol w:w="8959"/>
      </w:tblGrid>
      <w:tr w:rsidR="001F4BB1" w:rsidRPr="001F4BB1" w14:paraId="7E2186DA" w14:textId="77777777" w:rsidTr="001F4BB1">
        <w:tc>
          <w:tcPr>
            <w:tcW w:w="8959" w:type="dxa"/>
            <w:shd w:val="clear" w:color="auto" w:fill="D9F3E6"/>
          </w:tcPr>
          <w:p w14:paraId="467E80D7" w14:textId="77777777" w:rsidR="001F4BB1" w:rsidRPr="001F4BB1" w:rsidRDefault="001F4BB1" w:rsidP="00F80E9D">
            <w:pPr>
              <w:pStyle w:val="Heading1"/>
            </w:pPr>
            <w:r w:rsidRPr="001F4BB1">
              <w:t>Summary</w:t>
            </w:r>
          </w:p>
        </w:tc>
      </w:tr>
      <w:tr w:rsidR="001F4BB1" w14:paraId="7F95D57B" w14:textId="77777777" w:rsidTr="001F4BB1">
        <w:tc>
          <w:tcPr>
            <w:tcW w:w="8959" w:type="dxa"/>
            <w:shd w:val="clear" w:color="auto" w:fill="D9F3E6"/>
          </w:tcPr>
          <w:tbl>
            <w:tblPr>
              <w:tblW w:w="0" w:type="auto"/>
              <w:tblLayout w:type="fixed"/>
              <w:tblLook w:val="0000" w:firstRow="0" w:lastRow="0" w:firstColumn="0" w:lastColumn="0" w:noHBand="0" w:noVBand="0"/>
            </w:tblPr>
            <w:tblGrid>
              <w:gridCol w:w="8848"/>
            </w:tblGrid>
            <w:tr w:rsidR="001F4BB1" w:rsidRPr="001F4BB1" w14:paraId="4137870F" w14:textId="77777777" w:rsidTr="00F80E9D">
              <w:tc>
                <w:tcPr>
                  <w:tcW w:w="8848" w:type="dxa"/>
                  <w:shd w:val="clear" w:color="auto" w:fill="auto"/>
                </w:tcPr>
                <w:p w14:paraId="673F55B9" w14:textId="77777777" w:rsidR="001F4BB1" w:rsidRPr="002C5B2F" w:rsidRDefault="001F4BB1" w:rsidP="00F80E9D">
                  <w:pPr>
                    <w:rPr>
                      <w:rFonts w:ascii="Work Sans" w:hAnsi="Work Sans"/>
                      <w:sz w:val="24"/>
                      <w:szCs w:val="24"/>
                    </w:rPr>
                  </w:pPr>
                  <w:r w:rsidRPr="002C5B2F">
                    <w:rPr>
                      <w:rFonts w:ascii="Work Sans" w:hAnsi="Work Sans"/>
                      <w:sz w:val="24"/>
                      <w:szCs w:val="24"/>
                    </w:rPr>
                    <w:t xml:space="preserve">Many countries allocate funds to regional governments to reduce disparities in government services. This is generally known as horizontal fiscal equalisation. Countries implement it in different ways, and with slightly different goals. </w:t>
                  </w:r>
                </w:p>
                <w:p w14:paraId="03C89638" w14:textId="77777777" w:rsidR="001F4BB1" w:rsidRPr="002C5B2F" w:rsidRDefault="001F4BB1" w:rsidP="00F80E9D">
                  <w:pPr>
                    <w:rPr>
                      <w:rFonts w:ascii="Work Sans" w:hAnsi="Work Sans"/>
                      <w:sz w:val="24"/>
                      <w:szCs w:val="24"/>
                    </w:rPr>
                  </w:pPr>
                  <w:r w:rsidRPr="002C5B2F">
                    <w:rPr>
                      <w:rFonts w:ascii="Work Sans" w:hAnsi="Work Sans"/>
                      <w:sz w:val="24"/>
                      <w:szCs w:val="24"/>
                    </w:rPr>
                    <w:t>This paper considers four well established systems, identifying differences and common themes.</w:t>
                  </w:r>
                </w:p>
              </w:tc>
            </w:tr>
            <w:tr w:rsidR="001F4BB1" w:rsidRPr="001F4BB1" w14:paraId="1993BC4C" w14:textId="77777777" w:rsidTr="00F80E9D">
              <w:tc>
                <w:tcPr>
                  <w:tcW w:w="8848" w:type="dxa"/>
                  <w:shd w:val="clear" w:color="auto" w:fill="auto"/>
                </w:tcPr>
                <w:p w14:paraId="0A452471" w14:textId="77777777" w:rsidR="001F4BB1" w:rsidRPr="002C5B2F" w:rsidRDefault="001F4BB1" w:rsidP="00F80E9D">
                  <w:pPr>
                    <w:rPr>
                      <w:rFonts w:ascii="Work Sans" w:hAnsi="Work Sans"/>
                      <w:sz w:val="24"/>
                      <w:szCs w:val="24"/>
                    </w:rPr>
                  </w:pPr>
                  <w:r w:rsidRPr="002C5B2F">
                    <w:rPr>
                      <w:rFonts w:ascii="Work Sans" w:hAnsi="Work Sans"/>
                      <w:sz w:val="24"/>
                      <w:szCs w:val="24"/>
                    </w:rPr>
                    <w:t xml:space="preserve">The Canadian central government funds provinces based on differences in their revenue raising capacity. It brings less affluent provinces close to the national average and provides no payments to more affluent provinces. Canada treats resource revenues slightly differently to other revenues, although this does not have a major effect on the allocation of funds. </w:t>
                  </w:r>
                </w:p>
              </w:tc>
            </w:tr>
            <w:tr w:rsidR="001F4BB1" w:rsidRPr="001F4BB1" w14:paraId="75776173" w14:textId="77777777" w:rsidTr="00F80E9D">
              <w:tc>
                <w:tcPr>
                  <w:tcW w:w="8848" w:type="dxa"/>
                  <w:shd w:val="clear" w:color="auto" w:fill="auto"/>
                </w:tcPr>
                <w:p w14:paraId="53AB80C1" w14:textId="77777777" w:rsidR="001F4BB1" w:rsidRPr="002C5B2F" w:rsidRDefault="001F4BB1" w:rsidP="00F80E9D">
                  <w:pPr>
                    <w:rPr>
                      <w:rFonts w:ascii="Work Sans" w:hAnsi="Work Sans"/>
                      <w:sz w:val="24"/>
                      <w:szCs w:val="24"/>
                    </w:rPr>
                  </w:pPr>
                  <w:r w:rsidRPr="002C5B2F">
                    <w:rPr>
                      <w:rFonts w:ascii="Work Sans" w:hAnsi="Work Sans"/>
                      <w:sz w:val="24"/>
                      <w:szCs w:val="24"/>
                    </w:rPr>
                    <w:t>In Germany and Switzerland, more affluent regions share the cost of equalisation with the central government. Both countries focus on revenue equalisation, but also have some level of expense equalisation.</w:t>
                  </w:r>
                </w:p>
              </w:tc>
            </w:tr>
            <w:tr w:rsidR="001F4BB1" w:rsidRPr="001F4BB1" w14:paraId="2B1D6B67" w14:textId="77777777" w:rsidTr="00F80E9D">
              <w:tc>
                <w:tcPr>
                  <w:tcW w:w="8848" w:type="dxa"/>
                  <w:shd w:val="clear" w:color="auto" w:fill="auto"/>
                </w:tcPr>
                <w:p w14:paraId="7FE263D9" w14:textId="28B6C072" w:rsidR="001F4BB1" w:rsidRPr="002C5B2F" w:rsidRDefault="001F4BB1" w:rsidP="00F80E9D">
                  <w:pPr>
                    <w:rPr>
                      <w:rFonts w:ascii="Work Sans" w:hAnsi="Work Sans"/>
                      <w:sz w:val="24"/>
                      <w:szCs w:val="24"/>
                    </w:rPr>
                  </w:pPr>
                  <w:r w:rsidRPr="002C5B2F">
                    <w:rPr>
                      <w:rFonts w:ascii="Work Sans" w:hAnsi="Work Sans"/>
                      <w:sz w:val="24"/>
                      <w:szCs w:val="24"/>
                    </w:rPr>
                    <w:t xml:space="preserve">Australia stands apart from the other countries in three important ways: the degree of vertical fiscal imbalance is higher </w:t>
                  </w:r>
                  <w:r w:rsidR="00F51ABE" w:rsidRPr="002C5B2F">
                    <w:rPr>
                      <w:rFonts w:ascii="Work Sans" w:hAnsi="Work Sans"/>
                      <w:sz w:val="24"/>
                      <w:szCs w:val="24"/>
                    </w:rPr>
                    <w:t xml:space="preserve">than </w:t>
                  </w:r>
                  <w:r w:rsidRPr="002C5B2F">
                    <w:rPr>
                      <w:rFonts w:ascii="Work Sans" w:hAnsi="Work Sans"/>
                      <w:sz w:val="24"/>
                      <w:szCs w:val="24"/>
                    </w:rPr>
                    <w:t xml:space="preserve">in the other countries; </w:t>
                  </w:r>
                  <w:r w:rsidR="007E3E5A">
                    <w:rPr>
                      <w:rFonts w:ascii="Work Sans" w:hAnsi="Work Sans"/>
                      <w:sz w:val="24"/>
                      <w:szCs w:val="24"/>
                    </w:rPr>
                    <w:t>it</w:t>
                  </w:r>
                  <w:r w:rsidR="007338C2">
                    <w:rPr>
                      <w:rFonts w:ascii="Work Sans" w:hAnsi="Work Sans"/>
                      <w:sz w:val="24"/>
                      <w:szCs w:val="24"/>
                    </w:rPr>
                    <w:t xml:space="preserve"> </w:t>
                  </w:r>
                  <w:r w:rsidRPr="002C5B2F">
                    <w:rPr>
                      <w:rFonts w:ascii="Work Sans" w:hAnsi="Work Sans"/>
                      <w:sz w:val="24"/>
                      <w:szCs w:val="24"/>
                    </w:rPr>
                    <w:t xml:space="preserve"> is the only country in this group to consider all expense needs of regional governments, as well as their capacities to raise revenue from all sources; and an independent agency assesses fiscal capacities and recommends the distribution of equalisation payments.</w:t>
                  </w:r>
                </w:p>
              </w:tc>
            </w:tr>
            <w:tr w:rsidR="001F4BB1" w:rsidRPr="001F4BB1" w14:paraId="51BFBD55" w14:textId="77777777" w:rsidTr="00F80E9D">
              <w:tc>
                <w:tcPr>
                  <w:tcW w:w="8848" w:type="dxa"/>
                  <w:shd w:val="clear" w:color="auto" w:fill="auto"/>
                </w:tcPr>
                <w:p w14:paraId="22AE13BB" w14:textId="77777777" w:rsidR="001F4BB1" w:rsidRPr="002C5B2F" w:rsidRDefault="001F4BB1" w:rsidP="00F80E9D">
                  <w:pPr>
                    <w:rPr>
                      <w:rFonts w:ascii="Work Sans" w:hAnsi="Work Sans"/>
                      <w:sz w:val="24"/>
                      <w:szCs w:val="24"/>
                    </w:rPr>
                  </w:pPr>
                  <w:r w:rsidRPr="002C5B2F">
                    <w:rPr>
                      <w:rFonts w:ascii="Work Sans" w:hAnsi="Work Sans"/>
                      <w:sz w:val="24"/>
                      <w:szCs w:val="24"/>
                    </w:rPr>
                    <w:t xml:space="preserve">While seeking to facilitate fairness, equalisation can also raise challenges. For example, there is evidence in some countries that, under some circumstances, fiscal equalisation incentives may distort regional governments’ decisions on taxation. Equalisation systems have sought to mitigate some of these incentives. </w:t>
                  </w:r>
                </w:p>
                <w:p w14:paraId="0B37A116" w14:textId="72D5BF61" w:rsidR="001F4BB1" w:rsidRPr="002C5B2F" w:rsidRDefault="001F4BB1" w:rsidP="00F80E9D">
                  <w:pPr>
                    <w:rPr>
                      <w:rFonts w:ascii="Work Sans" w:hAnsi="Work Sans"/>
                      <w:sz w:val="24"/>
                      <w:szCs w:val="24"/>
                    </w:rPr>
                  </w:pPr>
                  <w:r w:rsidRPr="002C5B2F">
                    <w:rPr>
                      <w:rFonts w:ascii="Work Sans" w:hAnsi="Work Sans"/>
                      <w:sz w:val="24"/>
                      <w:szCs w:val="24"/>
                    </w:rPr>
                    <w:t xml:space="preserve">The unique circumstances in each country mean that an approach adopted in one country may not be appropriate for other countries. Nevertheless, there is value in considering the diversity of approaches to equalisation. </w:t>
                  </w:r>
                </w:p>
                <w:p w14:paraId="702B8CA6" w14:textId="77777777" w:rsidR="001F4BB1" w:rsidRPr="002C5B2F" w:rsidRDefault="001F4BB1" w:rsidP="00F80E9D">
                  <w:pPr>
                    <w:rPr>
                      <w:rFonts w:ascii="Work Sans" w:hAnsi="Work Sans"/>
                      <w:sz w:val="24"/>
                      <w:szCs w:val="24"/>
                    </w:rPr>
                  </w:pPr>
                </w:p>
              </w:tc>
            </w:tr>
          </w:tbl>
          <w:p w14:paraId="43CF37A0" w14:textId="77777777" w:rsidR="001F4BB1" w:rsidRPr="002C5B2F" w:rsidRDefault="001F4BB1">
            <w:pPr>
              <w:rPr>
                <w:rFonts w:ascii="Work Sans" w:hAnsi="Work Sans"/>
              </w:rPr>
            </w:pPr>
          </w:p>
        </w:tc>
      </w:tr>
    </w:tbl>
    <w:p w14:paraId="27A7D1B1" w14:textId="77777777" w:rsidR="004D7F21" w:rsidRPr="002C5B2F" w:rsidRDefault="004D7F21" w:rsidP="00D073A2">
      <w:pPr>
        <w:rPr>
          <w:rFonts w:ascii="Work Sans" w:eastAsiaTheme="majorEastAsia" w:hAnsi="Work Sans" w:cs="Open Sans"/>
          <w:color w:val="4BACC6" w:themeColor="accent5"/>
          <w:sz w:val="36"/>
          <w:szCs w:val="36"/>
        </w:rPr>
      </w:pPr>
      <w:r w:rsidRPr="002C5B2F">
        <w:rPr>
          <w:rFonts w:ascii="Work Sans" w:hAnsi="Work Sans"/>
        </w:rPr>
        <w:br w:type="page"/>
      </w:r>
    </w:p>
    <w:p w14:paraId="6C2441F9" w14:textId="31F458A4" w:rsidR="004D7F21" w:rsidRDefault="004D7F21" w:rsidP="000509D7">
      <w:pPr>
        <w:pStyle w:val="Heading2"/>
      </w:pPr>
      <w:r>
        <w:lastRenderedPageBreak/>
        <w:t>Introduction</w:t>
      </w:r>
    </w:p>
    <w:p w14:paraId="4603E305" w14:textId="4C825B98" w:rsidR="004D7F21" w:rsidRPr="00FB25BF" w:rsidRDefault="004D7F21" w:rsidP="00D073A2">
      <w:pPr>
        <w:rPr>
          <w:rFonts w:ascii="Work Sans" w:hAnsi="Work Sans"/>
          <w:sz w:val="24"/>
          <w:szCs w:val="24"/>
        </w:rPr>
      </w:pPr>
      <w:r w:rsidRPr="00FB25BF">
        <w:rPr>
          <w:rFonts w:ascii="Work Sans" w:hAnsi="Work Sans"/>
          <w:sz w:val="24"/>
          <w:szCs w:val="24"/>
        </w:rPr>
        <w:t xml:space="preserve">Federations often experience vertical fiscal imbalances between central and regional governments resulting from the division of tax and spending powers. There may also be </w:t>
      </w:r>
      <w:r w:rsidR="00E22C85" w:rsidRPr="00FB25BF">
        <w:rPr>
          <w:rFonts w:ascii="Work Sans" w:hAnsi="Work Sans"/>
          <w:sz w:val="24"/>
          <w:szCs w:val="24"/>
        </w:rPr>
        <w:t xml:space="preserve">fiscal </w:t>
      </w:r>
      <w:r w:rsidRPr="00FB25BF">
        <w:rPr>
          <w:rFonts w:ascii="Work Sans" w:hAnsi="Work Sans"/>
          <w:sz w:val="24"/>
          <w:szCs w:val="24"/>
        </w:rPr>
        <w:t>imbalances between regions. Horizontal fiscal equalisation is a transfer program to reduce differences in the fiscal capacities of regional governments.</w:t>
      </w:r>
      <w:r w:rsidRPr="00FB25BF">
        <w:rPr>
          <w:rStyle w:val="FootnoteReference"/>
          <w:rFonts w:ascii="Work Sans" w:hAnsi="Work Sans"/>
          <w:sz w:val="24"/>
          <w:szCs w:val="24"/>
        </w:rPr>
        <w:footnoteReference w:id="2"/>
      </w:r>
      <w:r w:rsidRPr="00FB25BF">
        <w:rPr>
          <w:rFonts w:ascii="Work Sans" w:hAnsi="Work Sans"/>
          <w:sz w:val="24"/>
          <w:szCs w:val="24"/>
        </w:rPr>
        <w:t xml:space="preserve"> It </w:t>
      </w:r>
      <w:r w:rsidR="009B7BAC" w:rsidRPr="00FB25BF">
        <w:rPr>
          <w:rFonts w:ascii="Work Sans" w:hAnsi="Work Sans"/>
          <w:sz w:val="24"/>
          <w:szCs w:val="24"/>
        </w:rPr>
        <w:t xml:space="preserve">seeks to </w:t>
      </w:r>
      <w:r w:rsidRPr="00FB25BF">
        <w:rPr>
          <w:rFonts w:ascii="Work Sans" w:hAnsi="Work Sans"/>
          <w:sz w:val="24"/>
          <w:szCs w:val="24"/>
        </w:rPr>
        <w:t xml:space="preserve">give regional governments the potential to provide similar services without imposing significantly different tax burdens on their citizens. Many federations have some form of horizontal fiscal equalisation. </w:t>
      </w:r>
    </w:p>
    <w:p w14:paraId="1E291082" w14:textId="1464BB8C" w:rsidR="004D7F21" w:rsidRPr="00FB25BF" w:rsidRDefault="00CA625F" w:rsidP="00D073A2">
      <w:pPr>
        <w:rPr>
          <w:rFonts w:ascii="Work Sans" w:hAnsi="Work Sans"/>
          <w:sz w:val="24"/>
          <w:szCs w:val="24"/>
        </w:rPr>
      </w:pPr>
      <w:r w:rsidRPr="00FB25BF">
        <w:rPr>
          <w:rFonts w:ascii="Work Sans" w:hAnsi="Work Sans"/>
          <w:sz w:val="24"/>
          <w:szCs w:val="24"/>
        </w:rPr>
        <w:t xml:space="preserve">A wide range of approaches to horizontal fiscal equalisation </w:t>
      </w:r>
      <w:r w:rsidR="003C7157" w:rsidRPr="00FB25BF">
        <w:rPr>
          <w:rFonts w:ascii="Work Sans" w:hAnsi="Work Sans"/>
          <w:sz w:val="24"/>
          <w:szCs w:val="24"/>
        </w:rPr>
        <w:t>are</w:t>
      </w:r>
      <w:r w:rsidRPr="00FB25BF">
        <w:rPr>
          <w:rFonts w:ascii="Work Sans" w:hAnsi="Work Sans"/>
          <w:sz w:val="24"/>
          <w:szCs w:val="24"/>
        </w:rPr>
        <w:t xml:space="preserve"> found in practice. </w:t>
      </w:r>
      <w:r w:rsidR="004D7F21" w:rsidRPr="00FB25BF">
        <w:rPr>
          <w:rFonts w:ascii="Work Sans" w:hAnsi="Work Sans"/>
          <w:sz w:val="24"/>
          <w:szCs w:val="24"/>
        </w:rPr>
        <w:t xml:space="preserve">Each is unique to </w:t>
      </w:r>
      <w:r w:rsidR="004C2410" w:rsidRPr="00FB25BF">
        <w:rPr>
          <w:rFonts w:ascii="Work Sans" w:hAnsi="Work Sans"/>
          <w:sz w:val="24"/>
          <w:szCs w:val="24"/>
        </w:rPr>
        <w:t xml:space="preserve">a country’s </w:t>
      </w:r>
      <w:r w:rsidR="004D7F21" w:rsidRPr="00FB25BF">
        <w:rPr>
          <w:rFonts w:ascii="Work Sans" w:hAnsi="Work Sans"/>
          <w:sz w:val="24"/>
          <w:szCs w:val="24"/>
        </w:rPr>
        <w:t xml:space="preserve">political, historical and economic origins. However, there are common themes. This paper explores some of these themes. It focuses on the fiscal equalisation arrangements in four federations: Australia, Canada, Germany and Switzerland. </w:t>
      </w:r>
    </w:p>
    <w:p w14:paraId="286B0EF7" w14:textId="32C61863" w:rsidR="004D7F21" w:rsidRPr="00FB25BF" w:rsidRDefault="004D7F21" w:rsidP="00D073A2">
      <w:pPr>
        <w:rPr>
          <w:rFonts w:ascii="Work Sans" w:hAnsi="Work Sans"/>
          <w:sz w:val="24"/>
          <w:szCs w:val="24"/>
        </w:rPr>
      </w:pPr>
      <w:r w:rsidRPr="00FB25BF">
        <w:rPr>
          <w:rFonts w:ascii="Work Sans" w:hAnsi="Work Sans"/>
          <w:sz w:val="24"/>
          <w:szCs w:val="24"/>
        </w:rPr>
        <w:t xml:space="preserve">The paper first describes the different </w:t>
      </w:r>
      <w:r w:rsidR="00931A6C" w:rsidRPr="00FB25BF">
        <w:rPr>
          <w:rFonts w:ascii="Work Sans" w:hAnsi="Work Sans"/>
          <w:sz w:val="24"/>
          <w:szCs w:val="24"/>
        </w:rPr>
        <w:t>approaches to</w:t>
      </w:r>
      <w:r w:rsidRPr="00FB25BF">
        <w:rPr>
          <w:rFonts w:ascii="Work Sans" w:hAnsi="Work Sans"/>
          <w:sz w:val="24"/>
          <w:szCs w:val="24"/>
        </w:rPr>
        <w:t xml:space="preserve"> fiscal equalisation in these countries. It then draws out themes that are relevant to the Australian experience of equalisation. </w:t>
      </w:r>
    </w:p>
    <w:p w14:paraId="2E29D500" w14:textId="77777777" w:rsidR="004D7F21" w:rsidRPr="002C5B2F" w:rsidRDefault="004D7F21" w:rsidP="00D073A2">
      <w:pPr>
        <w:rPr>
          <w:rFonts w:ascii="Work Sans" w:eastAsiaTheme="majorEastAsia" w:hAnsi="Work Sans" w:cs="Open Sans"/>
          <w:color w:val="4BACC6" w:themeColor="accent5"/>
          <w:sz w:val="36"/>
          <w:szCs w:val="36"/>
        </w:rPr>
      </w:pPr>
      <w:r w:rsidRPr="002C5B2F">
        <w:rPr>
          <w:rFonts w:ascii="Work Sans" w:hAnsi="Work Sans"/>
        </w:rPr>
        <w:br w:type="page"/>
      </w:r>
    </w:p>
    <w:p w14:paraId="15DD2E7B" w14:textId="77777777" w:rsidR="004D7F21" w:rsidRPr="00600974" w:rsidRDefault="004D7F21" w:rsidP="004D7F21">
      <w:pPr>
        <w:pStyle w:val="Heading2"/>
      </w:pPr>
      <w:r>
        <w:lastRenderedPageBreak/>
        <w:t>Approaches to equalisation vary</w:t>
      </w:r>
    </w:p>
    <w:p w14:paraId="614CD11D" w14:textId="5D0064D6" w:rsidR="004D7F21" w:rsidRPr="002C5B2F" w:rsidRDefault="004D7F21" w:rsidP="00D073A2">
      <w:pPr>
        <w:rPr>
          <w:rFonts w:ascii="Work Sans" w:hAnsi="Work Sans"/>
          <w:sz w:val="24"/>
          <w:szCs w:val="24"/>
        </w:rPr>
      </w:pPr>
      <w:r w:rsidRPr="002C5B2F">
        <w:rPr>
          <w:rFonts w:ascii="Work Sans" w:hAnsi="Work Sans"/>
          <w:sz w:val="24"/>
          <w:szCs w:val="24"/>
        </w:rPr>
        <w:t>The four countries examined in this paper — Canada, Germany, Switzerland and Australia — are established federations</w:t>
      </w:r>
      <w:r w:rsidR="00284B7E" w:rsidRPr="002C5B2F">
        <w:rPr>
          <w:rStyle w:val="FootnoteReference"/>
          <w:rFonts w:ascii="Work Sans" w:hAnsi="Work Sans"/>
          <w:sz w:val="24"/>
          <w:szCs w:val="24"/>
        </w:rPr>
        <w:footnoteReference w:id="3"/>
      </w:r>
      <w:r w:rsidR="00B35FA8" w:rsidRPr="002C5B2F">
        <w:rPr>
          <w:rFonts w:ascii="Work Sans" w:hAnsi="Work Sans"/>
          <w:sz w:val="24"/>
          <w:szCs w:val="24"/>
        </w:rPr>
        <w:t xml:space="preserve"> </w:t>
      </w:r>
      <w:r w:rsidRPr="002C5B2F">
        <w:rPr>
          <w:rFonts w:ascii="Work Sans" w:hAnsi="Work Sans"/>
          <w:sz w:val="24"/>
          <w:szCs w:val="24"/>
        </w:rPr>
        <w:t xml:space="preserve">with parliamentary systems and developed economies. International studies of fiscal equalisation commonly consider these countries. </w:t>
      </w:r>
    </w:p>
    <w:p w14:paraId="5AFF3AB9" w14:textId="5C2C5B1A" w:rsidR="004D7F21" w:rsidRPr="002C5B2F" w:rsidRDefault="004D7F21" w:rsidP="00D073A2">
      <w:pPr>
        <w:rPr>
          <w:rFonts w:ascii="Work Sans" w:hAnsi="Work Sans"/>
          <w:sz w:val="24"/>
          <w:szCs w:val="24"/>
        </w:rPr>
      </w:pPr>
      <w:r w:rsidRPr="002C5B2F">
        <w:rPr>
          <w:rFonts w:ascii="Work Sans" w:hAnsi="Work Sans"/>
          <w:sz w:val="24"/>
          <w:szCs w:val="24"/>
        </w:rPr>
        <w:t xml:space="preserve">Many countries have equalisation as part of their intergovernmental relations. Table 1 provides an overview of some key metrics of their arrangements, with the case study countries highlighted. </w:t>
      </w:r>
      <w:r w:rsidR="00FB2791" w:rsidRPr="002C5B2F">
        <w:rPr>
          <w:rFonts w:ascii="Work Sans" w:hAnsi="Work Sans"/>
          <w:sz w:val="24"/>
          <w:szCs w:val="24"/>
        </w:rPr>
        <w:t>All four case stud</w:t>
      </w:r>
      <w:r w:rsidR="00442128" w:rsidRPr="002C5B2F">
        <w:rPr>
          <w:rFonts w:ascii="Work Sans" w:hAnsi="Work Sans"/>
          <w:sz w:val="24"/>
          <w:szCs w:val="24"/>
        </w:rPr>
        <w:t>y countries</w:t>
      </w:r>
      <w:r w:rsidRPr="002C5B2F">
        <w:rPr>
          <w:rFonts w:ascii="Work Sans" w:hAnsi="Work Sans"/>
          <w:sz w:val="24"/>
          <w:szCs w:val="24"/>
        </w:rPr>
        <w:t xml:space="preserve"> distribute a similar proportion of </w:t>
      </w:r>
      <w:r w:rsidR="00FC038C" w:rsidRPr="002C5B2F">
        <w:rPr>
          <w:rFonts w:ascii="Work Sans" w:hAnsi="Work Sans"/>
          <w:sz w:val="24"/>
          <w:szCs w:val="24"/>
        </w:rPr>
        <w:t>their</w:t>
      </w:r>
      <w:r w:rsidRPr="002C5B2F">
        <w:rPr>
          <w:rFonts w:ascii="Work Sans" w:hAnsi="Work Sans"/>
          <w:sz w:val="24"/>
          <w:szCs w:val="24"/>
        </w:rPr>
        <w:t xml:space="preserve"> gross domestic product (GDP). </w:t>
      </w:r>
      <w:r w:rsidR="007A3E19" w:rsidRPr="002C5B2F">
        <w:rPr>
          <w:rFonts w:ascii="Work Sans" w:hAnsi="Work Sans"/>
          <w:sz w:val="24"/>
          <w:szCs w:val="24"/>
        </w:rPr>
        <w:t xml:space="preserve">However, </w:t>
      </w:r>
      <w:r w:rsidRPr="002C5B2F">
        <w:rPr>
          <w:rFonts w:ascii="Work Sans" w:hAnsi="Work Sans"/>
          <w:sz w:val="24"/>
          <w:szCs w:val="24"/>
        </w:rPr>
        <w:t xml:space="preserve">Australia focuses on both revenue and expense equalisation, while </w:t>
      </w:r>
      <w:r w:rsidR="00F545A0" w:rsidRPr="002C5B2F">
        <w:rPr>
          <w:rFonts w:ascii="Work Sans" w:hAnsi="Work Sans"/>
          <w:sz w:val="24"/>
          <w:szCs w:val="24"/>
        </w:rPr>
        <w:t xml:space="preserve">the </w:t>
      </w:r>
      <w:r w:rsidRPr="002C5B2F">
        <w:rPr>
          <w:rFonts w:ascii="Work Sans" w:hAnsi="Work Sans"/>
          <w:sz w:val="24"/>
          <w:szCs w:val="24"/>
        </w:rPr>
        <w:t>othe</w:t>
      </w:r>
      <w:r w:rsidR="0088139F" w:rsidRPr="002C5B2F">
        <w:rPr>
          <w:rFonts w:ascii="Work Sans" w:hAnsi="Work Sans"/>
          <w:sz w:val="24"/>
          <w:szCs w:val="24"/>
        </w:rPr>
        <w:t>r three</w:t>
      </w:r>
      <w:r w:rsidR="00BC35E0" w:rsidRPr="002C5B2F">
        <w:rPr>
          <w:rFonts w:ascii="Work Sans" w:hAnsi="Work Sans"/>
          <w:sz w:val="24"/>
          <w:szCs w:val="24"/>
        </w:rPr>
        <w:t xml:space="preserve"> </w:t>
      </w:r>
      <w:r w:rsidRPr="002C5B2F">
        <w:rPr>
          <w:rFonts w:ascii="Work Sans" w:hAnsi="Work Sans"/>
          <w:sz w:val="24"/>
          <w:szCs w:val="24"/>
        </w:rPr>
        <w:t>focus primarily on revenue equalisation.</w:t>
      </w:r>
    </w:p>
    <w:p w14:paraId="0C7CA859" w14:textId="11903B40" w:rsidR="004D7F21" w:rsidRPr="002C5B2F" w:rsidRDefault="004D7F21" w:rsidP="004D7F21">
      <w:pPr>
        <w:pStyle w:val="Caption"/>
        <w:rPr>
          <w:rFonts w:ascii="Work Sans" w:hAnsi="Work Sans"/>
        </w:rPr>
      </w:pPr>
      <w:bookmarkStart w:id="7" w:name="_Ref77077405"/>
      <w:r w:rsidRPr="002C5B2F">
        <w:rPr>
          <w:rFonts w:ascii="Work Sans" w:hAnsi="Work Sans"/>
        </w:rPr>
        <w:t xml:space="preserve">Table </w:t>
      </w:r>
      <w:r w:rsidRPr="002C5B2F">
        <w:rPr>
          <w:rFonts w:ascii="Work Sans" w:hAnsi="Work Sans"/>
        </w:rPr>
        <w:fldChar w:fldCharType="begin"/>
      </w:r>
      <w:r w:rsidRPr="002C5B2F">
        <w:rPr>
          <w:rFonts w:ascii="Work Sans" w:hAnsi="Work Sans"/>
        </w:rPr>
        <w:instrText>SEQ Table \* ARABIC</w:instrText>
      </w:r>
      <w:r w:rsidRPr="002C5B2F">
        <w:rPr>
          <w:rFonts w:ascii="Work Sans" w:hAnsi="Work Sans"/>
        </w:rPr>
        <w:fldChar w:fldCharType="separate"/>
      </w:r>
      <w:r w:rsidR="00AB678F">
        <w:rPr>
          <w:rFonts w:ascii="Work Sans" w:hAnsi="Work Sans"/>
          <w:noProof/>
        </w:rPr>
        <w:t>1</w:t>
      </w:r>
      <w:r w:rsidRPr="002C5B2F">
        <w:rPr>
          <w:rFonts w:ascii="Work Sans" w:hAnsi="Work Sans"/>
        </w:rPr>
        <w:fldChar w:fldCharType="end"/>
      </w:r>
      <w:bookmarkEnd w:id="7"/>
      <w:r w:rsidRPr="002C5B2F">
        <w:rPr>
          <w:rFonts w:ascii="Work Sans" w:hAnsi="Work Sans"/>
        </w:rPr>
        <w:tab/>
        <w:t>Fiscal equalisation: some key metrics</w:t>
      </w:r>
    </w:p>
    <w:tbl>
      <w:tblPr>
        <w:tblW w:w="8860" w:type="dxa"/>
        <w:tblLook w:val="04A0" w:firstRow="1" w:lastRow="0" w:firstColumn="1" w:lastColumn="0" w:noHBand="0" w:noVBand="1"/>
      </w:tblPr>
      <w:tblGrid>
        <w:gridCol w:w="2080"/>
        <w:gridCol w:w="1380"/>
        <w:gridCol w:w="1660"/>
        <w:gridCol w:w="1900"/>
        <w:gridCol w:w="1840"/>
      </w:tblGrid>
      <w:tr w:rsidR="009A6A52" w:rsidRPr="009A6A52" w14:paraId="62C01BD1" w14:textId="77777777" w:rsidTr="009A6A52">
        <w:trPr>
          <w:trHeight w:val="390"/>
        </w:trPr>
        <w:tc>
          <w:tcPr>
            <w:tcW w:w="2080" w:type="dxa"/>
            <w:tcBorders>
              <w:top w:val="nil"/>
              <w:left w:val="nil"/>
              <w:bottom w:val="single" w:sz="4" w:space="0" w:color="ADD6EA"/>
              <w:right w:val="nil"/>
            </w:tcBorders>
            <w:shd w:val="clear" w:color="000000" w:fill="008069"/>
            <w:vAlign w:val="center"/>
            <w:hideMark/>
          </w:tcPr>
          <w:p w14:paraId="66A34FEC" w14:textId="77777777" w:rsidR="009A6A52" w:rsidRPr="00DA7699" w:rsidRDefault="009A6A52" w:rsidP="009A6A52">
            <w:pPr>
              <w:tabs>
                <w:tab w:val="clear" w:pos="567"/>
              </w:tabs>
              <w:spacing w:before="0" w:line="240" w:lineRule="auto"/>
              <w:rPr>
                <w:rFonts w:ascii="Work Sans" w:eastAsia="Times New Roman" w:hAnsi="Work Sans" w:cs="Open Sans Semibold"/>
                <w:b/>
                <w:bCs/>
                <w:color w:val="FFFFFF"/>
                <w:sz w:val="16"/>
                <w:szCs w:val="16"/>
                <w:lang w:eastAsia="en-AU"/>
              </w:rPr>
            </w:pPr>
            <w:r w:rsidRPr="00DA7699">
              <w:rPr>
                <w:rFonts w:ascii="Work Sans" w:eastAsia="Times New Roman" w:hAnsi="Work Sans" w:cs="Open Sans Semibold"/>
                <w:b/>
                <w:bCs/>
                <w:color w:val="FFFFFF"/>
                <w:sz w:val="16"/>
                <w:szCs w:val="16"/>
                <w:lang w:eastAsia="en-AU"/>
              </w:rPr>
              <w:t>Country</w:t>
            </w:r>
          </w:p>
        </w:tc>
        <w:tc>
          <w:tcPr>
            <w:tcW w:w="1380" w:type="dxa"/>
            <w:tcBorders>
              <w:top w:val="nil"/>
              <w:left w:val="nil"/>
              <w:bottom w:val="single" w:sz="4" w:space="0" w:color="ADD6EA"/>
              <w:right w:val="nil"/>
            </w:tcBorders>
            <w:shd w:val="clear" w:color="000000" w:fill="008069"/>
            <w:vAlign w:val="center"/>
            <w:hideMark/>
          </w:tcPr>
          <w:p w14:paraId="223DEB4A" w14:textId="77777777" w:rsidR="009A6A52" w:rsidRPr="00DA7699" w:rsidRDefault="009A6A52" w:rsidP="009A6A52">
            <w:pPr>
              <w:tabs>
                <w:tab w:val="clear" w:pos="567"/>
              </w:tabs>
              <w:spacing w:before="0" w:line="240" w:lineRule="auto"/>
              <w:jc w:val="right"/>
              <w:rPr>
                <w:rFonts w:ascii="Work Sans" w:eastAsia="Times New Roman" w:hAnsi="Work Sans" w:cs="Open Sans Semibold"/>
                <w:b/>
                <w:bCs/>
                <w:color w:val="FFFFFF"/>
                <w:sz w:val="16"/>
                <w:szCs w:val="16"/>
                <w:lang w:eastAsia="en-AU"/>
              </w:rPr>
            </w:pPr>
            <w:r w:rsidRPr="00DA7699">
              <w:rPr>
                <w:rFonts w:ascii="Work Sans" w:eastAsia="Times New Roman" w:hAnsi="Work Sans" w:cs="Open Sans Semibold"/>
                <w:b/>
                <w:bCs/>
                <w:color w:val="FFFFFF"/>
                <w:sz w:val="16"/>
                <w:szCs w:val="16"/>
                <w:lang w:eastAsia="en-AU"/>
              </w:rPr>
              <w:t>GDP per capita</w:t>
            </w:r>
          </w:p>
        </w:tc>
        <w:tc>
          <w:tcPr>
            <w:tcW w:w="1660" w:type="dxa"/>
            <w:tcBorders>
              <w:top w:val="nil"/>
              <w:left w:val="nil"/>
              <w:bottom w:val="single" w:sz="4" w:space="0" w:color="ADD6EA"/>
              <w:right w:val="nil"/>
            </w:tcBorders>
            <w:shd w:val="clear" w:color="000000" w:fill="008069"/>
            <w:vAlign w:val="center"/>
            <w:hideMark/>
          </w:tcPr>
          <w:p w14:paraId="3C7829E2" w14:textId="77777777" w:rsidR="009A6A52" w:rsidRPr="00DA7699" w:rsidRDefault="009A6A52" w:rsidP="009A6A52">
            <w:pPr>
              <w:tabs>
                <w:tab w:val="clear" w:pos="567"/>
              </w:tabs>
              <w:spacing w:before="0" w:line="240" w:lineRule="auto"/>
              <w:jc w:val="right"/>
              <w:rPr>
                <w:rFonts w:ascii="Work Sans" w:eastAsia="Times New Roman" w:hAnsi="Work Sans" w:cs="Open Sans Semibold"/>
                <w:b/>
                <w:bCs/>
                <w:color w:val="FFFFFF"/>
                <w:sz w:val="16"/>
                <w:szCs w:val="16"/>
                <w:lang w:eastAsia="en-AU"/>
              </w:rPr>
            </w:pPr>
            <w:r w:rsidRPr="00DA7699">
              <w:rPr>
                <w:rFonts w:ascii="Work Sans" w:eastAsia="Times New Roman" w:hAnsi="Work Sans" w:cs="Open Sans Semibold"/>
                <w:b/>
                <w:bCs/>
                <w:color w:val="FFFFFF"/>
                <w:sz w:val="16"/>
                <w:szCs w:val="16"/>
                <w:lang w:eastAsia="en-AU"/>
              </w:rPr>
              <w:t>Grants to regions</w:t>
            </w:r>
          </w:p>
        </w:tc>
        <w:tc>
          <w:tcPr>
            <w:tcW w:w="1900" w:type="dxa"/>
            <w:tcBorders>
              <w:top w:val="nil"/>
              <w:left w:val="nil"/>
              <w:bottom w:val="single" w:sz="4" w:space="0" w:color="ADD6EA"/>
              <w:right w:val="nil"/>
            </w:tcBorders>
            <w:shd w:val="clear" w:color="000000" w:fill="008069"/>
            <w:vAlign w:val="center"/>
            <w:hideMark/>
          </w:tcPr>
          <w:p w14:paraId="68EB9F30" w14:textId="77777777" w:rsidR="009A6A52" w:rsidRPr="00DA7699" w:rsidRDefault="009A6A52" w:rsidP="009A6A52">
            <w:pPr>
              <w:tabs>
                <w:tab w:val="clear" w:pos="567"/>
              </w:tabs>
              <w:spacing w:before="0" w:line="240" w:lineRule="auto"/>
              <w:jc w:val="right"/>
              <w:rPr>
                <w:rFonts w:ascii="Work Sans" w:eastAsia="Times New Roman" w:hAnsi="Work Sans" w:cs="Open Sans Semibold"/>
                <w:b/>
                <w:bCs/>
                <w:color w:val="FFFFFF"/>
                <w:sz w:val="16"/>
                <w:szCs w:val="16"/>
                <w:lang w:eastAsia="en-AU"/>
              </w:rPr>
            </w:pPr>
            <w:r w:rsidRPr="00DA7699">
              <w:rPr>
                <w:rFonts w:ascii="Work Sans" w:eastAsia="Times New Roman" w:hAnsi="Work Sans" w:cs="Open Sans Semibold"/>
                <w:b/>
                <w:bCs/>
                <w:color w:val="FFFFFF"/>
                <w:sz w:val="16"/>
                <w:szCs w:val="16"/>
                <w:lang w:eastAsia="en-AU"/>
              </w:rPr>
              <w:t>Revenue equalisation</w:t>
            </w:r>
          </w:p>
        </w:tc>
        <w:tc>
          <w:tcPr>
            <w:tcW w:w="1840" w:type="dxa"/>
            <w:tcBorders>
              <w:top w:val="nil"/>
              <w:left w:val="nil"/>
              <w:bottom w:val="single" w:sz="4" w:space="0" w:color="ADD6EA"/>
              <w:right w:val="nil"/>
            </w:tcBorders>
            <w:shd w:val="clear" w:color="000000" w:fill="008069"/>
            <w:vAlign w:val="center"/>
            <w:hideMark/>
          </w:tcPr>
          <w:p w14:paraId="3246D758" w14:textId="77777777" w:rsidR="009A6A52" w:rsidRPr="00DA7699" w:rsidRDefault="009A6A52" w:rsidP="009A6A52">
            <w:pPr>
              <w:tabs>
                <w:tab w:val="clear" w:pos="567"/>
              </w:tabs>
              <w:spacing w:before="0" w:line="240" w:lineRule="auto"/>
              <w:jc w:val="right"/>
              <w:rPr>
                <w:rFonts w:ascii="Work Sans" w:eastAsia="Times New Roman" w:hAnsi="Work Sans" w:cs="Open Sans Semibold"/>
                <w:b/>
                <w:bCs/>
                <w:color w:val="FFFFFF"/>
                <w:sz w:val="16"/>
                <w:szCs w:val="16"/>
                <w:lang w:eastAsia="en-AU"/>
              </w:rPr>
            </w:pPr>
            <w:r w:rsidRPr="00DA7699">
              <w:rPr>
                <w:rFonts w:ascii="Work Sans" w:eastAsia="Times New Roman" w:hAnsi="Work Sans" w:cs="Open Sans Semibold"/>
                <w:b/>
                <w:bCs/>
                <w:color w:val="FFFFFF"/>
                <w:sz w:val="16"/>
                <w:szCs w:val="16"/>
                <w:lang w:eastAsia="en-AU"/>
              </w:rPr>
              <w:t>Cost equalisation</w:t>
            </w:r>
          </w:p>
        </w:tc>
      </w:tr>
      <w:tr w:rsidR="009A6A52" w:rsidRPr="009A6A52" w14:paraId="539C0E21" w14:textId="77777777" w:rsidTr="009A6A52">
        <w:trPr>
          <w:trHeight w:val="255"/>
        </w:trPr>
        <w:tc>
          <w:tcPr>
            <w:tcW w:w="2080" w:type="dxa"/>
            <w:tcBorders>
              <w:top w:val="nil"/>
              <w:left w:val="nil"/>
              <w:bottom w:val="nil"/>
              <w:right w:val="nil"/>
            </w:tcBorders>
            <w:shd w:val="clear" w:color="000000" w:fill="99CCC3"/>
            <w:vAlign w:val="center"/>
            <w:hideMark/>
          </w:tcPr>
          <w:p w14:paraId="7EF7FA63" w14:textId="77777777" w:rsidR="009A6A52" w:rsidRPr="002C5B2F" w:rsidRDefault="009A6A52" w:rsidP="009A6A52">
            <w:pPr>
              <w:tabs>
                <w:tab w:val="clear" w:pos="567"/>
              </w:tabs>
              <w:spacing w:before="0" w:line="240" w:lineRule="auto"/>
              <w:rPr>
                <w:rFonts w:ascii="Work Sans" w:eastAsia="Times New Roman" w:hAnsi="Work Sans" w:cs="Open Sans Light"/>
                <w:color w:val="000000"/>
                <w:sz w:val="16"/>
                <w:szCs w:val="16"/>
                <w:lang w:eastAsia="en-AU"/>
              </w:rPr>
            </w:pPr>
            <w:r w:rsidRPr="002C5B2F">
              <w:rPr>
                <w:rFonts w:ascii="Work Sans" w:eastAsia="Times New Roman" w:hAnsi="Work Sans" w:cs="Open Sans Light"/>
                <w:color w:val="000000"/>
                <w:sz w:val="16"/>
                <w:szCs w:val="16"/>
                <w:lang w:eastAsia="en-AU"/>
              </w:rPr>
              <w:t> </w:t>
            </w:r>
          </w:p>
        </w:tc>
        <w:tc>
          <w:tcPr>
            <w:tcW w:w="1380" w:type="dxa"/>
            <w:tcBorders>
              <w:top w:val="nil"/>
              <w:left w:val="nil"/>
              <w:bottom w:val="nil"/>
              <w:right w:val="nil"/>
            </w:tcBorders>
            <w:shd w:val="clear" w:color="000000" w:fill="99CCC3"/>
            <w:noWrap/>
            <w:vAlign w:val="center"/>
            <w:hideMark/>
          </w:tcPr>
          <w:p w14:paraId="0A4DA386" w14:textId="77777777" w:rsidR="009A6A52" w:rsidRPr="002C5B2F" w:rsidRDefault="009A6A52" w:rsidP="009A6A52">
            <w:pPr>
              <w:tabs>
                <w:tab w:val="clear" w:pos="567"/>
              </w:tabs>
              <w:spacing w:before="0" w:line="240" w:lineRule="auto"/>
              <w:jc w:val="right"/>
              <w:rPr>
                <w:rFonts w:ascii="Work Sans" w:eastAsia="Times New Roman" w:hAnsi="Work Sans" w:cs="Open Sans Semibold"/>
                <w:color w:val="000000"/>
                <w:sz w:val="16"/>
                <w:szCs w:val="16"/>
                <w:lang w:eastAsia="en-AU"/>
              </w:rPr>
            </w:pPr>
            <w:r w:rsidRPr="002C5B2F">
              <w:rPr>
                <w:rFonts w:ascii="Work Sans" w:eastAsia="Times New Roman" w:hAnsi="Work Sans" w:cs="Open Sans Semibold"/>
                <w:color w:val="000000"/>
                <w:sz w:val="16"/>
                <w:szCs w:val="16"/>
                <w:lang w:eastAsia="en-AU"/>
              </w:rPr>
              <w:t>$PPP</w:t>
            </w:r>
          </w:p>
        </w:tc>
        <w:tc>
          <w:tcPr>
            <w:tcW w:w="1660" w:type="dxa"/>
            <w:tcBorders>
              <w:top w:val="nil"/>
              <w:left w:val="nil"/>
              <w:bottom w:val="nil"/>
              <w:right w:val="nil"/>
            </w:tcBorders>
            <w:shd w:val="clear" w:color="000000" w:fill="99CCC3"/>
            <w:noWrap/>
            <w:vAlign w:val="center"/>
            <w:hideMark/>
          </w:tcPr>
          <w:p w14:paraId="5F871362" w14:textId="77777777" w:rsidR="009A6A52" w:rsidRPr="002C5B2F" w:rsidRDefault="009A6A52" w:rsidP="009A6A52">
            <w:pPr>
              <w:tabs>
                <w:tab w:val="clear" w:pos="567"/>
              </w:tabs>
              <w:spacing w:before="0" w:line="240" w:lineRule="auto"/>
              <w:jc w:val="right"/>
              <w:rPr>
                <w:rFonts w:ascii="Work Sans" w:eastAsia="Times New Roman" w:hAnsi="Work Sans" w:cs="Open Sans Semibold"/>
                <w:color w:val="000000"/>
                <w:sz w:val="16"/>
                <w:szCs w:val="16"/>
                <w:lang w:eastAsia="en-AU"/>
              </w:rPr>
            </w:pPr>
            <w:r w:rsidRPr="002C5B2F">
              <w:rPr>
                <w:rFonts w:ascii="Work Sans" w:eastAsia="Times New Roman" w:hAnsi="Work Sans" w:cs="Open Sans Semibold"/>
                <w:color w:val="000000"/>
                <w:sz w:val="16"/>
                <w:szCs w:val="16"/>
                <w:lang w:eastAsia="en-AU"/>
              </w:rPr>
              <w:t>% of GDP</w:t>
            </w:r>
          </w:p>
        </w:tc>
        <w:tc>
          <w:tcPr>
            <w:tcW w:w="1900" w:type="dxa"/>
            <w:tcBorders>
              <w:top w:val="nil"/>
              <w:left w:val="nil"/>
              <w:bottom w:val="nil"/>
              <w:right w:val="nil"/>
            </w:tcBorders>
            <w:shd w:val="clear" w:color="000000" w:fill="99CCC3"/>
            <w:noWrap/>
            <w:vAlign w:val="center"/>
            <w:hideMark/>
          </w:tcPr>
          <w:p w14:paraId="5BFF9049" w14:textId="77777777" w:rsidR="009A6A52" w:rsidRPr="002C5B2F" w:rsidRDefault="009A6A52" w:rsidP="009A6A52">
            <w:pPr>
              <w:tabs>
                <w:tab w:val="clear" w:pos="567"/>
              </w:tabs>
              <w:spacing w:before="0" w:line="240" w:lineRule="auto"/>
              <w:jc w:val="right"/>
              <w:rPr>
                <w:rFonts w:ascii="Work Sans" w:eastAsia="Times New Roman" w:hAnsi="Work Sans" w:cs="Open Sans Semibold"/>
                <w:color w:val="000000"/>
                <w:sz w:val="16"/>
                <w:szCs w:val="16"/>
                <w:lang w:eastAsia="en-AU"/>
              </w:rPr>
            </w:pPr>
            <w:r w:rsidRPr="002C5B2F">
              <w:rPr>
                <w:rFonts w:ascii="Work Sans" w:eastAsia="Times New Roman" w:hAnsi="Work Sans" w:cs="Open Sans Semibold"/>
                <w:color w:val="000000"/>
                <w:sz w:val="16"/>
                <w:szCs w:val="16"/>
                <w:lang w:eastAsia="en-AU"/>
              </w:rPr>
              <w:t>% total equalisation</w:t>
            </w:r>
          </w:p>
        </w:tc>
        <w:tc>
          <w:tcPr>
            <w:tcW w:w="1840" w:type="dxa"/>
            <w:tcBorders>
              <w:top w:val="nil"/>
              <w:left w:val="nil"/>
              <w:bottom w:val="nil"/>
              <w:right w:val="nil"/>
            </w:tcBorders>
            <w:shd w:val="clear" w:color="000000" w:fill="99CCC3"/>
            <w:noWrap/>
            <w:vAlign w:val="center"/>
            <w:hideMark/>
          </w:tcPr>
          <w:p w14:paraId="764F19C2" w14:textId="77777777" w:rsidR="009A6A52" w:rsidRPr="002C5B2F" w:rsidRDefault="009A6A52" w:rsidP="009A6A52">
            <w:pPr>
              <w:tabs>
                <w:tab w:val="clear" w:pos="567"/>
              </w:tabs>
              <w:spacing w:before="0" w:line="240" w:lineRule="auto"/>
              <w:jc w:val="right"/>
              <w:rPr>
                <w:rFonts w:ascii="Work Sans" w:eastAsia="Times New Roman" w:hAnsi="Work Sans" w:cs="Open Sans Semibold"/>
                <w:color w:val="000000"/>
                <w:sz w:val="16"/>
                <w:szCs w:val="16"/>
                <w:lang w:eastAsia="en-AU"/>
              </w:rPr>
            </w:pPr>
            <w:r w:rsidRPr="002C5B2F">
              <w:rPr>
                <w:rFonts w:ascii="Work Sans" w:eastAsia="Times New Roman" w:hAnsi="Work Sans" w:cs="Open Sans Semibold"/>
                <w:color w:val="000000"/>
                <w:sz w:val="16"/>
                <w:szCs w:val="16"/>
                <w:lang w:eastAsia="en-AU"/>
              </w:rPr>
              <w:t>% total equalisation</w:t>
            </w:r>
          </w:p>
        </w:tc>
      </w:tr>
      <w:tr w:rsidR="009A6A52" w:rsidRPr="009A6A52" w14:paraId="19DED962" w14:textId="77777777" w:rsidTr="009A6A52">
        <w:trPr>
          <w:trHeight w:val="300"/>
        </w:trPr>
        <w:tc>
          <w:tcPr>
            <w:tcW w:w="2080" w:type="dxa"/>
            <w:tcBorders>
              <w:top w:val="nil"/>
              <w:left w:val="nil"/>
              <w:bottom w:val="single" w:sz="4" w:space="0" w:color="ADD6EA"/>
              <w:right w:val="nil"/>
            </w:tcBorders>
            <w:shd w:val="clear" w:color="auto" w:fill="auto"/>
            <w:vAlign w:val="center"/>
            <w:hideMark/>
          </w:tcPr>
          <w:p w14:paraId="24D6DC22" w14:textId="77777777" w:rsidR="009A6A52" w:rsidRPr="002C5B2F" w:rsidRDefault="009A6A52" w:rsidP="009A6A52">
            <w:pPr>
              <w:tabs>
                <w:tab w:val="clear" w:pos="567"/>
              </w:tabs>
              <w:spacing w:before="0" w:line="240" w:lineRule="auto"/>
              <w:rPr>
                <w:rFonts w:ascii="Work Sans" w:eastAsia="Times New Roman" w:hAnsi="Work Sans" w:cs="Open Sans Light"/>
                <w:color w:val="000000"/>
                <w:sz w:val="16"/>
                <w:szCs w:val="16"/>
                <w:lang w:eastAsia="en-AU"/>
              </w:rPr>
            </w:pPr>
            <w:r w:rsidRPr="002C5B2F">
              <w:rPr>
                <w:rFonts w:ascii="Work Sans" w:eastAsia="Times New Roman" w:hAnsi="Work Sans" w:cs="Open Sans Light"/>
                <w:color w:val="000000"/>
                <w:sz w:val="16"/>
                <w:szCs w:val="16"/>
                <w:lang w:eastAsia="en-AU"/>
              </w:rPr>
              <w:t>Belgium</w:t>
            </w:r>
          </w:p>
        </w:tc>
        <w:tc>
          <w:tcPr>
            <w:tcW w:w="1380" w:type="dxa"/>
            <w:tcBorders>
              <w:top w:val="nil"/>
              <w:left w:val="nil"/>
              <w:bottom w:val="single" w:sz="4" w:space="0" w:color="ADD6EA"/>
              <w:right w:val="nil"/>
            </w:tcBorders>
            <w:shd w:val="clear" w:color="auto" w:fill="auto"/>
            <w:noWrap/>
            <w:vAlign w:val="center"/>
            <w:hideMark/>
          </w:tcPr>
          <w:p w14:paraId="61C7DD84" w14:textId="77777777" w:rsidR="009A6A52" w:rsidRPr="002C5B2F" w:rsidRDefault="009A6A52" w:rsidP="009A6A52">
            <w:pPr>
              <w:tabs>
                <w:tab w:val="clear" w:pos="567"/>
              </w:tabs>
              <w:spacing w:before="0" w:line="240" w:lineRule="auto"/>
              <w:jc w:val="right"/>
              <w:rPr>
                <w:rFonts w:ascii="Work Sans" w:eastAsia="Times New Roman" w:hAnsi="Work Sans" w:cs="Open Sans Light"/>
                <w:color w:val="000000"/>
                <w:sz w:val="16"/>
                <w:szCs w:val="16"/>
                <w:lang w:eastAsia="en-AU"/>
              </w:rPr>
            </w:pPr>
            <w:r w:rsidRPr="002C5B2F">
              <w:rPr>
                <w:rFonts w:ascii="Work Sans" w:eastAsia="Times New Roman" w:hAnsi="Work Sans" w:cs="Open Sans Light"/>
                <w:color w:val="000000"/>
                <w:sz w:val="16"/>
                <w:szCs w:val="16"/>
                <w:lang w:eastAsia="en-AU"/>
              </w:rPr>
              <w:t>47,662</w:t>
            </w:r>
          </w:p>
        </w:tc>
        <w:tc>
          <w:tcPr>
            <w:tcW w:w="1660" w:type="dxa"/>
            <w:tcBorders>
              <w:top w:val="nil"/>
              <w:left w:val="nil"/>
              <w:bottom w:val="single" w:sz="4" w:space="0" w:color="ADD6EA"/>
              <w:right w:val="nil"/>
            </w:tcBorders>
            <w:shd w:val="clear" w:color="auto" w:fill="auto"/>
            <w:noWrap/>
            <w:vAlign w:val="center"/>
            <w:hideMark/>
          </w:tcPr>
          <w:p w14:paraId="4B89F0A3" w14:textId="77777777" w:rsidR="009A6A52" w:rsidRPr="002C5B2F" w:rsidRDefault="009A6A52" w:rsidP="009A6A52">
            <w:pPr>
              <w:tabs>
                <w:tab w:val="clear" w:pos="567"/>
              </w:tabs>
              <w:spacing w:before="0" w:line="240" w:lineRule="auto"/>
              <w:jc w:val="right"/>
              <w:rPr>
                <w:rFonts w:ascii="Work Sans" w:eastAsia="Times New Roman" w:hAnsi="Work Sans" w:cs="Open Sans Light"/>
                <w:color w:val="000000"/>
                <w:sz w:val="16"/>
                <w:szCs w:val="16"/>
                <w:lang w:eastAsia="en-AU"/>
              </w:rPr>
            </w:pPr>
            <w:r w:rsidRPr="002C5B2F">
              <w:rPr>
                <w:rFonts w:ascii="Work Sans" w:eastAsia="Times New Roman" w:hAnsi="Work Sans" w:cs="Open Sans Light"/>
                <w:color w:val="000000"/>
                <w:sz w:val="16"/>
                <w:szCs w:val="16"/>
                <w:lang w:eastAsia="en-AU"/>
              </w:rPr>
              <w:t>15</w:t>
            </w:r>
          </w:p>
        </w:tc>
        <w:tc>
          <w:tcPr>
            <w:tcW w:w="1900" w:type="dxa"/>
            <w:tcBorders>
              <w:top w:val="nil"/>
              <w:left w:val="nil"/>
              <w:bottom w:val="single" w:sz="4" w:space="0" w:color="ADD6EA"/>
              <w:right w:val="nil"/>
            </w:tcBorders>
            <w:shd w:val="clear" w:color="auto" w:fill="auto"/>
            <w:noWrap/>
            <w:vAlign w:val="center"/>
            <w:hideMark/>
          </w:tcPr>
          <w:p w14:paraId="05E17556" w14:textId="77777777" w:rsidR="009A6A52" w:rsidRPr="002C5B2F" w:rsidRDefault="009A6A52" w:rsidP="009A6A52">
            <w:pPr>
              <w:tabs>
                <w:tab w:val="clear" w:pos="567"/>
              </w:tabs>
              <w:spacing w:before="0" w:line="240" w:lineRule="auto"/>
              <w:jc w:val="right"/>
              <w:rPr>
                <w:rFonts w:ascii="Work Sans" w:eastAsia="Times New Roman" w:hAnsi="Work Sans" w:cs="Open Sans Light"/>
                <w:color w:val="000000"/>
                <w:sz w:val="16"/>
                <w:szCs w:val="16"/>
                <w:lang w:eastAsia="en-AU"/>
              </w:rPr>
            </w:pPr>
            <w:r w:rsidRPr="002C5B2F">
              <w:rPr>
                <w:rFonts w:ascii="Work Sans" w:eastAsia="Times New Roman" w:hAnsi="Work Sans" w:cs="Open Sans Light"/>
                <w:color w:val="000000"/>
                <w:sz w:val="16"/>
                <w:szCs w:val="16"/>
                <w:lang w:eastAsia="en-AU"/>
              </w:rPr>
              <w:t>84</w:t>
            </w:r>
          </w:p>
        </w:tc>
        <w:tc>
          <w:tcPr>
            <w:tcW w:w="1840" w:type="dxa"/>
            <w:tcBorders>
              <w:top w:val="nil"/>
              <w:left w:val="nil"/>
              <w:bottom w:val="single" w:sz="4" w:space="0" w:color="ADD6EA"/>
              <w:right w:val="nil"/>
            </w:tcBorders>
            <w:shd w:val="clear" w:color="auto" w:fill="auto"/>
            <w:noWrap/>
            <w:vAlign w:val="center"/>
            <w:hideMark/>
          </w:tcPr>
          <w:p w14:paraId="355F08BC" w14:textId="77777777" w:rsidR="009A6A52" w:rsidRPr="002C5B2F" w:rsidRDefault="009A6A52" w:rsidP="009A6A52">
            <w:pPr>
              <w:tabs>
                <w:tab w:val="clear" w:pos="567"/>
              </w:tabs>
              <w:spacing w:before="0" w:line="240" w:lineRule="auto"/>
              <w:jc w:val="right"/>
              <w:rPr>
                <w:rFonts w:ascii="Work Sans" w:eastAsia="Times New Roman" w:hAnsi="Work Sans" w:cs="Open Sans Light"/>
                <w:color w:val="000000"/>
                <w:sz w:val="16"/>
                <w:szCs w:val="16"/>
                <w:lang w:eastAsia="en-AU"/>
              </w:rPr>
            </w:pPr>
            <w:r w:rsidRPr="002C5B2F">
              <w:rPr>
                <w:rFonts w:ascii="Work Sans" w:eastAsia="Times New Roman" w:hAnsi="Work Sans" w:cs="Open Sans Light"/>
                <w:color w:val="000000"/>
                <w:sz w:val="16"/>
                <w:szCs w:val="16"/>
                <w:lang w:eastAsia="en-AU"/>
              </w:rPr>
              <w:t>16</w:t>
            </w:r>
          </w:p>
        </w:tc>
      </w:tr>
      <w:tr w:rsidR="009A6A52" w:rsidRPr="009A6A52" w14:paraId="42CFCEE1" w14:textId="77777777" w:rsidTr="009A6A52">
        <w:trPr>
          <w:trHeight w:val="300"/>
        </w:trPr>
        <w:tc>
          <w:tcPr>
            <w:tcW w:w="2080" w:type="dxa"/>
            <w:tcBorders>
              <w:top w:val="nil"/>
              <w:left w:val="nil"/>
              <w:bottom w:val="single" w:sz="4" w:space="0" w:color="ADD6EA"/>
              <w:right w:val="nil"/>
            </w:tcBorders>
            <w:shd w:val="clear" w:color="auto" w:fill="auto"/>
            <w:vAlign w:val="center"/>
            <w:hideMark/>
          </w:tcPr>
          <w:p w14:paraId="15464A36" w14:textId="77777777" w:rsidR="009A6A52" w:rsidRPr="002C5B2F" w:rsidRDefault="009A6A52" w:rsidP="009A6A52">
            <w:pPr>
              <w:tabs>
                <w:tab w:val="clear" w:pos="567"/>
              </w:tabs>
              <w:spacing w:before="0" w:line="240" w:lineRule="auto"/>
              <w:rPr>
                <w:rFonts w:ascii="Work Sans" w:eastAsia="Times New Roman" w:hAnsi="Work Sans" w:cs="Open Sans Light"/>
                <w:color w:val="000000"/>
                <w:sz w:val="16"/>
                <w:szCs w:val="16"/>
                <w:lang w:eastAsia="en-AU"/>
              </w:rPr>
            </w:pPr>
            <w:r w:rsidRPr="002C5B2F">
              <w:rPr>
                <w:rFonts w:ascii="Work Sans" w:eastAsia="Times New Roman" w:hAnsi="Work Sans" w:cs="Open Sans Light"/>
                <w:color w:val="000000"/>
                <w:sz w:val="16"/>
                <w:szCs w:val="16"/>
                <w:lang w:eastAsia="en-AU"/>
              </w:rPr>
              <w:t>Mexico</w:t>
            </w:r>
          </w:p>
        </w:tc>
        <w:tc>
          <w:tcPr>
            <w:tcW w:w="1380" w:type="dxa"/>
            <w:tcBorders>
              <w:top w:val="nil"/>
              <w:left w:val="nil"/>
              <w:bottom w:val="single" w:sz="4" w:space="0" w:color="ADD6EA"/>
              <w:right w:val="nil"/>
            </w:tcBorders>
            <w:shd w:val="clear" w:color="auto" w:fill="auto"/>
            <w:noWrap/>
            <w:vAlign w:val="center"/>
            <w:hideMark/>
          </w:tcPr>
          <w:p w14:paraId="4499C9A4" w14:textId="77777777" w:rsidR="009A6A52" w:rsidRPr="002C5B2F" w:rsidRDefault="009A6A52" w:rsidP="009A6A52">
            <w:pPr>
              <w:tabs>
                <w:tab w:val="clear" w:pos="567"/>
              </w:tabs>
              <w:spacing w:before="0" w:line="240" w:lineRule="auto"/>
              <w:jc w:val="right"/>
              <w:rPr>
                <w:rFonts w:ascii="Work Sans" w:eastAsia="Times New Roman" w:hAnsi="Work Sans" w:cs="Open Sans Light"/>
                <w:color w:val="000000"/>
                <w:sz w:val="16"/>
                <w:szCs w:val="16"/>
                <w:lang w:eastAsia="en-AU"/>
              </w:rPr>
            </w:pPr>
            <w:r w:rsidRPr="002C5B2F">
              <w:rPr>
                <w:rFonts w:ascii="Work Sans" w:eastAsia="Times New Roman" w:hAnsi="Work Sans" w:cs="Open Sans Light"/>
                <w:color w:val="000000"/>
                <w:sz w:val="16"/>
                <w:szCs w:val="16"/>
                <w:lang w:eastAsia="en-AU"/>
              </w:rPr>
              <w:t>18,273</w:t>
            </w:r>
          </w:p>
        </w:tc>
        <w:tc>
          <w:tcPr>
            <w:tcW w:w="1660" w:type="dxa"/>
            <w:tcBorders>
              <w:top w:val="nil"/>
              <w:left w:val="nil"/>
              <w:bottom w:val="single" w:sz="4" w:space="0" w:color="ADD6EA"/>
              <w:right w:val="nil"/>
            </w:tcBorders>
            <w:shd w:val="clear" w:color="auto" w:fill="auto"/>
            <w:noWrap/>
            <w:vAlign w:val="center"/>
            <w:hideMark/>
          </w:tcPr>
          <w:p w14:paraId="5AD9721E" w14:textId="77777777" w:rsidR="009A6A52" w:rsidRPr="002C5B2F" w:rsidRDefault="009A6A52" w:rsidP="009A6A52">
            <w:pPr>
              <w:tabs>
                <w:tab w:val="clear" w:pos="567"/>
              </w:tabs>
              <w:spacing w:before="0" w:line="240" w:lineRule="auto"/>
              <w:jc w:val="right"/>
              <w:rPr>
                <w:rFonts w:ascii="Work Sans" w:eastAsia="Times New Roman" w:hAnsi="Work Sans" w:cs="Open Sans Light"/>
                <w:color w:val="000000"/>
                <w:sz w:val="16"/>
                <w:szCs w:val="16"/>
                <w:lang w:eastAsia="en-AU"/>
              </w:rPr>
            </w:pPr>
            <w:r w:rsidRPr="002C5B2F">
              <w:rPr>
                <w:rFonts w:ascii="Work Sans" w:eastAsia="Times New Roman" w:hAnsi="Work Sans" w:cs="Open Sans Light"/>
                <w:color w:val="000000"/>
                <w:sz w:val="16"/>
                <w:szCs w:val="16"/>
                <w:lang w:eastAsia="en-AU"/>
              </w:rPr>
              <w:t>11</w:t>
            </w:r>
          </w:p>
        </w:tc>
        <w:tc>
          <w:tcPr>
            <w:tcW w:w="1900" w:type="dxa"/>
            <w:tcBorders>
              <w:top w:val="nil"/>
              <w:left w:val="nil"/>
              <w:bottom w:val="single" w:sz="4" w:space="0" w:color="ADD6EA"/>
              <w:right w:val="nil"/>
            </w:tcBorders>
            <w:shd w:val="clear" w:color="auto" w:fill="auto"/>
            <w:noWrap/>
            <w:vAlign w:val="center"/>
            <w:hideMark/>
          </w:tcPr>
          <w:p w14:paraId="62FBC50F" w14:textId="77777777" w:rsidR="009A6A52" w:rsidRPr="002C5B2F" w:rsidRDefault="009A6A52" w:rsidP="009A6A52">
            <w:pPr>
              <w:tabs>
                <w:tab w:val="clear" w:pos="567"/>
              </w:tabs>
              <w:spacing w:before="0" w:line="240" w:lineRule="auto"/>
              <w:jc w:val="right"/>
              <w:rPr>
                <w:rFonts w:ascii="Work Sans" w:eastAsia="Times New Roman" w:hAnsi="Work Sans" w:cs="Open Sans Light"/>
                <w:color w:val="000000"/>
                <w:sz w:val="16"/>
                <w:szCs w:val="16"/>
                <w:lang w:eastAsia="en-AU"/>
              </w:rPr>
            </w:pPr>
            <w:r w:rsidRPr="002C5B2F">
              <w:rPr>
                <w:rFonts w:ascii="Work Sans" w:eastAsia="Times New Roman" w:hAnsi="Work Sans" w:cs="Open Sans Light"/>
                <w:color w:val="000000"/>
                <w:sz w:val="16"/>
                <w:szCs w:val="16"/>
                <w:lang w:eastAsia="en-AU"/>
              </w:rPr>
              <w:t>49</w:t>
            </w:r>
          </w:p>
        </w:tc>
        <w:tc>
          <w:tcPr>
            <w:tcW w:w="1840" w:type="dxa"/>
            <w:tcBorders>
              <w:top w:val="nil"/>
              <w:left w:val="nil"/>
              <w:bottom w:val="single" w:sz="4" w:space="0" w:color="ADD6EA"/>
              <w:right w:val="nil"/>
            </w:tcBorders>
            <w:shd w:val="clear" w:color="auto" w:fill="auto"/>
            <w:noWrap/>
            <w:vAlign w:val="center"/>
            <w:hideMark/>
          </w:tcPr>
          <w:p w14:paraId="6FC3BA52" w14:textId="77777777" w:rsidR="009A6A52" w:rsidRPr="002C5B2F" w:rsidRDefault="009A6A52" w:rsidP="009A6A52">
            <w:pPr>
              <w:tabs>
                <w:tab w:val="clear" w:pos="567"/>
              </w:tabs>
              <w:spacing w:before="0" w:line="240" w:lineRule="auto"/>
              <w:jc w:val="right"/>
              <w:rPr>
                <w:rFonts w:ascii="Work Sans" w:eastAsia="Times New Roman" w:hAnsi="Work Sans" w:cs="Open Sans Light"/>
                <w:color w:val="000000"/>
                <w:sz w:val="16"/>
                <w:szCs w:val="16"/>
                <w:lang w:eastAsia="en-AU"/>
              </w:rPr>
            </w:pPr>
            <w:r w:rsidRPr="002C5B2F">
              <w:rPr>
                <w:rFonts w:ascii="Work Sans" w:eastAsia="Times New Roman" w:hAnsi="Work Sans" w:cs="Open Sans Light"/>
                <w:color w:val="000000"/>
                <w:sz w:val="16"/>
                <w:szCs w:val="16"/>
                <w:lang w:eastAsia="en-AU"/>
              </w:rPr>
              <w:t>51</w:t>
            </w:r>
          </w:p>
        </w:tc>
      </w:tr>
      <w:tr w:rsidR="009A6A52" w:rsidRPr="009A6A52" w14:paraId="12EAFE6A" w14:textId="77777777" w:rsidTr="009A6A52">
        <w:trPr>
          <w:trHeight w:val="300"/>
        </w:trPr>
        <w:tc>
          <w:tcPr>
            <w:tcW w:w="2080" w:type="dxa"/>
            <w:tcBorders>
              <w:top w:val="nil"/>
              <w:left w:val="nil"/>
              <w:bottom w:val="single" w:sz="4" w:space="0" w:color="ADD6EA"/>
              <w:right w:val="nil"/>
            </w:tcBorders>
            <w:shd w:val="clear" w:color="auto" w:fill="auto"/>
            <w:vAlign w:val="center"/>
            <w:hideMark/>
          </w:tcPr>
          <w:p w14:paraId="39406794" w14:textId="77777777" w:rsidR="009A6A52" w:rsidRPr="002C5B2F" w:rsidRDefault="009A6A52" w:rsidP="009A6A52">
            <w:pPr>
              <w:tabs>
                <w:tab w:val="clear" w:pos="567"/>
              </w:tabs>
              <w:spacing w:before="0" w:line="240" w:lineRule="auto"/>
              <w:rPr>
                <w:rFonts w:ascii="Work Sans" w:eastAsia="Times New Roman" w:hAnsi="Work Sans" w:cs="Open Sans Light"/>
                <w:color w:val="000000"/>
                <w:sz w:val="16"/>
                <w:szCs w:val="16"/>
                <w:lang w:eastAsia="en-AU"/>
              </w:rPr>
            </w:pPr>
            <w:r w:rsidRPr="002C5B2F">
              <w:rPr>
                <w:rFonts w:ascii="Work Sans" w:eastAsia="Times New Roman" w:hAnsi="Work Sans" w:cs="Open Sans Light"/>
                <w:color w:val="000000"/>
                <w:sz w:val="16"/>
                <w:szCs w:val="16"/>
                <w:lang w:eastAsia="en-AU"/>
              </w:rPr>
              <w:t>Spain</w:t>
            </w:r>
          </w:p>
        </w:tc>
        <w:tc>
          <w:tcPr>
            <w:tcW w:w="1380" w:type="dxa"/>
            <w:tcBorders>
              <w:top w:val="nil"/>
              <w:left w:val="nil"/>
              <w:bottom w:val="single" w:sz="4" w:space="0" w:color="ADD6EA"/>
              <w:right w:val="nil"/>
            </w:tcBorders>
            <w:shd w:val="clear" w:color="auto" w:fill="auto"/>
            <w:noWrap/>
            <w:vAlign w:val="center"/>
            <w:hideMark/>
          </w:tcPr>
          <w:p w14:paraId="76D26A6F" w14:textId="77777777" w:rsidR="009A6A52" w:rsidRPr="002C5B2F" w:rsidRDefault="009A6A52" w:rsidP="009A6A52">
            <w:pPr>
              <w:tabs>
                <w:tab w:val="clear" w:pos="567"/>
              </w:tabs>
              <w:spacing w:before="0" w:line="240" w:lineRule="auto"/>
              <w:jc w:val="right"/>
              <w:rPr>
                <w:rFonts w:ascii="Work Sans" w:eastAsia="Times New Roman" w:hAnsi="Work Sans" w:cs="Open Sans Light"/>
                <w:color w:val="000000"/>
                <w:sz w:val="16"/>
                <w:szCs w:val="16"/>
                <w:lang w:eastAsia="en-AU"/>
              </w:rPr>
            </w:pPr>
            <w:r w:rsidRPr="002C5B2F">
              <w:rPr>
                <w:rFonts w:ascii="Work Sans" w:eastAsia="Times New Roman" w:hAnsi="Work Sans" w:cs="Open Sans Light"/>
                <w:color w:val="000000"/>
                <w:sz w:val="16"/>
                <w:szCs w:val="16"/>
                <w:lang w:eastAsia="en-AU"/>
              </w:rPr>
              <w:t>37,998</w:t>
            </w:r>
          </w:p>
        </w:tc>
        <w:tc>
          <w:tcPr>
            <w:tcW w:w="1660" w:type="dxa"/>
            <w:tcBorders>
              <w:top w:val="nil"/>
              <w:left w:val="nil"/>
              <w:bottom w:val="single" w:sz="4" w:space="0" w:color="ADD6EA"/>
              <w:right w:val="nil"/>
            </w:tcBorders>
            <w:shd w:val="clear" w:color="auto" w:fill="auto"/>
            <w:noWrap/>
            <w:vAlign w:val="center"/>
            <w:hideMark/>
          </w:tcPr>
          <w:p w14:paraId="014A2415" w14:textId="77777777" w:rsidR="009A6A52" w:rsidRPr="002C5B2F" w:rsidRDefault="009A6A52" w:rsidP="009A6A52">
            <w:pPr>
              <w:tabs>
                <w:tab w:val="clear" w:pos="567"/>
              </w:tabs>
              <w:spacing w:before="0" w:line="240" w:lineRule="auto"/>
              <w:jc w:val="right"/>
              <w:rPr>
                <w:rFonts w:ascii="Work Sans" w:eastAsia="Times New Roman" w:hAnsi="Work Sans" w:cs="Open Sans Light"/>
                <w:color w:val="000000"/>
                <w:sz w:val="16"/>
                <w:szCs w:val="16"/>
                <w:lang w:eastAsia="en-AU"/>
              </w:rPr>
            </w:pPr>
            <w:r w:rsidRPr="002C5B2F">
              <w:rPr>
                <w:rFonts w:ascii="Work Sans" w:eastAsia="Times New Roman" w:hAnsi="Work Sans" w:cs="Open Sans Light"/>
                <w:color w:val="000000"/>
                <w:sz w:val="16"/>
                <w:szCs w:val="16"/>
                <w:lang w:eastAsia="en-AU"/>
              </w:rPr>
              <w:t>10</w:t>
            </w:r>
          </w:p>
        </w:tc>
        <w:tc>
          <w:tcPr>
            <w:tcW w:w="1900" w:type="dxa"/>
            <w:tcBorders>
              <w:top w:val="nil"/>
              <w:left w:val="nil"/>
              <w:bottom w:val="single" w:sz="4" w:space="0" w:color="ADD6EA"/>
              <w:right w:val="nil"/>
            </w:tcBorders>
            <w:shd w:val="clear" w:color="auto" w:fill="auto"/>
            <w:noWrap/>
            <w:vAlign w:val="center"/>
            <w:hideMark/>
          </w:tcPr>
          <w:p w14:paraId="1456E192" w14:textId="77777777" w:rsidR="009A6A52" w:rsidRPr="002C5B2F" w:rsidRDefault="009A6A52" w:rsidP="009A6A52">
            <w:pPr>
              <w:tabs>
                <w:tab w:val="clear" w:pos="567"/>
              </w:tabs>
              <w:spacing w:before="0" w:line="240" w:lineRule="auto"/>
              <w:jc w:val="right"/>
              <w:rPr>
                <w:rFonts w:ascii="Work Sans" w:eastAsia="Times New Roman" w:hAnsi="Work Sans" w:cs="Open Sans Light"/>
                <w:color w:val="000000"/>
                <w:sz w:val="16"/>
                <w:szCs w:val="16"/>
                <w:lang w:eastAsia="en-AU"/>
              </w:rPr>
            </w:pPr>
            <w:r w:rsidRPr="002C5B2F">
              <w:rPr>
                <w:rFonts w:ascii="Work Sans" w:eastAsia="Times New Roman" w:hAnsi="Work Sans" w:cs="Open Sans Light"/>
                <w:color w:val="000000"/>
                <w:sz w:val="16"/>
                <w:szCs w:val="16"/>
                <w:lang w:eastAsia="en-AU"/>
              </w:rPr>
              <w:t>5</w:t>
            </w:r>
          </w:p>
        </w:tc>
        <w:tc>
          <w:tcPr>
            <w:tcW w:w="1840" w:type="dxa"/>
            <w:tcBorders>
              <w:top w:val="nil"/>
              <w:left w:val="nil"/>
              <w:bottom w:val="single" w:sz="4" w:space="0" w:color="ADD6EA"/>
              <w:right w:val="nil"/>
            </w:tcBorders>
            <w:shd w:val="clear" w:color="auto" w:fill="auto"/>
            <w:noWrap/>
            <w:vAlign w:val="center"/>
            <w:hideMark/>
          </w:tcPr>
          <w:p w14:paraId="64184A65" w14:textId="77777777" w:rsidR="009A6A52" w:rsidRPr="002C5B2F" w:rsidRDefault="009A6A52" w:rsidP="009A6A52">
            <w:pPr>
              <w:tabs>
                <w:tab w:val="clear" w:pos="567"/>
              </w:tabs>
              <w:spacing w:before="0" w:line="240" w:lineRule="auto"/>
              <w:jc w:val="right"/>
              <w:rPr>
                <w:rFonts w:ascii="Work Sans" w:eastAsia="Times New Roman" w:hAnsi="Work Sans" w:cs="Open Sans Light"/>
                <w:color w:val="000000"/>
                <w:sz w:val="16"/>
                <w:szCs w:val="16"/>
                <w:lang w:eastAsia="en-AU"/>
              </w:rPr>
            </w:pPr>
            <w:r w:rsidRPr="002C5B2F">
              <w:rPr>
                <w:rFonts w:ascii="Work Sans" w:eastAsia="Times New Roman" w:hAnsi="Work Sans" w:cs="Open Sans Light"/>
                <w:color w:val="000000"/>
                <w:sz w:val="16"/>
                <w:szCs w:val="16"/>
                <w:lang w:eastAsia="en-AU"/>
              </w:rPr>
              <w:t>95</w:t>
            </w:r>
          </w:p>
        </w:tc>
      </w:tr>
      <w:tr w:rsidR="009A6A52" w:rsidRPr="009A6A52" w14:paraId="0D6CA693" w14:textId="77777777" w:rsidTr="009A6A52">
        <w:trPr>
          <w:trHeight w:val="300"/>
        </w:trPr>
        <w:tc>
          <w:tcPr>
            <w:tcW w:w="2080" w:type="dxa"/>
            <w:tcBorders>
              <w:top w:val="nil"/>
              <w:left w:val="nil"/>
              <w:bottom w:val="single" w:sz="4" w:space="0" w:color="ADD6EA"/>
              <w:right w:val="nil"/>
            </w:tcBorders>
            <w:shd w:val="clear" w:color="auto" w:fill="auto"/>
            <w:vAlign w:val="center"/>
            <w:hideMark/>
          </w:tcPr>
          <w:p w14:paraId="5C2EF216" w14:textId="77777777" w:rsidR="009A6A52" w:rsidRPr="002C5B2F" w:rsidRDefault="009A6A52" w:rsidP="009A6A52">
            <w:pPr>
              <w:tabs>
                <w:tab w:val="clear" w:pos="567"/>
              </w:tabs>
              <w:spacing w:before="0" w:line="240" w:lineRule="auto"/>
              <w:rPr>
                <w:rFonts w:ascii="Work Sans" w:eastAsia="Times New Roman" w:hAnsi="Work Sans" w:cs="Open Sans Light"/>
                <w:color w:val="000000"/>
                <w:sz w:val="16"/>
                <w:szCs w:val="16"/>
                <w:lang w:eastAsia="en-AU"/>
              </w:rPr>
            </w:pPr>
            <w:r w:rsidRPr="002C5B2F">
              <w:rPr>
                <w:rFonts w:ascii="Work Sans" w:eastAsia="Times New Roman" w:hAnsi="Work Sans" w:cs="Open Sans Light"/>
                <w:color w:val="000000"/>
                <w:sz w:val="16"/>
                <w:szCs w:val="16"/>
                <w:lang w:eastAsia="en-AU"/>
              </w:rPr>
              <w:t>Netherlands</w:t>
            </w:r>
          </w:p>
        </w:tc>
        <w:tc>
          <w:tcPr>
            <w:tcW w:w="1380" w:type="dxa"/>
            <w:tcBorders>
              <w:top w:val="nil"/>
              <w:left w:val="nil"/>
              <w:bottom w:val="single" w:sz="4" w:space="0" w:color="ADD6EA"/>
              <w:right w:val="nil"/>
            </w:tcBorders>
            <w:shd w:val="clear" w:color="auto" w:fill="auto"/>
            <w:noWrap/>
            <w:vAlign w:val="center"/>
            <w:hideMark/>
          </w:tcPr>
          <w:p w14:paraId="100A1E12" w14:textId="77777777" w:rsidR="009A6A52" w:rsidRPr="002C5B2F" w:rsidRDefault="009A6A52" w:rsidP="009A6A52">
            <w:pPr>
              <w:tabs>
                <w:tab w:val="clear" w:pos="567"/>
              </w:tabs>
              <w:spacing w:before="0" w:line="240" w:lineRule="auto"/>
              <w:jc w:val="right"/>
              <w:rPr>
                <w:rFonts w:ascii="Work Sans" w:eastAsia="Times New Roman" w:hAnsi="Work Sans" w:cs="Open Sans Light"/>
                <w:color w:val="000000"/>
                <w:sz w:val="16"/>
                <w:szCs w:val="16"/>
                <w:lang w:eastAsia="en-AU"/>
              </w:rPr>
            </w:pPr>
            <w:r w:rsidRPr="002C5B2F">
              <w:rPr>
                <w:rFonts w:ascii="Work Sans" w:eastAsia="Times New Roman" w:hAnsi="Work Sans" w:cs="Open Sans Light"/>
                <w:color w:val="000000"/>
                <w:sz w:val="16"/>
                <w:szCs w:val="16"/>
                <w:lang w:eastAsia="en-AU"/>
              </w:rPr>
              <w:t>52,521</w:t>
            </w:r>
          </w:p>
        </w:tc>
        <w:tc>
          <w:tcPr>
            <w:tcW w:w="1660" w:type="dxa"/>
            <w:tcBorders>
              <w:top w:val="nil"/>
              <w:left w:val="nil"/>
              <w:bottom w:val="single" w:sz="4" w:space="0" w:color="ADD6EA"/>
              <w:right w:val="nil"/>
            </w:tcBorders>
            <w:shd w:val="clear" w:color="auto" w:fill="auto"/>
            <w:noWrap/>
            <w:vAlign w:val="center"/>
            <w:hideMark/>
          </w:tcPr>
          <w:p w14:paraId="6F30577A" w14:textId="77777777" w:rsidR="009A6A52" w:rsidRPr="002C5B2F" w:rsidRDefault="009A6A52" w:rsidP="009A6A52">
            <w:pPr>
              <w:tabs>
                <w:tab w:val="clear" w:pos="567"/>
              </w:tabs>
              <w:spacing w:before="0" w:line="240" w:lineRule="auto"/>
              <w:jc w:val="right"/>
              <w:rPr>
                <w:rFonts w:ascii="Work Sans" w:eastAsia="Times New Roman" w:hAnsi="Work Sans" w:cs="Open Sans Light"/>
                <w:color w:val="000000"/>
                <w:sz w:val="16"/>
                <w:szCs w:val="16"/>
                <w:lang w:eastAsia="en-AU"/>
              </w:rPr>
            </w:pPr>
            <w:r w:rsidRPr="002C5B2F">
              <w:rPr>
                <w:rFonts w:ascii="Work Sans" w:eastAsia="Times New Roman" w:hAnsi="Work Sans" w:cs="Open Sans Light"/>
                <w:color w:val="000000"/>
                <w:sz w:val="16"/>
                <w:szCs w:val="16"/>
                <w:lang w:eastAsia="en-AU"/>
              </w:rPr>
              <w:t>10</w:t>
            </w:r>
          </w:p>
        </w:tc>
        <w:tc>
          <w:tcPr>
            <w:tcW w:w="1900" w:type="dxa"/>
            <w:tcBorders>
              <w:top w:val="nil"/>
              <w:left w:val="nil"/>
              <w:bottom w:val="single" w:sz="4" w:space="0" w:color="ADD6EA"/>
              <w:right w:val="nil"/>
            </w:tcBorders>
            <w:shd w:val="clear" w:color="auto" w:fill="auto"/>
            <w:noWrap/>
            <w:vAlign w:val="center"/>
            <w:hideMark/>
          </w:tcPr>
          <w:p w14:paraId="2C98D357" w14:textId="77777777" w:rsidR="009A6A52" w:rsidRPr="002C5B2F" w:rsidRDefault="009A6A52" w:rsidP="009A6A52">
            <w:pPr>
              <w:tabs>
                <w:tab w:val="clear" w:pos="567"/>
              </w:tabs>
              <w:spacing w:before="0" w:line="240" w:lineRule="auto"/>
              <w:jc w:val="right"/>
              <w:rPr>
                <w:rFonts w:ascii="Work Sans" w:eastAsia="Times New Roman" w:hAnsi="Work Sans" w:cs="Open Sans Light"/>
                <w:color w:val="000000"/>
                <w:sz w:val="16"/>
                <w:szCs w:val="16"/>
                <w:lang w:eastAsia="en-AU"/>
              </w:rPr>
            </w:pPr>
            <w:r w:rsidRPr="002C5B2F">
              <w:rPr>
                <w:rFonts w:ascii="Work Sans" w:eastAsia="Times New Roman" w:hAnsi="Work Sans" w:cs="Open Sans Light"/>
                <w:color w:val="000000"/>
                <w:sz w:val="16"/>
                <w:szCs w:val="16"/>
                <w:lang w:eastAsia="en-AU"/>
              </w:rPr>
              <w:t>13</w:t>
            </w:r>
          </w:p>
        </w:tc>
        <w:tc>
          <w:tcPr>
            <w:tcW w:w="1840" w:type="dxa"/>
            <w:tcBorders>
              <w:top w:val="nil"/>
              <w:left w:val="nil"/>
              <w:bottom w:val="single" w:sz="4" w:space="0" w:color="ADD6EA"/>
              <w:right w:val="nil"/>
            </w:tcBorders>
            <w:shd w:val="clear" w:color="auto" w:fill="auto"/>
            <w:noWrap/>
            <w:vAlign w:val="center"/>
            <w:hideMark/>
          </w:tcPr>
          <w:p w14:paraId="7DF0795B" w14:textId="77777777" w:rsidR="009A6A52" w:rsidRPr="002C5B2F" w:rsidRDefault="009A6A52" w:rsidP="009A6A52">
            <w:pPr>
              <w:tabs>
                <w:tab w:val="clear" w:pos="567"/>
              </w:tabs>
              <w:spacing w:before="0" w:line="240" w:lineRule="auto"/>
              <w:jc w:val="right"/>
              <w:rPr>
                <w:rFonts w:ascii="Work Sans" w:eastAsia="Times New Roman" w:hAnsi="Work Sans" w:cs="Open Sans Light"/>
                <w:color w:val="000000"/>
                <w:sz w:val="16"/>
                <w:szCs w:val="16"/>
                <w:lang w:eastAsia="en-AU"/>
              </w:rPr>
            </w:pPr>
            <w:r w:rsidRPr="002C5B2F">
              <w:rPr>
                <w:rFonts w:ascii="Work Sans" w:eastAsia="Times New Roman" w:hAnsi="Work Sans" w:cs="Open Sans Light"/>
                <w:color w:val="000000"/>
                <w:sz w:val="16"/>
                <w:szCs w:val="16"/>
                <w:lang w:eastAsia="en-AU"/>
              </w:rPr>
              <w:t>87</w:t>
            </w:r>
          </w:p>
        </w:tc>
      </w:tr>
      <w:tr w:rsidR="009A6A52" w:rsidRPr="009A6A52" w14:paraId="1B3B3A1B" w14:textId="77777777" w:rsidTr="009A6A52">
        <w:trPr>
          <w:trHeight w:val="300"/>
        </w:trPr>
        <w:tc>
          <w:tcPr>
            <w:tcW w:w="2080" w:type="dxa"/>
            <w:tcBorders>
              <w:top w:val="nil"/>
              <w:left w:val="nil"/>
              <w:bottom w:val="single" w:sz="4" w:space="0" w:color="ADD6EA"/>
              <w:right w:val="nil"/>
            </w:tcBorders>
            <w:shd w:val="clear" w:color="auto" w:fill="auto"/>
            <w:vAlign w:val="center"/>
            <w:hideMark/>
          </w:tcPr>
          <w:p w14:paraId="1C3F1B76" w14:textId="77777777" w:rsidR="009A6A52" w:rsidRPr="002C5B2F" w:rsidRDefault="009A6A52" w:rsidP="009A6A52">
            <w:pPr>
              <w:tabs>
                <w:tab w:val="clear" w:pos="567"/>
              </w:tabs>
              <w:spacing w:before="0" w:line="240" w:lineRule="auto"/>
              <w:rPr>
                <w:rFonts w:ascii="Work Sans" w:eastAsia="Times New Roman" w:hAnsi="Work Sans" w:cs="Open Sans Light"/>
                <w:color w:val="000000"/>
                <w:sz w:val="16"/>
                <w:szCs w:val="16"/>
                <w:lang w:eastAsia="en-AU"/>
              </w:rPr>
            </w:pPr>
            <w:r w:rsidRPr="002C5B2F">
              <w:rPr>
                <w:rFonts w:ascii="Work Sans" w:eastAsia="Times New Roman" w:hAnsi="Work Sans" w:cs="Open Sans Light"/>
                <w:color w:val="000000"/>
                <w:sz w:val="16"/>
                <w:szCs w:val="16"/>
                <w:lang w:eastAsia="en-AU"/>
              </w:rPr>
              <w:t>Korea</w:t>
            </w:r>
          </w:p>
        </w:tc>
        <w:tc>
          <w:tcPr>
            <w:tcW w:w="1380" w:type="dxa"/>
            <w:tcBorders>
              <w:top w:val="nil"/>
              <w:left w:val="nil"/>
              <w:bottom w:val="single" w:sz="4" w:space="0" w:color="ADD6EA"/>
              <w:right w:val="nil"/>
            </w:tcBorders>
            <w:shd w:val="clear" w:color="auto" w:fill="auto"/>
            <w:noWrap/>
            <w:vAlign w:val="center"/>
            <w:hideMark/>
          </w:tcPr>
          <w:p w14:paraId="3C0D5156" w14:textId="77777777" w:rsidR="009A6A52" w:rsidRPr="002C5B2F" w:rsidRDefault="009A6A52" w:rsidP="009A6A52">
            <w:pPr>
              <w:tabs>
                <w:tab w:val="clear" w:pos="567"/>
              </w:tabs>
              <w:spacing w:before="0" w:line="240" w:lineRule="auto"/>
              <w:jc w:val="right"/>
              <w:rPr>
                <w:rFonts w:ascii="Work Sans" w:eastAsia="Times New Roman" w:hAnsi="Work Sans" w:cs="Open Sans Light"/>
                <w:color w:val="000000"/>
                <w:sz w:val="16"/>
                <w:szCs w:val="16"/>
                <w:lang w:eastAsia="en-AU"/>
              </w:rPr>
            </w:pPr>
            <w:r w:rsidRPr="002C5B2F">
              <w:rPr>
                <w:rFonts w:ascii="Work Sans" w:eastAsia="Times New Roman" w:hAnsi="Work Sans" w:cs="Open Sans Light"/>
                <w:color w:val="000000"/>
                <w:sz w:val="16"/>
                <w:szCs w:val="16"/>
                <w:lang w:eastAsia="en-AU"/>
              </w:rPr>
              <w:t>38,350</w:t>
            </w:r>
          </w:p>
        </w:tc>
        <w:tc>
          <w:tcPr>
            <w:tcW w:w="1660" w:type="dxa"/>
            <w:tcBorders>
              <w:top w:val="nil"/>
              <w:left w:val="nil"/>
              <w:bottom w:val="single" w:sz="4" w:space="0" w:color="ADD6EA"/>
              <w:right w:val="nil"/>
            </w:tcBorders>
            <w:shd w:val="clear" w:color="auto" w:fill="auto"/>
            <w:noWrap/>
            <w:vAlign w:val="center"/>
            <w:hideMark/>
          </w:tcPr>
          <w:p w14:paraId="65F6376B" w14:textId="77777777" w:rsidR="009A6A52" w:rsidRPr="002C5B2F" w:rsidRDefault="009A6A52" w:rsidP="009A6A52">
            <w:pPr>
              <w:tabs>
                <w:tab w:val="clear" w:pos="567"/>
              </w:tabs>
              <w:spacing w:before="0" w:line="240" w:lineRule="auto"/>
              <w:jc w:val="right"/>
              <w:rPr>
                <w:rFonts w:ascii="Work Sans" w:eastAsia="Times New Roman" w:hAnsi="Work Sans" w:cs="Open Sans Light"/>
                <w:color w:val="000000"/>
                <w:sz w:val="16"/>
                <w:szCs w:val="16"/>
                <w:lang w:eastAsia="en-AU"/>
              </w:rPr>
            </w:pPr>
            <w:r w:rsidRPr="002C5B2F">
              <w:rPr>
                <w:rFonts w:ascii="Work Sans" w:eastAsia="Times New Roman" w:hAnsi="Work Sans" w:cs="Open Sans Light"/>
                <w:color w:val="000000"/>
                <w:sz w:val="16"/>
                <w:szCs w:val="16"/>
                <w:lang w:eastAsia="en-AU"/>
              </w:rPr>
              <w:t>8</w:t>
            </w:r>
          </w:p>
        </w:tc>
        <w:tc>
          <w:tcPr>
            <w:tcW w:w="1900" w:type="dxa"/>
            <w:tcBorders>
              <w:top w:val="nil"/>
              <w:left w:val="nil"/>
              <w:bottom w:val="single" w:sz="4" w:space="0" w:color="ADD6EA"/>
              <w:right w:val="nil"/>
            </w:tcBorders>
            <w:shd w:val="clear" w:color="auto" w:fill="auto"/>
            <w:noWrap/>
            <w:vAlign w:val="center"/>
            <w:hideMark/>
          </w:tcPr>
          <w:p w14:paraId="31B8E248" w14:textId="77777777" w:rsidR="009A6A52" w:rsidRPr="002C5B2F" w:rsidRDefault="009A6A52" w:rsidP="009A6A52">
            <w:pPr>
              <w:tabs>
                <w:tab w:val="clear" w:pos="567"/>
              </w:tabs>
              <w:spacing w:before="0" w:line="240" w:lineRule="auto"/>
              <w:jc w:val="right"/>
              <w:rPr>
                <w:rFonts w:ascii="Work Sans" w:eastAsia="Times New Roman" w:hAnsi="Work Sans" w:cs="Open Sans Light"/>
                <w:color w:val="000000"/>
                <w:sz w:val="16"/>
                <w:szCs w:val="16"/>
                <w:lang w:eastAsia="en-AU"/>
              </w:rPr>
            </w:pPr>
            <w:r w:rsidRPr="002C5B2F">
              <w:rPr>
                <w:rFonts w:ascii="Work Sans" w:eastAsia="Times New Roman" w:hAnsi="Work Sans" w:cs="Open Sans Light"/>
                <w:color w:val="000000"/>
                <w:sz w:val="16"/>
                <w:szCs w:val="16"/>
                <w:lang w:eastAsia="en-AU"/>
              </w:rPr>
              <w:t>3</w:t>
            </w:r>
          </w:p>
        </w:tc>
        <w:tc>
          <w:tcPr>
            <w:tcW w:w="1840" w:type="dxa"/>
            <w:tcBorders>
              <w:top w:val="nil"/>
              <w:left w:val="nil"/>
              <w:bottom w:val="single" w:sz="4" w:space="0" w:color="ADD6EA"/>
              <w:right w:val="nil"/>
            </w:tcBorders>
            <w:shd w:val="clear" w:color="auto" w:fill="auto"/>
            <w:noWrap/>
            <w:vAlign w:val="center"/>
            <w:hideMark/>
          </w:tcPr>
          <w:p w14:paraId="1CCDB8E7" w14:textId="77777777" w:rsidR="009A6A52" w:rsidRPr="002C5B2F" w:rsidRDefault="009A6A52" w:rsidP="009A6A52">
            <w:pPr>
              <w:tabs>
                <w:tab w:val="clear" w:pos="567"/>
              </w:tabs>
              <w:spacing w:before="0" w:line="240" w:lineRule="auto"/>
              <w:jc w:val="right"/>
              <w:rPr>
                <w:rFonts w:ascii="Work Sans" w:eastAsia="Times New Roman" w:hAnsi="Work Sans" w:cs="Open Sans Light"/>
                <w:color w:val="000000"/>
                <w:sz w:val="16"/>
                <w:szCs w:val="16"/>
                <w:lang w:eastAsia="en-AU"/>
              </w:rPr>
            </w:pPr>
            <w:r w:rsidRPr="002C5B2F">
              <w:rPr>
                <w:rFonts w:ascii="Work Sans" w:eastAsia="Times New Roman" w:hAnsi="Work Sans" w:cs="Open Sans Light"/>
                <w:color w:val="000000"/>
                <w:sz w:val="16"/>
                <w:szCs w:val="16"/>
                <w:lang w:eastAsia="en-AU"/>
              </w:rPr>
              <w:t>97</w:t>
            </w:r>
          </w:p>
        </w:tc>
      </w:tr>
      <w:tr w:rsidR="009A6A52" w:rsidRPr="009A6A52" w14:paraId="1AC8858E" w14:textId="77777777" w:rsidTr="009A6A52">
        <w:trPr>
          <w:trHeight w:val="300"/>
        </w:trPr>
        <w:tc>
          <w:tcPr>
            <w:tcW w:w="2080" w:type="dxa"/>
            <w:tcBorders>
              <w:top w:val="nil"/>
              <w:left w:val="nil"/>
              <w:bottom w:val="single" w:sz="4" w:space="0" w:color="ADD6EA"/>
              <w:right w:val="nil"/>
            </w:tcBorders>
            <w:shd w:val="clear" w:color="auto" w:fill="auto"/>
            <w:vAlign w:val="center"/>
            <w:hideMark/>
          </w:tcPr>
          <w:p w14:paraId="4A30DC86" w14:textId="77777777" w:rsidR="009A6A52" w:rsidRPr="002C5B2F" w:rsidRDefault="009A6A52" w:rsidP="009A6A52">
            <w:pPr>
              <w:tabs>
                <w:tab w:val="clear" w:pos="567"/>
              </w:tabs>
              <w:spacing w:before="0" w:line="240" w:lineRule="auto"/>
              <w:rPr>
                <w:rFonts w:ascii="Work Sans" w:eastAsia="Times New Roman" w:hAnsi="Work Sans" w:cs="Open Sans Light"/>
                <w:color w:val="000000"/>
                <w:sz w:val="16"/>
                <w:szCs w:val="16"/>
                <w:lang w:eastAsia="en-AU"/>
              </w:rPr>
            </w:pPr>
            <w:r w:rsidRPr="002C5B2F">
              <w:rPr>
                <w:rFonts w:ascii="Work Sans" w:eastAsia="Times New Roman" w:hAnsi="Work Sans" w:cs="Open Sans Light"/>
                <w:color w:val="000000"/>
                <w:sz w:val="16"/>
                <w:szCs w:val="16"/>
                <w:lang w:eastAsia="en-AU"/>
              </w:rPr>
              <w:t>Brazil</w:t>
            </w:r>
          </w:p>
        </w:tc>
        <w:tc>
          <w:tcPr>
            <w:tcW w:w="1380" w:type="dxa"/>
            <w:tcBorders>
              <w:top w:val="nil"/>
              <w:left w:val="nil"/>
              <w:bottom w:val="single" w:sz="4" w:space="0" w:color="ADD6EA"/>
              <w:right w:val="nil"/>
            </w:tcBorders>
            <w:shd w:val="clear" w:color="auto" w:fill="auto"/>
            <w:noWrap/>
            <w:vAlign w:val="center"/>
            <w:hideMark/>
          </w:tcPr>
          <w:p w14:paraId="4F88DBCB" w14:textId="77777777" w:rsidR="009A6A52" w:rsidRPr="002C5B2F" w:rsidRDefault="009A6A52" w:rsidP="009A6A52">
            <w:pPr>
              <w:tabs>
                <w:tab w:val="clear" w:pos="567"/>
              </w:tabs>
              <w:spacing w:before="0" w:line="240" w:lineRule="auto"/>
              <w:jc w:val="right"/>
              <w:rPr>
                <w:rFonts w:ascii="Work Sans" w:eastAsia="Times New Roman" w:hAnsi="Work Sans" w:cs="Open Sans Light"/>
                <w:color w:val="000000"/>
                <w:sz w:val="16"/>
                <w:szCs w:val="16"/>
                <w:lang w:eastAsia="en-AU"/>
              </w:rPr>
            </w:pPr>
            <w:r w:rsidRPr="002C5B2F">
              <w:rPr>
                <w:rFonts w:ascii="Work Sans" w:eastAsia="Times New Roman" w:hAnsi="Work Sans" w:cs="Open Sans Light"/>
                <w:color w:val="000000"/>
                <w:sz w:val="16"/>
                <w:szCs w:val="16"/>
                <w:lang w:eastAsia="en-AU"/>
              </w:rPr>
              <w:t>15,553</w:t>
            </w:r>
          </w:p>
        </w:tc>
        <w:tc>
          <w:tcPr>
            <w:tcW w:w="1660" w:type="dxa"/>
            <w:tcBorders>
              <w:top w:val="nil"/>
              <w:left w:val="nil"/>
              <w:bottom w:val="single" w:sz="4" w:space="0" w:color="ADD6EA"/>
              <w:right w:val="nil"/>
            </w:tcBorders>
            <w:shd w:val="clear" w:color="auto" w:fill="auto"/>
            <w:noWrap/>
            <w:vAlign w:val="center"/>
            <w:hideMark/>
          </w:tcPr>
          <w:p w14:paraId="5064CFCA" w14:textId="77777777" w:rsidR="009A6A52" w:rsidRPr="002C5B2F" w:rsidRDefault="009A6A52" w:rsidP="009A6A52">
            <w:pPr>
              <w:tabs>
                <w:tab w:val="clear" w:pos="567"/>
              </w:tabs>
              <w:spacing w:before="0" w:line="240" w:lineRule="auto"/>
              <w:jc w:val="right"/>
              <w:rPr>
                <w:rFonts w:ascii="Work Sans" w:eastAsia="Times New Roman" w:hAnsi="Work Sans" w:cs="Open Sans Light"/>
                <w:color w:val="000000"/>
                <w:sz w:val="16"/>
                <w:szCs w:val="16"/>
                <w:lang w:eastAsia="en-AU"/>
              </w:rPr>
            </w:pPr>
            <w:r w:rsidRPr="002C5B2F">
              <w:rPr>
                <w:rFonts w:ascii="Work Sans" w:eastAsia="Times New Roman" w:hAnsi="Work Sans" w:cs="Open Sans Light"/>
                <w:color w:val="000000"/>
                <w:sz w:val="16"/>
                <w:szCs w:val="16"/>
                <w:lang w:eastAsia="en-AU"/>
              </w:rPr>
              <w:t>8</w:t>
            </w:r>
          </w:p>
        </w:tc>
        <w:tc>
          <w:tcPr>
            <w:tcW w:w="1900" w:type="dxa"/>
            <w:tcBorders>
              <w:top w:val="nil"/>
              <w:left w:val="nil"/>
              <w:bottom w:val="single" w:sz="4" w:space="0" w:color="ADD6EA"/>
              <w:right w:val="nil"/>
            </w:tcBorders>
            <w:shd w:val="clear" w:color="auto" w:fill="auto"/>
            <w:noWrap/>
            <w:vAlign w:val="center"/>
            <w:hideMark/>
          </w:tcPr>
          <w:p w14:paraId="46845871" w14:textId="77777777" w:rsidR="009A6A52" w:rsidRPr="002C5B2F" w:rsidRDefault="009A6A52" w:rsidP="009A6A52">
            <w:pPr>
              <w:tabs>
                <w:tab w:val="clear" w:pos="567"/>
              </w:tabs>
              <w:spacing w:before="0" w:line="240" w:lineRule="auto"/>
              <w:jc w:val="right"/>
              <w:rPr>
                <w:rFonts w:ascii="Work Sans" w:eastAsia="Times New Roman" w:hAnsi="Work Sans" w:cs="Open Sans Light"/>
                <w:color w:val="000000"/>
                <w:sz w:val="16"/>
                <w:szCs w:val="16"/>
                <w:lang w:eastAsia="en-AU"/>
              </w:rPr>
            </w:pPr>
            <w:r w:rsidRPr="002C5B2F">
              <w:rPr>
                <w:rFonts w:ascii="Work Sans" w:eastAsia="Times New Roman" w:hAnsi="Work Sans" w:cs="Open Sans Light"/>
                <w:color w:val="000000"/>
                <w:sz w:val="16"/>
                <w:szCs w:val="16"/>
                <w:lang w:eastAsia="en-AU"/>
              </w:rPr>
              <w:t>61</w:t>
            </w:r>
          </w:p>
        </w:tc>
        <w:tc>
          <w:tcPr>
            <w:tcW w:w="1840" w:type="dxa"/>
            <w:tcBorders>
              <w:top w:val="nil"/>
              <w:left w:val="nil"/>
              <w:bottom w:val="single" w:sz="4" w:space="0" w:color="ADD6EA"/>
              <w:right w:val="nil"/>
            </w:tcBorders>
            <w:shd w:val="clear" w:color="auto" w:fill="auto"/>
            <w:noWrap/>
            <w:vAlign w:val="center"/>
            <w:hideMark/>
          </w:tcPr>
          <w:p w14:paraId="5E41BBA5" w14:textId="77777777" w:rsidR="009A6A52" w:rsidRPr="002C5B2F" w:rsidRDefault="009A6A52" w:rsidP="009A6A52">
            <w:pPr>
              <w:tabs>
                <w:tab w:val="clear" w:pos="567"/>
              </w:tabs>
              <w:spacing w:before="0" w:line="240" w:lineRule="auto"/>
              <w:jc w:val="right"/>
              <w:rPr>
                <w:rFonts w:ascii="Work Sans" w:eastAsia="Times New Roman" w:hAnsi="Work Sans" w:cs="Open Sans Light"/>
                <w:color w:val="000000"/>
                <w:sz w:val="16"/>
                <w:szCs w:val="16"/>
                <w:lang w:eastAsia="en-AU"/>
              </w:rPr>
            </w:pPr>
            <w:r w:rsidRPr="002C5B2F">
              <w:rPr>
                <w:rFonts w:ascii="Work Sans" w:eastAsia="Times New Roman" w:hAnsi="Work Sans" w:cs="Open Sans Light"/>
                <w:color w:val="000000"/>
                <w:sz w:val="16"/>
                <w:szCs w:val="16"/>
                <w:lang w:eastAsia="en-AU"/>
              </w:rPr>
              <w:t>39</w:t>
            </w:r>
          </w:p>
        </w:tc>
      </w:tr>
      <w:tr w:rsidR="009A6A52" w:rsidRPr="009A6A52" w14:paraId="4F92137E" w14:textId="77777777" w:rsidTr="009A6A52">
        <w:trPr>
          <w:trHeight w:val="300"/>
        </w:trPr>
        <w:tc>
          <w:tcPr>
            <w:tcW w:w="2080" w:type="dxa"/>
            <w:tcBorders>
              <w:top w:val="nil"/>
              <w:left w:val="nil"/>
              <w:bottom w:val="single" w:sz="4" w:space="0" w:color="ADD6EA"/>
              <w:right w:val="nil"/>
            </w:tcBorders>
            <w:shd w:val="clear" w:color="auto" w:fill="auto"/>
            <w:vAlign w:val="center"/>
            <w:hideMark/>
          </w:tcPr>
          <w:p w14:paraId="19B85F8C" w14:textId="77777777" w:rsidR="009A6A52" w:rsidRPr="002C5B2F" w:rsidRDefault="009A6A52" w:rsidP="009A6A52">
            <w:pPr>
              <w:tabs>
                <w:tab w:val="clear" w:pos="567"/>
              </w:tabs>
              <w:spacing w:before="0" w:line="240" w:lineRule="auto"/>
              <w:rPr>
                <w:rFonts w:ascii="Work Sans" w:eastAsia="Times New Roman" w:hAnsi="Work Sans" w:cs="Open Sans Light"/>
                <w:color w:val="000000"/>
                <w:sz w:val="16"/>
                <w:szCs w:val="16"/>
                <w:lang w:eastAsia="en-AU"/>
              </w:rPr>
            </w:pPr>
            <w:r w:rsidRPr="002C5B2F">
              <w:rPr>
                <w:rFonts w:ascii="Work Sans" w:eastAsia="Times New Roman" w:hAnsi="Work Sans" w:cs="Open Sans Light"/>
                <w:color w:val="000000"/>
                <w:sz w:val="16"/>
                <w:szCs w:val="16"/>
                <w:lang w:eastAsia="en-AU"/>
              </w:rPr>
              <w:t>Estonia</w:t>
            </w:r>
          </w:p>
        </w:tc>
        <w:tc>
          <w:tcPr>
            <w:tcW w:w="1380" w:type="dxa"/>
            <w:tcBorders>
              <w:top w:val="nil"/>
              <w:left w:val="nil"/>
              <w:bottom w:val="single" w:sz="4" w:space="0" w:color="ADD6EA"/>
              <w:right w:val="nil"/>
            </w:tcBorders>
            <w:shd w:val="clear" w:color="auto" w:fill="auto"/>
            <w:noWrap/>
            <w:vAlign w:val="center"/>
            <w:hideMark/>
          </w:tcPr>
          <w:p w14:paraId="513631DC" w14:textId="77777777" w:rsidR="009A6A52" w:rsidRPr="002C5B2F" w:rsidRDefault="009A6A52" w:rsidP="009A6A52">
            <w:pPr>
              <w:tabs>
                <w:tab w:val="clear" w:pos="567"/>
              </w:tabs>
              <w:spacing w:before="0" w:line="240" w:lineRule="auto"/>
              <w:jc w:val="right"/>
              <w:rPr>
                <w:rFonts w:ascii="Work Sans" w:eastAsia="Times New Roman" w:hAnsi="Work Sans" w:cs="Open Sans Light"/>
                <w:color w:val="000000"/>
                <w:sz w:val="16"/>
                <w:szCs w:val="16"/>
                <w:lang w:eastAsia="en-AU"/>
              </w:rPr>
            </w:pPr>
            <w:r w:rsidRPr="002C5B2F">
              <w:rPr>
                <w:rFonts w:ascii="Work Sans" w:eastAsia="Times New Roman" w:hAnsi="Work Sans" w:cs="Open Sans Light"/>
                <w:color w:val="000000"/>
                <w:sz w:val="16"/>
                <w:szCs w:val="16"/>
                <w:lang w:eastAsia="en-AU"/>
              </w:rPr>
              <w:t>31,739</w:t>
            </w:r>
          </w:p>
        </w:tc>
        <w:tc>
          <w:tcPr>
            <w:tcW w:w="1660" w:type="dxa"/>
            <w:tcBorders>
              <w:top w:val="nil"/>
              <w:left w:val="nil"/>
              <w:bottom w:val="single" w:sz="4" w:space="0" w:color="ADD6EA"/>
              <w:right w:val="nil"/>
            </w:tcBorders>
            <w:shd w:val="clear" w:color="auto" w:fill="auto"/>
            <w:noWrap/>
            <w:vAlign w:val="center"/>
            <w:hideMark/>
          </w:tcPr>
          <w:p w14:paraId="2723A103" w14:textId="77777777" w:rsidR="009A6A52" w:rsidRPr="002C5B2F" w:rsidRDefault="009A6A52" w:rsidP="009A6A52">
            <w:pPr>
              <w:tabs>
                <w:tab w:val="clear" w:pos="567"/>
              </w:tabs>
              <w:spacing w:before="0" w:line="240" w:lineRule="auto"/>
              <w:jc w:val="right"/>
              <w:rPr>
                <w:rFonts w:ascii="Work Sans" w:eastAsia="Times New Roman" w:hAnsi="Work Sans" w:cs="Open Sans Light"/>
                <w:color w:val="000000"/>
                <w:sz w:val="16"/>
                <w:szCs w:val="16"/>
                <w:lang w:eastAsia="en-AU"/>
              </w:rPr>
            </w:pPr>
            <w:r w:rsidRPr="002C5B2F">
              <w:rPr>
                <w:rFonts w:ascii="Work Sans" w:eastAsia="Times New Roman" w:hAnsi="Work Sans" w:cs="Open Sans Light"/>
                <w:color w:val="000000"/>
                <w:sz w:val="16"/>
                <w:szCs w:val="16"/>
                <w:lang w:eastAsia="en-AU"/>
              </w:rPr>
              <w:t>8</w:t>
            </w:r>
          </w:p>
        </w:tc>
        <w:tc>
          <w:tcPr>
            <w:tcW w:w="1900" w:type="dxa"/>
            <w:tcBorders>
              <w:top w:val="nil"/>
              <w:left w:val="nil"/>
              <w:bottom w:val="single" w:sz="4" w:space="0" w:color="ADD6EA"/>
              <w:right w:val="nil"/>
            </w:tcBorders>
            <w:shd w:val="clear" w:color="auto" w:fill="auto"/>
            <w:noWrap/>
            <w:vAlign w:val="center"/>
            <w:hideMark/>
          </w:tcPr>
          <w:p w14:paraId="1CE4ACA2" w14:textId="77777777" w:rsidR="009A6A52" w:rsidRPr="002C5B2F" w:rsidRDefault="009A6A52" w:rsidP="009A6A52">
            <w:pPr>
              <w:tabs>
                <w:tab w:val="clear" w:pos="567"/>
              </w:tabs>
              <w:spacing w:before="0" w:line="240" w:lineRule="auto"/>
              <w:jc w:val="right"/>
              <w:rPr>
                <w:rFonts w:ascii="Work Sans" w:eastAsia="Times New Roman" w:hAnsi="Work Sans" w:cs="Open Sans Light"/>
                <w:color w:val="000000"/>
                <w:sz w:val="16"/>
                <w:szCs w:val="16"/>
                <w:lang w:eastAsia="en-AU"/>
              </w:rPr>
            </w:pPr>
            <w:r w:rsidRPr="002C5B2F">
              <w:rPr>
                <w:rFonts w:ascii="Work Sans" w:eastAsia="Times New Roman" w:hAnsi="Work Sans" w:cs="Open Sans Light"/>
                <w:color w:val="000000"/>
                <w:sz w:val="16"/>
                <w:szCs w:val="16"/>
                <w:lang w:eastAsia="en-AU"/>
              </w:rPr>
              <w:t>79</w:t>
            </w:r>
          </w:p>
        </w:tc>
        <w:tc>
          <w:tcPr>
            <w:tcW w:w="1840" w:type="dxa"/>
            <w:tcBorders>
              <w:top w:val="nil"/>
              <w:left w:val="nil"/>
              <w:bottom w:val="single" w:sz="4" w:space="0" w:color="ADD6EA"/>
              <w:right w:val="nil"/>
            </w:tcBorders>
            <w:shd w:val="clear" w:color="auto" w:fill="auto"/>
            <w:noWrap/>
            <w:vAlign w:val="center"/>
            <w:hideMark/>
          </w:tcPr>
          <w:p w14:paraId="0BBF93B4" w14:textId="77777777" w:rsidR="009A6A52" w:rsidRPr="002C5B2F" w:rsidRDefault="009A6A52" w:rsidP="009A6A52">
            <w:pPr>
              <w:tabs>
                <w:tab w:val="clear" w:pos="567"/>
              </w:tabs>
              <w:spacing w:before="0" w:line="240" w:lineRule="auto"/>
              <w:jc w:val="right"/>
              <w:rPr>
                <w:rFonts w:ascii="Work Sans" w:eastAsia="Times New Roman" w:hAnsi="Work Sans" w:cs="Open Sans Light"/>
                <w:color w:val="000000"/>
                <w:sz w:val="16"/>
                <w:szCs w:val="16"/>
                <w:lang w:eastAsia="en-AU"/>
              </w:rPr>
            </w:pPr>
            <w:r w:rsidRPr="002C5B2F">
              <w:rPr>
                <w:rFonts w:ascii="Work Sans" w:eastAsia="Times New Roman" w:hAnsi="Work Sans" w:cs="Open Sans Light"/>
                <w:color w:val="000000"/>
                <w:sz w:val="16"/>
                <w:szCs w:val="16"/>
                <w:lang w:eastAsia="en-AU"/>
              </w:rPr>
              <w:t>21</w:t>
            </w:r>
          </w:p>
        </w:tc>
      </w:tr>
      <w:tr w:rsidR="009A6A52" w:rsidRPr="009A6A52" w14:paraId="7429983A" w14:textId="77777777" w:rsidTr="009A6A52">
        <w:trPr>
          <w:trHeight w:val="300"/>
        </w:trPr>
        <w:tc>
          <w:tcPr>
            <w:tcW w:w="2080" w:type="dxa"/>
            <w:tcBorders>
              <w:top w:val="nil"/>
              <w:left w:val="nil"/>
              <w:bottom w:val="nil"/>
              <w:right w:val="nil"/>
            </w:tcBorders>
            <w:shd w:val="clear" w:color="000000" w:fill="99CCC3"/>
            <w:vAlign w:val="center"/>
            <w:hideMark/>
          </w:tcPr>
          <w:p w14:paraId="32029DF8" w14:textId="77777777" w:rsidR="009A6A52" w:rsidRPr="002C5B2F" w:rsidRDefault="009A6A52" w:rsidP="009A6A52">
            <w:pPr>
              <w:tabs>
                <w:tab w:val="clear" w:pos="567"/>
              </w:tabs>
              <w:spacing w:before="0" w:line="240" w:lineRule="auto"/>
              <w:rPr>
                <w:rFonts w:ascii="Work Sans" w:eastAsia="Times New Roman" w:hAnsi="Work Sans" w:cs="Open Sans Light"/>
                <w:color w:val="000000"/>
                <w:sz w:val="16"/>
                <w:szCs w:val="16"/>
                <w:lang w:eastAsia="en-AU"/>
              </w:rPr>
            </w:pPr>
            <w:r w:rsidRPr="002C5B2F">
              <w:rPr>
                <w:rFonts w:ascii="Work Sans" w:eastAsia="Times New Roman" w:hAnsi="Work Sans" w:cs="Open Sans Light"/>
                <w:color w:val="000000"/>
                <w:sz w:val="16"/>
                <w:szCs w:val="16"/>
                <w:lang w:eastAsia="en-AU"/>
              </w:rPr>
              <w:t>Canada</w:t>
            </w:r>
          </w:p>
        </w:tc>
        <w:tc>
          <w:tcPr>
            <w:tcW w:w="1380" w:type="dxa"/>
            <w:tcBorders>
              <w:top w:val="nil"/>
              <w:left w:val="nil"/>
              <w:bottom w:val="nil"/>
              <w:right w:val="nil"/>
            </w:tcBorders>
            <w:shd w:val="clear" w:color="000000" w:fill="99CCC3"/>
            <w:noWrap/>
            <w:vAlign w:val="center"/>
            <w:hideMark/>
          </w:tcPr>
          <w:p w14:paraId="2972FABA" w14:textId="77777777" w:rsidR="009A6A52" w:rsidRPr="002C5B2F" w:rsidRDefault="009A6A52" w:rsidP="009A6A52">
            <w:pPr>
              <w:tabs>
                <w:tab w:val="clear" w:pos="567"/>
              </w:tabs>
              <w:spacing w:before="0" w:line="240" w:lineRule="auto"/>
              <w:jc w:val="right"/>
              <w:rPr>
                <w:rFonts w:ascii="Work Sans" w:eastAsia="Times New Roman" w:hAnsi="Work Sans" w:cs="Open Sans Light"/>
                <w:color w:val="000000"/>
                <w:sz w:val="16"/>
                <w:szCs w:val="16"/>
                <w:lang w:eastAsia="en-AU"/>
              </w:rPr>
            </w:pPr>
            <w:r w:rsidRPr="002C5B2F">
              <w:rPr>
                <w:rFonts w:ascii="Work Sans" w:eastAsia="Times New Roman" w:hAnsi="Work Sans" w:cs="Open Sans Light"/>
                <w:color w:val="000000"/>
                <w:sz w:val="16"/>
                <w:szCs w:val="16"/>
                <w:lang w:eastAsia="en-AU"/>
              </w:rPr>
              <w:t>46,705</w:t>
            </w:r>
          </w:p>
        </w:tc>
        <w:tc>
          <w:tcPr>
            <w:tcW w:w="1660" w:type="dxa"/>
            <w:tcBorders>
              <w:top w:val="nil"/>
              <w:left w:val="nil"/>
              <w:bottom w:val="nil"/>
              <w:right w:val="nil"/>
            </w:tcBorders>
            <w:shd w:val="clear" w:color="000000" w:fill="99CCC3"/>
            <w:noWrap/>
            <w:vAlign w:val="center"/>
            <w:hideMark/>
          </w:tcPr>
          <w:p w14:paraId="3B097DEC" w14:textId="77777777" w:rsidR="009A6A52" w:rsidRPr="002C5B2F" w:rsidRDefault="009A6A52" w:rsidP="009A6A52">
            <w:pPr>
              <w:tabs>
                <w:tab w:val="clear" w:pos="567"/>
              </w:tabs>
              <w:spacing w:before="0" w:line="240" w:lineRule="auto"/>
              <w:jc w:val="right"/>
              <w:rPr>
                <w:rFonts w:ascii="Work Sans" w:eastAsia="Times New Roman" w:hAnsi="Work Sans" w:cs="Open Sans Light"/>
                <w:color w:val="000000"/>
                <w:sz w:val="16"/>
                <w:szCs w:val="16"/>
                <w:lang w:eastAsia="en-AU"/>
              </w:rPr>
            </w:pPr>
            <w:r w:rsidRPr="002C5B2F">
              <w:rPr>
                <w:rFonts w:ascii="Work Sans" w:eastAsia="Times New Roman" w:hAnsi="Work Sans" w:cs="Open Sans Light"/>
                <w:color w:val="000000"/>
                <w:sz w:val="16"/>
                <w:szCs w:val="16"/>
                <w:lang w:eastAsia="en-AU"/>
              </w:rPr>
              <w:t>8</w:t>
            </w:r>
          </w:p>
        </w:tc>
        <w:tc>
          <w:tcPr>
            <w:tcW w:w="1900" w:type="dxa"/>
            <w:tcBorders>
              <w:top w:val="nil"/>
              <w:left w:val="nil"/>
              <w:bottom w:val="nil"/>
              <w:right w:val="nil"/>
            </w:tcBorders>
            <w:shd w:val="clear" w:color="000000" w:fill="99CCC3"/>
            <w:noWrap/>
            <w:vAlign w:val="center"/>
            <w:hideMark/>
          </w:tcPr>
          <w:p w14:paraId="7630A418" w14:textId="77777777" w:rsidR="009A6A52" w:rsidRPr="002C5B2F" w:rsidRDefault="009A6A52" w:rsidP="009A6A52">
            <w:pPr>
              <w:tabs>
                <w:tab w:val="clear" w:pos="567"/>
              </w:tabs>
              <w:spacing w:before="0" w:line="240" w:lineRule="auto"/>
              <w:jc w:val="right"/>
              <w:rPr>
                <w:rFonts w:ascii="Work Sans" w:eastAsia="Times New Roman" w:hAnsi="Work Sans" w:cs="Open Sans Light"/>
                <w:color w:val="000000"/>
                <w:sz w:val="16"/>
                <w:szCs w:val="16"/>
                <w:lang w:eastAsia="en-AU"/>
              </w:rPr>
            </w:pPr>
            <w:r w:rsidRPr="002C5B2F">
              <w:rPr>
                <w:rFonts w:ascii="Work Sans" w:eastAsia="Times New Roman" w:hAnsi="Work Sans" w:cs="Open Sans Light"/>
                <w:color w:val="000000"/>
                <w:sz w:val="16"/>
                <w:szCs w:val="16"/>
                <w:lang w:eastAsia="en-AU"/>
              </w:rPr>
              <w:t>100</w:t>
            </w:r>
          </w:p>
        </w:tc>
        <w:tc>
          <w:tcPr>
            <w:tcW w:w="1840" w:type="dxa"/>
            <w:tcBorders>
              <w:top w:val="nil"/>
              <w:left w:val="nil"/>
              <w:bottom w:val="nil"/>
              <w:right w:val="nil"/>
            </w:tcBorders>
            <w:shd w:val="clear" w:color="000000" w:fill="99CCC3"/>
            <w:noWrap/>
            <w:vAlign w:val="center"/>
            <w:hideMark/>
          </w:tcPr>
          <w:p w14:paraId="431412FF" w14:textId="77777777" w:rsidR="009A6A52" w:rsidRPr="002C5B2F" w:rsidRDefault="009A6A52" w:rsidP="009A6A52">
            <w:pPr>
              <w:tabs>
                <w:tab w:val="clear" w:pos="567"/>
              </w:tabs>
              <w:spacing w:before="0" w:line="240" w:lineRule="auto"/>
              <w:jc w:val="right"/>
              <w:rPr>
                <w:rFonts w:ascii="Work Sans" w:eastAsia="Times New Roman" w:hAnsi="Work Sans" w:cs="Open Sans Light"/>
                <w:color w:val="000000"/>
                <w:sz w:val="16"/>
                <w:szCs w:val="16"/>
                <w:lang w:eastAsia="en-AU"/>
              </w:rPr>
            </w:pPr>
            <w:r w:rsidRPr="002C5B2F">
              <w:rPr>
                <w:rFonts w:ascii="Work Sans" w:eastAsia="Times New Roman" w:hAnsi="Work Sans" w:cs="Open Sans Light"/>
                <w:color w:val="000000"/>
                <w:sz w:val="16"/>
                <w:szCs w:val="16"/>
                <w:lang w:eastAsia="en-AU"/>
              </w:rPr>
              <w:t>0</w:t>
            </w:r>
          </w:p>
        </w:tc>
      </w:tr>
      <w:tr w:rsidR="009A6A52" w:rsidRPr="009A6A52" w14:paraId="4FEC739E" w14:textId="77777777" w:rsidTr="009A6A52">
        <w:trPr>
          <w:trHeight w:val="300"/>
        </w:trPr>
        <w:tc>
          <w:tcPr>
            <w:tcW w:w="2080" w:type="dxa"/>
            <w:tcBorders>
              <w:top w:val="nil"/>
              <w:left w:val="nil"/>
              <w:bottom w:val="single" w:sz="4" w:space="0" w:color="ADD6EA"/>
              <w:right w:val="nil"/>
            </w:tcBorders>
            <w:shd w:val="clear" w:color="auto" w:fill="auto"/>
            <w:vAlign w:val="center"/>
            <w:hideMark/>
          </w:tcPr>
          <w:p w14:paraId="7AC1CFDE" w14:textId="77777777" w:rsidR="009A6A52" w:rsidRPr="002C5B2F" w:rsidRDefault="009A6A52" w:rsidP="009A6A52">
            <w:pPr>
              <w:tabs>
                <w:tab w:val="clear" w:pos="567"/>
              </w:tabs>
              <w:spacing w:before="0" w:line="240" w:lineRule="auto"/>
              <w:rPr>
                <w:rFonts w:ascii="Work Sans" w:eastAsia="Times New Roman" w:hAnsi="Work Sans" w:cs="Open Sans Light"/>
                <w:color w:val="000000"/>
                <w:sz w:val="16"/>
                <w:szCs w:val="16"/>
                <w:lang w:eastAsia="en-AU"/>
              </w:rPr>
            </w:pPr>
            <w:r w:rsidRPr="002C5B2F">
              <w:rPr>
                <w:rFonts w:ascii="Work Sans" w:eastAsia="Times New Roman" w:hAnsi="Work Sans" w:cs="Open Sans Light"/>
                <w:color w:val="000000"/>
                <w:sz w:val="16"/>
                <w:szCs w:val="16"/>
                <w:lang w:eastAsia="en-AU"/>
              </w:rPr>
              <w:t>Norway</w:t>
            </w:r>
          </w:p>
        </w:tc>
        <w:tc>
          <w:tcPr>
            <w:tcW w:w="1380" w:type="dxa"/>
            <w:tcBorders>
              <w:top w:val="nil"/>
              <w:left w:val="nil"/>
              <w:bottom w:val="single" w:sz="4" w:space="0" w:color="ADD6EA"/>
              <w:right w:val="nil"/>
            </w:tcBorders>
            <w:shd w:val="clear" w:color="auto" w:fill="auto"/>
            <w:noWrap/>
            <w:vAlign w:val="center"/>
            <w:hideMark/>
          </w:tcPr>
          <w:p w14:paraId="78507FF1" w14:textId="77777777" w:rsidR="009A6A52" w:rsidRPr="002C5B2F" w:rsidRDefault="009A6A52" w:rsidP="009A6A52">
            <w:pPr>
              <w:tabs>
                <w:tab w:val="clear" w:pos="567"/>
              </w:tabs>
              <w:spacing w:before="0" w:line="240" w:lineRule="auto"/>
              <w:jc w:val="right"/>
              <w:rPr>
                <w:rFonts w:ascii="Work Sans" w:eastAsia="Times New Roman" w:hAnsi="Work Sans" w:cs="Open Sans Light"/>
                <w:color w:val="000000"/>
                <w:sz w:val="16"/>
                <w:szCs w:val="16"/>
                <w:lang w:eastAsia="en-AU"/>
              </w:rPr>
            </w:pPr>
            <w:r w:rsidRPr="002C5B2F">
              <w:rPr>
                <w:rFonts w:ascii="Work Sans" w:eastAsia="Times New Roman" w:hAnsi="Work Sans" w:cs="Open Sans Light"/>
                <w:color w:val="000000"/>
                <w:sz w:val="16"/>
                <w:szCs w:val="16"/>
                <w:lang w:eastAsia="en-AU"/>
              </w:rPr>
              <w:t>61,414</w:t>
            </w:r>
          </w:p>
        </w:tc>
        <w:tc>
          <w:tcPr>
            <w:tcW w:w="1660" w:type="dxa"/>
            <w:tcBorders>
              <w:top w:val="nil"/>
              <w:left w:val="nil"/>
              <w:bottom w:val="single" w:sz="4" w:space="0" w:color="ADD6EA"/>
              <w:right w:val="nil"/>
            </w:tcBorders>
            <w:shd w:val="clear" w:color="auto" w:fill="auto"/>
            <w:noWrap/>
            <w:vAlign w:val="center"/>
            <w:hideMark/>
          </w:tcPr>
          <w:p w14:paraId="434929FA" w14:textId="77777777" w:rsidR="009A6A52" w:rsidRPr="002C5B2F" w:rsidRDefault="009A6A52" w:rsidP="009A6A52">
            <w:pPr>
              <w:tabs>
                <w:tab w:val="clear" w:pos="567"/>
              </w:tabs>
              <w:spacing w:before="0" w:line="240" w:lineRule="auto"/>
              <w:jc w:val="right"/>
              <w:rPr>
                <w:rFonts w:ascii="Work Sans" w:eastAsia="Times New Roman" w:hAnsi="Work Sans" w:cs="Open Sans Light"/>
                <w:color w:val="000000"/>
                <w:sz w:val="16"/>
                <w:szCs w:val="16"/>
                <w:lang w:eastAsia="en-AU"/>
              </w:rPr>
            </w:pPr>
            <w:r w:rsidRPr="002C5B2F">
              <w:rPr>
                <w:rFonts w:ascii="Work Sans" w:eastAsia="Times New Roman" w:hAnsi="Work Sans" w:cs="Open Sans Light"/>
                <w:color w:val="000000"/>
                <w:sz w:val="16"/>
                <w:szCs w:val="16"/>
                <w:lang w:eastAsia="en-AU"/>
              </w:rPr>
              <w:t>8</w:t>
            </w:r>
          </w:p>
        </w:tc>
        <w:tc>
          <w:tcPr>
            <w:tcW w:w="1900" w:type="dxa"/>
            <w:tcBorders>
              <w:top w:val="nil"/>
              <w:left w:val="nil"/>
              <w:bottom w:val="single" w:sz="4" w:space="0" w:color="ADD6EA"/>
              <w:right w:val="nil"/>
            </w:tcBorders>
            <w:shd w:val="clear" w:color="auto" w:fill="auto"/>
            <w:noWrap/>
            <w:vAlign w:val="center"/>
            <w:hideMark/>
          </w:tcPr>
          <w:p w14:paraId="68DC252C" w14:textId="77777777" w:rsidR="009A6A52" w:rsidRPr="002C5B2F" w:rsidRDefault="009A6A52" w:rsidP="009A6A52">
            <w:pPr>
              <w:tabs>
                <w:tab w:val="clear" w:pos="567"/>
              </w:tabs>
              <w:spacing w:before="0" w:line="240" w:lineRule="auto"/>
              <w:jc w:val="right"/>
              <w:rPr>
                <w:rFonts w:ascii="Work Sans" w:eastAsia="Times New Roman" w:hAnsi="Work Sans" w:cs="Open Sans Light"/>
                <w:color w:val="000000"/>
                <w:sz w:val="16"/>
                <w:szCs w:val="16"/>
                <w:lang w:eastAsia="en-AU"/>
              </w:rPr>
            </w:pPr>
            <w:r w:rsidRPr="002C5B2F">
              <w:rPr>
                <w:rFonts w:ascii="Work Sans" w:eastAsia="Times New Roman" w:hAnsi="Work Sans" w:cs="Open Sans Light"/>
                <w:color w:val="000000"/>
                <w:sz w:val="16"/>
                <w:szCs w:val="16"/>
                <w:lang w:eastAsia="en-AU"/>
              </w:rPr>
              <w:t>49</w:t>
            </w:r>
          </w:p>
        </w:tc>
        <w:tc>
          <w:tcPr>
            <w:tcW w:w="1840" w:type="dxa"/>
            <w:tcBorders>
              <w:top w:val="nil"/>
              <w:left w:val="nil"/>
              <w:bottom w:val="single" w:sz="4" w:space="0" w:color="ADD6EA"/>
              <w:right w:val="nil"/>
            </w:tcBorders>
            <w:shd w:val="clear" w:color="auto" w:fill="auto"/>
            <w:noWrap/>
            <w:vAlign w:val="center"/>
            <w:hideMark/>
          </w:tcPr>
          <w:p w14:paraId="608B0284" w14:textId="77777777" w:rsidR="009A6A52" w:rsidRPr="002C5B2F" w:rsidRDefault="009A6A52" w:rsidP="009A6A52">
            <w:pPr>
              <w:tabs>
                <w:tab w:val="clear" w:pos="567"/>
              </w:tabs>
              <w:spacing w:before="0" w:line="240" w:lineRule="auto"/>
              <w:jc w:val="right"/>
              <w:rPr>
                <w:rFonts w:ascii="Work Sans" w:eastAsia="Times New Roman" w:hAnsi="Work Sans" w:cs="Open Sans Light"/>
                <w:color w:val="000000"/>
                <w:sz w:val="16"/>
                <w:szCs w:val="16"/>
                <w:lang w:eastAsia="en-AU"/>
              </w:rPr>
            </w:pPr>
            <w:r w:rsidRPr="002C5B2F">
              <w:rPr>
                <w:rFonts w:ascii="Work Sans" w:eastAsia="Times New Roman" w:hAnsi="Work Sans" w:cs="Open Sans Light"/>
                <w:color w:val="000000"/>
                <w:sz w:val="16"/>
                <w:szCs w:val="16"/>
                <w:lang w:eastAsia="en-AU"/>
              </w:rPr>
              <w:t>51</w:t>
            </w:r>
          </w:p>
        </w:tc>
      </w:tr>
      <w:tr w:rsidR="009A6A52" w:rsidRPr="009A6A52" w14:paraId="5CBAA030" w14:textId="77777777" w:rsidTr="009A6A52">
        <w:trPr>
          <w:trHeight w:val="300"/>
        </w:trPr>
        <w:tc>
          <w:tcPr>
            <w:tcW w:w="2080" w:type="dxa"/>
            <w:tcBorders>
              <w:top w:val="nil"/>
              <w:left w:val="nil"/>
              <w:bottom w:val="single" w:sz="4" w:space="0" w:color="ADD6EA"/>
              <w:right w:val="nil"/>
            </w:tcBorders>
            <w:shd w:val="clear" w:color="auto" w:fill="auto"/>
            <w:vAlign w:val="center"/>
            <w:hideMark/>
          </w:tcPr>
          <w:p w14:paraId="3D1C634B" w14:textId="77777777" w:rsidR="009A6A52" w:rsidRPr="002C5B2F" w:rsidRDefault="009A6A52" w:rsidP="009A6A52">
            <w:pPr>
              <w:tabs>
                <w:tab w:val="clear" w:pos="567"/>
              </w:tabs>
              <w:spacing w:before="0" w:line="240" w:lineRule="auto"/>
              <w:rPr>
                <w:rFonts w:ascii="Work Sans" w:eastAsia="Times New Roman" w:hAnsi="Work Sans" w:cs="Open Sans Light"/>
                <w:color w:val="000000"/>
                <w:sz w:val="16"/>
                <w:szCs w:val="16"/>
                <w:lang w:eastAsia="en-AU"/>
              </w:rPr>
            </w:pPr>
            <w:r w:rsidRPr="002C5B2F">
              <w:rPr>
                <w:rFonts w:ascii="Work Sans" w:eastAsia="Times New Roman" w:hAnsi="Work Sans" w:cs="Open Sans Light"/>
                <w:color w:val="000000"/>
                <w:sz w:val="16"/>
                <w:szCs w:val="16"/>
                <w:lang w:eastAsia="en-AU"/>
              </w:rPr>
              <w:t>Lithuania</w:t>
            </w:r>
          </w:p>
        </w:tc>
        <w:tc>
          <w:tcPr>
            <w:tcW w:w="1380" w:type="dxa"/>
            <w:tcBorders>
              <w:top w:val="nil"/>
              <w:left w:val="nil"/>
              <w:bottom w:val="single" w:sz="4" w:space="0" w:color="ADD6EA"/>
              <w:right w:val="nil"/>
            </w:tcBorders>
            <w:shd w:val="clear" w:color="auto" w:fill="auto"/>
            <w:noWrap/>
            <w:vAlign w:val="center"/>
            <w:hideMark/>
          </w:tcPr>
          <w:p w14:paraId="051A077F" w14:textId="77777777" w:rsidR="009A6A52" w:rsidRPr="002C5B2F" w:rsidRDefault="009A6A52" w:rsidP="009A6A52">
            <w:pPr>
              <w:tabs>
                <w:tab w:val="clear" w:pos="567"/>
              </w:tabs>
              <w:spacing w:before="0" w:line="240" w:lineRule="auto"/>
              <w:jc w:val="right"/>
              <w:rPr>
                <w:rFonts w:ascii="Work Sans" w:eastAsia="Times New Roman" w:hAnsi="Work Sans" w:cs="Open Sans Light"/>
                <w:color w:val="000000"/>
                <w:sz w:val="16"/>
                <w:szCs w:val="16"/>
                <w:lang w:eastAsia="en-AU"/>
              </w:rPr>
            </w:pPr>
            <w:r w:rsidRPr="002C5B2F">
              <w:rPr>
                <w:rFonts w:ascii="Work Sans" w:eastAsia="Times New Roman" w:hAnsi="Work Sans" w:cs="Open Sans Light"/>
                <w:color w:val="000000"/>
                <w:sz w:val="16"/>
                <w:szCs w:val="16"/>
                <w:lang w:eastAsia="en-AU"/>
              </w:rPr>
              <w:t>32,764</w:t>
            </w:r>
          </w:p>
        </w:tc>
        <w:tc>
          <w:tcPr>
            <w:tcW w:w="1660" w:type="dxa"/>
            <w:tcBorders>
              <w:top w:val="nil"/>
              <w:left w:val="nil"/>
              <w:bottom w:val="single" w:sz="4" w:space="0" w:color="ADD6EA"/>
              <w:right w:val="nil"/>
            </w:tcBorders>
            <w:shd w:val="clear" w:color="auto" w:fill="auto"/>
            <w:noWrap/>
            <w:vAlign w:val="center"/>
            <w:hideMark/>
          </w:tcPr>
          <w:p w14:paraId="529E3F0B" w14:textId="77777777" w:rsidR="009A6A52" w:rsidRPr="002C5B2F" w:rsidRDefault="009A6A52" w:rsidP="009A6A52">
            <w:pPr>
              <w:tabs>
                <w:tab w:val="clear" w:pos="567"/>
              </w:tabs>
              <w:spacing w:before="0" w:line="240" w:lineRule="auto"/>
              <w:jc w:val="right"/>
              <w:rPr>
                <w:rFonts w:ascii="Work Sans" w:eastAsia="Times New Roman" w:hAnsi="Work Sans" w:cs="Open Sans Light"/>
                <w:color w:val="000000"/>
                <w:sz w:val="16"/>
                <w:szCs w:val="16"/>
                <w:lang w:eastAsia="en-AU"/>
              </w:rPr>
            </w:pPr>
            <w:r w:rsidRPr="002C5B2F">
              <w:rPr>
                <w:rFonts w:ascii="Work Sans" w:eastAsia="Times New Roman" w:hAnsi="Work Sans" w:cs="Open Sans Light"/>
                <w:color w:val="000000"/>
                <w:sz w:val="16"/>
                <w:szCs w:val="16"/>
                <w:lang w:eastAsia="en-AU"/>
              </w:rPr>
              <w:t>7</w:t>
            </w:r>
          </w:p>
        </w:tc>
        <w:tc>
          <w:tcPr>
            <w:tcW w:w="1900" w:type="dxa"/>
            <w:tcBorders>
              <w:top w:val="nil"/>
              <w:left w:val="nil"/>
              <w:bottom w:val="single" w:sz="4" w:space="0" w:color="ADD6EA"/>
              <w:right w:val="nil"/>
            </w:tcBorders>
            <w:shd w:val="clear" w:color="auto" w:fill="auto"/>
            <w:noWrap/>
            <w:vAlign w:val="center"/>
            <w:hideMark/>
          </w:tcPr>
          <w:p w14:paraId="1BE573C5" w14:textId="77777777" w:rsidR="009A6A52" w:rsidRPr="002C5B2F" w:rsidRDefault="009A6A52" w:rsidP="009A6A52">
            <w:pPr>
              <w:tabs>
                <w:tab w:val="clear" w:pos="567"/>
              </w:tabs>
              <w:spacing w:before="0" w:line="240" w:lineRule="auto"/>
              <w:jc w:val="right"/>
              <w:rPr>
                <w:rFonts w:ascii="Work Sans" w:eastAsia="Times New Roman" w:hAnsi="Work Sans" w:cs="Open Sans Light"/>
                <w:color w:val="000000"/>
                <w:sz w:val="16"/>
                <w:szCs w:val="16"/>
                <w:lang w:eastAsia="en-AU"/>
              </w:rPr>
            </w:pPr>
            <w:r w:rsidRPr="002C5B2F">
              <w:rPr>
                <w:rFonts w:ascii="Work Sans" w:eastAsia="Times New Roman" w:hAnsi="Work Sans" w:cs="Open Sans Light"/>
                <w:color w:val="000000"/>
                <w:sz w:val="16"/>
                <w:szCs w:val="16"/>
                <w:lang w:eastAsia="en-AU"/>
              </w:rPr>
              <w:t>40</w:t>
            </w:r>
          </w:p>
        </w:tc>
        <w:tc>
          <w:tcPr>
            <w:tcW w:w="1840" w:type="dxa"/>
            <w:tcBorders>
              <w:top w:val="nil"/>
              <w:left w:val="nil"/>
              <w:bottom w:val="single" w:sz="4" w:space="0" w:color="ADD6EA"/>
              <w:right w:val="nil"/>
            </w:tcBorders>
            <w:shd w:val="clear" w:color="auto" w:fill="auto"/>
            <w:noWrap/>
            <w:vAlign w:val="center"/>
            <w:hideMark/>
          </w:tcPr>
          <w:p w14:paraId="4C972030" w14:textId="77777777" w:rsidR="009A6A52" w:rsidRPr="002C5B2F" w:rsidRDefault="009A6A52" w:rsidP="009A6A52">
            <w:pPr>
              <w:tabs>
                <w:tab w:val="clear" w:pos="567"/>
              </w:tabs>
              <w:spacing w:before="0" w:line="240" w:lineRule="auto"/>
              <w:jc w:val="right"/>
              <w:rPr>
                <w:rFonts w:ascii="Work Sans" w:eastAsia="Times New Roman" w:hAnsi="Work Sans" w:cs="Open Sans Light"/>
                <w:color w:val="000000"/>
                <w:sz w:val="16"/>
                <w:szCs w:val="16"/>
                <w:lang w:eastAsia="en-AU"/>
              </w:rPr>
            </w:pPr>
            <w:r w:rsidRPr="002C5B2F">
              <w:rPr>
                <w:rFonts w:ascii="Work Sans" w:eastAsia="Times New Roman" w:hAnsi="Work Sans" w:cs="Open Sans Light"/>
                <w:color w:val="000000"/>
                <w:sz w:val="16"/>
                <w:szCs w:val="16"/>
                <w:lang w:eastAsia="en-AU"/>
              </w:rPr>
              <w:t>60</w:t>
            </w:r>
          </w:p>
        </w:tc>
      </w:tr>
      <w:tr w:rsidR="009A6A52" w:rsidRPr="009A6A52" w14:paraId="5067AB86" w14:textId="77777777" w:rsidTr="009A6A52">
        <w:trPr>
          <w:trHeight w:val="300"/>
        </w:trPr>
        <w:tc>
          <w:tcPr>
            <w:tcW w:w="2080" w:type="dxa"/>
            <w:tcBorders>
              <w:top w:val="nil"/>
              <w:left w:val="nil"/>
              <w:bottom w:val="nil"/>
              <w:right w:val="nil"/>
            </w:tcBorders>
            <w:shd w:val="clear" w:color="000000" w:fill="99CCC3"/>
            <w:vAlign w:val="center"/>
            <w:hideMark/>
          </w:tcPr>
          <w:p w14:paraId="7EA0279A" w14:textId="77777777" w:rsidR="009A6A52" w:rsidRPr="002C5B2F" w:rsidRDefault="009A6A52" w:rsidP="009A6A52">
            <w:pPr>
              <w:tabs>
                <w:tab w:val="clear" w:pos="567"/>
              </w:tabs>
              <w:spacing w:before="0" w:line="240" w:lineRule="auto"/>
              <w:rPr>
                <w:rFonts w:ascii="Work Sans" w:eastAsia="Times New Roman" w:hAnsi="Work Sans" w:cs="Open Sans Light"/>
                <w:color w:val="000000"/>
                <w:sz w:val="16"/>
                <w:szCs w:val="16"/>
                <w:lang w:eastAsia="en-AU"/>
              </w:rPr>
            </w:pPr>
            <w:r w:rsidRPr="002C5B2F">
              <w:rPr>
                <w:rFonts w:ascii="Work Sans" w:eastAsia="Times New Roman" w:hAnsi="Work Sans" w:cs="Open Sans Light"/>
                <w:color w:val="000000"/>
                <w:sz w:val="16"/>
                <w:szCs w:val="16"/>
                <w:lang w:eastAsia="en-AU"/>
              </w:rPr>
              <w:t>Australia</w:t>
            </w:r>
          </w:p>
        </w:tc>
        <w:tc>
          <w:tcPr>
            <w:tcW w:w="1380" w:type="dxa"/>
            <w:tcBorders>
              <w:top w:val="nil"/>
              <w:left w:val="nil"/>
              <w:bottom w:val="nil"/>
              <w:right w:val="nil"/>
            </w:tcBorders>
            <w:shd w:val="clear" w:color="000000" w:fill="99CCC3"/>
            <w:noWrap/>
            <w:vAlign w:val="center"/>
            <w:hideMark/>
          </w:tcPr>
          <w:p w14:paraId="611C3ACD" w14:textId="77777777" w:rsidR="009A6A52" w:rsidRPr="002C5B2F" w:rsidRDefault="009A6A52" w:rsidP="009A6A52">
            <w:pPr>
              <w:tabs>
                <w:tab w:val="clear" w:pos="567"/>
              </w:tabs>
              <w:spacing w:before="0" w:line="240" w:lineRule="auto"/>
              <w:jc w:val="right"/>
              <w:rPr>
                <w:rFonts w:ascii="Work Sans" w:eastAsia="Times New Roman" w:hAnsi="Work Sans" w:cs="Open Sans Light"/>
                <w:color w:val="000000"/>
                <w:sz w:val="16"/>
                <w:szCs w:val="16"/>
                <w:lang w:eastAsia="en-AU"/>
              </w:rPr>
            </w:pPr>
            <w:r w:rsidRPr="002C5B2F">
              <w:rPr>
                <w:rFonts w:ascii="Work Sans" w:eastAsia="Times New Roman" w:hAnsi="Work Sans" w:cs="Open Sans Light"/>
                <w:color w:val="000000"/>
                <w:sz w:val="16"/>
                <w:szCs w:val="16"/>
                <w:lang w:eastAsia="en-AU"/>
              </w:rPr>
              <w:t>48,460</w:t>
            </w:r>
          </w:p>
        </w:tc>
        <w:tc>
          <w:tcPr>
            <w:tcW w:w="1660" w:type="dxa"/>
            <w:tcBorders>
              <w:top w:val="nil"/>
              <w:left w:val="nil"/>
              <w:bottom w:val="nil"/>
              <w:right w:val="nil"/>
            </w:tcBorders>
            <w:shd w:val="clear" w:color="000000" w:fill="99CCC3"/>
            <w:noWrap/>
            <w:vAlign w:val="center"/>
            <w:hideMark/>
          </w:tcPr>
          <w:p w14:paraId="1308AE0E" w14:textId="77777777" w:rsidR="009A6A52" w:rsidRPr="002C5B2F" w:rsidRDefault="009A6A52" w:rsidP="009A6A52">
            <w:pPr>
              <w:tabs>
                <w:tab w:val="clear" w:pos="567"/>
              </w:tabs>
              <w:spacing w:before="0" w:line="240" w:lineRule="auto"/>
              <w:jc w:val="right"/>
              <w:rPr>
                <w:rFonts w:ascii="Work Sans" w:eastAsia="Times New Roman" w:hAnsi="Work Sans" w:cs="Open Sans Light"/>
                <w:color w:val="000000"/>
                <w:sz w:val="16"/>
                <w:szCs w:val="16"/>
                <w:lang w:eastAsia="en-AU"/>
              </w:rPr>
            </w:pPr>
            <w:r w:rsidRPr="002C5B2F">
              <w:rPr>
                <w:rFonts w:ascii="Work Sans" w:eastAsia="Times New Roman" w:hAnsi="Work Sans" w:cs="Open Sans Light"/>
                <w:color w:val="000000"/>
                <w:sz w:val="16"/>
                <w:szCs w:val="16"/>
                <w:lang w:eastAsia="en-AU"/>
              </w:rPr>
              <w:t>7</w:t>
            </w:r>
          </w:p>
        </w:tc>
        <w:tc>
          <w:tcPr>
            <w:tcW w:w="1900" w:type="dxa"/>
            <w:tcBorders>
              <w:top w:val="nil"/>
              <w:left w:val="nil"/>
              <w:bottom w:val="nil"/>
              <w:right w:val="nil"/>
            </w:tcBorders>
            <w:shd w:val="clear" w:color="000000" w:fill="99CCC3"/>
            <w:noWrap/>
            <w:vAlign w:val="center"/>
            <w:hideMark/>
          </w:tcPr>
          <w:p w14:paraId="4F0A11EC" w14:textId="77777777" w:rsidR="009A6A52" w:rsidRPr="002C5B2F" w:rsidRDefault="009A6A52" w:rsidP="009A6A52">
            <w:pPr>
              <w:tabs>
                <w:tab w:val="clear" w:pos="567"/>
              </w:tabs>
              <w:spacing w:before="0" w:line="240" w:lineRule="auto"/>
              <w:jc w:val="right"/>
              <w:rPr>
                <w:rFonts w:ascii="Work Sans" w:eastAsia="Times New Roman" w:hAnsi="Work Sans" w:cs="Open Sans Light"/>
                <w:color w:val="000000"/>
                <w:sz w:val="16"/>
                <w:szCs w:val="16"/>
                <w:lang w:eastAsia="en-AU"/>
              </w:rPr>
            </w:pPr>
            <w:r w:rsidRPr="002C5B2F">
              <w:rPr>
                <w:rFonts w:ascii="Work Sans" w:eastAsia="Times New Roman" w:hAnsi="Work Sans" w:cs="Open Sans Light"/>
                <w:color w:val="000000"/>
                <w:sz w:val="16"/>
                <w:szCs w:val="16"/>
                <w:lang w:eastAsia="en-AU"/>
              </w:rPr>
              <w:t>47</w:t>
            </w:r>
          </w:p>
        </w:tc>
        <w:tc>
          <w:tcPr>
            <w:tcW w:w="1840" w:type="dxa"/>
            <w:tcBorders>
              <w:top w:val="nil"/>
              <w:left w:val="nil"/>
              <w:bottom w:val="nil"/>
              <w:right w:val="nil"/>
            </w:tcBorders>
            <w:shd w:val="clear" w:color="000000" w:fill="99CCC3"/>
            <w:noWrap/>
            <w:vAlign w:val="center"/>
            <w:hideMark/>
          </w:tcPr>
          <w:p w14:paraId="505E6579" w14:textId="77777777" w:rsidR="009A6A52" w:rsidRPr="002C5B2F" w:rsidRDefault="009A6A52" w:rsidP="009A6A52">
            <w:pPr>
              <w:tabs>
                <w:tab w:val="clear" w:pos="567"/>
              </w:tabs>
              <w:spacing w:before="0" w:line="240" w:lineRule="auto"/>
              <w:jc w:val="right"/>
              <w:rPr>
                <w:rFonts w:ascii="Work Sans" w:eastAsia="Times New Roman" w:hAnsi="Work Sans" w:cs="Open Sans Light"/>
                <w:color w:val="000000"/>
                <w:sz w:val="16"/>
                <w:szCs w:val="16"/>
                <w:lang w:eastAsia="en-AU"/>
              </w:rPr>
            </w:pPr>
            <w:r w:rsidRPr="002C5B2F">
              <w:rPr>
                <w:rFonts w:ascii="Work Sans" w:eastAsia="Times New Roman" w:hAnsi="Work Sans" w:cs="Open Sans Light"/>
                <w:color w:val="000000"/>
                <w:sz w:val="16"/>
                <w:szCs w:val="16"/>
                <w:lang w:eastAsia="en-AU"/>
              </w:rPr>
              <w:t>53</w:t>
            </w:r>
          </w:p>
        </w:tc>
      </w:tr>
      <w:tr w:rsidR="009A6A52" w:rsidRPr="009A6A52" w14:paraId="6BF3E58A" w14:textId="77777777" w:rsidTr="009A6A52">
        <w:trPr>
          <w:trHeight w:val="300"/>
        </w:trPr>
        <w:tc>
          <w:tcPr>
            <w:tcW w:w="2080" w:type="dxa"/>
            <w:tcBorders>
              <w:top w:val="nil"/>
              <w:left w:val="nil"/>
              <w:bottom w:val="single" w:sz="4" w:space="0" w:color="ADD6EA"/>
              <w:right w:val="nil"/>
            </w:tcBorders>
            <w:shd w:val="clear" w:color="auto" w:fill="auto"/>
            <w:vAlign w:val="center"/>
            <w:hideMark/>
          </w:tcPr>
          <w:p w14:paraId="342C01FB" w14:textId="77777777" w:rsidR="009A6A52" w:rsidRPr="002C5B2F" w:rsidRDefault="009A6A52" w:rsidP="009A6A52">
            <w:pPr>
              <w:tabs>
                <w:tab w:val="clear" w:pos="567"/>
              </w:tabs>
              <w:spacing w:before="0" w:line="240" w:lineRule="auto"/>
              <w:rPr>
                <w:rFonts w:ascii="Work Sans" w:eastAsia="Times New Roman" w:hAnsi="Work Sans" w:cs="Open Sans Light"/>
                <w:color w:val="000000"/>
                <w:sz w:val="16"/>
                <w:szCs w:val="16"/>
                <w:lang w:eastAsia="en-AU"/>
              </w:rPr>
            </w:pPr>
            <w:r w:rsidRPr="002C5B2F">
              <w:rPr>
                <w:rFonts w:ascii="Work Sans" w:eastAsia="Times New Roman" w:hAnsi="Work Sans" w:cs="Open Sans Light"/>
                <w:color w:val="000000"/>
                <w:sz w:val="16"/>
                <w:szCs w:val="16"/>
                <w:lang w:eastAsia="en-AU"/>
              </w:rPr>
              <w:t>Japan</w:t>
            </w:r>
          </w:p>
        </w:tc>
        <w:tc>
          <w:tcPr>
            <w:tcW w:w="1380" w:type="dxa"/>
            <w:tcBorders>
              <w:top w:val="nil"/>
              <w:left w:val="nil"/>
              <w:bottom w:val="single" w:sz="4" w:space="0" w:color="ADD6EA"/>
              <w:right w:val="nil"/>
            </w:tcBorders>
            <w:shd w:val="clear" w:color="auto" w:fill="auto"/>
            <w:noWrap/>
            <w:vAlign w:val="center"/>
            <w:hideMark/>
          </w:tcPr>
          <w:p w14:paraId="1754CCE8" w14:textId="77777777" w:rsidR="009A6A52" w:rsidRPr="002C5B2F" w:rsidRDefault="009A6A52" w:rsidP="009A6A52">
            <w:pPr>
              <w:tabs>
                <w:tab w:val="clear" w:pos="567"/>
              </w:tabs>
              <w:spacing w:before="0" w:line="240" w:lineRule="auto"/>
              <w:jc w:val="right"/>
              <w:rPr>
                <w:rFonts w:ascii="Work Sans" w:eastAsia="Times New Roman" w:hAnsi="Work Sans" w:cs="Open Sans Light"/>
                <w:color w:val="000000"/>
                <w:sz w:val="16"/>
                <w:szCs w:val="16"/>
                <w:lang w:eastAsia="en-AU"/>
              </w:rPr>
            </w:pPr>
            <w:r w:rsidRPr="002C5B2F">
              <w:rPr>
                <w:rFonts w:ascii="Work Sans" w:eastAsia="Times New Roman" w:hAnsi="Work Sans" w:cs="Open Sans Light"/>
                <w:color w:val="000000"/>
                <w:sz w:val="16"/>
                <w:szCs w:val="16"/>
                <w:lang w:eastAsia="en-AU"/>
              </w:rPr>
              <w:t>43,279</w:t>
            </w:r>
          </w:p>
        </w:tc>
        <w:tc>
          <w:tcPr>
            <w:tcW w:w="1660" w:type="dxa"/>
            <w:tcBorders>
              <w:top w:val="nil"/>
              <w:left w:val="nil"/>
              <w:bottom w:val="single" w:sz="4" w:space="0" w:color="ADD6EA"/>
              <w:right w:val="nil"/>
            </w:tcBorders>
            <w:shd w:val="clear" w:color="auto" w:fill="auto"/>
            <w:noWrap/>
            <w:vAlign w:val="center"/>
            <w:hideMark/>
          </w:tcPr>
          <w:p w14:paraId="2B45A824" w14:textId="77777777" w:rsidR="009A6A52" w:rsidRPr="002C5B2F" w:rsidRDefault="009A6A52" w:rsidP="009A6A52">
            <w:pPr>
              <w:tabs>
                <w:tab w:val="clear" w:pos="567"/>
              </w:tabs>
              <w:spacing w:before="0" w:line="240" w:lineRule="auto"/>
              <w:jc w:val="right"/>
              <w:rPr>
                <w:rFonts w:ascii="Work Sans" w:eastAsia="Times New Roman" w:hAnsi="Work Sans" w:cs="Open Sans Light"/>
                <w:color w:val="000000"/>
                <w:sz w:val="16"/>
                <w:szCs w:val="16"/>
                <w:lang w:eastAsia="en-AU"/>
              </w:rPr>
            </w:pPr>
            <w:r w:rsidRPr="002C5B2F">
              <w:rPr>
                <w:rFonts w:ascii="Work Sans" w:eastAsia="Times New Roman" w:hAnsi="Work Sans" w:cs="Open Sans Light"/>
                <w:color w:val="000000"/>
                <w:sz w:val="16"/>
                <w:szCs w:val="16"/>
                <w:lang w:eastAsia="en-AU"/>
              </w:rPr>
              <w:t>7</w:t>
            </w:r>
          </w:p>
        </w:tc>
        <w:tc>
          <w:tcPr>
            <w:tcW w:w="1900" w:type="dxa"/>
            <w:tcBorders>
              <w:top w:val="nil"/>
              <w:left w:val="nil"/>
              <w:bottom w:val="single" w:sz="4" w:space="0" w:color="ADD6EA"/>
              <w:right w:val="nil"/>
            </w:tcBorders>
            <w:shd w:val="clear" w:color="auto" w:fill="auto"/>
            <w:noWrap/>
            <w:vAlign w:val="center"/>
            <w:hideMark/>
          </w:tcPr>
          <w:p w14:paraId="2A5027F9" w14:textId="77777777" w:rsidR="009A6A52" w:rsidRPr="002C5B2F" w:rsidRDefault="009A6A52" w:rsidP="009A6A52">
            <w:pPr>
              <w:tabs>
                <w:tab w:val="clear" w:pos="567"/>
              </w:tabs>
              <w:spacing w:before="0" w:line="240" w:lineRule="auto"/>
              <w:jc w:val="right"/>
              <w:rPr>
                <w:rFonts w:ascii="Work Sans" w:eastAsia="Times New Roman" w:hAnsi="Work Sans" w:cs="Open Sans Light"/>
                <w:color w:val="000000"/>
                <w:sz w:val="16"/>
                <w:szCs w:val="16"/>
                <w:lang w:eastAsia="en-AU"/>
              </w:rPr>
            </w:pPr>
            <w:r w:rsidRPr="002C5B2F">
              <w:rPr>
                <w:rFonts w:ascii="Work Sans" w:eastAsia="Times New Roman" w:hAnsi="Work Sans" w:cs="Open Sans Light"/>
                <w:color w:val="000000"/>
                <w:sz w:val="16"/>
                <w:szCs w:val="16"/>
                <w:lang w:eastAsia="en-AU"/>
              </w:rPr>
              <w:t>12</w:t>
            </w:r>
          </w:p>
        </w:tc>
        <w:tc>
          <w:tcPr>
            <w:tcW w:w="1840" w:type="dxa"/>
            <w:tcBorders>
              <w:top w:val="nil"/>
              <w:left w:val="nil"/>
              <w:bottom w:val="single" w:sz="4" w:space="0" w:color="ADD6EA"/>
              <w:right w:val="nil"/>
            </w:tcBorders>
            <w:shd w:val="clear" w:color="auto" w:fill="auto"/>
            <w:noWrap/>
            <w:vAlign w:val="center"/>
            <w:hideMark/>
          </w:tcPr>
          <w:p w14:paraId="601A4C74" w14:textId="77777777" w:rsidR="009A6A52" w:rsidRPr="002C5B2F" w:rsidRDefault="009A6A52" w:rsidP="009A6A52">
            <w:pPr>
              <w:tabs>
                <w:tab w:val="clear" w:pos="567"/>
              </w:tabs>
              <w:spacing w:before="0" w:line="240" w:lineRule="auto"/>
              <w:jc w:val="right"/>
              <w:rPr>
                <w:rFonts w:ascii="Work Sans" w:eastAsia="Times New Roman" w:hAnsi="Work Sans" w:cs="Open Sans Light"/>
                <w:color w:val="000000"/>
                <w:sz w:val="16"/>
                <w:szCs w:val="16"/>
                <w:lang w:eastAsia="en-AU"/>
              </w:rPr>
            </w:pPr>
            <w:r w:rsidRPr="002C5B2F">
              <w:rPr>
                <w:rFonts w:ascii="Work Sans" w:eastAsia="Times New Roman" w:hAnsi="Work Sans" w:cs="Open Sans Light"/>
                <w:color w:val="000000"/>
                <w:sz w:val="16"/>
                <w:szCs w:val="16"/>
                <w:lang w:eastAsia="en-AU"/>
              </w:rPr>
              <w:t>88</w:t>
            </w:r>
          </w:p>
        </w:tc>
      </w:tr>
      <w:tr w:rsidR="009A6A52" w:rsidRPr="009A6A52" w14:paraId="1BD2C316" w14:textId="77777777" w:rsidTr="009A6A52">
        <w:trPr>
          <w:trHeight w:val="300"/>
        </w:trPr>
        <w:tc>
          <w:tcPr>
            <w:tcW w:w="2080" w:type="dxa"/>
            <w:tcBorders>
              <w:top w:val="nil"/>
              <w:left w:val="nil"/>
              <w:bottom w:val="single" w:sz="4" w:space="0" w:color="ADD6EA"/>
              <w:right w:val="nil"/>
            </w:tcBorders>
            <w:shd w:val="clear" w:color="000000" w:fill="99CCC3"/>
            <w:vAlign w:val="center"/>
            <w:hideMark/>
          </w:tcPr>
          <w:p w14:paraId="06B9D274" w14:textId="77777777" w:rsidR="009A6A52" w:rsidRPr="002C5B2F" w:rsidRDefault="009A6A52" w:rsidP="009A6A52">
            <w:pPr>
              <w:tabs>
                <w:tab w:val="clear" w:pos="567"/>
              </w:tabs>
              <w:spacing w:before="0" w:line="240" w:lineRule="auto"/>
              <w:rPr>
                <w:rFonts w:ascii="Work Sans" w:eastAsia="Times New Roman" w:hAnsi="Work Sans" w:cs="Open Sans Light"/>
                <w:color w:val="000000"/>
                <w:sz w:val="16"/>
                <w:szCs w:val="16"/>
                <w:lang w:eastAsia="en-AU"/>
              </w:rPr>
            </w:pPr>
            <w:r w:rsidRPr="002C5B2F">
              <w:rPr>
                <w:rFonts w:ascii="Work Sans" w:eastAsia="Times New Roman" w:hAnsi="Work Sans" w:cs="Open Sans Light"/>
                <w:color w:val="000000"/>
                <w:sz w:val="16"/>
                <w:szCs w:val="16"/>
                <w:lang w:eastAsia="en-AU"/>
              </w:rPr>
              <w:t>Germany</w:t>
            </w:r>
          </w:p>
        </w:tc>
        <w:tc>
          <w:tcPr>
            <w:tcW w:w="1380" w:type="dxa"/>
            <w:tcBorders>
              <w:top w:val="nil"/>
              <w:left w:val="nil"/>
              <w:bottom w:val="single" w:sz="4" w:space="0" w:color="ADD6EA"/>
              <w:right w:val="nil"/>
            </w:tcBorders>
            <w:shd w:val="clear" w:color="000000" w:fill="99CCC3"/>
            <w:noWrap/>
            <w:vAlign w:val="center"/>
            <w:hideMark/>
          </w:tcPr>
          <w:p w14:paraId="21CB4E3C" w14:textId="77777777" w:rsidR="009A6A52" w:rsidRPr="002C5B2F" w:rsidRDefault="009A6A52" w:rsidP="009A6A52">
            <w:pPr>
              <w:tabs>
                <w:tab w:val="clear" w:pos="567"/>
              </w:tabs>
              <w:spacing w:before="0" w:line="240" w:lineRule="auto"/>
              <w:jc w:val="right"/>
              <w:rPr>
                <w:rFonts w:ascii="Work Sans" w:eastAsia="Times New Roman" w:hAnsi="Work Sans" w:cs="Open Sans Light"/>
                <w:color w:val="000000"/>
                <w:sz w:val="16"/>
                <w:szCs w:val="16"/>
                <w:lang w:eastAsia="en-AU"/>
              </w:rPr>
            </w:pPr>
            <w:r w:rsidRPr="002C5B2F">
              <w:rPr>
                <w:rFonts w:ascii="Work Sans" w:eastAsia="Times New Roman" w:hAnsi="Work Sans" w:cs="Open Sans Light"/>
                <w:color w:val="000000"/>
                <w:sz w:val="16"/>
                <w:szCs w:val="16"/>
                <w:lang w:eastAsia="en-AU"/>
              </w:rPr>
              <w:t>50,662</w:t>
            </w:r>
          </w:p>
        </w:tc>
        <w:tc>
          <w:tcPr>
            <w:tcW w:w="1660" w:type="dxa"/>
            <w:tcBorders>
              <w:top w:val="nil"/>
              <w:left w:val="nil"/>
              <w:bottom w:val="single" w:sz="4" w:space="0" w:color="ADD6EA"/>
              <w:right w:val="nil"/>
            </w:tcBorders>
            <w:shd w:val="clear" w:color="000000" w:fill="99CCC3"/>
            <w:noWrap/>
            <w:vAlign w:val="center"/>
            <w:hideMark/>
          </w:tcPr>
          <w:p w14:paraId="0F852014" w14:textId="77777777" w:rsidR="009A6A52" w:rsidRPr="002C5B2F" w:rsidRDefault="009A6A52" w:rsidP="009A6A52">
            <w:pPr>
              <w:tabs>
                <w:tab w:val="clear" w:pos="567"/>
              </w:tabs>
              <w:spacing w:before="0" w:line="240" w:lineRule="auto"/>
              <w:jc w:val="right"/>
              <w:rPr>
                <w:rFonts w:ascii="Work Sans" w:eastAsia="Times New Roman" w:hAnsi="Work Sans" w:cs="Open Sans Light"/>
                <w:color w:val="000000"/>
                <w:sz w:val="16"/>
                <w:szCs w:val="16"/>
                <w:lang w:eastAsia="en-AU"/>
              </w:rPr>
            </w:pPr>
            <w:r w:rsidRPr="002C5B2F">
              <w:rPr>
                <w:rFonts w:ascii="Work Sans" w:eastAsia="Times New Roman" w:hAnsi="Work Sans" w:cs="Open Sans Light"/>
                <w:color w:val="000000"/>
                <w:sz w:val="16"/>
                <w:szCs w:val="16"/>
                <w:lang w:eastAsia="en-AU"/>
              </w:rPr>
              <w:t>6</w:t>
            </w:r>
          </w:p>
        </w:tc>
        <w:tc>
          <w:tcPr>
            <w:tcW w:w="1900" w:type="dxa"/>
            <w:tcBorders>
              <w:top w:val="nil"/>
              <w:left w:val="nil"/>
              <w:bottom w:val="single" w:sz="4" w:space="0" w:color="ADD6EA"/>
              <w:right w:val="nil"/>
            </w:tcBorders>
            <w:shd w:val="clear" w:color="000000" w:fill="99CCC3"/>
            <w:noWrap/>
            <w:vAlign w:val="center"/>
            <w:hideMark/>
          </w:tcPr>
          <w:p w14:paraId="012C4F4C" w14:textId="77777777" w:rsidR="009A6A52" w:rsidRPr="002C5B2F" w:rsidRDefault="009A6A52" w:rsidP="009A6A52">
            <w:pPr>
              <w:tabs>
                <w:tab w:val="clear" w:pos="567"/>
              </w:tabs>
              <w:spacing w:before="0" w:line="240" w:lineRule="auto"/>
              <w:jc w:val="right"/>
              <w:rPr>
                <w:rFonts w:ascii="Work Sans" w:eastAsia="Times New Roman" w:hAnsi="Work Sans" w:cs="Open Sans Light"/>
                <w:color w:val="000000"/>
                <w:sz w:val="16"/>
                <w:szCs w:val="16"/>
                <w:lang w:eastAsia="en-AU"/>
              </w:rPr>
            </w:pPr>
            <w:r w:rsidRPr="002C5B2F">
              <w:rPr>
                <w:rFonts w:ascii="Work Sans" w:eastAsia="Times New Roman" w:hAnsi="Work Sans" w:cs="Open Sans Light"/>
                <w:color w:val="000000"/>
                <w:sz w:val="16"/>
                <w:szCs w:val="16"/>
                <w:lang w:eastAsia="en-AU"/>
              </w:rPr>
              <w:t>100</w:t>
            </w:r>
          </w:p>
        </w:tc>
        <w:tc>
          <w:tcPr>
            <w:tcW w:w="1840" w:type="dxa"/>
            <w:tcBorders>
              <w:top w:val="nil"/>
              <w:left w:val="nil"/>
              <w:bottom w:val="single" w:sz="4" w:space="0" w:color="ADD6EA"/>
              <w:right w:val="nil"/>
            </w:tcBorders>
            <w:shd w:val="clear" w:color="000000" w:fill="99CCC3"/>
            <w:noWrap/>
            <w:vAlign w:val="center"/>
            <w:hideMark/>
          </w:tcPr>
          <w:p w14:paraId="1BEADAA6" w14:textId="77777777" w:rsidR="009A6A52" w:rsidRPr="002C5B2F" w:rsidRDefault="009A6A52" w:rsidP="009A6A52">
            <w:pPr>
              <w:tabs>
                <w:tab w:val="clear" w:pos="567"/>
              </w:tabs>
              <w:spacing w:before="0" w:line="240" w:lineRule="auto"/>
              <w:jc w:val="right"/>
              <w:rPr>
                <w:rFonts w:ascii="Work Sans" w:eastAsia="Times New Roman" w:hAnsi="Work Sans" w:cs="Open Sans Light"/>
                <w:color w:val="000000"/>
                <w:sz w:val="16"/>
                <w:szCs w:val="16"/>
                <w:lang w:eastAsia="en-AU"/>
              </w:rPr>
            </w:pPr>
            <w:r w:rsidRPr="002C5B2F">
              <w:rPr>
                <w:rFonts w:ascii="Work Sans" w:eastAsia="Times New Roman" w:hAnsi="Work Sans" w:cs="Open Sans Light"/>
                <w:color w:val="000000"/>
                <w:sz w:val="16"/>
                <w:szCs w:val="16"/>
                <w:lang w:eastAsia="en-AU"/>
              </w:rPr>
              <w:t>0</w:t>
            </w:r>
          </w:p>
        </w:tc>
      </w:tr>
      <w:tr w:rsidR="009A6A52" w:rsidRPr="009A6A52" w14:paraId="245B69A9" w14:textId="77777777" w:rsidTr="009A6A52">
        <w:trPr>
          <w:trHeight w:val="300"/>
        </w:trPr>
        <w:tc>
          <w:tcPr>
            <w:tcW w:w="2080" w:type="dxa"/>
            <w:tcBorders>
              <w:top w:val="nil"/>
              <w:left w:val="nil"/>
              <w:bottom w:val="nil"/>
              <w:right w:val="nil"/>
            </w:tcBorders>
            <w:shd w:val="clear" w:color="000000" w:fill="99CCC3"/>
            <w:vAlign w:val="center"/>
            <w:hideMark/>
          </w:tcPr>
          <w:p w14:paraId="7F92EB7B" w14:textId="77777777" w:rsidR="009A6A52" w:rsidRPr="002C5B2F" w:rsidRDefault="009A6A52" w:rsidP="009A6A52">
            <w:pPr>
              <w:tabs>
                <w:tab w:val="clear" w:pos="567"/>
              </w:tabs>
              <w:spacing w:before="0" w:line="240" w:lineRule="auto"/>
              <w:rPr>
                <w:rFonts w:ascii="Work Sans" w:eastAsia="Times New Roman" w:hAnsi="Work Sans" w:cs="Open Sans Light"/>
                <w:color w:val="000000"/>
                <w:sz w:val="16"/>
                <w:szCs w:val="16"/>
                <w:lang w:eastAsia="en-AU"/>
              </w:rPr>
            </w:pPr>
            <w:r w:rsidRPr="002C5B2F">
              <w:rPr>
                <w:rFonts w:ascii="Work Sans" w:eastAsia="Times New Roman" w:hAnsi="Work Sans" w:cs="Open Sans Light"/>
                <w:color w:val="000000"/>
                <w:sz w:val="16"/>
                <w:szCs w:val="16"/>
                <w:lang w:eastAsia="en-AU"/>
              </w:rPr>
              <w:t>Switzerland</w:t>
            </w:r>
          </w:p>
        </w:tc>
        <w:tc>
          <w:tcPr>
            <w:tcW w:w="1380" w:type="dxa"/>
            <w:tcBorders>
              <w:top w:val="nil"/>
              <w:left w:val="nil"/>
              <w:bottom w:val="nil"/>
              <w:right w:val="nil"/>
            </w:tcBorders>
            <w:shd w:val="clear" w:color="000000" w:fill="99CCC3"/>
            <w:noWrap/>
            <w:vAlign w:val="center"/>
            <w:hideMark/>
          </w:tcPr>
          <w:p w14:paraId="4260D6FD" w14:textId="77777777" w:rsidR="009A6A52" w:rsidRPr="002C5B2F" w:rsidRDefault="009A6A52" w:rsidP="009A6A52">
            <w:pPr>
              <w:tabs>
                <w:tab w:val="clear" w:pos="567"/>
              </w:tabs>
              <w:spacing w:before="0" w:line="240" w:lineRule="auto"/>
              <w:jc w:val="right"/>
              <w:rPr>
                <w:rFonts w:ascii="Work Sans" w:eastAsia="Times New Roman" w:hAnsi="Work Sans" w:cs="Open Sans Light"/>
                <w:color w:val="000000"/>
                <w:sz w:val="16"/>
                <w:szCs w:val="16"/>
                <w:lang w:eastAsia="en-AU"/>
              </w:rPr>
            </w:pPr>
            <w:r w:rsidRPr="002C5B2F">
              <w:rPr>
                <w:rFonts w:ascii="Work Sans" w:eastAsia="Times New Roman" w:hAnsi="Work Sans" w:cs="Open Sans Light"/>
                <w:color w:val="000000"/>
                <w:sz w:val="16"/>
                <w:szCs w:val="16"/>
                <w:lang w:eastAsia="en-AU"/>
              </w:rPr>
              <w:t>64,712</w:t>
            </w:r>
          </w:p>
        </w:tc>
        <w:tc>
          <w:tcPr>
            <w:tcW w:w="1660" w:type="dxa"/>
            <w:tcBorders>
              <w:top w:val="nil"/>
              <w:left w:val="nil"/>
              <w:bottom w:val="nil"/>
              <w:right w:val="nil"/>
            </w:tcBorders>
            <w:shd w:val="clear" w:color="000000" w:fill="99CCC3"/>
            <w:noWrap/>
            <w:vAlign w:val="center"/>
            <w:hideMark/>
          </w:tcPr>
          <w:p w14:paraId="18248F8A" w14:textId="77777777" w:rsidR="009A6A52" w:rsidRPr="002C5B2F" w:rsidRDefault="009A6A52" w:rsidP="009A6A52">
            <w:pPr>
              <w:tabs>
                <w:tab w:val="clear" w:pos="567"/>
              </w:tabs>
              <w:spacing w:before="0" w:line="240" w:lineRule="auto"/>
              <w:jc w:val="right"/>
              <w:rPr>
                <w:rFonts w:ascii="Work Sans" w:eastAsia="Times New Roman" w:hAnsi="Work Sans" w:cs="Open Sans Light"/>
                <w:color w:val="000000"/>
                <w:sz w:val="16"/>
                <w:szCs w:val="16"/>
                <w:lang w:eastAsia="en-AU"/>
              </w:rPr>
            </w:pPr>
            <w:r w:rsidRPr="002C5B2F">
              <w:rPr>
                <w:rFonts w:ascii="Work Sans" w:eastAsia="Times New Roman" w:hAnsi="Work Sans" w:cs="Open Sans Light"/>
                <w:color w:val="000000"/>
                <w:sz w:val="16"/>
                <w:szCs w:val="16"/>
                <w:lang w:eastAsia="en-AU"/>
              </w:rPr>
              <w:t>5</w:t>
            </w:r>
          </w:p>
        </w:tc>
        <w:tc>
          <w:tcPr>
            <w:tcW w:w="1900" w:type="dxa"/>
            <w:tcBorders>
              <w:top w:val="nil"/>
              <w:left w:val="nil"/>
              <w:bottom w:val="nil"/>
              <w:right w:val="nil"/>
            </w:tcBorders>
            <w:shd w:val="clear" w:color="000000" w:fill="99CCC3"/>
            <w:noWrap/>
            <w:vAlign w:val="center"/>
            <w:hideMark/>
          </w:tcPr>
          <w:p w14:paraId="4DA35CA0" w14:textId="77777777" w:rsidR="009A6A52" w:rsidRPr="002C5B2F" w:rsidRDefault="009A6A52" w:rsidP="009A6A52">
            <w:pPr>
              <w:tabs>
                <w:tab w:val="clear" w:pos="567"/>
              </w:tabs>
              <w:spacing w:before="0" w:line="240" w:lineRule="auto"/>
              <w:jc w:val="right"/>
              <w:rPr>
                <w:rFonts w:ascii="Work Sans" w:eastAsia="Times New Roman" w:hAnsi="Work Sans" w:cs="Open Sans Light"/>
                <w:color w:val="000000"/>
                <w:sz w:val="16"/>
                <w:szCs w:val="16"/>
                <w:lang w:eastAsia="en-AU"/>
              </w:rPr>
            </w:pPr>
            <w:r w:rsidRPr="002C5B2F">
              <w:rPr>
                <w:rFonts w:ascii="Work Sans" w:eastAsia="Times New Roman" w:hAnsi="Work Sans" w:cs="Open Sans Light"/>
                <w:color w:val="000000"/>
                <w:sz w:val="16"/>
                <w:szCs w:val="16"/>
                <w:lang w:eastAsia="en-AU"/>
              </w:rPr>
              <w:t>85</w:t>
            </w:r>
          </w:p>
        </w:tc>
        <w:tc>
          <w:tcPr>
            <w:tcW w:w="1840" w:type="dxa"/>
            <w:tcBorders>
              <w:top w:val="nil"/>
              <w:left w:val="nil"/>
              <w:bottom w:val="nil"/>
              <w:right w:val="nil"/>
            </w:tcBorders>
            <w:shd w:val="clear" w:color="000000" w:fill="99CCC3"/>
            <w:noWrap/>
            <w:vAlign w:val="center"/>
            <w:hideMark/>
          </w:tcPr>
          <w:p w14:paraId="0F254882" w14:textId="77777777" w:rsidR="009A6A52" w:rsidRPr="002C5B2F" w:rsidRDefault="009A6A52" w:rsidP="009A6A52">
            <w:pPr>
              <w:tabs>
                <w:tab w:val="clear" w:pos="567"/>
              </w:tabs>
              <w:spacing w:before="0" w:line="240" w:lineRule="auto"/>
              <w:jc w:val="right"/>
              <w:rPr>
                <w:rFonts w:ascii="Work Sans" w:eastAsia="Times New Roman" w:hAnsi="Work Sans" w:cs="Open Sans Light"/>
                <w:color w:val="000000"/>
                <w:sz w:val="16"/>
                <w:szCs w:val="16"/>
                <w:lang w:eastAsia="en-AU"/>
              </w:rPr>
            </w:pPr>
            <w:r w:rsidRPr="002C5B2F">
              <w:rPr>
                <w:rFonts w:ascii="Work Sans" w:eastAsia="Times New Roman" w:hAnsi="Work Sans" w:cs="Open Sans Light"/>
                <w:color w:val="000000"/>
                <w:sz w:val="16"/>
                <w:szCs w:val="16"/>
                <w:lang w:eastAsia="en-AU"/>
              </w:rPr>
              <w:t>15</w:t>
            </w:r>
          </w:p>
        </w:tc>
      </w:tr>
      <w:tr w:rsidR="00F40327" w:rsidRPr="009A6A52" w14:paraId="0FEFE30E" w14:textId="77777777" w:rsidTr="00E75A47">
        <w:trPr>
          <w:trHeight w:val="300"/>
        </w:trPr>
        <w:tc>
          <w:tcPr>
            <w:tcW w:w="2080" w:type="dxa"/>
            <w:tcBorders>
              <w:top w:val="nil"/>
              <w:left w:val="nil"/>
              <w:bottom w:val="single" w:sz="4" w:space="0" w:color="ADD6EA"/>
              <w:right w:val="nil"/>
            </w:tcBorders>
            <w:shd w:val="clear" w:color="auto" w:fill="auto"/>
            <w:vAlign w:val="center"/>
            <w:hideMark/>
          </w:tcPr>
          <w:p w14:paraId="61F14857" w14:textId="079AB148" w:rsidR="009A6A52" w:rsidRPr="002C5B2F" w:rsidRDefault="009A6A52" w:rsidP="009A6A52">
            <w:pPr>
              <w:tabs>
                <w:tab w:val="clear" w:pos="567"/>
              </w:tabs>
              <w:spacing w:before="0" w:line="240" w:lineRule="auto"/>
              <w:rPr>
                <w:rFonts w:ascii="Work Sans" w:eastAsia="Times New Roman" w:hAnsi="Work Sans" w:cs="Open Sans Light"/>
                <w:color w:val="000000"/>
                <w:sz w:val="16"/>
                <w:szCs w:val="16"/>
                <w:lang w:eastAsia="en-AU"/>
              </w:rPr>
            </w:pPr>
            <w:r w:rsidRPr="002C5B2F">
              <w:rPr>
                <w:rFonts w:ascii="Work Sans" w:eastAsia="Times New Roman" w:hAnsi="Work Sans" w:cs="Open Sans Light"/>
                <w:color w:val="000000"/>
                <w:sz w:val="16"/>
                <w:szCs w:val="16"/>
                <w:lang w:eastAsia="en-AU"/>
              </w:rPr>
              <w:t>Unite</w:t>
            </w:r>
            <w:r w:rsidR="00B80108" w:rsidRPr="002C5B2F">
              <w:rPr>
                <w:rFonts w:ascii="Work Sans" w:eastAsia="Times New Roman" w:hAnsi="Work Sans" w:cs="Open Sans Light"/>
                <w:color w:val="000000"/>
                <w:sz w:val="16"/>
                <w:szCs w:val="16"/>
                <w:lang w:eastAsia="en-AU"/>
              </w:rPr>
              <w:t>d</w:t>
            </w:r>
            <w:r w:rsidRPr="002C5B2F">
              <w:rPr>
                <w:rFonts w:ascii="Work Sans" w:eastAsia="Times New Roman" w:hAnsi="Work Sans" w:cs="Open Sans Light"/>
                <w:color w:val="000000"/>
                <w:sz w:val="16"/>
                <w:szCs w:val="16"/>
                <w:lang w:eastAsia="en-AU"/>
              </w:rPr>
              <w:t xml:space="preserve"> States of America</w:t>
            </w:r>
          </w:p>
        </w:tc>
        <w:tc>
          <w:tcPr>
            <w:tcW w:w="1380" w:type="dxa"/>
            <w:tcBorders>
              <w:top w:val="nil"/>
              <w:left w:val="nil"/>
              <w:bottom w:val="single" w:sz="4" w:space="0" w:color="ADD6EA"/>
              <w:right w:val="nil"/>
            </w:tcBorders>
            <w:shd w:val="clear" w:color="auto" w:fill="auto"/>
            <w:noWrap/>
            <w:vAlign w:val="center"/>
            <w:hideMark/>
          </w:tcPr>
          <w:p w14:paraId="00712A8B" w14:textId="77777777" w:rsidR="009A6A52" w:rsidRPr="002C5B2F" w:rsidRDefault="009A6A52" w:rsidP="009A6A52">
            <w:pPr>
              <w:tabs>
                <w:tab w:val="clear" w:pos="567"/>
              </w:tabs>
              <w:spacing w:before="0" w:line="240" w:lineRule="auto"/>
              <w:jc w:val="right"/>
              <w:rPr>
                <w:rFonts w:ascii="Work Sans" w:eastAsia="Times New Roman" w:hAnsi="Work Sans" w:cs="Open Sans Light"/>
                <w:color w:val="000000"/>
                <w:sz w:val="16"/>
                <w:szCs w:val="16"/>
                <w:lang w:eastAsia="en-AU"/>
              </w:rPr>
            </w:pPr>
            <w:r w:rsidRPr="002C5B2F">
              <w:rPr>
                <w:rFonts w:ascii="Work Sans" w:eastAsia="Times New Roman" w:hAnsi="Work Sans" w:cs="Open Sans Light"/>
                <w:color w:val="000000"/>
                <w:sz w:val="16"/>
                <w:szCs w:val="16"/>
                <w:lang w:eastAsia="en-AU"/>
              </w:rPr>
              <w:t>59,532</w:t>
            </w:r>
          </w:p>
        </w:tc>
        <w:tc>
          <w:tcPr>
            <w:tcW w:w="1660" w:type="dxa"/>
            <w:tcBorders>
              <w:top w:val="nil"/>
              <w:left w:val="nil"/>
              <w:bottom w:val="single" w:sz="4" w:space="0" w:color="ADD6EA"/>
              <w:right w:val="nil"/>
            </w:tcBorders>
            <w:shd w:val="clear" w:color="auto" w:fill="auto"/>
            <w:noWrap/>
            <w:vAlign w:val="center"/>
            <w:hideMark/>
          </w:tcPr>
          <w:p w14:paraId="1079D06B" w14:textId="77777777" w:rsidR="009A6A52" w:rsidRPr="002C5B2F" w:rsidRDefault="009A6A52" w:rsidP="009A6A52">
            <w:pPr>
              <w:tabs>
                <w:tab w:val="clear" w:pos="567"/>
              </w:tabs>
              <w:spacing w:before="0" w:line="240" w:lineRule="auto"/>
              <w:jc w:val="right"/>
              <w:rPr>
                <w:rFonts w:ascii="Work Sans" w:eastAsia="Times New Roman" w:hAnsi="Work Sans" w:cs="Open Sans Light"/>
                <w:color w:val="000000"/>
                <w:sz w:val="16"/>
                <w:szCs w:val="16"/>
                <w:lang w:eastAsia="en-AU"/>
              </w:rPr>
            </w:pPr>
            <w:r w:rsidRPr="002C5B2F">
              <w:rPr>
                <w:rFonts w:ascii="Work Sans" w:eastAsia="Times New Roman" w:hAnsi="Work Sans" w:cs="Open Sans Light"/>
                <w:color w:val="000000"/>
                <w:sz w:val="16"/>
                <w:szCs w:val="16"/>
                <w:lang w:eastAsia="en-AU"/>
              </w:rPr>
              <w:t>4</w:t>
            </w:r>
          </w:p>
        </w:tc>
        <w:tc>
          <w:tcPr>
            <w:tcW w:w="1900" w:type="dxa"/>
            <w:tcBorders>
              <w:top w:val="nil"/>
              <w:left w:val="nil"/>
              <w:bottom w:val="single" w:sz="4" w:space="0" w:color="ADD6EA"/>
              <w:right w:val="nil"/>
            </w:tcBorders>
            <w:shd w:val="clear" w:color="auto" w:fill="auto"/>
            <w:noWrap/>
            <w:vAlign w:val="center"/>
            <w:hideMark/>
          </w:tcPr>
          <w:p w14:paraId="2C3D5C02" w14:textId="77777777" w:rsidR="009A6A52" w:rsidRPr="002C5B2F" w:rsidRDefault="009A6A52" w:rsidP="009A6A52">
            <w:pPr>
              <w:tabs>
                <w:tab w:val="clear" w:pos="567"/>
              </w:tabs>
              <w:spacing w:before="0" w:line="240" w:lineRule="auto"/>
              <w:jc w:val="right"/>
              <w:rPr>
                <w:rFonts w:ascii="Work Sans" w:eastAsia="Times New Roman" w:hAnsi="Work Sans" w:cs="Open Sans Light"/>
                <w:color w:val="000000"/>
                <w:sz w:val="16"/>
                <w:szCs w:val="16"/>
                <w:lang w:eastAsia="en-AU"/>
              </w:rPr>
            </w:pPr>
            <w:r w:rsidRPr="002C5B2F">
              <w:rPr>
                <w:rFonts w:ascii="Work Sans" w:eastAsia="Times New Roman" w:hAnsi="Work Sans" w:cs="Open Sans Light"/>
                <w:color w:val="000000"/>
                <w:sz w:val="16"/>
                <w:szCs w:val="16"/>
                <w:lang w:eastAsia="en-AU"/>
              </w:rPr>
              <w:t>0</w:t>
            </w:r>
          </w:p>
        </w:tc>
        <w:tc>
          <w:tcPr>
            <w:tcW w:w="1840" w:type="dxa"/>
            <w:tcBorders>
              <w:top w:val="nil"/>
              <w:left w:val="nil"/>
              <w:bottom w:val="single" w:sz="4" w:space="0" w:color="ADD6EA"/>
              <w:right w:val="nil"/>
            </w:tcBorders>
            <w:shd w:val="clear" w:color="auto" w:fill="auto"/>
            <w:noWrap/>
            <w:vAlign w:val="center"/>
            <w:hideMark/>
          </w:tcPr>
          <w:p w14:paraId="48FF947A" w14:textId="77777777" w:rsidR="009A6A52" w:rsidRPr="002C5B2F" w:rsidRDefault="009A6A52" w:rsidP="009A6A52">
            <w:pPr>
              <w:tabs>
                <w:tab w:val="clear" w:pos="567"/>
              </w:tabs>
              <w:spacing w:before="0" w:line="240" w:lineRule="auto"/>
              <w:jc w:val="right"/>
              <w:rPr>
                <w:rFonts w:ascii="Work Sans" w:eastAsia="Times New Roman" w:hAnsi="Work Sans" w:cs="Open Sans Light"/>
                <w:color w:val="000000"/>
                <w:sz w:val="16"/>
                <w:szCs w:val="16"/>
                <w:lang w:eastAsia="en-AU"/>
              </w:rPr>
            </w:pPr>
            <w:r w:rsidRPr="002C5B2F">
              <w:rPr>
                <w:rFonts w:ascii="Work Sans" w:eastAsia="Times New Roman" w:hAnsi="Work Sans" w:cs="Open Sans Light"/>
                <w:color w:val="000000"/>
                <w:sz w:val="16"/>
                <w:szCs w:val="16"/>
                <w:lang w:eastAsia="en-AU"/>
              </w:rPr>
              <w:t>0</w:t>
            </w:r>
          </w:p>
        </w:tc>
      </w:tr>
      <w:tr w:rsidR="009A6A52" w:rsidRPr="009A6A52" w14:paraId="6BB7089A" w14:textId="77777777" w:rsidTr="009A6A52">
        <w:trPr>
          <w:trHeight w:val="300"/>
        </w:trPr>
        <w:tc>
          <w:tcPr>
            <w:tcW w:w="2080" w:type="dxa"/>
            <w:tcBorders>
              <w:top w:val="nil"/>
              <w:left w:val="nil"/>
              <w:bottom w:val="single" w:sz="4" w:space="0" w:color="ADD6EA"/>
              <w:right w:val="nil"/>
            </w:tcBorders>
            <w:shd w:val="clear" w:color="auto" w:fill="auto"/>
            <w:vAlign w:val="center"/>
            <w:hideMark/>
          </w:tcPr>
          <w:p w14:paraId="00E639E6" w14:textId="77777777" w:rsidR="009A6A52" w:rsidRPr="002C5B2F" w:rsidRDefault="009A6A52" w:rsidP="009A6A52">
            <w:pPr>
              <w:tabs>
                <w:tab w:val="clear" w:pos="567"/>
              </w:tabs>
              <w:spacing w:before="0" w:line="240" w:lineRule="auto"/>
              <w:rPr>
                <w:rFonts w:ascii="Work Sans" w:eastAsia="Times New Roman" w:hAnsi="Work Sans" w:cs="Open Sans Light"/>
                <w:color w:val="000000"/>
                <w:sz w:val="16"/>
                <w:szCs w:val="16"/>
                <w:lang w:eastAsia="en-AU"/>
              </w:rPr>
            </w:pPr>
            <w:r w:rsidRPr="002C5B2F">
              <w:rPr>
                <w:rFonts w:ascii="Work Sans" w:eastAsia="Times New Roman" w:hAnsi="Work Sans" w:cs="Open Sans Light"/>
                <w:color w:val="000000"/>
                <w:sz w:val="16"/>
                <w:szCs w:val="16"/>
                <w:lang w:eastAsia="en-AU"/>
              </w:rPr>
              <w:t>India</w:t>
            </w:r>
          </w:p>
        </w:tc>
        <w:tc>
          <w:tcPr>
            <w:tcW w:w="1380" w:type="dxa"/>
            <w:tcBorders>
              <w:top w:val="nil"/>
              <w:left w:val="nil"/>
              <w:bottom w:val="single" w:sz="4" w:space="0" w:color="ADD6EA"/>
              <w:right w:val="nil"/>
            </w:tcBorders>
            <w:shd w:val="clear" w:color="auto" w:fill="auto"/>
            <w:noWrap/>
            <w:vAlign w:val="center"/>
            <w:hideMark/>
          </w:tcPr>
          <w:p w14:paraId="1B47EDAC" w14:textId="77777777" w:rsidR="009A6A52" w:rsidRPr="002C5B2F" w:rsidRDefault="009A6A52" w:rsidP="009A6A52">
            <w:pPr>
              <w:tabs>
                <w:tab w:val="clear" w:pos="567"/>
              </w:tabs>
              <w:spacing w:before="0" w:line="240" w:lineRule="auto"/>
              <w:jc w:val="right"/>
              <w:rPr>
                <w:rFonts w:ascii="Work Sans" w:eastAsia="Times New Roman" w:hAnsi="Work Sans" w:cs="Open Sans Light"/>
                <w:color w:val="000000"/>
                <w:sz w:val="16"/>
                <w:szCs w:val="16"/>
                <w:lang w:eastAsia="en-AU"/>
              </w:rPr>
            </w:pPr>
            <w:r w:rsidRPr="002C5B2F">
              <w:rPr>
                <w:rFonts w:ascii="Work Sans" w:eastAsia="Times New Roman" w:hAnsi="Work Sans" w:cs="Open Sans Light"/>
                <w:color w:val="000000"/>
                <w:sz w:val="16"/>
                <w:szCs w:val="16"/>
                <w:lang w:eastAsia="en-AU"/>
              </w:rPr>
              <w:t>7,059</w:t>
            </w:r>
          </w:p>
        </w:tc>
        <w:tc>
          <w:tcPr>
            <w:tcW w:w="1660" w:type="dxa"/>
            <w:tcBorders>
              <w:top w:val="nil"/>
              <w:left w:val="nil"/>
              <w:bottom w:val="single" w:sz="4" w:space="0" w:color="ADD6EA"/>
              <w:right w:val="nil"/>
            </w:tcBorders>
            <w:shd w:val="clear" w:color="auto" w:fill="auto"/>
            <w:noWrap/>
            <w:vAlign w:val="center"/>
            <w:hideMark/>
          </w:tcPr>
          <w:p w14:paraId="31758D0B" w14:textId="77777777" w:rsidR="009A6A52" w:rsidRPr="002C5B2F" w:rsidRDefault="009A6A52" w:rsidP="009A6A52">
            <w:pPr>
              <w:tabs>
                <w:tab w:val="clear" w:pos="567"/>
              </w:tabs>
              <w:spacing w:before="0" w:line="240" w:lineRule="auto"/>
              <w:jc w:val="right"/>
              <w:rPr>
                <w:rFonts w:ascii="Work Sans" w:eastAsia="Times New Roman" w:hAnsi="Work Sans" w:cs="Open Sans Light"/>
                <w:color w:val="000000"/>
                <w:sz w:val="16"/>
                <w:szCs w:val="16"/>
                <w:lang w:eastAsia="en-AU"/>
              </w:rPr>
            </w:pPr>
            <w:r w:rsidRPr="002C5B2F">
              <w:rPr>
                <w:rFonts w:ascii="Work Sans" w:eastAsia="Times New Roman" w:hAnsi="Work Sans" w:cs="Open Sans Light"/>
                <w:color w:val="000000"/>
                <w:sz w:val="16"/>
                <w:szCs w:val="16"/>
                <w:lang w:eastAsia="en-AU"/>
              </w:rPr>
              <w:t>3</w:t>
            </w:r>
          </w:p>
        </w:tc>
        <w:tc>
          <w:tcPr>
            <w:tcW w:w="1900" w:type="dxa"/>
            <w:tcBorders>
              <w:top w:val="nil"/>
              <w:left w:val="nil"/>
              <w:bottom w:val="single" w:sz="4" w:space="0" w:color="ADD6EA"/>
              <w:right w:val="nil"/>
            </w:tcBorders>
            <w:shd w:val="clear" w:color="auto" w:fill="auto"/>
            <w:noWrap/>
            <w:vAlign w:val="center"/>
            <w:hideMark/>
          </w:tcPr>
          <w:p w14:paraId="05B0AEC3" w14:textId="77777777" w:rsidR="009A6A52" w:rsidRPr="002C5B2F" w:rsidRDefault="009A6A52" w:rsidP="009A6A52">
            <w:pPr>
              <w:tabs>
                <w:tab w:val="clear" w:pos="567"/>
              </w:tabs>
              <w:spacing w:before="0" w:line="240" w:lineRule="auto"/>
              <w:jc w:val="right"/>
              <w:rPr>
                <w:rFonts w:ascii="Work Sans" w:eastAsia="Times New Roman" w:hAnsi="Work Sans" w:cs="Open Sans Light"/>
                <w:color w:val="000000"/>
                <w:sz w:val="16"/>
                <w:szCs w:val="16"/>
                <w:lang w:eastAsia="en-AU"/>
              </w:rPr>
            </w:pPr>
            <w:r w:rsidRPr="002C5B2F">
              <w:rPr>
                <w:rFonts w:ascii="Work Sans" w:eastAsia="Times New Roman" w:hAnsi="Work Sans" w:cs="Open Sans Light"/>
                <w:color w:val="000000"/>
                <w:sz w:val="16"/>
                <w:szCs w:val="16"/>
                <w:lang w:eastAsia="en-AU"/>
              </w:rPr>
              <w:t>69</w:t>
            </w:r>
          </w:p>
        </w:tc>
        <w:tc>
          <w:tcPr>
            <w:tcW w:w="1840" w:type="dxa"/>
            <w:tcBorders>
              <w:top w:val="nil"/>
              <w:left w:val="nil"/>
              <w:bottom w:val="single" w:sz="4" w:space="0" w:color="ADD6EA"/>
              <w:right w:val="nil"/>
            </w:tcBorders>
            <w:shd w:val="clear" w:color="auto" w:fill="auto"/>
            <w:noWrap/>
            <w:vAlign w:val="center"/>
            <w:hideMark/>
          </w:tcPr>
          <w:p w14:paraId="662D1CCE" w14:textId="77777777" w:rsidR="009A6A52" w:rsidRPr="002C5B2F" w:rsidRDefault="009A6A52" w:rsidP="009A6A52">
            <w:pPr>
              <w:tabs>
                <w:tab w:val="clear" w:pos="567"/>
              </w:tabs>
              <w:spacing w:before="0" w:line="240" w:lineRule="auto"/>
              <w:jc w:val="right"/>
              <w:rPr>
                <w:rFonts w:ascii="Work Sans" w:eastAsia="Times New Roman" w:hAnsi="Work Sans" w:cs="Open Sans Light"/>
                <w:color w:val="000000"/>
                <w:sz w:val="16"/>
                <w:szCs w:val="16"/>
                <w:lang w:eastAsia="en-AU"/>
              </w:rPr>
            </w:pPr>
            <w:r w:rsidRPr="002C5B2F">
              <w:rPr>
                <w:rFonts w:ascii="Work Sans" w:eastAsia="Times New Roman" w:hAnsi="Work Sans" w:cs="Open Sans Light"/>
                <w:color w:val="000000"/>
                <w:sz w:val="16"/>
                <w:szCs w:val="16"/>
                <w:lang w:eastAsia="en-AU"/>
              </w:rPr>
              <w:t>31</w:t>
            </w:r>
          </w:p>
        </w:tc>
      </w:tr>
      <w:tr w:rsidR="009A6A52" w:rsidRPr="009A6A52" w14:paraId="7E7ACC95" w14:textId="77777777" w:rsidTr="009A6A52">
        <w:trPr>
          <w:trHeight w:val="300"/>
        </w:trPr>
        <w:tc>
          <w:tcPr>
            <w:tcW w:w="2080" w:type="dxa"/>
            <w:tcBorders>
              <w:top w:val="nil"/>
              <w:left w:val="nil"/>
              <w:bottom w:val="single" w:sz="4" w:space="0" w:color="ADD6EA"/>
              <w:right w:val="nil"/>
            </w:tcBorders>
            <w:shd w:val="clear" w:color="auto" w:fill="auto"/>
            <w:vAlign w:val="center"/>
            <w:hideMark/>
          </w:tcPr>
          <w:p w14:paraId="67D1E48B" w14:textId="77777777" w:rsidR="009A6A52" w:rsidRPr="002C5B2F" w:rsidRDefault="009A6A52" w:rsidP="009A6A52">
            <w:pPr>
              <w:tabs>
                <w:tab w:val="clear" w:pos="567"/>
              </w:tabs>
              <w:spacing w:before="0" w:line="240" w:lineRule="auto"/>
              <w:rPr>
                <w:rFonts w:ascii="Work Sans" w:eastAsia="Times New Roman" w:hAnsi="Work Sans" w:cs="Open Sans Light"/>
                <w:color w:val="000000"/>
                <w:sz w:val="16"/>
                <w:szCs w:val="16"/>
                <w:lang w:eastAsia="en-AU"/>
              </w:rPr>
            </w:pPr>
            <w:r w:rsidRPr="002C5B2F">
              <w:rPr>
                <w:rFonts w:ascii="Work Sans" w:eastAsia="Times New Roman" w:hAnsi="Work Sans" w:cs="Open Sans Light"/>
                <w:color w:val="000000"/>
                <w:sz w:val="16"/>
                <w:szCs w:val="16"/>
                <w:lang w:eastAsia="en-AU"/>
              </w:rPr>
              <w:t>Latvia</w:t>
            </w:r>
          </w:p>
        </w:tc>
        <w:tc>
          <w:tcPr>
            <w:tcW w:w="1380" w:type="dxa"/>
            <w:tcBorders>
              <w:top w:val="nil"/>
              <w:left w:val="nil"/>
              <w:bottom w:val="single" w:sz="4" w:space="0" w:color="ADD6EA"/>
              <w:right w:val="nil"/>
            </w:tcBorders>
            <w:shd w:val="clear" w:color="auto" w:fill="auto"/>
            <w:noWrap/>
            <w:vAlign w:val="center"/>
            <w:hideMark/>
          </w:tcPr>
          <w:p w14:paraId="7A399836" w14:textId="77777777" w:rsidR="009A6A52" w:rsidRPr="002C5B2F" w:rsidRDefault="009A6A52" w:rsidP="009A6A52">
            <w:pPr>
              <w:tabs>
                <w:tab w:val="clear" w:pos="567"/>
              </w:tabs>
              <w:spacing w:before="0" w:line="240" w:lineRule="auto"/>
              <w:jc w:val="right"/>
              <w:rPr>
                <w:rFonts w:ascii="Work Sans" w:eastAsia="Times New Roman" w:hAnsi="Work Sans" w:cs="Open Sans Light"/>
                <w:color w:val="000000"/>
                <w:sz w:val="16"/>
                <w:szCs w:val="16"/>
                <w:lang w:eastAsia="en-AU"/>
              </w:rPr>
            </w:pPr>
            <w:r w:rsidRPr="002C5B2F">
              <w:rPr>
                <w:rFonts w:ascii="Work Sans" w:eastAsia="Times New Roman" w:hAnsi="Work Sans" w:cs="Open Sans Light"/>
                <w:color w:val="000000"/>
                <w:sz w:val="16"/>
                <w:szCs w:val="16"/>
                <w:lang w:eastAsia="en-AU"/>
              </w:rPr>
              <w:t>27,592</w:t>
            </w:r>
          </w:p>
        </w:tc>
        <w:tc>
          <w:tcPr>
            <w:tcW w:w="1660" w:type="dxa"/>
            <w:tcBorders>
              <w:top w:val="nil"/>
              <w:left w:val="nil"/>
              <w:bottom w:val="single" w:sz="4" w:space="0" w:color="ADD6EA"/>
              <w:right w:val="nil"/>
            </w:tcBorders>
            <w:shd w:val="clear" w:color="auto" w:fill="auto"/>
            <w:noWrap/>
            <w:vAlign w:val="center"/>
            <w:hideMark/>
          </w:tcPr>
          <w:p w14:paraId="0E914927" w14:textId="77777777" w:rsidR="009A6A52" w:rsidRPr="002C5B2F" w:rsidRDefault="009A6A52" w:rsidP="009A6A52">
            <w:pPr>
              <w:tabs>
                <w:tab w:val="clear" w:pos="567"/>
              </w:tabs>
              <w:spacing w:before="0" w:line="240" w:lineRule="auto"/>
              <w:jc w:val="right"/>
              <w:rPr>
                <w:rFonts w:ascii="Work Sans" w:eastAsia="Times New Roman" w:hAnsi="Work Sans" w:cs="Open Sans Light"/>
                <w:color w:val="000000"/>
                <w:sz w:val="16"/>
                <w:szCs w:val="16"/>
                <w:lang w:eastAsia="en-AU"/>
              </w:rPr>
            </w:pPr>
            <w:r w:rsidRPr="002C5B2F">
              <w:rPr>
                <w:rFonts w:ascii="Work Sans" w:eastAsia="Times New Roman" w:hAnsi="Work Sans" w:cs="Open Sans Light"/>
                <w:color w:val="000000"/>
                <w:sz w:val="16"/>
                <w:szCs w:val="16"/>
                <w:lang w:eastAsia="en-AU"/>
              </w:rPr>
              <w:t>3</w:t>
            </w:r>
          </w:p>
        </w:tc>
        <w:tc>
          <w:tcPr>
            <w:tcW w:w="1900" w:type="dxa"/>
            <w:tcBorders>
              <w:top w:val="nil"/>
              <w:left w:val="nil"/>
              <w:bottom w:val="single" w:sz="4" w:space="0" w:color="ADD6EA"/>
              <w:right w:val="nil"/>
            </w:tcBorders>
            <w:shd w:val="clear" w:color="auto" w:fill="auto"/>
            <w:noWrap/>
            <w:vAlign w:val="center"/>
            <w:hideMark/>
          </w:tcPr>
          <w:p w14:paraId="76B0289E" w14:textId="77777777" w:rsidR="009A6A52" w:rsidRPr="002C5B2F" w:rsidRDefault="009A6A52" w:rsidP="009A6A52">
            <w:pPr>
              <w:tabs>
                <w:tab w:val="clear" w:pos="567"/>
              </w:tabs>
              <w:spacing w:before="0" w:line="240" w:lineRule="auto"/>
              <w:jc w:val="right"/>
              <w:rPr>
                <w:rFonts w:ascii="Work Sans" w:eastAsia="Times New Roman" w:hAnsi="Work Sans" w:cs="Open Sans Light"/>
                <w:color w:val="000000"/>
                <w:sz w:val="16"/>
                <w:szCs w:val="16"/>
                <w:lang w:eastAsia="en-AU"/>
              </w:rPr>
            </w:pPr>
            <w:r w:rsidRPr="002C5B2F">
              <w:rPr>
                <w:rFonts w:ascii="Work Sans" w:eastAsia="Times New Roman" w:hAnsi="Work Sans" w:cs="Open Sans Light"/>
                <w:color w:val="000000"/>
                <w:sz w:val="16"/>
                <w:szCs w:val="16"/>
                <w:lang w:eastAsia="en-AU"/>
              </w:rPr>
              <w:t>58</w:t>
            </w:r>
          </w:p>
        </w:tc>
        <w:tc>
          <w:tcPr>
            <w:tcW w:w="1840" w:type="dxa"/>
            <w:tcBorders>
              <w:top w:val="nil"/>
              <w:left w:val="nil"/>
              <w:bottom w:val="single" w:sz="4" w:space="0" w:color="ADD6EA"/>
              <w:right w:val="nil"/>
            </w:tcBorders>
            <w:shd w:val="clear" w:color="auto" w:fill="auto"/>
            <w:noWrap/>
            <w:vAlign w:val="center"/>
            <w:hideMark/>
          </w:tcPr>
          <w:p w14:paraId="5F13323A" w14:textId="77777777" w:rsidR="009A6A52" w:rsidRPr="002C5B2F" w:rsidRDefault="009A6A52" w:rsidP="009A6A52">
            <w:pPr>
              <w:tabs>
                <w:tab w:val="clear" w:pos="567"/>
              </w:tabs>
              <w:spacing w:before="0" w:line="240" w:lineRule="auto"/>
              <w:jc w:val="right"/>
              <w:rPr>
                <w:rFonts w:ascii="Work Sans" w:eastAsia="Times New Roman" w:hAnsi="Work Sans" w:cs="Open Sans Light"/>
                <w:color w:val="000000"/>
                <w:sz w:val="16"/>
                <w:szCs w:val="16"/>
                <w:lang w:eastAsia="en-AU"/>
              </w:rPr>
            </w:pPr>
            <w:r w:rsidRPr="002C5B2F">
              <w:rPr>
                <w:rFonts w:ascii="Work Sans" w:eastAsia="Times New Roman" w:hAnsi="Work Sans" w:cs="Open Sans Light"/>
                <w:color w:val="000000"/>
                <w:sz w:val="16"/>
                <w:szCs w:val="16"/>
                <w:lang w:eastAsia="en-AU"/>
              </w:rPr>
              <w:t>42</w:t>
            </w:r>
          </w:p>
        </w:tc>
      </w:tr>
      <w:tr w:rsidR="009A6A52" w:rsidRPr="009A6A52" w14:paraId="5CB7E28B" w14:textId="77777777" w:rsidTr="009A6A52">
        <w:trPr>
          <w:trHeight w:val="300"/>
        </w:trPr>
        <w:tc>
          <w:tcPr>
            <w:tcW w:w="2080" w:type="dxa"/>
            <w:tcBorders>
              <w:top w:val="nil"/>
              <w:left w:val="nil"/>
              <w:bottom w:val="single" w:sz="4" w:space="0" w:color="ADD6EA"/>
              <w:right w:val="nil"/>
            </w:tcBorders>
            <w:shd w:val="clear" w:color="auto" w:fill="auto"/>
            <w:vAlign w:val="center"/>
            <w:hideMark/>
          </w:tcPr>
          <w:p w14:paraId="48077773" w14:textId="77777777" w:rsidR="009A6A52" w:rsidRPr="002C5B2F" w:rsidRDefault="009A6A52" w:rsidP="009A6A52">
            <w:pPr>
              <w:tabs>
                <w:tab w:val="clear" w:pos="567"/>
              </w:tabs>
              <w:spacing w:before="0" w:line="240" w:lineRule="auto"/>
              <w:rPr>
                <w:rFonts w:ascii="Work Sans" w:eastAsia="Times New Roman" w:hAnsi="Work Sans" w:cs="Open Sans Light"/>
                <w:color w:val="000000"/>
                <w:sz w:val="16"/>
                <w:szCs w:val="16"/>
                <w:lang w:eastAsia="en-AU"/>
              </w:rPr>
            </w:pPr>
            <w:r w:rsidRPr="002C5B2F">
              <w:rPr>
                <w:rFonts w:ascii="Work Sans" w:eastAsia="Times New Roman" w:hAnsi="Work Sans" w:cs="Open Sans Light"/>
                <w:color w:val="000000"/>
                <w:sz w:val="16"/>
                <w:szCs w:val="16"/>
                <w:lang w:eastAsia="en-AU"/>
              </w:rPr>
              <w:t>Ireland</w:t>
            </w:r>
          </w:p>
        </w:tc>
        <w:tc>
          <w:tcPr>
            <w:tcW w:w="1380" w:type="dxa"/>
            <w:tcBorders>
              <w:top w:val="nil"/>
              <w:left w:val="nil"/>
              <w:bottom w:val="single" w:sz="4" w:space="0" w:color="ADD6EA"/>
              <w:right w:val="nil"/>
            </w:tcBorders>
            <w:shd w:val="clear" w:color="auto" w:fill="auto"/>
            <w:noWrap/>
            <w:vAlign w:val="center"/>
            <w:hideMark/>
          </w:tcPr>
          <w:p w14:paraId="617E526A" w14:textId="77777777" w:rsidR="009A6A52" w:rsidRPr="002C5B2F" w:rsidRDefault="009A6A52" w:rsidP="009A6A52">
            <w:pPr>
              <w:tabs>
                <w:tab w:val="clear" w:pos="567"/>
              </w:tabs>
              <w:spacing w:before="0" w:line="240" w:lineRule="auto"/>
              <w:jc w:val="right"/>
              <w:rPr>
                <w:rFonts w:ascii="Work Sans" w:eastAsia="Times New Roman" w:hAnsi="Work Sans" w:cs="Open Sans Light"/>
                <w:color w:val="000000"/>
                <w:sz w:val="16"/>
                <w:szCs w:val="16"/>
                <w:lang w:eastAsia="en-AU"/>
              </w:rPr>
            </w:pPr>
            <w:r w:rsidRPr="002C5B2F">
              <w:rPr>
                <w:rFonts w:ascii="Work Sans" w:eastAsia="Times New Roman" w:hAnsi="Work Sans" w:cs="Open Sans Light"/>
                <w:color w:val="000000"/>
                <w:sz w:val="16"/>
                <w:szCs w:val="16"/>
                <w:lang w:eastAsia="en-AU"/>
              </w:rPr>
              <w:t>75,648</w:t>
            </w:r>
          </w:p>
        </w:tc>
        <w:tc>
          <w:tcPr>
            <w:tcW w:w="1660" w:type="dxa"/>
            <w:tcBorders>
              <w:top w:val="nil"/>
              <w:left w:val="nil"/>
              <w:bottom w:val="single" w:sz="4" w:space="0" w:color="ADD6EA"/>
              <w:right w:val="nil"/>
            </w:tcBorders>
            <w:shd w:val="clear" w:color="auto" w:fill="auto"/>
            <w:noWrap/>
            <w:vAlign w:val="center"/>
            <w:hideMark/>
          </w:tcPr>
          <w:p w14:paraId="462C8BF7" w14:textId="77777777" w:rsidR="009A6A52" w:rsidRPr="002C5B2F" w:rsidRDefault="009A6A52" w:rsidP="009A6A52">
            <w:pPr>
              <w:tabs>
                <w:tab w:val="clear" w:pos="567"/>
              </w:tabs>
              <w:spacing w:before="0" w:line="240" w:lineRule="auto"/>
              <w:jc w:val="right"/>
              <w:rPr>
                <w:rFonts w:ascii="Work Sans" w:eastAsia="Times New Roman" w:hAnsi="Work Sans" w:cs="Open Sans Light"/>
                <w:color w:val="000000"/>
                <w:sz w:val="16"/>
                <w:szCs w:val="16"/>
                <w:lang w:eastAsia="en-AU"/>
              </w:rPr>
            </w:pPr>
            <w:r w:rsidRPr="002C5B2F">
              <w:rPr>
                <w:rFonts w:ascii="Work Sans" w:eastAsia="Times New Roman" w:hAnsi="Work Sans" w:cs="Open Sans Light"/>
                <w:color w:val="000000"/>
                <w:sz w:val="16"/>
                <w:szCs w:val="16"/>
                <w:lang w:eastAsia="en-AU"/>
              </w:rPr>
              <w:t>1</w:t>
            </w:r>
          </w:p>
        </w:tc>
        <w:tc>
          <w:tcPr>
            <w:tcW w:w="1900" w:type="dxa"/>
            <w:tcBorders>
              <w:top w:val="nil"/>
              <w:left w:val="nil"/>
              <w:bottom w:val="single" w:sz="4" w:space="0" w:color="ADD6EA"/>
              <w:right w:val="nil"/>
            </w:tcBorders>
            <w:shd w:val="clear" w:color="auto" w:fill="auto"/>
            <w:noWrap/>
            <w:vAlign w:val="center"/>
            <w:hideMark/>
          </w:tcPr>
          <w:p w14:paraId="36026C4E" w14:textId="77777777" w:rsidR="009A6A52" w:rsidRPr="002C5B2F" w:rsidRDefault="009A6A52" w:rsidP="009A6A52">
            <w:pPr>
              <w:tabs>
                <w:tab w:val="clear" w:pos="567"/>
              </w:tabs>
              <w:spacing w:before="0" w:line="240" w:lineRule="auto"/>
              <w:jc w:val="right"/>
              <w:rPr>
                <w:rFonts w:ascii="Work Sans" w:eastAsia="Times New Roman" w:hAnsi="Work Sans" w:cs="Open Sans Light"/>
                <w:color w:val="000000"/>
                <w:sz w:val="16"/>
                <w:szCs w:val="16"/>
                <w:lang w:eastAsia="en-AU"/>
              </w:rPr>
            </w:pPr>
            <w:r w:rsidRPr="002C5B2F">
              <w:rPr>
                <w:rFonts w:ascii="Work Sans" w:eastAsia="Times New Roman" w:hAnsi="Work Sans" w:cs="Open Sans Light"/>
                <w:color w:val="000000"/>
                <w:sz w:val="16"/>
                <w:szCs w:val="16"/>
                <w:lang w:eastAsia="en-AU"/>
              </w:rPr>
              <w:t>34</w:t>
            </w:r>
          </w:p>
        </w:tc>
        <w:tc>
          <w:tcPr>
            <w:tcW w:w="1840" w:type="dxa"/>
            <w:tcBorders>
              <w:top w:val="nil"/>
              <w:left w:val="nil"/>
              <w:bottom w:val="single" w:sz="4" w:space="0" w:color="ADD6EA"/>
              <w:right w:val="nil"/>
            </w:tcBorders>
            <w:shd w:val="clear" w:color="auto" w:fill="auto"/>
            <w:noWrap/>
            <w:vAlign w:val="center"/>
            <w:hideMark/>
          </w:tcPr>
          <w:p w14:paraId="1601C38E" w14:textId="77777777" w:rsidR="009A6A52" w:rsidRPr="002C5B2F" w:rsidRDefault="009A6A52" w:rsidP="009A6A52">
            <w:pPr>
              <w:tabs>
                <w:tab w:val="clear" w:pos="567"/>
              </w:tabs>
              <w:spacing w:before="0" w:line="240" w:lineRule="auto"/>
              <w:jc w:val="right"/>
              <w:rPr>
                <w:rFonts w:ascii="Work Sans" w:eastAsia="Times New Roman" w:hAnsi="Work Sans" w:cs="Open Sans Light"/>
                <w:color w:val="000000"/>
                <w:sz w:val="16"/>
                <w:szCs w:val="16"/>
                <w:lang w:eastAsia="en-AU"/>
              </w:rPr>
            </w:pPr>
            <w:r w:rsidRPr="002C5B2F">
              <w:rPr>
                <w:rFonts w:ascii="Work Sans" w:eastAsia="Times New Roman" w:hAnsi="Work Sans" w:cs="Open Sans Light"/>
                <w:color w:val="000000"/>
                <w:sz w:val="16"/>
                <w:szCs w:val="16"/>
                <w:lang w:eastAsia="en-AU"/>
              </w:rPr>
              <w:t>66</w:t>
            </w:r>
          </w:p>
        </w:tc>
      </w:tr>
    </w:tbl>
    <w:p w14:paraId="68DB8CCC" w14:textId="0C10E973" w:rsidR="004D7F21" w:rsidRPr="002C5B2F" w:rsidRDefault="004D7F21" w:rsidP="006E41AC">
      <w:pPr>
        <w:pStyle w:val="CGCTablerow"/>
        <w:ind w:left="709" w:hanging="709"/>
        <w:rPr>
          <w:rFonts w:ascii="Work Sans" w:hAnsi="Work Sans"/>
          <w:lang w:eastAsia="en-AU"/>
        </w:rPr>
      </w:pPr>
      <w:r w:rsidRPr="002C5B2F">
        <w:rPr>
          <w:rFonts w:ascii="Work Sans" w:hAnsi="Work Sans"/>
          <w:lang w:eastAsia="en-AU"/>
        </w:rPr>
        <w:t>Sources: Dougherty, S. &amp; Forman, K. (2021). Evaluating fiscal equalisation: finding the right balance</w:t>
      </w:r>
      <w:r w:rsidR="006E41AC" w:rsidRPr="002C5B2F">
        <w:rPr>
          <w:rFonts w:ascii="Work Sans" w:hAnsi="Work Sans"/>
          <w:lang w:eastAsia="en-AU"/>
        </w:rPr>
        <w:t xml:space="preserve">, </w:t>
      </w:r>
      <w:r w:rsidR="006E41AC" w:rsidRPr="002C5B2F">
        <w:rPr>
          <w:rFonts w:ascii="Work Sans" w:hAnsi="Work Sans"/>
          <w:i/>
        </w:rPr>
        <w:t>OECD Working Papers on Fiscal Federalism, no. 36</w:t>
      </w:r>
      <w:r w:rsidR="006E41AC" w:rsidRPr="002C5B2F">
        <w:rPr>
          <w:rFonts w:ascii="Work Sans" w:hAnsi="Work Sans"/>
        </w:rPr>
        <w:t>,</w:t>
      </w:r>
      <w:r w:rsidRPr="002C5B2F">
        <w:rPr>
          <w:rFonts w:ascii="Work Sans" w:hAnsi="Work Sans"/>
          <w:lang w:eastAsia="en-AU"/>
        </w:rPr>
        <w:t xml:space="preserve"> Paris: OECD publishing</w:t>
      </w:r>
      <w:r w:rsidR="0038306E" w:rsidRPr="002C5B2F">
        <w:rPr>
          <w:rFonts w:ascii="Work Sans" w:hAnsi="Work Sans"/>
          <w:lang w:eastAsia="en-AU"/>
        </w:rPr>
        <w:t>.</w:t>
      </w:r>
      <w:r w:rsidRPr="002C5B2F">
        <w:rPr>
          <w:rFonts w:ascii="Work Sans" w:hAnsi="Work Sans"/>
          <w:lang w:eastAsia="en-AU"/>
        </w:rPr>
        <w:t xml:space="preserve"> </w:t>
      </w:r>
    </w:p>
    <w:p w14:paraId="49B56D43" w14:textId="6B5BB210" w:rsidR="004D7F21" w:rsidRPr="002C5B2F" w:rsidRDefault="004D7F21" w:rsidP="002C5B2F">
      <w:pPr>
        <w:pStyle w:val="CGCTablerow"/>
        <w:ind w:left="709" w:hanging="142"/>
        <w:rPr>
          <w:rFonts w:ascii="Work Sans" w:hAnsi="Work Sans"/>
          <w:sz w:val="21"/>
          <w:szCs w:val="21"/>
          <w:lang w:eastAsia="en-AU"/>
        </w:rPr>
      </w:pPr>
      <w:r w:rsidRPr="002C5B2F">
        <w:rPr>
          <w:rFonts w:ascii="Work Sans" w:hAnsi="Work Sans"/>
          <w:lang w:eastAsia="en-AU"/>
        </w:rPr>
        <w:tab/>
      </w:r>
      <w:r w:rsidRPr="002C5B2F">
        <w:rPr>
          <w:rFonts w:ascii="Work Sans" w:hAnsi="Work Sans"/>
          <w:lang w:eastAsia="en-AU"/>
        </w:rPr>
        <w:tab/>
        <w:t xml:space="preserve">OECD-UCLG, 2020, </w:t>
      </w:r>
      <w:hyperlink r:id="rId19" w:history="1">
        <w:r w:rsidRPr="002C5B2F">
          <w:rPr>
            <w:rStyle w:val="Hyperlink"/>
            <w:rFonts w:ascii="Work Sans" w:eastAsia="Times New Roman" w:hAnsi="Work Sans" w:cs="Open Sans Light"/>
            <w:i/>
            <w:szCs w:val="16"/>
            <w:lang w:eastAsia="en-AU"/>
          </w:rPr>
          <w:t>https://stats.oecd.org</w:t>
        </w:r>
      </w:hyperlink>
      <w:r w:rsidRPr="002C5B2F">
        <w:rPr>
          <w:rFonts w:ascii="Work Sans" w:hAnsi="Work Sans"/>
          <w:lang w:eastAsia="en-AU"/>
        </w:rPr>
        <w:t>, OECD, accessed 9 August 2021</w:t>
      </w:r>
      <w:r w:rsidR="009F6137" w:rsidRPr="002C5B2F">
        <w:rPr>
          <w:rFonts w:ascii="Work Sans" w:hAnsi="Work Sans"/>
          <w:lang w:eastAsia="en-AU"/>
        </w:rPr>
        <w:t>.</w:t>
      </w:r>
    </w:p>
    <w:p w14:paraId="502D868B" w14:textId="4BF6A891" w:rsidR="004D7F21" w:rsidRPr="00C32075" w:rsidRDefault="004D7F21" w:rsidP="004D7F21">
      <w:pPr>
        <w:pStyle w:val="Heading3"/>
      </w:pPr>
      <w:r>
        <w:br w:type="column"/>
      </w:r>
      <w:r w:rsidRPr="00C32075">
        <w:lastRenderedPageBreak/>
        <w:t xml:space="preserve">Australia </w:t>
      </w:r>
    </w:p>
    <w:p w14:paraId="7D8F6F37" w14:textId="3935944B" w:rsidR="004D7F21" w:rsidRPr="003D516A" w:rsidRDefault="00416117" w:rsidP="00D073A2">
      <w:pPr>
        <w:rPr>
          <w:rFonts w:ascii="Work Sans" w:hAnsi="Work Sans"/>
          <w:sz w:val="24"/>
          <w:szCs w:val="24"/>
        </w:rPr>
      </w:pPr>
      <w:r w:rsidRPr="003D516A">
        <w:rPr>
          <w:rFonts w:ascii="Work Sans" w:hAnsi="Work Sans"/>
          <w:sz w:val="24"/>
          <w:szCs w:val="24"/>
        </w:rPr>
        <w:t xml:space="preserve">Australia is a federation </w:t>
      </w:r>
      <w:r w:rsidR="00744CC6" w:rsidRPr="003D516A">
        <w:rPr>
          <w:rFonts w:ascii="Work Sans" w:hAnsi="Work Sans"/>
          <w:sz w:val="24"/>
          <w:szCs w:val="24"/>
        </w:rPr>
        <w:t xml:space="preserve">of </w:t>
      </w:r>
      <w:r w:rsidR="00C87845" w:rsidRPr="003D516A">
        <w:rPr>
          <w:rFonts w:ascii="Work Sans" w:hAnsi="Work Sans"/>
          <w:sz w:val="24"/>
          <w:szCs w:val="24"/>
        </w:rPr>
        <w:t xml:space="preserve">six states and </w:t>
      </w:r>
      <w:r w:rsidR="00207169" w:rsidRPr="003D516A">
        <w:rPr>
          <w:rFonts w:ascii="Work Sans" w:hAnsi="Work Sans"/>
          <w:sz w:val="24"/>
          <w:szCs w:val="24"/>
        </w:rPr>
        <w:t xml:space="preserve">two </w:t>
      </w:r>
      <w:r w:rsidR="00101B12" w:rsidRPr="003D516A">
        <w:rPr>
          <w:rFonts w:ascii="Work Sans" w:hAnsi="Work Sans"/>
          <w:sz w:val="24"/>
          <w:szCs w:val="24"/>
        </w:rPr>
        <w:t xml:space="preserve">self-governing </w:t>
      </w:r>
      <w:r w:rsidR="00207169" w:rsidRPr="003D516A">
        <w:rPr>
          <w:rFonts w:ascii="Work Sans" w:hAnsi="Work Sans"/>
          <w:sz w:val="24"/>
          <w:szCs w:val="24"/>
        </w:rPr>
        <w:t>territories</w:t>
      </w:r>
      <w:r w:rsidR="004E4CD9" w:rsidRPr="003D516A">
        <w:rPr>
          <w:rFonts w:ascii="Work Sans" w:hAnsi="Work Sans"/>
          <w:sz w:val="24"/>
          <w:szCs w:val="24"/>
        </w:rPr>
        <w:t>,</w:t>
      </w:r>
      <w:r w:rsidR="00823060" w:rsidRPr="003D516A">
        <w:rPr>
          <w:rFonts w:ascii="Work Sans" w:hAnsi="Work Sans"/>
          <w:sz w:val="24"/>
          <w:szCs w:val="24"/>
        </w:rPr>
        <w:t xml:space="preserve"> with populations rangin</w:t>
      </w:r>
      <w:r w:rsidR="00B858CA" w:rsidRPr="003D516A">
        <w:rPr>
          <w:rFonts w:ascii="Work Sans" w:hAnsi="Work Sans"/>
          <w:sz w:val="24"/>
          <w:szCs w:val="24"/>
        </w:rPr>
        <w:t>g</w:t>
      </w:r>
      <w:r w:rsidR="00823060" w:rsidRPr="003D516A">
        <w:rPr>
          <w:rFonts w:ascii="Work Sans" w:hAnsi="Work Sans"/>
          <w:sz w:val="24"/>
          <w:szCs w:val="24"/>
        </w:rPr>
        <w:t xml:space="preserve"> </w:t>
      </w:r>
      <w:r w:rsidR="00B858CA" w:rsidRPr="003D516A">
        <w:rPr>
          <w:rFonts w:ascii="Work Sans" w:hAnsi="Work Sans"/>
          <w:sz w:val="24"/>
          <w:szCs w:val="24"/>
        </w:rPr>
        <w:t>f</w:t>
      </w:r>
      <w:r w:rsidR="00823060" w:rsidRPr="003D516A">
        <w:rPr>
          <w:rFonts w:ascii="Work Sans" w:hAnsi="Work Sans"/>
          <w:sz w:val="24"/>
          <w:szCs w:val="24"/>
        </w:rPr>
        <w:t>rom</w:t>
      </w:r>
      <w:r w:rsidR="00DD3BA0" w:rsidRPr="003D516A">
        <w:rPr>
          <w:rFonts w:ascii="Work Sans" w:hAnsi="Work Sans"/>
          <w:sz w:val="24"/>
          <w:szCs w:val="24"/>
        </w:rPr>
        <w:t xml:space="preserve"> </w:t>
      </w:r>
      <w:r w:rsidR="00B858CA" w:rsidRPr="003D516A">
        <w:rPr>
          <w:rFonts w:ascii="Work Sans" w:hAnsi="Work Sans"/>
          <w:sz w:val="24"/>
          <w:szCs w:val="24"/>
        </w:rPr>
        <w:t xml:space="preserve">246,000 (Northern Territory) to </w:t>
      </w:r>
      <w:r w:rsidR="005A6C33" w:rsidRPr="003D516A">
        <w:rPr>
          <w:rFonts w:ascii="Work Sans" w:hAnsi="Work Sans"/>
          <w:sz w:val="24"/>
          <w:szCs w:val="24"/>
        </w:rPr>
        <w:t>8.</w:t>
      </w:r>
      <w:r w:rsidR="00D01A3C" w:rsidRPr="003D516A">
        <w:rPr>
          <w:rFonts w:ascii="Work Sans" w:hAnsi="Work Sans"/>
          <w:sz w:val="24"/>
          <w:szCs w:val="24"/>
        </w:rPr>
        <w:t>2</w:t>
      </w:r>
      <w:r w:rsidR="00DE04F4">
        <w:rPr>
          <w:rFonts w:ascii="Work Sans" w:hAnsi="Work Sans"/>
          <w:sz w:val="24"/>
          <w:szCs w:val="24"/>
        </w:rPr>
        <w:t> </w:t>
      </w:r>
      <w:r w:rsidR="00D01A3C" w:rsidRPr="003D516A">
        <w:rPr>
          <w:rFonts w:ascii="Work Sans" w:hAnsi="Work Sans"/>
          <w:sz w:val="24"/>
          <w:szCs w:val="24"/>
        </w:rPr>
        <w:t>million (New South Wales).</w:t>
      </w:r>
      <w:r w:rsidR="00207169" w:rsidRPr="003D516A">
        <w:rPr>
          <w:rFonts w:ascii="Work Sans" w:hAnsi="Work Sans"/>
          <w:sz w:val="24"/>
          <w:szCs w:val="24"/>
        </w:rPr>
        <w:t xml:space="preserve"> </w:t>
      </w:r>
      <w:r w:rsidR="004D7F21" w:rsidRPr="003D516A">
        <w:rPr>
          <w:rFonts w:ascii="Work Sans" w:hAnsi="Work Sans"/>
          <w:sz w:val="24"/>
          <w:szCs w:val="24"/>
        </w:rPr>
        <w:t xml:space="preserve">Australia’s states and territories (states) have large spending responsibilities but limited revenue raising capacity. Commonwealth </w:t>
      </w:r>
      <w:r w:rsidR="003B5350" w:rsidRPr="003D516A">
        <w:rPr>
          <w:rFonts w:ascii="Work Sans" w:hAnsi="Work Sans"/>
          <w:sz w:val="24"/>
          <w:szCs w:val="24"/>
        </w:rPr>
        <w:t xml:space="preserve">Government </w:t>
      </w:r>
      <w:r w:rsidR="004D7F21" w:rsidRPr="003D516A">
        <w:rPr>
          <w:rFonts w:ascii="Work Sans" w:hAnsi="Work Sans"/>
          <w:sz w:val="24"/>
          <w:szCs w:val="24"/>
        </w:rPr>
        <w:t>transfers finance 45% of state spending</w:t>
      </w:r>
      <w:r w:rsidR="00FE14C7" w:rsidRPr="003D516A">
        <w:rPr>
          <w:rFonts w:ascii="Work Sans" w:hAnsi="Work Sans"/>
          <w:sz w:val="24"/>
          <w:szCs w:val="24"/>
        </w:rPr>
        <w:t xml:space="preserve"> (though this percentage varies </w:t>
      </w:r>
      <w:r w:rsidR="003756C4" w:rsidRPr="003D516A">
        <w:rPr>
          <w:rFonts w:ascii="Work Sans" w:hAnsi="Work Sans"/>
          <w:sz w:val="24"/>
          <w:szCs w:val="24"/>
        </w:rPr>
        <w:t>significantly between states)</w:t>
      </w:r>
      <w:r w:rsidR="004D7F21" w:rsidRPr="003D516A">
        <w:rPr>
          <w:rFonts w:ascii="Work Sans" w:hAnsi="Work Sans"/>
          <w:sz w:val="24"/>
          <w:szCs w:val="24"/>
        </w:rPr>
        <w:t xml:space="preserve">. This ‘vertical fiscal imbalance’ is high by international standards. </w:t>
      </w:r>
    </w:p>
    <w:p w14:paraId="02AA8054" w14:textId="77777777" w:rsidR="004D7F21" w:rsidRPr="003D516A" w:rsidRDefault="004D7F21" w:rsidP="00D073A2">
      <w:pPr>
        <w:rPr>
          <w:rFonts w:ascii="Work Sans" w:hAnsi="Work Sans"/>
          <w:sz w:val="24"/>
          <w:szCs w:val="24"/>
        </w:rPr>
      </w:pPr>
      <w:r w:rsidRPr="003D516A">
        <w:rPr>
          <w:rFonts w:ascii="Work Sans" w:hAnsi="Work Sans"/>
          <w:sz w:val="24"/>
          <w:szCs w:val="24"/>
        </w:rPr>
        <w:t xml:space="preserve">Equalisation involves the distribution of Goods and Services Tax (GST) receipts, along with pool ‘top-ups’ from the Commonwealth Government. The Treasurer determines the distribution of the GST pool to the states, drawing on the recommendations of the Commonwealth Grants Commission (the Commission), which is an independent agency. The Commission considers the revenue raising ability and spending needs of each state. </w:t>
      </w:r>
    </w:p>
    <w:p w14:paraId="6209C6FE" w14:textId="6A201549" w:rsidR="004D7F21" w:rsidRPr="003D516A" w:rsidRDefault="004D7F21" w:rsidP="00D073A2">
      <w:pPr>
        <w:rPr>
          <w:rFonts w:ascii="Work Sans" w:hAnsi="Work Sans"/>
          <w:sz w:val="24"/>
          <w:szCs w:val="24"/>
        </w:rPr>
      </w:pPr>
      <w:r w:rsidRPr="003D516A">
        <w:rPr>
          <w:rFonts w:ascii="Work Sans" w:hAnsi="Work Sans"/>
          <w:sz w:val="24"/>
          <w:szCs w:val="24"/>
        </w:rPr>
        <w:t xml:space="preserve">In assessing a state’s revenue capacity, the Commission applies national average tax rates to each state’s revenue base. This is a form of </w:t>
      </w:r>
      <w:r w:rsidR="007338C2">
        <w:rPr>
          <w:rFonts w:ascii="Work Sans" w:hAnsi="Work Sans"/>
          <w:sz w:val="24"/>
          <w:szCs w:val="24"/>
        </w:rPr>
        <w:t>the</w:t>
      </w:r>
      <w:r w:rsidRPr="003D516A">
        <w:rPr>
          <w:rFonts w:ascii="Work Sans" w:hAnsi="Work Sans"/>
          <w:sz w:val="24"/>
          <w:szCs w:val="24"/>
        </w:rPr>
        <w:t xml:space="preserve"> ‘representative tax system’ (RTS) approach. It calculates the capacity of a state to raise revenue from its own major tax bases with an average tax effort. A larger revenue raising capacity means a smaller equalisation payment. </w:t>
      </w:r>
    </w:p>
    <w:p w14:paraId="2C23EC1F" w14:textId="77777777" w:rsidR="004D7F21" w:rsidRPr="003D516A" w:rsidRDefault="004D7F21" w:rsidP="00D073A2">
      <w:pPr>
        <w:rPr>
          <w:rFonts w:ascii="Work Sans" w:hAnsi="Work Sans"/>
          <w:sz w:val="24"/>
          <w:szCs w:val="24"/>
        </w:rPr>
      </w:pPr>
      <w:r w:rsidRPr="003D516A">
        <w:rPr>
          <w:rFonts w:ascii="Work Sans" w:hAnsi="Work Sans"/>
          <w:sz w:val="24"/>
          <w:szCs w:val="24"/>
        </w:rPr>
        <w:t xml:space="preserve">In assessing a state’s expense needs, the Commission estimates the cost for each state to provide an average standard of service and stock of infrastructure. It allows for attributes beyond a state’s control, such as population size, age, socio-economic status, Indigenous status, population dispersion, private provision of state type services, industry size and wage costs. These influence both the level of demand for services, and the unit cost of providing services. </w:t>
      </w:r>
    </w:p>
    <w:p w14:paraId="792636AD" w14:textId="65797359" w:rsidR="004D7F21" w:rsidRPr="003D516A" w:rsidRDefault="0071079B" w:rsidP="00D073A2">
      <w:pPr>
        <w:rPr>
          <w:rFonts w:ascii="Work Sans" w:hAnsi="Work Sans"/>
          <w:sz w:val="24"/>
          <w:szCs w:val="24"/>
        </w:rPr>
      </w:pPr>
      <w:r w:rsidRPr="003D516A">
        <w:rPr>
          <w:rFonts w:ascii="Work Sans" w:hAnsi="Work Sans"/>
          <w:sz w:val="24"/>
          <w:szCs w:val="24"/>
        </w:rPr>
        <w:t>Until 2020-21</w:t>
      </w:r>
      <w:r w:rsidR="004D7F21" w:rsidRPr="003D516A">
        <w:rPr>
          <w:rFonts w:ascii="Work Sans" w:hAnsi="Work Sans"/>
          <w:sz w:val="24"/>
          <w:szCs w:val="24"/>
        </w:rPr>
        <w:t xml:space="preserve">, the Commission recommended a GST distribution that provided each state with the fiscal capacity </w:t>
      </w:r>
      <w:bookmarkStart w:id="8" w:name="_Ref75807037"/>
      <w:r w:rsidR="004D7F21" w:rsidRPr="003D516A">
        <w:rPr>
          <w:rFonts w:ascii="Work Sans" w:hAnsi="Work Sans"/>
          <w:sz w:val="24"/>
          <w:szCs w:val="24"/>
        </w:rPr>
        <w:t xml:space="preserve">to deliver services at the same level. The objective was to provide all Australians with the potential to access the same standard of state services, regardless of the state in which they live. Australia is transitioning to equalisation arrangements </w:t>
      </w:r>
      <w:r w:rsidR="007338C2">
        <w:rPr>
          <w:rFonts w:ascii="Work Sans" w:hAnsi="Work Sans"/>
          <w:sz w:val="24"/>
          <w:szCs w:val="24"/>
        </w:rPr>
        <w:t>that</w:t>
      </w:r>
      <w:r w:rsidR="004D7F21" w:rsidRPr="003D516A">
        <w:rPr>
          <w:rFonts w:ascii="Work Sans" w:hAnsi="Work Sans"/>
          <w:sz w:val="24"/>
          <w:szCs w:val="24"/>
        </w:rPr>
        <w:t xml:space="preserve"> will ensure that no state will receive less GST per person than the fiscally stronger of New South Wales or Victoria. </w:t>
      </w:r>
      <w:bookmarkEnd w:id="8"/>
    </w:p>
    <w:p w14:paraId="4A0C8DBF" w14:textId="3FB7F29D" w:rsidR="004D7F21" w:rsidRPr="003D516A" w:rsidRDefault="00D767AD" w:rsidP="00D073A2">
      <w:pPr>
        <w:rPr>
          <w:rFonts w:ascii="Work Sans" w:hAnsi="Work Sans"/>
          <w:sz w:val="24"/>
          <w:szCs w:val="24"/>
        </w:rPr>
      </w:pPr>
      <w:r w:rsidRPr="003D516A">
        <w:rPr>
          <w:rFonts w:ascii="Work Sans" w:hAnsi="Work Sans"/>
          <w:sz w:val="24"/>
          <w:szCs w:val="24"/>
        </w:rPr>
        <w:t xml:space="preserve"> Australia’s</w:t>
      </w:r>
      <w:r w:rsidR="004D7F21" w:rsidRPr="003D516A">
        <w:rPr>
          <w:rFonts w:ascii="Work Sans" w:hAnsi="Work Sans"/>
          <w:sz w:val="24"/>
          <w:szCs w:val="24"/>
        </w:rPr>
        <w:t xml:space="preserve"> comprehensive approach </w:t>
      </w:r>
      <w:r w:rsidR="00BB2162" w:rsidRPr="003D516A">
        <w:rPr>
          <w:rFonts w:ascii="Work Sans" w:hAnsi="Work Sans"/>
          <w:sz w:val="24"/>
          <w:szCs w:val="24"/>
        </w:rPr>
        <w:t xml:space="preserve">to equalisation </w:t>
      </w:r>
      <w:r w:rsidR="00261F12" w:rsidRPr="003D516A">
        <w:rPr>
          <w:rFonts w:ascii="Work Sans" w:hAnsi="Work Sans"/>
          <w:sz w:val="24"/>
          <w:szCs w:val="24"/>
        </w:rPr>
        <w:t xml:space="preserve">can have </w:t>
      </w:r>
      <w:r w:rsidR="004D7F21" w:rsidRPr="003D516A">
        <w:rPr>
          <w:rFonts w:ascii="Work Sans" w:hAnsi="Work Sans"/>
          <w:sz w:val="24"/>
          <w:szCs w:val="24"/>
        </w:rPr>
        <w:t xml:space="preserve">a significant effect on states’ fiscal capacities (see </w:t>
      </w:r>
      <w:r w:rsidR="004D7F21" w:rsidRPr="003D516A">
        <w:rPr>
          <w:rFonts w:ascii="Work Sans" w:hAnsi="Work Sans"/>
          <w:sz w:val="24"/>
          <w:szCs w:val="24"/>
        </w:rPr>
        <w:fldChar w:fldCharType="begin"/>
      </w:r>
      <w:r w:rsidR="004D7F21" w:rsidRPr="003D516A">
        <w:rPr>
          <w:rFonts w:ascii="Work Sans" w:hAnsi="Work Sans"/>
          <w:sz w:val="24"/>
          <w:szCs w:val="24"/>
        </w:rPr>
        <w:instrText xml:space="preserve"> REF _Ref76592514 \h  \* MERGEFORMAT </w:instrText>
      </w:r>
      <w:r w:rsidR="004D7F21" w:rsidRPr="003D516A">
        <w:rPr>
          <w:rFonts w:ascii="Work Sans" w:hAnsi="Work Sans"/>
          <w:sz w:val="24"/>
          <w:szCs w:val="24"/>
        </w:rPr>
      </w:r>
      <w:r w:rsidR="004D7F21" w:rsidRPr="003D516A">
        <w:rPr>
          <w:rFonts w:ascii="Work Sans" w:hAnsi="Work Sans"/>
          <w:sz w:val="24"/>
          <w:szCs w:val="24"/>
        </w:rPr>
        <w:fldChar w:fldCharType="separate"/>
      </w:r>
      <w:r w:rsidR="00AB678F" w:rsidRPr="00AB678F">
        <w:rPr>
          <w:rFonts w:ascii="Work Sans" w:hAnsi="Work Sans"/>
          <w:sz w:val="24"/>
          <w:szCs w:val="24"/>
        </w:rPr>
        <w:t>Figure 1</w:t>
      </w:r>
      <w:r w:rsidR="004D7F21" w:rsidRPr="003D516A">
        <w:rPr>
          <w:rFonts w:ascii="Work Sans" w:hAnsi="Work Sans"/>
          <w:sz w:val="24"/>
          <w:szCs w:val="24"/>
        </w:rPr>
        <w:fldChar w:fldCharType="end"/>
      </w:r>
      <w:r w:rsidR="004D7F21" w:rsidRPr="003D516A">
        <w:rPr>
          <w:rFonts w:ascii="Work Sans" w:hAnsi="Work Sans"/>
          <w:sz w:val="24"/>
          <w:szCs w:val="24"/>
        </w:rPr>
        <w:t>). Tasmania is highlighted as an example.</w:t>
      </w:r>
    </w:p>
    <w:p w14:paraId="13E31493" w14:textId="6E203CFF" w:rsidR="00517367" w:rsidRPr="003D516A" w:rsidRDefault="004D7F21" w:rsidP="004D7F21">
      <w:pPr>
        <w:pStyle w:val="CGCBullet1"/>
        <w:numPr>
          <w:ilvl w:val="0"/>
          <w:numId w:val="0"/>
        </w:numPr>
        <w:rPr>
          <w:rFonts w:ascii="Work Sans" w:hAnsi="Work Sans"/>
          <w:sz w:val="24"/>
          <w:szCs w:val="24"/>
        </w:rPr>
      </w:pPr>
      <w:r w:rsidRPr="003D516A">
        <w:rPr>
          <w:rFonts w:ascii="Work Sans" w:hAnsi="Work Sans"/>
          <w:sz w:val="24"/>
          <w:szCs w:val="24"/>
        </w:rPr>
        <w:t>States start with their own</w:t>
      </w:r>
      <w:r w:rsidR="00F02022" w:rsidRPr="003D516A">
        <w:rPr>
          <w:rFonts w:ascii="Work Sans" w:hAnsi="Work Sans"/>
          <w:sz w:val="24"/>
          <w:szCs w:val="24"/>
        </w:rPr>
        <w:t>-</w:t>
      </w:r>
      <w:r w:rsidRPr="003D516A">
        <w:rPr>
          <w:rFonts w:ascii="Work Sans" w:hAnsi="Work Sans"/>
          <w:sz w:val="24"/>
          <w:szCs w:val="24"/>
        </w:rPr>
        <w:t xml:space="preserve">source revenue raising capacity before equalisation, shown on the horizontal axis. </w:t>
      </w:r>
    </w:p>
    <w:p w14:paraId="3DF31704" w14:textId="77777777" w:rsidR="004D7F21" w:rsidRPr="003D516A" w:rsidRDefault="004D7F21" w:rsidP="004D7F21">
      <w:pPr>
        <w:pStyle w:val="CGCBullet1"/>
        <w:rPr>
          <w:rFonts w:ascii="Work Sans" w:hAnsi="Work Sans"/>
          <w:sz w:val="24"/>
          <w:szCs w:val="24"/>
        </w:rPr>
      </w:pPr>
      <w:r w:rsidRPr="003D516A">
        <w:rPr>
          <w:rFonts w:ascii="Work Sans" w:hAnsi="Work Sans"/>
          <w:sz w:val="24"/>
          <w:szCs w:val="24"/>
        </w:rPr>
        <w:t>Tasmania starts with around 74% of the average revenue raising capacity.</w:t>
      </w:r>
    </w:p>
    <w:p w14:paraId="31C6CC0C" w14:textId="77777777" w:rsidR="004D7F21" w:rsidRPr="003D516A" w:rsidRDefault="004D7F21" w:rsidP="004D7F21">
      <w:pPr>
        <w:pStyle w:val="CGCBullet1"/>
        <w:numPr>
          <w:ilvl w:val="0"/>
          <w:numId w:val="0"/>
        </w:numPr>
        <w:rPr>
          <w:rFonts w:ascii="Work Sans" w:hAnsi="Work Sans"/>
          <w:sz w:val="24"/>
          <w:szCs w:val="24"/>
        </w:rPr>
      </w:pPr>
      <w:r w:rsidRPr="003D516A">
        <w:rPr>
          <w:rFonts w:ascii="Work Sans" w:hAnsi="Work Sans"/>
          <w:sz w:val="24"/>
          <w:szCs w:val="24"/>
        </w:rPr>
        <w:lastRenderedPageBreak/>
        <w:t xml:space="preserve">Australia fully equalises revenue raising capacity. If it stopped at this stage, all states would be at 100% on the vertical axis. </w:t>
      </w:r>
    </w:p>
    <w:p w14:paraId="328EA8CD" w14:textId="77777777" w:rsidR="004D7F21" w:rsidRPr="003D516A" w:rsidRDefault="004D7F21" w:rsidP="004D7F21">
      <w:pPr>
        <w:pStyle w:val="CGCBullet1"/>
        <w:rPr>
          <w:rFonts w:ascii="Work Sans" w:hAnsi="Work Sans"/>
          <w:sz w:val="24"/>
          <w:szCs w:val="24"/>
        </w:rPr>
      </w:pPr>
      <w:r w:rsidRPr="003D516A">
        <w:rPr>
          <w:rFonts w:ascii="Work Sans" w:hAnsi="Work Sans"/>
          <w:sz w:val="24"/>
          <w:szCs w:val="24"/>
        </w:rPr>
        <w:t>Revenue equalisation alone would bring Tasmania to 100% on the vertical axis. This is shown by the solid arrow.</w:t>
      </w:r>
    </w:p>
    <w:p w14:paraId="25EE7C0B" w14:textId="61189743" w:rsidR="004D7F21" w:rsidRPr="003D516A" w:rsidRDefault="004D7F21" w:rsidP="004D7F21">
      <w:pPr>
        <w:pStyle w:val="CGCBullet1"/>
        <w:numPr>
          <w:ilvl w:val="0"/>
          <w:numId w:val="0"/>
        </w:numPr>
        <w:rPr>
          <w:rFonts w:ascii="Work Sans" w:hAnsi="Work Sans"/>
          <w:sz w:val="24"/>
          <w:szCs w:val="24"/>
        </w:rPr>
      </w:pPr>
      <w:r w:rsidRPr="003D516A">
        <w:rPr>
          <w:rFonts w:ascii="Work Sans" w:hAnsi="Work Sans"/>
          <w:sz w:val="24"/>
          <w:szCs w:val="24"/>
        </w:rPr>
        <w:t xml:space="preserve">Australia </w:t>
      </w:r>
      <w:r w:rsidR="00237A77" w:rsidRPr="003D516A">
        <w:rPr>
          <w:rFonts w:ascii="Work Sans" w:hAnsi="Work Sans"/>
          <w:sz w:val="24"/>
          <w:szCs w:val="24"/>
        </w:rPr>
        <w:t>also</w:t>
      </w:r>
      <w:r w:rsidRPr="003D516A">
        <w:rPr>
          <w:rFonts w:ascii="Work Sans" w:hAnsi="Work Sans"/>
          <w:sz w:val="24"/>
          <w:szCs w:val="24"/>
        </w:rPr>
        <w:t xml:space="preserve"> equalises expenses. This is represented by the distance of each state from the horizontal axis.</w:t>
      </w:r>
    </w:p>
    <w:p w14:paraId="491974FB" w14:textId="50ADB05F" w:rsidR="004D7F21" w:rsidRPr="003D516A" w:rsidRDefault="004D7F21" w:rsidP="004D7F21">
      <w:pPr>
        <w:pStyle w:val="CGCBullet1"/>
        <w:rPr>
          <w:rFonts w:ascii="Work Sans" w:hAnsi="Work Sans"/>
          <w:sz w:val="24"/>
          <w:szCs w:val="24"/>
        </w:rPr>
      </w:pPr>
      <w:r w:rsidRPr="003D516A">
        <w:rPr>
          <w:rFonts w:ascii="Work Sans" w:hAnsi="Work Sans"/>
          <w:sz w:val="24"/>
          <w:szCs w:val="24"/>
        </w:rPr>
        <w:t>Equalisation payments raise Tasmania to 114% of the average revenue capacity, to assist it to meet its above average expenditure needs. Tasmania’s expense equalisation is shown by the broken arrow.</w:t>
      </w:r>
    </w:p>
    <w:p w14:paraId="70A9A9DB" w14:textId="77777777" w:rsidR="004D7F21" w:rsidRPr="003D516A" w:rsidRDefault="004D7F21" w:rsidP="00D073A2">
      <w:pPr>
        <w:rPr>
          <w:rFonts w:ascii="Work Sans" w:hAnsi="Work Sans"/>
          <w:sz w:val="24"/>
          <w:szCs w:val="24"/>
        </w:rPr>
      </w:pPr>
      <w:r w:rsidRPr="003D516A">
        <w:rPr>
          <w:rFonts w:ascii="Work Sans" w:hAnsi="Work Sans"/>
          <w:sz w:val="24"/>
          <w:szCs w:val="24"/>
        </w:rPr>
        <w:t>States below</w:t>
      </w:r>
      <w:r w:rsidRPr="003D516A" w:rsidDel="00A030FF">
        <w:rPr>
          <w:rFonts w:ascii="Work Sans" w:hAnsi="Work Sans"/>
          <w:sz w:val="24"/>
          <w:szCs w:val="24"/>
        </w:rPr>
        <w:t xml:space="preserve"> </w:t>
      </w:r>
      <w:r w:rsidRPr="003D516A">
        <w:rPr>
          <w:rFonts w:ascii="Work Sans" w:hAnsi="Work Sans"/>
          <w:sz w:val="24"/>
          <w:szCs w:val="24"/>
        </w:rPr>
        <w:t xml:space="preserve">the diagonal line receive less than an equal per capita share of GST. Those above that line receive more than an equal per capita share. </w:t>
      </w:r>
    </w:p>
    <w:p w14:paraId="37E62D3F" w14:textId="77777777" w:rsidR="004D7F21" w:rsidRPr="003D516A" w:rsidRDefault="004D7F21" w:rsidP="004D7F21">
      <w:pPr>
        <w:pStyle w:val="CGCBullet1"/>
        <w:rPr>
          <w:rFonts w:ascii="Work Sans" w:hAnsi="Work Sans"/>
          <w:sz w:val="24"/>
          <w:szCs w:val="24"/>
        </w:rPr>
      </w:pPr>
      <w:r w:rsidRPr="003D516A">
        <w:rPr>
          <w:rFonts w:ascii="Work Sans" w:hAnsi="Work Sans"/>
          <w:sz w:val="24"/>
          <w:szCs w:val="24"/>
        </w:rPr>
        <w:t>Tasmania is well above the diagonal line.</w:t>
      </w:r>
    </w:p>
    <w:p w14:paraId="146298F0" w14:textId="1D263C13" w:rsidR="004D7F21" w:rsidRPr="002C5B2F" w:rsidRDefault="004D7F21" w:rsidP="004D7F21">
      <w:pPr>
        <w:pStyle w:val="Caption"/>
        <w:rPr>
          <w:rFonts w:ascii="Work Sans" w:hAnsi="Work Sans"/>
        </w:rPr>
      </w:pPr>
      <w:bookmarkStart w:id="9" w:name="_Ref76592514"/>
      <w:r w:rsidRPr="002C5B2F">
        <w:rPr>
          <w:rFonts w:ascii="Work Sans" w:hAnsi="Work Sans"/>
        </w:rPr>
        <w:t xml:space="preserve">Figure </w:t>
      </w:r>
      <w:r w:rsidRPr="002C5B2F">
        <w:rPr>
          <w:rFonts w:ascii="Work Sans" w:hAnsi="Work Sans"/>
        </w:rPr>
        <w:fldChar w:fldCharType="begin"/>
      </w:r>
      <w:r w:rsidRPr="002C5B2F">
        <w:rPr>
          <w:rFonts w:ascii="Work Sans" w:hAnsi="Work Sans"/>
        </w:rPr>
        <w:instrText>SEQ Figure \* ARABIC</w:instrText>
      </w:r>
      <w:r w:rsidRPr="002C5B2F">
        <w:rPr>
          <w:rFonts w:ascii="Work Sans" w:hAnsi="Work Sans"/>
        </w:rPr>
        <w:fldChar w:fldCharType="separate"/>
      </w:r>
      <w:r w:rsidR="00AB678F">
        <w:rPr>
          <w:rFonts w:ascii="Work Sans" w:hAnsi="Work Sans"/>
          <w:noProof/>
        </w:rPr>
        <w:t>1</w:t>
      </w:r>
      <w:r w:rsidRPr="002C5B2F">
        <w:rPr>
          <w:rFonts w:ascii="Work Sans" w:hAnsi="Work Sans"/>
        </w:rPr>
        <w:fldChar w:fldCharType="end"/>
      </w:r>
      <w:bookmarkEnd w:id="9"/>
      <w:r w:rsidRPr="002C5B2F">
        <w:rPr>
          <w:rFonts w:ascii="Work Sans" w:hAnsi="Work Sans"/>
        </w:rPr>
        <w:tab/>
        <w:t xml:space="preserve">Australian equalisation outcomes, 2021-22 </w:t>
      </w:r>
    </w:p>
    <w:p w14:paraId="2591FADE" w14:textId="24A114BB" w:rsidR="004D7F21" w:rsidRPr="002C5B2F" w:rsidRDefault="00CA5231" w:rsidP="00D073A2">
      <w:pPr>
        <w:rPr>
          <w:rFonts w:ascii="Work Sans" w:hAnsi="Work Sans"/>
        </w:rPr>
      </w:pPr>
      <w:r w:rsidRPr="002C5B2F">
        <w:rPr>
          <w:rFonts w:ascii="Work Sans" w:hAnsi="Work Sans"/>
          <w:noProof/>
        </w:rPr>
        <w:drawing>
          <wp:inline distT="0" distB="0" distL="0" distR="0" wp14:anchorId="69A78777" wp14:editId="030734C6">
            <wp:extent cx="5675870" cy="3688920"/>
            <wp:effectExtent l="0" t="0" r="127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93244" cy="3700212"/>
                    </a:xfrm>
                    <a:prstGeom prst="rect">
                      <a:avLst/>
                    </a:prstGeom>
                    <a:noFill/>
                    <a:ln>
                      <a:noFill/>
                    </a:ln>
                  </pic:spPr>
                </pic:pic>
              </a:graphicData>
            </a:graphic>
          </wp:inline>
        </w:drawing>
      </w:r>
    </w:p>
    <w:tbl>
      <w:tblPr>
        <w:tblW w:w="9344" w:type="dxa"/>
        <w:tblLayout w:type="fixed"/>
        <w:tblLook w:val="04A0" w:firstRow="1" w:lastRow="0" w:firstColumn="1" w:lastColumn="0" w:noHBand="0" w:noVBand="1"/>
      </w:tblPr>
      <w:tblGrid>
        <w:gridCol w:w="709"/>
        <w:gridCol w:w="709"/>
        <w:gridCol w:w="283"/>
        <w:gridCol w:w="1949"/>
        <w:gridCol w:w="319"/>
        <w:gridCol w:w="361"/>
        <w:gridCol w:w="206"/>
        <w:gridCol w:w="180"/>
        <w:gridCol w:w="104"/>
        <w:gridCol w:w="1701"/>
        <w:gridCol w:w="41"/>
        <w:gridCol w:w="274"/>
        <w:gridCol w:w="252"/>
        <w:gridCol w:w="154"/>
        <w:gridCol w:w="159"/>
        <w:gridCol w:w="1784"/>
        <w:gridCol w:w="159"/>
      </w:tblGrid>
      <w:tr w:rsidR="004D7F21" w:rsidRPr="0082643D" w14:paraId="638AB09D" w14:textId="77777777" w:rsidTr="0079353C">
        <w:trPr>
          <w:trHeight w:val="200"/>
        </w:trPr>
        <w:tc>
          <w:tcPr>
            <w:tcW w:w="709" w:type="dxa"/>
            <w:tcBorders>
              <w:top w:val="nil"/>
              <w:left w:val="nil"/>
              <w:bottom w:val="nil"/>
              <w:right w:val="nil"/>
            </w:tcBorders>
            <w:shd w:val="clear" w:color="000000" w:fill="FFFFFF"/>
            <w:vAlign w:val="center"/>
            <w:hideMark/>
          </w:tcPr>
          <w:p w14:paraId="6C51DBA8" w14:textId="77777777" w:rsidR="004D7F21" w:rsidRPr="00EF6A85" w:rsidRDefault="004D7F21" w:rsidP="004C6573">
            <w:pPr>
              <w:pStyle w:val="CGCTablenote"/>
              <w:tabs>
                <w:tab w:val="clear" w:pos="567"/>
                <w:tab w:val="clear" w:pos="680"/>
              </w:tabs>
              <w:ind w:left="174" w:hanging="61"/>
              <w:rPr>
                <w:rFonts w:ascii="Work Sans" w:hAnsi="Work Sans" w:cs="Open Sans Light"/>
                <w:lang w:eastAsia="en-AU"/>
              </w:rPr>
            </w:pPr>
            <w:r w:rsidRPr="00EF6A85">
              <w:rPr>
                <w:rFonts w:ascii="Work Sans" w:hAnsi="Work Sans" w:cs="Open Sans Light"/>
                <w:lang w:eastAsia="en-AU"/>
              </w:rPr>
              <w:t>Note:</w:t>
            </w:r>
          </w:p>
        </w:tc>
        <w:tc>
          <w:tcPr>
            <w:tcW w:w="709" w:type="dxa"/>
            <w:tcBorders>
              <w:top w:val="nil"/>
              <w:left w:val="nil"/>
              <w:bottom w:val="nil"/>
              <w:right w:val="nil"/>
            </w:tcBorders>
            <w:shd w:val="clear" w:color="000000" w:fill="FFFFFF"/>
            <w:vAlign w:val="center"/>
            <w:hideMark/>
          </w:tcPr>
          <w:p w14:paraId="1B64A10A" w14:textId="77777777" w:rsidR="004D7F21" w:rsidRPr="00EF6A85" w:rsidRDefault="004D7F21" w:rsidP="0079353C">
            <w:pPr>
              <w:pStyle w:val="CGCTablenote"/>
              <w:tabs>
                <w:tab w:val="clear" w:pos="567"/>
                <w:tab w:val="clear" w:pos="680"/>
              </w:tabs>
              <w:ind w:left="174" w:right="34" w:hanging="61"/>
              <w:rPr>
                <w:rFonts w:ascii="Work Sans" w:hAnsi="Work Sans" w:cs="Open Sans Light"/>
                <w:lang w:eastAsia="en-AU"/>
              </w:rPr>
            </w:pPr>
            <w:r w:rsidRPr="00EF6A85">
              <w:rPr>
                <w:rFonts w:ascii="Work Sans" w:hAnsi="Work Sans" w:cs="Open Sans Light"/>
                <w:lang w:eastAsia="en-AU"/>
              </w:rPr>
              <w:t>ACT</w:t>
            </w:r>
          </w:p>
        </w:tc>
        <w:tc>
          <w:tcPr>
            <w:tcW w:w="283" w:type="dxa"/>
            <w:tcBorders>
              <w:top w:val="nil"/>
              <w:left w:val="nil"/>
              <w:bottom w:val="nil"/>
              <w:right w:val="nil"/>
            </w:tcBorders>
            <w:shd w:val="clear" w:color="000000" w:fill="FFFFFF"/>
            <w:vAlign w:val="center"/>
            <w:hideMark/>
          </w:tcPr>
          <w:p w14:paraId="7E82AA69" w14:textId="77777777" w:rsidR="004D7F21" w:rsidRPr="00EF6A85" w:rsidRDefault="004D7F21" w:rsidP="004C6573">
            <w:pPr>
              <w:pStyle w:val="CGCTablenote"/>
              <w:tabs>
                <w:tab w:val="clear" w:pos="567"/>
                <w:tab w:val="clear" w:pos="680"/>
              </w:tabs>
              <w:ind w:left="174" w:hanging="61"/>
              <w:rPr>
                <w:rFonts w:ascii="Work Sans" w:hAnsi="Work Sans" w:cs="Open Sans Light"/>
                <w:lang w:eastAsia="en-AU"/>
              </w:rPr>
            </w:pPr>
            <w:r w:rsidRPr="00EF6A85">
              <w:rPr>
                <w:rFonts w:ascii="Work Sans" w:hAnsi="Work Sans" w:cs="Open Sans Light"/>
                <w:lang w:eastAsia="en-AU"/>
              </w:rPr>
              <w:t>-</w:t>
            </w:r>
          </w:p>
        </w:tc>
        <w:tc>
          <w:tcPr>
            <w:tcW w:w="2268" w:type="dxa"/>
            <w:gridSpan w:val="2"/>
            <w:tcBorders>
              <w:top w:val="nil"/>
              <w:left w:val="nil"/>
              <w:bottom w:val="nil"/>
              <w:right w:val="nil"/>
            </w:tcBorders>
            <w:shd w:val="clear" w:color="000000" w:fill="FFFFFF"/>
            <w:vAlign w:val="center"/>
            <w:hideMark/>
          </w:tcPr>
          <w:p w14:paraId="75D07DAB" w14:textId="77777777" w:rsidR="004D7F21" w:rsidRPr="00EF6A85" w:rsidRDefault="004D7F21" w:rsidP="004C6573">
            <w:pPr>
              <w:pStyle w:val="CGCTablenote"/>
              <w:tabs>
                <w:tab w:val="clear" w:pos="567"/>
                <w:tab w:val="clear" w:pos="680"/>
              </w:tabs>
              <w:ind w:left="174" w:hanging="61"/>
              <w:rPr>
                <w:rFonts w:ascii="Work Sans" w:hAnsi="Work Sans" w:cs="Open Sans Light"/>
                <w:lang w:eastAsia="en-AU"/>
              </w:rPr>
            </w:pPr>
            <w:r w:rsidRPr="00EF6A85">
              <w:rPr>
                <w:rFonts w:ascii="Work Sans" w:hAnsi="Work Sans" w:cs="Open Sans Light"/>
                <w:lang w:eastAsia="en-AU"/>
              </w:rPr>
              <w:t>Australian Capital Territory</w:t>
            </w:r>
          </w:p>
        </w:tc>
        <w:tc>
          <w:tcPr>
            <w:tcW w:w="567" w:type="dxa"/>
            <w:gridSpan w:val="2"/>
            <w:tcBorders>
              <w:top w:val="nil"/>
              <w:left w:val="nil"/>
              <w:bottom w:val="nil"/>
              <w:right w:val="nil"/>
            </w:tcBorders>
            <w:shd w:val="clear" w:color="000000" w:fill="FFFFFF"/>
            <w:vAlign w:val="center"/>
            <w:hideMark/>
          </w:tcPr>
          <w:p w14:paraId="5A720F51" w14:textId="77777777" w:rsidR="004D7F21" w:rsidRPr="00EF6A85" w:rsidRDefault="004D7F21" w:rsidP="004C6573">
            <w:pPr>
              <w:pStyle w:val="CGCTablenote"/>
              <w:tabs>
                <w:tab w:val="clear" w:pos="567"/>
                <w:tab w:val="clear" w:pos="680"/>
              </w:tabs>
              <w:ind w:left="174" w:hanging="61"/>
              <w:rPr>
                <w:rFonts w:ascii="Work Sans" w:hAnsi="Work Sans" w:cs="Open Sans Light"/>
                <w:lang w:eastAsia="en-AU"/>
              </w:rPr>
            </w:pPr>
            <w:r w:rsidRPr="00EF6A85">
              <w:rPr>
                <w:rFonts w:ascii="Work Sans" w:hAnsi="Work Sans" w:cs="Open Sans Light"/>
                <w:lang w:eastAsia="en-AU"/>
              </w:rPr>
              <w:t>Qld</w:t>
            </w:r>
          </w:p>
        </w:tc>
        <w:tc>
          <w:tcPr>
            <w:tcW w:w="284" w:type="dxa"/>
            <w:gridSpan w:val="2"/>
            <w:tcBorders>
              <w:top w:val="nil"/>
              <w:left w:val="nil"/>
              <w:bottom w:val="nil"/>
              <w:right w:val="nil"/>
            </w:tcBorders>
            <w:shd w:val="clear" w:color="000000" w:fill="FFFFFF"/>
            <w:vAlign w:val="center"/>
            <w:hideMark/>
          </w:tcPr>
          <w:p w14:paraId="64C27C8D" w14:textId="77777777" w:rsidR="004D7F21" w:rsidRPr="00EF6A85" w:rsidRDefault="004D7F21" w:rsidP="0079353C">
            <w:pPr>
              <w:pStyle w:val="CGCTablenote"/>
              <w:tabs>
                <w:tab w:val="clear" w:pos="567"/>
                <w:tab w:val="clear" w:pos="680"/>
              </w:tabs>
              <w:rPr>
                <w:rFonts w:ascii="Work Sans" w:hAnsi="Work Sans" w:cs="Open Sans Light"/>
                <w:lang w:eastAsia="en-AU"/>
              </w:rPr>
            </w:pPr>
            <w:r w:rsidRPr="00EF6A85">
              <w:rPr>
                <w:rFonts w:ascii="Work Sans" w:hAnsi="Work Sans" w:cs="Open Sans Light"/>
                <w:lang w:eastAsia="en-AU"/>
              </w:rPr>
              <w:t>-</w:t>
            </w:r>
          </w:p>
        </w:tc>
        <w:tc>
          <w:tcPr>
            <w:tcW w:w="1701" w:type="dxa"/>
            <w:tcBorders>
              <w:top w:val="nil"/>
              <w:left w:val="nil"/>
              <w:bottom w:val="nil"/>
              <w:right w:val="nil"/>
            </w:tcBorders>
            <w:shd w:val="clear" w:color="000000" w:fill="FFFFFF"/>
            <w:vAlign w:val="center"/>
            <w:hideMark/>
          </w:tcPr>
          <w:p w14:paraId="14311D2B" w14:textId="77777777" w:rsidR="004D7F21" w:rsidRPr="00EF6A85" w:rsidRDefault="004D7F21" w:rsidP="004C6573">
            <w:pPr>
              <w:pStyle w:val="CGCTablenote"/>
              <w:tabs>
                <w:tab w:val="clear" w:pos="567"/>
                <w:tab w:val="clear" w:pos="680"/>
              </w:tabs>
              <w:ind w:left="174" w:hanging="61"/>
              <w:rPr>
                <w:rFonts w:ascii="Work Sans" w:hAnsi="Work Sans" w:cs="Open Sans Light"/>
                <w:lang w:eastAsia="en-AU"/>
              </w:rPr>
            </w:pPr>
            <w:r w:rsidRPr="00EF6A85">
              <w:rPr>
                <w:rFonts w:ascii="Work Sans" w:hAnsi="Work Sans" w:cs="Open Sans Light"/>
                <w:lang w:eastAsia="en-AU"/>
              </w:rPr>
              <w:t>Queensland</w:t>
            </w:r>
          </w:p>
        </w:tc>
        <w:tc>
          <w:tcPr>
            <w:tcW w:w="567" w:type="dxa"/>
            <w:gridSpan w:val="3"/>
            <w:tcBorders>
              <w:top w:val="nil"/>
              <w:left w:val="nil"/>
              <w:bottom w:val="nil"/>
              <w:right w:val="nil"/>
            </w:tcBorders>
            <w:shd w:val="clear" w:color="000000" w:fill="FFFFFF"/>
            <w:vAlign w:val="center"/>
            <w:hideMark/>
          </w:tcPr>
          <w:p w14:paraId="3B38BC55" w14:textId="77777777" w:rsidR="004D7F21" w:rsidRPr="00EF6A85" w:rsidRDefault="004D7F21" w:rsidP="004C6573">
            <w:pPr>
              <w:pStyle w:val="CGCTablenote"/>
              <w:tabs>
                <w:tab w:val="clear" w:pos="567"/>
                <w:tab w:val="clear" w:pos="680"/>
              </w:tabs>
              <w:ind w:left="174" w:hanging="61"/>
              <w:rPr>
                <w:rFonts w:ascii="Work Sans" w:hAnsi="Work Sans" w:cs="Open Sans Light"/>
                <w:lang w:eastAsia="en-AU"/>
              </w:rPr>
            </w:pPr>
            <w:r w:rsidRPr="00EF6A85">
              <w:rPr>
                <w:rFonts w:ascii="Work Sans" w:hAnsi="Work Sans" w:cs="Open Sans Light"/>
                <w:lang w:eastAsia="en-AU"/>
              </w:rPr>
              <w:t>Vic</w:t>
            </w:r>
          </w:p>
        </w:tc>
        <w:tc>
          <w:tcPr>
            <w:tcW w:w="313" w:type="dxa"/>
            <w:gridSpan w:val="2"/>
            <w:tcBorders>
              <w:top w:val="nil"/>
              <w:left w:val="nil"/>
              <w:bottom w:val="nil"/>
              <w:right w:val="nil"/>
            </w:tcBorders>
            <w:shd w:val="clear" w:color="000000" w:fill="FFFFFF"/>
            <w:vAlign w:val="center"/>
            <w:hideMark/>
          </w:tcPr>
          <w:p w14:paraId="0A9DEE2F" w14:textId="77777777" w:rsidR="004D7F21" w:rsidRPr="00EF6A85" w:rsidRDefault="004D7F21" w:rsidP="004C6573">
            <w:pPr>
              <w:pStyle w:val="CGCTablenote"/>
              <w:tabs>
                <w:tab w:val="clear" w:pos="567"/>
                <w:tab w:val="clear" w:pos="680"/>
              </w:tabs>
              <w:ind w:left="174" w:hanging="61"/>
              <w:rPr>
                <w:rFonts w:ascii="Work Sans" w:hAnsi="Work Sans" w:cs="Open Sans Light"/>
                <w:lang w:eastAsia="en-AU"/>
              </w:rPr>
            </w:pPr>
            <w:r w:rsidRPr="00EF6A85">
              <w:rPr>
                <w:rFonts w:ascii="Work Sans" w:hAnsi="Work Sans" w:cs="Open Sans Light"/>
                <w:lang w:eastAsia="en-AU"/>
              </w:rPr>
              <w:t>-</w:t>
            </w:r>
          </w:p>
        </w:tc>
        <w:tc>
          <w:tcPr>
            <w:tcW w:w="1943" w:type="dxa"/>
            <w:gridSpan w:val="2"/>
            <w:tcBorders>
              <w:top w:val="nil"/>
              <w:left w:val="nil"/>
              <w:bottom w:val="nil"/>
              <w:right w:val="nil"/>
            </w:tcBorders>
            <w:shd w:val="clear" w:color="000000" w:fill="FFFFFF"/>
            <w:vAlign w:val="center"/>
            <w:hideMark/>
          </w:tcPr>
          <w:p w14:paraId="67C74ABA" w14:textId="77777777" w:rsidR="004D7F21" w:rsidRPr="00EF6A85" w:rsidRDefault="004D7F21" w:rsidP="004C6573">
            <w:pPr>
              <w:pStyle w:val="CGCTablenote"/>
              <w:tabs>
                <w:tab w:val="clear" w:pos="567"/>
                <w:tab w:val="clear" w:pos="680"/>
              </w:tabs>
              <w:ind w:left="174" w:hanging="61"/>
              <w:rPr>
                <w:rFonts w:ascii="Work Sans" w:hAnsi="Work Sans" w:cs="Open Sans Light"/>
                <w:lang w:eastAsia="en-AU"/>
              </w:rPr>
            </w:pPr>
            <w:r w:rsidRPr="00EF6A85">
              <w:rPr>
                <w:rFonts w:ascii="Work Sans" w:hAnsi="Work Sans" w:cs="Open Sans Light"/>
                <w:lang w:eastAsia="en-AU"/>
              </w:rPr>
              <w:t>Victoria</w:t>
            </w:r>
          </w:p>
        </w:tc>
      </w:tr>
      <w:tr w:rsidR="004D7F21" w:rsidRPr="0082643D" w14:paraId="58AD6C38" w14:textId="77777777" w:rsidTr="0079353C">
        <w:trPr>
          <w:trHeight w:val="200"/>
        </w:trPr>
        <w:tc>
          <w:tcPr>
            <w:tcW w:w="709" w:type="dxa"/>
            <w:tcBorders>
              <w:top w:val="nil"/>
              <w:left w:val="nil"/>
              <w:bottom w:val="nil"/>
              <w:right w:val="nil"/>
            </w:tcBorders>
            <w:shd w:val="clear" w:color="auto" w:fill="auto"/>
            <w:noWrap/>
            <w:vAlign w:val="center"/>
            <w:hideMark/>
          </w:tcPr>
          <w:p w14:paraId="5AA65837" w14:textId="77777777" w:rsidR="004D7F21" w:rsidRPr="00EF6A85" w:rsidRDefault="004D7F21" w:rsidP="004C6573">
            <w:pPr>
              <w:pStyle w:val="CGCTablenote"/>
              <w:tabs>
                <w:tab w:val="clear" w:pos="567"/>
                <w:tab w:val="clear" w:pos="680"/>
              </w:tabs>
              <w:ind w:left="174" w:hanging="61"/>
              <w:rPr>
                <w:rFonts w:ascii="Work Sans" w:eastAsia="Times New Roman" w:hAnsi="Work Sans" w:cs="Open Sans Light"/>
                <w:color w:val="585858"/>
                <w:szCs w:val="14"/>
                <w:lang w:eastAsia="en-AU"/>
              </w:rPr>
            </w:pPr>
          </w:p>
        </w:tc>
        <w:tc>
          <w:tcPr>
            <w:tcW w:w="709" w:type="dxa"/>
            <w:tcBorders>
              <w:top w:val="nil"/>
              <w:left w:val="nil"/>
              <w:bottom w:val="nil"/>
              <w:right w:val="nil"/>
            </w:tcBorders>
            <w:shd w:val="clear" w:color="000000" w:fill="FFFFFF"/>
            <w:vAlign w:val="center"/>
            <w:hideMark/>
          </w:tcPr>
          <w:p w14:paraId="3A932660" w14:textId="77777777" w:rsidR="004D7F21" w:rsidRPr="00EF6A85" w:rsidRDefault="004D7F21" w:rsidP="004C6573">
            <w:pPr>
              <w:pStyle w:val="CGCTablenote"/>
              <w:tabs>
                <w:tab w:val="clear" w:pos="567"/>
                <w:tab w:val="clear" w:pos="680"/>
              </w:tabs>
              <w:ind w:left="174" w:hanging="61"/>
              <w:rPr>
                <w:rFonts w:ascii="Work Sans" w:hAnsi="Work Sans" w:cs="Open Sans Light"/>
                <w:lang w:eastAsia="en-AU"/>
              </w:rPr>
            </w:pPr>
            <w:r w:rsidRPr="00EF6A85">
              <w:rPr>
                <w:rFonts w:ascii="Work Sans" w:hAnsi="Work Sans" w:cs="Open Sans Light"/>
                <w:lang w:eastAsia="en-AU"/>
              </w:rPr>
              <w:t>NSW</w:t>
            </w:r>
          </w:p>
        </w:tc>
        <w:tc>
          <w:tcPr>
            <w:tcW w:w="283" w:type="dxa"/>
            <w:tcBorders>
              <w:top w:val="nil"/>
              <w:left w:val="nil"/>
              <w:bottom w:val="nil"/>
              <w:right w:val="nil"/>
            </w:tcBorders>
            <w:shd w:val="clear" w:color="000000" w:fill="FFFFFF"/>
            <w:vAlign w:val="center"/>
            <w:hideMark/>
          </w:tcPr>
          <w:p w14:paraId="3A33F609" w14:textId="77777777" w:rsidR="004D7F21" w:rsidRPr="00EF6A85" w:rsidRDefault="004D7F21" w:rsidP="004C6573">
            <w:pPr>
              <w:pStyle w:val="CGCTablenote"/>
              <w:tabs>
                <w:tab w:val="clear" w:pos="567"/>
                <w:tab w:val="clear" w:pos="680"/>
              </w:tabs>
              <w:ind w:left="174" w:hanging="61"/>
              <w:rPr>
                <w:rFonts w:ascii="Work Sans" w:hAnsi="Work Sans" w:cs="Open Sans Light"/>
                <w:lang w:eastAsia="en-AU"/>
              </w:rPr>
            </w:pPr>
            <w:r w:rsidRPr="00EF6A85">
              <w:rPr>
                <w:rFonts w:ascii="Work Sans" w:hAnsi="Work Sans" w:cs="Open Sans Light"/>
                <w:lang w:eastAsia="en-AU"/>
              </w:rPr>
              <w:t>-</w:t>
            </w:r>
          </w:p>
        </w:tc>
        <w:tc>
          <w:tcPr>
            <w:tcW w:w="2268" w:type="dxa"/>
            <w:gridSpan w:val="2"/>
            <w:tcBorders>
              <w:top w:val="nil"/>
              <w:left w:val="nil"/>
              <w:bottom w:val="nil"/>
              <w:right w:val="nil"/>
            </w:tcBorders>
            <w:shd w:val="clear" w:color="000000" w:fill="FFFFFF"/>
            <w:vAlign w:val="center"/>
            <w:hideMark/>
          </w:tcPr>
          <w:p w14:paraId="767283D8" w14:textId="77777777" w:rsidR="004D7F21" w:rsidRPr="00EF6A85" w:rsidRDefault="004D7F21" w:rsidP="004C6573">
            <w:pPr>
              <w:pStyle w:val="CGCTablenote"/>
              <w:tabs>
                <w:tab w:val="clear" w:pos="567"/>
                <w:tab w:val="clear" w:pos="680"/>
              </w:tabs>
              <w:ind w:left="174" w:hanging="61"/>
              <w:rPr>
                <w:rFonts w:ascii="Work Sans" w:hAnsi="Work Sans" w:cs="Open Sans Light"/>
                <w:lang w:eastAsia="en-AU"/>
              </w:rPr>
            </w:pPr>
            <w:r w:rsidRPr="00EF6A85">
              <w:rPr>
                <w:rFonts w:ascii="Work Sans" w:hAnsi="Work Sans" w:cs="Open Sans Light"/>
                <w:lang w:eastAsia="en-AU"/>
              </w:rPr>
              <w:t>New South Wales</w:t>
            </w:r>
          </w:p>
        </w:tc>
        <w:tc>
          <w:tcPr>
            <w:tcW w:w="567" w:type="dxa"/>
            <w:gridSpan w:val="2"/>
            <w:tcBorders>
              <w:top w:val="nil"/>
              <w:left w:val="nil"/>
              <w:bottom w:val="nil"/>
              <w:right w:val="nil"/>
            </w:tcBorders>
            <w:shd w:val="clear" w:color="000000" w:fill="FFFFFF"/>
            <w:vAlign w:val="center"/>
            <w:hideMark/>
          </w:tcPr>
          <w:p w14:paraId="2238E7BD" w14:textId="77777777" w:rsidR="004D7F21" w:rsidRPr="00EF6A85" w:rsidRDefault="004D7F21" w:rsidP="004C6573">
            <w:pPr>
              <w:pStyle w:val="CGCTablenote"/>
              <w:tabs>
                <w:tab w:val="clear" w:pos="567"/>
                <w:tab w:val="clear" w:pos="680"/>
              </w:tabs>
              <w:ind w:left="174" w:hanging="61"/>
              <w:rPr>
                <w:rFonts w:ascii="Work Sans" w:hAnsi="Work Sans" w:cs="Open Sans Light"/>
                <w:lang w:eastAsia="en-AU"/>
              </w:rPr>
            </w:pPr>
            <w:r w:rsidRPr="00EF6A85">
              <w:rPr>
                <w:rFonts w:ascii="Work Sans" w:hAnsi="Work Sans" w:cs="Open Sans Light"/>
                <w:lang w:eastAsia="en-AU"/>
              </w:rPr>
              <w:t>SA</w:t>
            </w:r>
          </w:p>
        </w:tc>
        <w:tc>
          <w:tcPr>
            <w:tcW w:w="284" w:type="dxa"/>
            <w:gridSpan w:val="2"/>
            <w:tcBorders>
              <w:top w:val="nil"/>
              <w:left w:val="nil"/>
              <w:bottom w:val="nil"/>
              <w:right w:val="nil"/>
            </w:tcBorders>
            <w:shd w:val="clear" w:color="000000" w:fill="FFFFFF"/>
            <w:vAlign w:val="center"/>
            <w:hideMark/>
          </w:tcPr>
          <w:p w14:paraId="7C1EF148" w14:textId="77777777" w:rsidR="004D7F21" w:rsidRPr="00EF6A85" w:rsidRDefault="004D7F21" w:rsidP="004C6573">
            <w:pPr>
              <w:pStyle w:val="CGCTablenote"/>
              <w:tabs>
                <w:tab w:val="clear" w:pos="567"/>
                <w:tab w:val="clear" w:pos="680"/>
              </w:tabs>
              <w:ind w:left="174" w:hanging="61"/>
              <w:rPr>
                <w:rFonts w:ascii="Work Sans" w:hAnsi="Work Sans" w:cs="Open Sans Light"/>
                <w:lang w:eastAsia="en-AU"/>
              </w:rPr>
            </w:pPr>
            <w:r w:rsidRPr="00EF6A85">
              <w:rPr>
                <w:rFonts w:ascii="Work Sans" w:hAnsi="Work Sans" w:cs="Open Sans Light"/>
                <w:lang w:eastAsia="en-AU"/>
              </w:rPr>
              <w:t>-</w:t>
            </w:r>
          </w:p>
        </w:tc>
        <w:tc>
          <w:tcPr>
            <w:tcW w:w="1701" w:type="dxa"/>
            <w:tcBorders>
              <w:top w:val="nil"/>
              <w:left w:val="nil"/>
              <w:bottom w:val="nil"/>
              <w:right w:val="nil"/>
            </w:tcBorders>
            <w:shd w:val="clear" w:color="000000" w:fill="FFFFFF"/>
            <w:vAlign w:val="center"/>
            <w:hideMark/>
          </w:tcPr>
          <w:p w14:paraId="4A1B5D21" w14:textId="77777777" w:rsidR="004D7F21" w:rsidRPr="00EF6A85" w:rsidRDefault="004D7F21" w:rsidP="004C6573">
            <w:pPr>
              <w:pStyle w:val="CGCTablenote"/>
              <w:tabs>
                <w:tab w:val="clear" w:pos="567"/>
                <w:tab w:val="clear" w:pos="680"/>
              </w:tabs>
              <w:ind w:left="174" w:hanging="61"/>
              <w:rPr>
                <w:rFonts w:ascii="Work Sans" w:hAnsi="Work Sans" w:cs="Open Sans Light"/>
                <w:lang w:eastAsia="en-AU"/>
              </w:rPr>
            </w:pPr>
            <w:r w:rsidRPr="00EF6A85">
              <w:rPr>
                <w:rFonts w:ascii="Work Sans" w:hAnsi="Work Sans" w:cs="Open Sans Light"/>
                <w:lang w:eastAsia="en-AU"/>
              </w:rPr>
              <w:t>South Australia</w:t>
            </w:r>
          </w:p>
        </w:tc>
        <w:tc>
          <w:tcPr>
            <w:tcW w:w="567" w:type="dxa"/>
            <w:gridSpan w:val="3"/>
            <w:tcBorders>
              <w:top w:val="nil"/>
              <w:left w:val="nil"/>
              <w:bottom w:val="nil"/>
              <w:right w:val="nil"/>
            </w:tcBorders>
            <w:shd w:val="clear" w:color="000000" w:fill="FFFFFF"/>
            <w:vAlign w:val="center"/>
            <w:hideMark/>
          </w:tcPr>
          <w:p w14:paraId="16D08C23" w14:textId="77777777" w:rsidR="004D7F21" w:rsidRPr="00EF6A85" w:rsidRDefault="004D7F21" w:rsidP="004C6573">
            <w:pPr>
              <w:pStyle w:val="CGCTablenote"/>
              <w:tabs>
                <w:tab w:val="clear" w:pos="567"/>
                <w:tab w:val="clear" w:pos="680"/>
              </w:tabs>
              <w:ind w:left="174" w:hanging="61"/>
              <w:rPr>
                <w:rFonts w:ascii="Work Sans" w:hAnsi="Work Sans" w:cs="Open Sans Light"/>
                <w:lang w:eastAsia="en-AU"/>
              </w:rPr>
            </w:pPr>
            <w:r w:rsidRPr="00EF6A85">
              <w:rPr>
                <w:rFonts w:ascii="Work Sans" w:hAnsi="Work Sans" w:cs="Open Sans Light"/>
                <w:lang w:eastAsia="en-AU"/>
              </w:rPr>
              <w:t>WA</w:t>
            </w:r>
          </w:p>
        </w:tc>
        <w:tc>
          <w:tcPr>
            <w:tcW w:w="313" w:type="dxa"/>
            <w:gridSpan w:val="2"/>
            <w:tcBorders>
              <w:top w:val="nil"/>
              <w:left w:val="nil"/>
              <w:bottom w:val="nil"/>
              <w:right w:val="nil"/>
            </w:tcBorders>
            <w:shd w:val="clear" w:color="000000" w:fill="FFFFFF"/>
            <w:vAlign w:val="center"/>
            <w:hideMark/>
          </w:tcPr>
          <w:p w14:paraId="599CE9B0" w14:textId="77777777" w:rsidR="004D7F21" w:rsidRPr="00EF6A85" w:rsidRDefault="004D7F21" w:rsidP="004C6573">
            <w:pPr>
              <w:pStyle w:val="CGCTablenote"/>
              <w:tabs>
                <w:tab w:val="clear" w:pos="567"/>
                <w:tab w:val="clear" w:pos="680"/>
              </w:tabs>
              <w:ind w:left="174" w:hanging="61"/>
              <w:rPr>
                <w:rFonts w:ascii="Work Sans" w:hAnsi="Work Sans" w:cs="Open Sans Light"/>
                <w:lang w:eastAsia="en-AU"/>
              </w:rPr>
            </w:pPr>
            <w:r w:rsidRPr="00EF6A85">
              <w:rPr>
                <w:rFonts w:ascii="Work Sans" w:hAnsi="Work Sans" w:cs="Open Sans Light"/>
                <w:lang w:eastAsia="en-AU"/>
              </w:rPr>
              <w:t>-</w:t>
            </w:r>
          </w:p>
        </w:tc>
        <w:tc>
          <w:tcPr>
            <w:tcW w:w="1943" w:type="dxa"/>
            <w:gridSpan w:val="2"/>
            <w:tcBorders>
              <w:top w:val="nil"/>
              <w:left w:val="nil"/>
              <w:bottom w:val="nil"/>
              <w:right w:val="nil"/>
            </w:tcBorders>
            <w:shd w:val="clear" w:color="000000" w:fill="FFFFFF"/>
            <w:vAlign w:val="center"/>
            <w:hideMark/>
          </w:tcPr>
          <w:p w14:paraId="73BDF002" w14:textId="77777777" w:rsidR="004D7F21" w:rsidRPr="00EF6A85" w:rsidRDefault="004D7F21" w:rsidP="004C6573">
            <w:pPr>
              <w:pStyle w:val="CGCTablenote"/>
              <w:tabs>
                <w:tab w:val="clear" w:pos="567"/>
                <w:tab w:val="clear" w:pos="680"/>
              </w:tabs>
              <w:ind w:left="174" w:hanging="61"/>
              <w:rPr>
                <w:rFonts w:ascii="Work Sans" w:hAnsi="Work Sans" w:cs="Open Sans Light"/>
                <w:lang w:eastAsia="en-AU"/>
              </w:rPr>
            </w:pPr>
            <w:r w:rsidRPr="00EF6A85">
              <w:rPr>
                <w:rFonts w:ascii="Work Sans" w:hAnsi="Work Sans" w:cs="Open Sans Light"/>
                <w:lang w:eastAsia="en-AU"/>
              </w:rPr>
              <w:t>Western Australia</w:t>
            </w:r>
          </w:p>
        </w:tc>
      </w:tr>
      <w:tr w:rsidR="004D7F21" w:rsidRPr="0082643D" w14:paraId="6DE558E7" w14:textId="77777777" w:rsidTr="0079353C">
        <w:trPr>
          <w:trHeight w:val="200"/>
        </w:trPr>
        <w:tc>
          <w:tcPr>
            <w:tcW w:w="709" w:type="dxa"/>
            <w:tcBorders>
              <w:top w:val="nil"/>
              <w:left w:val="nil"/>
              <w:bottom w:val="nil"/>
              <w:right w:val="nil"/>
            </w:tcBorders>
            <w:shd w:val="clear" w:color="auto" w:fill="auto"/>
            <w:noWrap/>
            <w:vAlign w:val="center"/>
            <w:hideMark/>
          </w:tcPr>
          <w:p w14:paraId="101D84FA" w14:textId="77777777" w:rsidR="004D7F21" w:rsidRPr="00EF6A85" w:rsidRDefault="004D7F21" w:rsidP="004C6573">
            <w:pPr>
              <w:pStyle w:val="CGCTablenote"/>
              <w:tabs>
                <w:tab w:val="clear" w:pos="567"/>
                <w:tab w:val="clear" w:pos="680"/>
              </w:tabs>
              <w:ind w:left="174" w:hanging="61"/>
              <w:rPr>
                <w:rFonts w:ascii="Work Sans" w:eastAsia="Times New Roman" w:hAnsi="Work Sans" w:cs="Open Sans Light"/>
                <w:color w:val="585858"/>
                <w:szCs w:val="14"/>
                <w:lang w:eastAsia="en-AU"/>
              </w:rPr>
            </w:pPr>
          </w:p>
        </w:tc>
        <w:tc>
          <w:tcPr>
            <w:tcW w:w="709" w:type="dxa"/>
            <w:tcBorders>
              <w:top w:val="nil"/>
              <w:left w:val="nil"/>
              <w:bottom w:val="nil"/>
              <w:right w:val="nil"/>
            </w:tcBorders>
            <w:shd w:val="clear" w:color="000000" w:fill="FFFFFF"/>
            <w:vAlign w:val="center"/>
            <w:hideMark/>
          </w:tcPr>
          <w:p w14:paraId="57831C1F" w14:textId="77777777" w:rsidR="004D7F21" w:rsidRPr="00EF6A85" w:rsidRDefault="004D7F21" w:rsidP="004C6573">
            <w:pPr>
              <w:pStyle w:val="CGCTablenote"/>
              <w:tabs>
                <w:tab w:val="clear" w:pos="567"/>
                <w:tab w:val="clear" w:pos="680"/>
              </w:tabs>
              <w:ind w:left="174" w:hanging="61"/>
              <w:rPr>
                <w:rFonts w:ascii="Work Sans" w:hAnsi="Work Sans" w:cs="Open Sans Light"/>
                <w:lang w:eastAsia="en-AU"/>
              </w:rPr>
            </w:pPr>
            <w:r w:rsidRPr="00EF6A85">
              <w:rPr>
                <w:rFonts w:ascii="Work Sans" w:hAnsi="Work Sans" w:cs="Open Sans Light"/>
                <w:lang w:eastAsia="en-AU"/>
              </w:rPr>
              <w:t>NT</w:t>
            </w:r>
          </w:p>
        </w:tc>
        <w:tc>
          <w:tcPr>
            <w:tcW w:w="283" w:type="dxa"/>
            <w:tcBorders>
              <w:top w:val="nil"/>
              <w:left w:val="nil"/>
              <w:bottom w:val="nil"/>
              <w:right w:val="nil"/>
            </w:tcBorders>
            <w:shd w:val="clear" w:color="000000" w:fill="FFFFFF"/>
            <w:vAlign w:val="center"/>
            <w:hideMark/>
          </w:tcPr>
          <w:p w14:paraId="5BDABF08" w14:textId="77777777" w:rsidR="004D7F21" w:rsidRPr="00EF6A85" w:rsidRDefault="004D7F21" w:rsidP="004C6573">
            <w:pPr>
              <w:pStyle w:val="CGCTablenote"/>
              <w:tabs>
                <w:tab w:val="clear" w:pos="567"/>
                <w:tab w:val="clear" w:pos="680"/>
              </w:tabs>
              <w:ind w:left="174" w:hanging="61"/>
              <w:rPr>
                <w:rFonts w:ascii="Work Sans" w:hAnsi="Work Sans" w:cs="Open Sans Light"/>
                <w:lang w:eastAsia="en-AU"/>
              </w:rPr>
            </w:pPr>
            <w:r w:rsidRPr="00EF6A85">
              <w:rPr>
                <w:rFonts w:ascii="Work Sans" w:hAnsi="Work Sans" w:cs="Open Sans Light"/>
                <w:lang w:eastAsia="en-AU"/>
              </w:rPr>
              <w:t>-</w:t>
            </w:r>
          </w:p>
        </w:tc>
        <w:tc>
          <w:tcPr>
            <w:tcW w:w="2268" w:type="dxa"/>
            <w:gridSpan w:val="2"/>
            <w:tcBorders>
              <w:top w:val="nil"/>
              <w:left w:val="nil"/>
              <w:bottom w:val="nil"/>
              <w:right w:val="nil"/>
            </w:tcBorders>
            <w:shd w:val="clear" w:color="000000" w:fill="FFFFFF"/>
            <w:vAlign w:val="center"/>
            <w:hideMark/>
          </w:tcPr>
          <w:p w14:paraId="71DF73B7" w14:textId="77777777" w:rsidR="004D7F21" w:rsidRPr="00EF6A85" w:rsidRDefault="004D7F21" w:rsidP="004C6573">
            <w:pPr>
              <w:pStyle w:val="CGCTablenote"/>
              <w:tabs>
                <w:tab w:val="clear" w:pos="567"/>
                <w:tab w:val="clear" w:pos="680"/>
              </w:tabs>
              <w:ind w:left="174" w:hanging="61"/>
              <w:rPr>
                <w:rFonts w:ascii="Work Sans" w:hAnsi="Work Sans" w:cs="Open Sans Light"/>
                <w:lang w:eastAsia="en-AU"/>
              </w:rPr>
            </w:pPr>
            <w:r w:rsidRPr="00EF6A85">
              <w:rPr>
                <w:rFonts w:ascii="Work Sans" w:hAnsi="Work Sans" w:cs="Open Sans Light"/>
                <w:lang w:eastAsia="en-AU"/>
              </w:rPr>
              <w:t>Northern Territory</w:t>
            </w:r>
          </w:p>
        </w:tc>
        <w:tc>
          <w:tcPr>
            <w:tcW w:w="567" w:type="dxa"/>
            <w:gridSpan w:val="2"/>
            <w:tcBorders>
              <w:top w:val="nil"/>
              <w:left w:val="nil"/>
              <w:bottom w:val="nil"/>
              <w:right w:val="nil"/>
            </w:tcBorders>
            <w:shd w:val="clear" w:color="000000" w:fill="FFFFFF"/>
            <w:vAlign w:val="center"/>
            <w:hideMark/>
          </w:tcPr>
          <w:p w14:paraId="24671D35" w14:textId="77777777" w:rsidR="004D7F21" w:rsidRPr="00EF6A85" w:rsidRDefault="004D7F21" w:rsidP="004C6573">
            <w:pPr>
              <w:pStyle w:val="CGCTablenote"/>
              <w:tabs>
                <w:tab w:val="clear" w:pos="567"/>
                <w:tab w:val="clear" w:pos="680"/>
              </w:tabs>
              <w:ind w:left="174" w:hanging="61"/>
              <w:rPr>
                <w:rFonts w:ascii="Work Sans" w:hAnsi="Work Sans" w:cs="Open Sans Light"/>
                <w:lang w:eastAsia="en-AU"/>
              </w:rPr>
            </w:pPr>
            <w:r w:rsidRPr="00EF6A85">
              <w:rPr>
                <w:rFonts w:ascii="Work Sans" w:hAnsi="Work Sans" w:cs="Open Sans Light"/>
                <w:lang w:eastAsia="en-AU"/>
              </w:rPr>
              <w:t>Tas</w:t>
            </w:r>
          </w:p>
        </w:tc>
        <w:tc>
          <w:tcPr>
            <w:tcW w:w="284" w:type="dxa"/>
            <w:gridSpan w:val="2"/>
            <w:tcBorders>
              <w:top w:val="nil"/>
              <w:left w:val="nil"/>
              <w:bottom w:val="nil"/>
              <w:right w:val="nil"/>
            </w:tcBorders>
            <w:shd w:val="clear" w:color="000000" w:fill="FFFFFF"/>
            <w:vAlign w:val="center"/>
            <w:hideMark/>
          </w:tcPr>
          <w:p w14:paraId="22D8391F" w14:textId="77777777" w:rsidR="004D7F21" w:rsidRPr="00EF6A85" w:rsidRDefault="004D7F21" w:rsidP="004C6573">
            <w:pPr>
              <w:pStyle w:val="CGCTablenote"/>
              <w:tabs>
                <w:tab w:val="clear" w:pos="567"/>
                <w:tab w:val="clear" w:pos="680"/>
              </w:tabs>
              <w:ind w:left="174" w:hanging="61"/>
              <w:rPr>
                <w:rFonts w:ascii="Work Sans" w:hAnsi="Work Sans" w:cs="Open Sans Light"/>
                <w:lang w:eastAsia="en-AU"/>
              </w:rPr>
            </w:pPr>
            <w:r w:rsidRPr="00EF6A85">
              <w:rPr>
                <w:rFonts w:ascii="Work Sans" w:hAnsi="Work Sans" w:cs="Open Sans Light"/>
                <w:lang w:eastAsia="en-AU"/>
              </w:rPr>
              <w:t>-</w:t>
            </w:r>
          </w:p>
        </w:tc>
        <w:tc>
          <w:tcPr>
            <w:tcW w:w="1701" w:type="dxa"/>
            <w:tcBorders>
              <w:top w:val="nil"/>
              <w:left w:val="nil"/>
              <w:bottom w:val="nil"/>
              <w:right w:val="nil"/>
            </w:tcBorders>
            <w:shd w:val="clear" w:color="000000" w:fill="FFFFFF"/>
            <w:vAlign w:val="center"/>
            <w:hideMark/>
          </w:tcPr>
          <w:p w14:paraId="5C141CF2" w14:textId="77777777" w:rsidR="004D7F21" w:rsidRPr="00EF6A85" w:rsidRDefault="004D7F21" w:rsidP="004C6573">
            <w:pPr>
              <w:pStyle w:val="CGCTablenote"/>
              <w:tabs>
                <w:tab w:val="clear" w:pos="567"/>
                <w:tab w:val="clear" w:pos="680"/>
              </w:tabs>
              <w:ind w:left="174" w:hanging="61"/>
              <w:rPr>
                <w:rFonts w:ascii="Work Sans" w:hAnsi="Work Sans" w:cs="Open Sans Light"/>
                <w:lang w:eastAsia="en-AU"/>
              </w:rPr>
            </w:pPr>
            <w:r w:rsidRPr="00EF6A85">
              <w:rPr>
                <w:rFonts w:ascii="Work Sans" w:hAnsi="Work Sans" w:cs="Open Sans Light"/>
                <w:lang w:eastAsia="en-AU"/>
              </w:rPr>
              <w:t>Tasmania</w:t>
            </w:r>
          </w:p>
        </w:tc>
        <w:tc>
          <w:tcPr>
            <w:tcW w:w="567" w:type="dxa"/>
            <w:gridSpan w:val="3"/>
            <w:tcBorders>
              <w:top w:val="nil"/>
              <w:left w:val="nil"/>
              <w:bottom w:val="nil"/>
              <w:right w:val="nil"/>
            </w:tcBorders>
            <w:shd w:val="clear" w:color="000000" w:fill="FFFFFF"/>
            <w:vAlign w:val="center"/>
            <w:hideMark/>
          </w:tcPr>
          <w:p w14:paraId="0AA76315" w14:textId="77777777" w:rsidR="004D7F21" w:rsidRPr="00EF6A85" w:rsidRDefault="004D7F21" w:rsidP="004C6573">
            <w:pPr>
              <w:pStyle w:val="CGCTablenote"/>
              <w:tabs>
                <w:tab w:val="clear" w:pos="567"/>
                <w:tab w:val="clear" w:pos="680"/>
              </w:tabs>
              <w:ind w:left="174" w:hanging="61"/>
              <w:rPr>
                <w:rFonts w:ascii="Work Sans" w:hAnsi="Work Sans" w:cs="Open Sans Light"/>
                <w:lang w:eastAsia="en-AU"/>
              </w:rPr>
            </w:pPr>
            <w:r w:rsidRPr="00EF6A85">
              <w:rPr>
                <w:rFonts w:ascii="Work Sans" w:hAnsi="Work Sans" w:cs="Open Sans Light"/>
                <w:lang w:eastAsia="en-AU"/>
              </w:rPr>
              <w:t> </w:t>
            </w:r>
          </w:p>
        </w:tc>
        <w:tc>
          <w:tcPr>
            <w:tcW w:w="313" w:type="dxa"/>
            <w:gridSpan w:val="2"/>
            <w:tcBorders>
              <w:top w:val="nil"/>
              <w:left w:val="nil"/>
              <w:bottom w:val="nil"/>
              <w:right w:val="nil"/>
            </w:tcBorders>
            <w:shd w:val="clear" w:color="000000" w:fill="FFFFFF"/>
            <w:vAlign w:val="center"/>
            <w:hideMark/>
          </w:tcPr>
          <w:p w14:paraId="5290D712" w14:textId="77777777" w:rsidR="004D7F21" w:rsidRPr="00EF6A85" w:rsidRDefault="004D7F21" w:rsidP="004C6573">
            <w:pPr>
              <w:pStyle w:val="CGCTablenote"/>
              <w:tabs>
                <w:tab w:val="clear" w:pos="567"/>
                <w:tab w:val="clear" w:pos="680"/>
              </w:tabs>
              <w:ind w:left="174" w:hanging="61"/>
              <w:rPr>
                <w:rFonts w:ascii="Work Sans" w:hAnsi="Work Sans" w:cs="Open Sans Light"/>
                <w:lang w:eastAsia="en-AU"/>
              </w:rPr>
            </w:pPr>
            <w:r w:rsidRPr="00EF6A85">
              <w:rPr>
                <w:rFonts w:ascii="Work Sans" w:hAnsi="Work Sans" w:cs="Open Sans Light"/>
                <w:lang w:eastAsia="en-AU"/>
              </w:rPr>
              <w:t> </w:t>
            </w:r>
          </w:p>
        </w:tc>
        <w:tc>
          <w:tcPr>
            <w:tcW w:w="1943" w:type="dxa"/>
            <w:gridSpan w:val="2"/>
            <w:tcBorders>
              <w:top w:val="nil"/>
              <w:left w:val="nil"/>
              <w:bottom w:val="nil"/>
              <w:right w:val="nil"/>
            </w:tcBorders>
            <w:shd w:val="clear" w:color="000000" w:fill="FFFFFF"/>
            <w:vAlign w:val="center"/>
            <w:hideMark/>
          </w:tcPr>
          <w:p w14:paraId="1997C175" w14:textId="77777777" w:rsidR="004D7F21" w:rsidRPr="00EF6A85" w:rsidRDefault="004D7F21" w:rsidP="004C6573">
            <w:pPr>
              <w:pStyle w:val="CGCTablenote"/>
              <w:tabs>
                <w:tab w:val="clear" w:pos="567"/>
                <w:tab w:val="clear" w:pos="680"/>
              </w:tabs>
              <w:ind w:left="174" w:hanging="61"/>
              <w:rPr>
                <w:rFonts w:ascii="Work Sans" w:hAnsi="Work Sans" w:cs="Open Sans Light"/>
                <w:lang w:eastAsia="en-AU"/>
              </w:rPr>
            </w:pPr>
            <w:r w:rsidRPr="00EF6A85">
              <w:rPr>
                <w:rFonts w:ascii="Work Sans" w:hAnsi="Work Sans" w:cs="Open Sans Light"/>
                <w:lang w:eastAsia="en-AU"/>
              </w:rPr>
              <w:t> </w:t>
            </w:r>
          </w:p>
        </w:tc>
      </w:tr>
      <w:tr w:rsidR="004D7F21" w:rsidRPr="0082643D" w14:paraId="3FD0B328" w14:textId="77777777" w:rsidTr="0079353C">
        <w:trPr>
          <w:gridAfter w:val="1"/>
          <w:wAfter w:w="159" w:type="dxa"/>
          <w:trHeight w:val="200"/>
        </w:trPr>
        <w:tc>
          <w:tcPr>
            <w:tcW w:w="709" w:type="dxa"/>
            <w:tcBorders>
              <w:top w:val="nil"/>
              <w:left w:val="nil"/>
              <w:bottom w:val="nil"/>
              <w:right w:val="nil"/>
            </w:tcBorders>
            <w:shd w:val="clear" w:color="auto" w:fill="auto"/>
            <w:noWrap/>
            <w:vAlign w:val="center"/>
          </w:tcPr>
          <w:p w14:paraId="129086FD" w14:textId="77777777" w:rsidR="004D7F21" w:rsidRPr="002C5B2F" w:rsidRDefault="004D7F21" w:rsidP="00B1671F">
            <w:pPr>
              <w:tabs>
                <w:tab w:val="clear" w:pos="567"/>
              </w:tabs>
              <w:spacing w:before="0" w:line="240" w:lineRule="auto"/>
              <w:rPr>
                <w:rFonts w:ascii="Work Sans" w:eastAsia="Times New Roman" w:hAnsi="Work Sans" w:cs="Open Sans Light"/>
                <w:color w:val="585858"/>
                <w:sz w:val="14"/>
                <w:szCs w:val="14"/>
                <w:lang w:eastAsia="en-AU"/>
              </w:rPr>
            </w:pPr>
          </w:p>
        </w:tc>
        <w:tc>
          <w:tcPr>
            <w:tcW w:w="709" w:type="dxa"/>
            <w:tcBorders>
              <w:top w:val="nil"/>
              <w:left w:val="nil"/>
              <w:bottom w:val="nil"/>
              <w:right w:val="nil"/>
            </w:tcBorders>
            <w:shd w:val="clear" w:color="000000" w:fill="FFFFFF"/>
            <w:vAlign w:val="center"/>
          </w:tcPr>
          <w:p w14:paraId="4D974F22" w14:textId="77777777" w:rsidR="004D7F21" w:rsidRPr="002C5B2F" w:rsidRDefault="004D7F21" w:rsidP="00B1671F">
            <w:pPr>
              <w:tabs>
                <w:tab w:val="clear" w:pos="567"/>
              </w:tabs>
              <w:spacing w:before="0" w:line="240" w:lineRule="auto"/>
              <w:rPr>
                <w:rFonts w:ascii="Work Sans" w:eastAsia="Times New Roman" w:hAnsi="Work Sans" w:cs="Open Sans Light"/>
                <w:color w:val="585858"/>
                <w:sz w:val="14"/>
                <w:szCs w:val="14"/>
                <w:lang w:eastAsia="en-AU"/>
              </w:rPr>
            </w:pPr>
          </w:p>
        </w:tc>
        <w:tc>
          <w:tcPr>
            <w:tcW w:w="283" w:type="dxa"/>
            <w:tcBorders>
              <w:top w:val="nil"/>
              <w:left w:val="nil"/>
              <w:bottom w:val="nil"/>
              <w:right w:val="nil"/>
            </w:tcBorders>
            <w:shd w:val="clear" w:color="000000" w:fill="FFFFFF"/>
            <w:vAlign w:val="center"/>
          </w:tcPr>
          <w:p w14:paraId="40C3A02C" w14:textId="77777777" w:rsidR="004D7F21" w:rsidRPr="002C5B2F" w:rsidRDefault="004D7F21" w:rsidP="00B1671F">
            <w:pPr>
              <w:tabs>
                <w:tab w:val="clear" w:pos="567"/>
              </w:tabs>
              <w:spacing w:before="0" w:line="240" w:lineRule="auto"/>
              <w:rPr>
                <w:rFonts w:ascii="Work Sans" w:eastAsia="Times New Roman" w:hAnsi="Work Sans" w:cs="Open Sans Light"/>
                <w:color w:val="585858"/>
                <w:sz w:val="14"/>
                <w:szCs w:val="14"/>
                <w:lang w:eastAsia="en-AU"/>
              </w:rPr>
            </w:pPr>
          </w:p>
        </w:tc>
        <w:tc>
          <w:tcPr>
            <w:tcW w:w="1949" w:type="dxa"/>
            <w:tcBorders>
              <w:top w:val="nil"/>
              <w:left w:val="nil"/>
              <w:bottom w:val="nil"/>
              <w:right w:val="nil"/>
            </w:tcBorders>
            <w:shd w:val="clear" w:color="000000" w:fill="FFFFFF"/>
            <w:vAlign w:val="center"/>
          </w:tcPr>
          <w:p w14:paraId="2BE48324" w14:textId="77777777" w:rsidR="004D7F21" w:rsidRPr="002C5B2F" w:rsidRDefault="004D7F21" w:rsidP="00B1671F">
            <w:pPr>
              <w:tabs>
                <w:tab w:val="clear" w:pos="567"/>
              </w:tabs>
              <w:spacing w:before="0" w:line="240" w:lineRule="auto"/>
              <w:rPr>
                <w:rFonts w:ascii="Work Sans" w:eastAsia="Times New Roman" w:hAnsi="Work Sans" w:cs="Open Sans Light"/>
                <w:color w:val="585858"/>
                <w:sz w:val="14"/>
                <w:szCs w:val="14"/>
                <w:lang w:eastAsia="en-AU"/>
              </w:rPr>
            </w:pPr>
          </w:p>
        </w:tc>
        <w:tc>
          <w:tcPr>
            <w:tcW w:w="680" w:type="dxa"/>
            <w:gridSpan w:val="2"/>
            <w:tcBorders>
              <w:top w:val="nil"/>
              <w:left w:val="nil"/>
              <w:bottom w:val="nil"/>
              <w:right w:val="nil"/>
            </w:tcBorders>
            <w:shd w:val="clear" w:color="000000" w:fill="FFFFFF"/>
            <w:vAlign w:val="center"/>
          </w:tcPr>
          <w:p w14:paraId="7887B6AB" w14:textId="77777777" w:rsidR="004D7F21" w:rsidRPr="002C5B2F" w:rsidRDefault="004D7F21" w:rsidP="00B1671F">
            <w:pPr>
              <w:tabs>
                <w:tab w:val="clear" w:pos="567"/>
              </w:tabs>
              <w:spacing w:before="0" w:line="240" w:lineRule="auto"/>
              <w:rPr>
                <w:rFonts w:ascii="Work Sans" w:eastAsia="Times New Roman" w:hAnsi="Work Sans" w:cs="Open Sans Light"/>
                <w:color w:val="585858"/>
                <w:sz w:val="14"/>
                <w:szCs w:val="14"/>
                <w:lang w:eastAsia="en-AU"/>
              </w:rPr>
            </w:pPr>
          </w:p>
        </w:tc>
        <w:tc>
          <w:tcPr>
            <w:tcW w:w="386" w:type="dxa"/>
            <w:gridSpan w:val="2"/>
            <w:tcBorders>
              <w:top w:val="nil"/>
              <w:left w:val="nil"/>
              <w:bottom w:val="nil"/>
              <w:right w:val="nil"/>
            </w:tcBorders>
            <w:shd w:val="clear" w:color="000000" w:fill="FFFFFF"/>
            <w:vAlign w:val="center"/>
          </w:tcPr>
          <w:p w14:paraId="0977BFFA" w14:textId="77777777" w:rsidR="004D7F21" w:rsidRPr="002C5B2F" w:rsidRDefault="004D7F21" w:rsidP="00B1671F">
            <w:pPr>
              <w:tabs>
                <w:tab w:val="clear" w:pos="567"/>
              </w:tabs>
              <w:spacing w:before="0" w:line="240" w:lineRule="auto"/>
              <w:rPr>
                <w:rFonts w:ascii="Work Sans" w:eastAsia="Times New Roman" w:hAnsi="Work Sans" w:cs="Open Sans Light"/>
                <w:color w:val="585858"/>
                <w:sz w:val="14"/>
                <w:szCs w:val="14"/>
                <w:lang w:eastAsia="en-AU"/>
              </w:rPr>
            </w:pPr>
          </w:p>
        </w:tc>
        <w:tc>
          <w:tcPr>
            <w:tcW w:w="1846" w:type="dxa"/>
            <w:gridSpan w:val="3"/>
            <w:tcBorders>
              <w:top w:val="nil"/>
              <w:left w:val="nil"/>
              <w:bottom w:val="nil"/>
              <w:right w:val="nil"/>
            </w:tcBorders>
            <w:shd w:val="clear" w:color="000000" w:fill="FFFFFF"/>
            <w:vAlign w:val="center"/>
          </w:tcPr>
          <w:p w14:paraId="520C850E" w14:textId="77777777" w:rsidR="004D7F21" w:rsidRPr="002C5B2F" w:rsidRDefault="004D7F21" w:rsidP="00B1671F">
            <w:pPr>
              <w:tabs>
                <w:tab w:val="clear" w:pos="567"/>
              </w:tabs>
              <w:spacing w:before="0" w:line="240" w:lineRule="auto"/>
              <w:rPr>
                <w:rFonts w:ascii="Work Sans" w:eastAsia="Times New Roman" w:hAnsi="Work Sans" w:cs="Open Sans Light"/>
                <w:color w:val="585858"/>
                <w:sz w:val="14"/>
                <w:szCs w:val="14"/>
                <w:lang w:eastAsia="en-AU"/>
              </w:rPr>
            </w:pPr>
          </w:p>
        </w:tc>
        <w:tc>
          <w:tcPr>
            <w:tcW w:w="274" w:type="dxa"/>
            <w:tcBorders>
              <w:top w:val="nil"/>
              <w:left w:val="nil"/>
              <w:bottom w:val="nil"/>
              <w:right w:val="nil"/>
            </w:tcBorders>
            <w:shd w:val="clear" w:color="000000" w:fill="FFFFFF"/>
            <w:vAlign w:val="center"/>
          </w:tcPr>
          <w:p w14:paraId="45593C82" w14:textId="77777777" w:rsidR="004D7F21" w:rsidRPr="002C5B2F" w:rsidRDefault="004D7F21" w:rsidP="00B1671F">
            <w:pPr>
              <w:tabs>
                <w:tab w:val="clear" w:pos="567"/>
              </w:tabs>
              <w:spacing w:before="0" w:line="240" w:lineRule="auto"/>
              <w:rPr>
                <w:rFonts w:ascii="Work Sans" w:eastAsia="Times New Roman" w:hAnsi="Work Sans" w:cs="Open Sans Light"/>
                <w:color w:val="585858"/>
                <w:sz w:val="14"/>
                <w:szCs w:val="14"/>
                <w:lang w:eastAsia="en-AU"/>
              </w:rPr>
            </w:pPr>
          </w:p>
        </w:tc>
        <w:tc>
          <w:tcPr>
            <w:tcW w:w="406" w:type="dxa"/>
            <w:gridSpan w:val="2"/>
            <w:tcBorders>
              <w:top w:val="nil"/>
              <w:left w:val="nil"/>
              <w:bottom w:val="nil"/>
              <w:right w:val="nil"/>
            </w:tcBorders>
            <w:shd w:val="clear" w:color="000000" w:fill="FFFFFF"/>
            <w:vAlign w:val="center"/>
          </w:tcPr>
          <w:p w14:paraId="0B731994" w14:textId="77777777" w:rsidR="004D7F21" w:rsidRPr="002C5B2F" w:rsidRDefault="004D7F21" w:rsidP="00B1671F">
            <w:pPr>
              <w:tabs>
                <w:tab w:val="clear" w:pos="567"/>
              </w:tabs>
              <w:spacing w:before="0" w:line="240" w:lineRule="auto"/>
              <w:rPr>
                <w:rFonts w:ascii="Work Sans" w:eastAsia="Times New Roman" w:hAnsi="Work Sans" w:cs="Open Sans Light"/>
                <w:color w:val="585858"/>
                <w:sz w:val="14"/>
                <w:szCs w:val="14"/>
                <w:lang w:eastAsia="en-AU"/>
              </w:rPr>
            </w:pPr>
          </w:p>
        </w:tc>
        <w:tc>
          <w:tcPr>
            <w:tcW w:w="1943" w:type="dxa"/>
            <w:gridSpan w:val="2"/>
            <w:tcBorders>
              <w:top w:val="nil"/>
              <w:left w:val="nil"/>
              <w:bottom w:val="nil"/>
              <w:right w:val="nil"/>
            </w:tcBorders>
            <w:shd w:val="clear" w:color="000000" w:fill="FFFFFF"/>
            <w:vAlign w:val="center"/>
          </w:tcPr>
          <w:p w14:paraId="59A8E7C7" w14:textId="77777777" w:rsidR="004D7F21" w:rsidRPr="002C5B2F" w:rsidRDefault="004D7F21" w:rsidP="00B1671F">
            <w:pPr>
              <w:tabs>
                <w:tab w:val="clear" w:pos="567"/>
              </w:tabs>
              <w:spacing w:before="0" w:line="240" w:lineRule="auto"/>
              <w:rPr>
                <w:rFonts w:ascii="Work Sans" w:eastAsia="Times New Roman" w:hAnsi="Work Sans" w:cs="Open Sans Light"/>
                <w:color w:val="585858"/>
                <w:sz w:val="14"/>
                <w:szCs w:val="14"/>
                <w:lang w:eastAsia="en-AU"/>
              </w:rPr>
            </w:pPr>
          </w:p>
        </w:tc>
      </w:tr>
    </w:tbl>
    <w:p w14:paraId="6467A823" w14:textId="77777777" w:rsidR="008B60BF" w:rsidRDefault="008B60BF" w:rsidP="004D7F21">
      <w:pPr>
        <w:pStyle w:val="CGCTablenote"/>
        <w:rPr>
          <w:rFonts w:ascii="Work Sans" w:hAnsi="Work Sans"/>
        </w:rPr>
      </w:pPr>
    </w:p>
    <w:p w14:paraId="20DC1E7B" w14:textId="77777777" w:rsidR="008B60BF" w:rsidRPr="008B60BF" w:rsidRDefault="008B60BF" w:rsidP="008B60BF"/>
    <w:p w14:paraId="4475D4A8" w14:textId="0006903D" w:rsidR="004D7F21" w:rsidRPr="002C5B2F" w:rsidRDefault="008B60BF" w:rsidP="004D7F21">
      <w:pPr>
        <w:pStyle w:val="CGCTablenote"/>
        <w:rPr>
          <w:rStyle w:val="FootnoteReference"/>
          <w:rFonts w:ascii="Work Sans" w:hAnsi="Work Sans"/>
        </w:rPr>
      </w:pPr>
      <w:r>
        <w:rPr>
          <w:rFonts w:ascii="Work Sans" w:hAnsi="Work Sans"/>
        </w:rPr>
        <w:br w:type="column"/>
      </w:r>
    </w:p>
    <w:p w14:paraId="776C03AD" w14:textId="57AA8474" w:rsidR="004D7F21" w:rsidRPr="00C32075" w:rsidRDefault="004D7F21" w:rsidP="00517367">
      <w:pPr>
        <w:pStyle w:val="Heading3"/>
      </w:pPr>
      <w:r w:rsidRPr="00C32075">
        <w:t>Canada</w:t>
      </w:r>
    </w:p>
    <w:p w14:paraId="05D5EB1A" w14:textId="63BA8281" w:rsidR="004D7F21" w:rsidRPr="008B60BF" w:rsidRDefault="0059339B" w:rsidP="00D073A2">
      <w:pPr>
        <w:rPr>
          <w:rFonts w:ascii="Work Sans" w:hAnsi="Work Sans"/>
          <w:sz w:val="24"/>
          <w:szCs w:val="24"/>
        </w:rPr>
      </w:pPr>
      <w:r w:rsidRPr="008B60BF">
        <w:rPr>
          <w:rFonts w:ascii="Work Sans" w:hAnsi="Work Sans"/>
          <w:sz w:val="24"/>
          <w:szCs w:val="24"/>
        </w:rPr>
        <w:t xml:space="preserve">Canada is a federation of 10 </w:t>
      </w:r>
      <w:r w:rsidR="00FA42E8" w:rsidRPr="008B60BF">
        <w:rPr>
          <w:rFonts w:ascii="Work Sans" w:hAnsi="Work Sans"/>
          <w:sz w:val="24"/>
          <w:szCs w:val="24"/>
        </w:rPr>
        <w:t>p</w:t>
      </w:r>
      <w:r w:rsidRPr="008B60BF">
        <w:rPr>
          <w:rFonts w:ascii="Work Sans" w:hAnsi="Work Sans"/>
          <w:sz w:val="24"/>
          <w:szCs w:val="24"/>
        </w:rPr>
        <w:t>rovinces</w:t>
      </w:r>
      <w:r w:rsidR="004E4CD9" w:rsidRPr="008B60BF">
        <w:rPr>
          <w:rFonts w:ascii="Work Sans" w:hAnsi="Work Sans"/>
          <w:sz w:val="24"/>
          <w:szCs w:val="24"/>
        </w:rPr>
        <w:t>,</w:t>
      </w:r>
      <w:r w:rsidRPr="008B60BF">
        <w:rPr>
          <w:rFonts w:ascii="Work Sans" w:hAnsi="Work Sans"/>
          <w:sz w:val="24"/>
          <w:szCs w:val="24"/>
        </w:rPr>
        <w:t xml:space="preserve"> with populations </w:t>
      </w:r>
      <w:r w:rsidR="004E4CD9" w:rsidRPr="008B60BF">
        <w:rPr>
          <w:rFonts w:ascii="Work Sans" w:hAnsi="Work Sans"/>
          <w:sz w:val="24"/>
          <w:szCs w:val="24"/>
        </w:rPr>
        <w:t>ranging from</w:t>
      </w:r>
      <w:r w:rsidRPr="008B60BF">
        <w:rPr>
          <w:rFonts w:ascii="Work Sans" w:hAnsi="Work Sans"/>
          <w:sz w:val="24"/>
          <w:szCs w:val="24"/>
        </w:rPr>
        <w:t xml:space="preserve"> 154,000 (Prince Edward Island) </w:t>
      </w:r>
      <w:r w:rsidR="005C6A5C" w:rsidRPr="008B60BF">
        <w:rPr>
          <w:rFonts w:ascii="Work Sans" w:hAnsi="Work Sans"/>
          <w:sz w:val="24"/>
          <w:szCs w:val="24"/>
        </w:rPr>
        <w:t xml:space="preserve">to </w:t>
      </w:r>
      <w:r w:rsidRPr="008B60BF">
        <w:rPr>
          <w:rFonts w:ascii="Work Sans" w:hAnsi="Work Sans"/>
          <w:sz w:val="24"/>
          <w:szCs w:val="24"/>
        </w:rPr>
        <w:t>14.2</w:t>
      </w:r>
      <w:r w:rsidR="005C6A5C" w:rsidRPr="008B60BF">
        <w:rPr>
          <w:rFonts w:ascii="Work Sans" w:hAnsi="Work Sans"/>
          <w:sz w:val="24"/>
          <w:szCs w:val="24"/>
        </w:rPr>
        <w:t> </w:t>
      </w:r>
      <w:r w:rsidRPr="008B60BF">
        <w:rPr>
          <w:rFonts w:ascii="Work Sans" w:hAnsi="Work Sans"/>
          <w:sz w:val="24"/>
          <w:szCs w:val="24"/>
        </w:rPr>
        <w:t>million (Ontario). It also has three territories, including Nunavut with a population of only 37,000.</w:t>
      </w:r>
      <w:r w:rsidRPr="008B60BF">
        <w:rPr>
          <w:rFonts w:ascii="Work Sans" w:hAnsi="Work Sans" w:cs="Segoe UI"/>
          <w:color w:val="242424"/>
          <w:sz w:val="24"/>
          <w:szCs w:val="24"/>
          <w:shd w:val="clear" w:color="auto" w:fill="FFFFFF"/>
        </w:rPr>
        <w:t xml:space="preserve"> </w:t>
      </w:r>
      <w:r w:rsidR="004D7F21" w:rsidRPr="008B60BF">
        <w:rPr>
          <w:rFonts w:ascii="Work Sans" w:hAnsi="Work Sans"/>
          <w:sz w:val="24"/>
          <w:szCs w:val="24"/>
        </w:rPr>
        <w:t xml:space="preserve">Equalisation in Canada involves a federal transfer program to reduce differences in the </w:t>
      </w:r>
      <w:r w:rsidR="00C216B6" w:rsidRPr="008B60BF">
        <w:rPr>
          <w:rFonts w:ascii="Work Sans" w:hAnsi="Work Sans"/>
          <w:sz w:val="24"/>
          <w:szCs w:val="24"/>
        </w:rPr>
        <w:t xml:space="preserve">revenue </w:t>
      </w:r>
      <w:r w:rsidR="00214DDE" w:rsidRPr="008B60BF">
        <w:rPr>
          <w:rFonts w:ascii="Work Sans" w:hAnsi="Work Sans"/>
          <w:sz w:val="24"/>
          <w:szCs w:val="24"/>
        </w:rPr>
        <w:t xml:space="preserve">raising </w:t>
      </w:r>
      <w:r w:rsidR="004D7F21" w:rsidRPr="008B60BF">
        <w:rPr>
          <w:rFonts w:ascii="Work Sans" w:hAnsi="Work Sans"/>
          <w:sz w:val="24"/>
          <w:szCs w:val="24"/>
        </w:rPr>
        <w:t>capacities of Canadian provinces.</w:t>
      </w:r>
      <w:r w:rsidR="004D7F21" w:rsidRPr="008B60BF">
        <w:rPr>
          <w:rFonts w:ascii="Work Sans" w:hAnsi="Work Sans"/>
          <w:sz w:val="24"/>
          <w:szCs w:val="24"/>
          <w:vertAlign w:val="superscript"/>
        </w:rPr>
        <w:footnoteReference w:id="4"/>
      </w:r>
      <w:r w:rsidR="004D7F21" w:rsidRPr="008B60BF">
        <w:rPr>
          <w:rFonts w:ascii="Work Sans" w:hAnsi="Work Sans"/>
          <w:sz w:val="24"/>
          <w:szCs w:val="24"/>
        </w:rPr>
        <w:t xml:space="preserve"> The principle of </w:t>
      </w:r>
      <w:r w:rsidR="00AD51EE" w:rsidRPr="008B60BF">
        <w:rPr>
          <w:rFonts w:ascii="Work Sans" w:hAnsi="Work Sans"/>
          <w:sz w:val="24"/>
          <w:szCs w:val="24"/>
        </w:rPr>
        <w:t>e</w:t>
      </w:r>
      <w:r w:rsidR="004D7F21" w:rsidRPr="008B60BF">
        <w:rPr>
          <w:rFonts w:ascii="Work Sans" w:hAnsi="Work Sans"/>
          <w:sz w:val="24"/>
          <w:szCs w:val="24"/>
        </w:rPr>
        <w:t>qualisation is set out in Canada’s constitution: “to ensure that provincial governments have sufficient revenues to provide reasonably comparable levels of public services at reasonably comparable levels of taxation”.</w:t>
      </w:r>
      <w:r w:rsidR="004D7F21" w:rsidRPr="008B60BF">
        <w:rPr>
          <w:rFonts w:ascii="Work Sans" w:hAnsi="Work Sans"/>
          <w:sz w:val="24"/>
          <w:szCs w:val="24"/>
          <w:vertAlign w:val="superscript"/>
        </w:rPr>
        <w:footnoteReference w:id="5"/>
      </w:r>
      <w:r w:rsidR="004D7F21" w:rsidRPr="008B60BF">
        <w:rPr>
          <w:rFonts w:ascii="Work Sans" w:hAnsi="Work Sans"/>
          <w:sz w:val="24"/>
          <w:szCs w:val="24"/>
        </w:rPr>
        <w:t xml:space="preserve"> Canada equalises revenue raising capacities but does not assess expense needs.</w:t>
      </w:r>
    </w:p>
    <w:p w14:paraId="7AA9039B" w14:textId="08687FA9" w:rsidR="004D7F21" w:rsidRPr="008B60BF" w:rsidRDefault="004D7F21" w:rsidP="00D073A2">
      <w:pPr>
        <w:rPr>
          <w:rFonts w:ascii="Work Sans" w:hAnsi="Work Sans"/>
          <w:sz w:val="24"/>
          <w:szCs w:val="24"/>
        </w:rPr>
      </w:pPr>
      <w:r w:rsidRPr="008B60BF">
        <w:rPr>
          <w:rFonts w:ascii="Work Sans" w:hAnsi="Work Sans"/>
          <w:sz w:val="24"/>
          <w:szCs w:val="24"/>
        </w:rPr>
        <w:t>Canadian provinces have a low degree of vertical fiscal imbalance, with approximately 20% of provincial spending financed by federal transfers. Canada pays large health, education and social service grants to the provinces. These are allocated on an equal per capita basis. Equalisation payments make up around 30% of overall fiscal transfers to provinces.</w:t>
      </w:r>
    </w:p>
    <w:p w14:paraId="40FC563B" w14:textId="2B9A49F9" w:rsidR="004D7F21" w:rsidRPr="008B60BF" w:rsidRDefault="004D7F21" w:rsidP="00D073A2">
      <w:pPr>
        <w:rPr>
          <w:rFonts w:ascii="Work Sans" w:hAnsi="Work Sans"/>
          <w:sz w:val="24"/>
          <w:szCs w:val="24"/>
        </w:rPr>
      </w:pPr>
      <w:r w:rsidRPr="008B60BF">
        <w:rPr>
          <w:rFonts w:ascii="Work Sans" w:hAnsi="Work Sans"/>
          <w:sz w:val="24"/>
          <w:szCs w:val="24"/>
        </w:rPr>
        <w:t>The equalisation pool is predetermined and funded from federal general revenue. Since 2009</w:t>
      </w:r>
      <w:r w:rsidRPr="008B60BF">
        <w:rPr>
          <w:rFonts w:ascii="Work Sans" w:hAnsi="Work Sans"/>
          <w:sz w:val="24"/>
          <w:szCs w:val="24"/>
        </w:rPr>
        <w:noBreakHyphen/>
        <w:t xml:space="preserve">10, when the federal government determined the size of the equalisation pool and pegged annual increases to economic growth, the size of the pool has been independent of the size of the equalisation task and less affected by changes in </w:t>
      </w:r>
      <w:r w:rsidR="00C216B6" w:rsidRPr="008B60BF">
        <w:rPr>
          <w:rFonts w:ascii="Work Sans" w:hAnsi="Work Sans"/>
          <w:sz w:val="24"/>
          <w:szCs w:val="24"/>
        </w:rPr>
        <w:t xml:space="preserve">revenue </w:t>
      </w:r>
      <w:r w:rsidRPr="008B60BF">
        <w:rPr>
          <w:rFonts w:ascii="Work Sans" w:hAnsi="Work Sans"/>
          <w:sz w:val="24"/>
          <w:szCs w:val="24"/>
        </w:rPr>
        <w:t>disparities among the provinces. This has given certainty to the federal government and guaranteed the provinces a growing pool although the pool may not match the equalisation task.</w:t>
      </w:r>
    </w:p>
    <w:p w14:paraId="2B84F844" w14:textId="77777777" w:rsidR="004D7F21" w:rsidRPr="008B60BF" w:rsidRDefault="004D7F21" w:rsidP="00D073A2">
      <w:pPr>
        <w:rPr>
          <w:rFonts w:ascii="Work Sans" w:hAnsi="Work Sans"/>
          <w:sz w:val="24"/>
          <w:szCs w:val="24"/>
        </w:rPr>
      </w:pPr>
      <w:r w:rsidRPr="008B60BF">
        <w:rPr>
          <w:rFonts w:ascii="Work Sans" w:hAnsi="Work Sans"/>
          <w:sz w:val="24"/>
          <w:szCs w:val="24"/>
        </w:rPr>
        <w:t>Distribution raises provinces with weaker revenue capacity to around the pre-equalisation national average. Fiscally stronger provinces receive no equalisation payments; nor do they contribute to the equalisation pool.</w:t>
      </w:r>
    </w:p>
    <w:p w14:paraId="27351296" w14:textId="55947B03" w:rsidR="004D7F21" w:rsidRPr="008B60BF" w:rsidRDefault="004D7F21" w:rsidP="00D073A2">
      <w:pPr>
        <w:rPr>
          <w:rFonts w:ascii="Work Sans" w:hAnsi="Work Sans"/>
          <w:sz w:val="24"/>
          <w:szCs w:val="24"/>
        </w:rPr>
      </w:pPr>
      <w:r w:rsidRPr="008B60BF">
        <w:rPr>
          <w:rFonts w:ascii="Work Sans" w:hAnsi="Work Sans"/>
          <w:sz w:val="24"/>
          <w:szCs w:val="24"/>
        </w:rPr>
        <w:t xml:space="preserve">Equalisation operates according to a formula set in </w:t>
      </w:r>
      <w:r w:rsidR="00774814" w:rsidRPr="008B60BF">
        <w:rPr>
          <w:rFonts w:ascii="Work Sans" w:hAnsi="Work Sans"/>
          <w:sz w:val="24"/>
          <w:szCs w:val="24"/>
        </w:rPr>
        <w:t>f</w:t>
      </w:r>
      <w:r w:rsidRPr="008B60BF">
        <w:rPr>
          <w:rFonts w:ascii="Work Sans" w:hAnsi="Work Sans"/>
          <w:sz w:val="24"/>
          <w:szCs w:val="24"/>
        </w:rPr>
        <w:t xml:space="preserve">ederal legislation which is reviewed on a periodic basis by intergovernmental committees. The formula assesses provinces’ revenue-raising capacity using a ‘representative tax system’ approach. This means that it applies national average tax rates to each province’s revenue bases. </w:t>
      </w:r>
    </w:p>
    <w:p w14:paraId="3A16BBB7" w14:textId="05881733" w:rsidR="004D7F21" w:rsidRPr="008B60BF" w:rsidRDefault="004D7F21" w:rsidP="00D073A2">
      <w:pPr>
        <w:rPr>
          <w:rFonts w:ascii="Work Sans" w:hAnsi="Work Sans"/>
          <w:sz w:val="24"/>
          <w:szCs w:val="24"/>
        </w:rPr>
      </w:pPr>
      <w:r w:rsidRPr="008B60BF">
        <w:rPr>
          <w:rFonts w:ascii="Work Sans" w:hAnsi="Work Sans"/>
          <w:sz w:val="24"/>
          <w:szCs w:val="24"/>
        </w:rPr>
        <w:t xml:space="preserve">Resource revenues are treated slightly differently to other revenues — the assessment is based on actual </w:t>
      </w:r>
      <w:r w:rsidR="00CA0928" w:rsidRPr="008B60BF">
        <w:rPr>
          <w:rFonts w:ascii="Work Sans" w:hAnsi="Work Sans"/>
          <w:sz w:val="24"/>
          <w:szCs w:val="24"/>
        </w:rPr>
        <w:t xml:space="preserve">resource </w:t>
      </w:r>
      <w:r w:rsidRPr="008B60BF">
        <w:rPr>
          <w:rFonts w:ascii="Work Sans" w:hAnsi="Work Sans"/>
          <w:sz w:val="24"/>
          <w:szCs w:val="24"/>
        </w:rPr>
        <w:t xml:space="preserve">revenues. Fiscal capacity for natural resources is assessed based on partial inclusion of actual revenue collected by the province. However, a province’s </w:t>
      </w:r>
      <w:r w:rsidR="007A209E" w:rsidRPr="008B60BF">
        <w:rPr>
          <w:rFonts w:ascii="Work Sans" w:hAnsi="Work Sans"/>
          <w:sz w:val="24"/>
          <w:szCs w:val="24"/>
        </w:rPr>
        <w:t>e</w:t>
      </w:r>
      <w:r w:rsidRPr="008B60BF">
        <w:rPr>
          <w:rFonts w:ascii="Work Sans" w:hAnsi="Work Sans"/>
          <w:sz w:val="24"/>
          <w:szCs w:val="24"/>
        </w:rPr>
        <w:t xml:space="preserve">qualisation payment cannot raise its fiscal capacity above that of a non-receiving province when all resource revenues are taken into account. </w:t>
      </w:r>
    </w:p>
    <w:p w14:paraId="152C304D" w14:textId="3C400B84" w:rsidR="004D7F21" w:rsidRPr="008B60BF" w:rsidRDefault="004D7F21" w:rsidP="00D073A2">
      <w:pPr>
        <w:rPr>
          <w:rFonts w:ascii="Work Sans" w:hAnsi="Work Sans"/>
          <w:sz w:val="24"/>
          <w:szCs w:val="24"/>
        </w:rPr>
      </w:pPr>
      <w:r w:rsidRPr="008B60BF">
        <w:rPr>
          <w:rFonts w:ascii="Work Sans" w:hAnsi="Work Sans"/>
          <w:sz w:val="24"/>
          <w:szCs w:val="24"/>
        </w:rPr>
        <w:lastRenderedPageBreak/>
        <w:t>Canada has a separate system for its territories. Territorial Formula Financing payments enable territorial governments to provide programs and services that are reasonably comparable to those offered by provincial governments, at reasonably comparable levels of taxation. It takes into account the higher cost of providing services in the North, including the challenges of providing services to a large number of small, isolated communities. Each territory’s grant is based on the difference between a proxy of its expenditure needs and 70% of its capacity to generate revenues. The remaining 30% of revenue capacity is excluded from the calculation as an incentive for the territories to increase their own revenues and develop their economies.</w:t>
      </w:r>
    </w:p>
    <w:p w14:paraId="374F589E" w14:textId="0CE658B1" w:rsidR="004D7F21" w:rsidRPr="003F5BDA" w:rsidRDefault="004D7F21" w:rsidP="00D073A2">
      <w:pPr>
        <w:rPr>
          <w:rFonts w:ascii="Work Sans" w:hAnsi="Work Sans"/>
          <w:sz w:val="24"/>
          <w:szCs w:val="24"/>
        </w:rPr>
      </w:pPr>
      <w:r w:rsidRPr="008B60BF">
        <w:rPr>
          <w:rFonts w:ascii="Work Sans" w:hAnsi="Work Sans"/>
          <w:sz w:val="24"/>
          <w:szCs w:val="24"/>
        </w:rPr>
        <w:t xml:space="preserve">In absolute terms, provinces with weaker revenue capacity are brought up to around the pre-equalisation average (see </w:t>
      </w:r>
      <w:r w:rsidRPr="008B60BF">
        <w:rPr>
          <w:rFonts w:ascii="Work Sans" w:hAnsi="Work Sans"/>
          <w:sz w:val="24"/>
          <w:szCs w:val="24"/>
        </w:rPr>
        <w:fldChar w:fldCharType="begin"/>
      </w:r>
      <w:r w:rsidRPr="008B60BF">
        <w:rPr>
          <w:rFonts w:ascii="Work Sans" w:hAnsi="Work Sans"/>
          <w:sz w:val="24"/>
          <w:szCs w:val="24"/>
        </w:rPr>
        <w:instrText xml:space="preserve"> REF _Ref76596033 \h  \* MERGEFORMAT </w:instrText>
      </w:r>
      <w:r w:rsidRPr="008B60BF">
        <w:rPr>
          <w:rFonts w:ascii="Work Sans" w:hAnsi="Work Sans"/>
          <w:sz w:val="24"/>
          <w:szCs w:val="24"/>
        </w:rPr>
      </w:r>
      <w:r w:rsidRPr="008B60BF">
        <w:rPr>
          <w:rFonts w:ascii="Work Sans" w:hAnsi="Work Sans"/>
          <w:sz w:val="24"/>
          <w:szCs w:val="24"/>
        </w:rPr>
        <w:fldChar w:fldCharType="separate"/>
      </w:r>
      <w:r w:rsidR="00AB678F" w:rsidRPr="00AB678F">
        <w:rPr>
          <w:rFonts w:ascii="Work Sans" w:hAnsi="Work Sans"/>
          <w:sz w:val="24"/>
          <w:szCs w:val="24"/>
        </w:rPr>
        <w:t>Figure 2</w:t>
      </w:r>
      <w:r w:rsidRPr="008B60BF">
        <w:rPr>
          <w:rFonts w:ascii="Work Sans" w:hAnsi="Work Sans"/>
          <w:sz w:val="24"/>
          <w:szCs w:val="24"/>
        </w:rPr>
        <w:fldChar w:fldCharType="end"/>
      </w:r>
      <w:r w:rsidRPr="008B60BF">
        <w:rPr>
          <w:rFonts w:ascii="Work Sans" w:hAnsi="Work Sans"/>
          <w:sz w:val="24"/>
          <w:szCs w:val="24"/>
        </w:rPr>
        <w:t xml:space="preserve">). This is around 94% of the post-equalisation average. Fiscally stronger provinces receive no equalisation payments. They therefore retain their relative position, at around 6 percentage points below the diagonal line in </w:t>
      </w:r>
      <w:r w:rsidRPr="008B60BF">
        <w:rPr>
          <w:rFonts w:ascii="Work Sans" w:hAnsi="Work Sans"/>
          <w:sz w:val="24"/>
          <w:szCs w:val="24"/>
        </w:rPr>
        <w:fldChar w:fldCharType="begin"/>
      </w:r>
      <w:r w:rsidRPr="008B60BF">
        <w:rPr>
          <w:rFonts w:ascii="Work Sans" w:hAnsi="Work Sans"/>
          <w:sz w:val="24"/>
          <w:szCs w:val="24"/>
        </w:rPr>
        <w:instrText xml:space="preserve"> REF _Ref76596033 \h  \* MERGEFORMAT </w:instrText>
      </w:r>
      <w:r w:rsidRPr="008B60BF">
        <w:rPr>
          <w:rFonts w:ascii="Work Sans" w:hAnsi="Work Sans"/>
          <w:sz w:val="24"/>
          <w:szCs w:val="24"/>
        </w:rPr>
      </w:r>
      <w:r w:rsidRPr="008B60BF">
        <w:rPr>
          <w:rFonts w:ascii="Work Sans" w:hAnsi="Work Sans"/>
          <w:sz w:val="24"/>
          <w:szCs w:val="24"/>
        </w:rPr>
        <w:fldChar w:fldCharType="separate"/>
      </w:r>
      <w:r w:rsidR="00AB678F" w:rsidRPr="00AB678F">
        <w:rPr>
          <w:rFonts w:ascii="Work Sans" w:hAnsi="Work Sans"/>
          <w:sz w:val="24"/>
          <w:szCs w:val="24"/>
        </w:rPr>
        <w:t>Figure 2</w:t>
      </w:r>
      <w:r w:rsidRPr="008B60BF">
        <w:rPr>
          <w:rFonts w:ascii="Work Sans" w:hAnsi="Work Sans"/>
          <w:sz w:val="24"/>
          <w:szCs w:val="24"/>
        </w:rPr>
        <w:fldChar w:fldCharType="end"/>
      </w:r>
      <w:r w:rsidRPr="008B60BF">
        <w:rPr>
          <w:rFonts w:ascii="Work Sans" w:hAnsi="Work Sans"/>
          <w:sz w:val="24"/>
          <w:szCs w:val="24"/>
        </w:rPr>
        <w:t>. There is some variation in the post-equalisation revenue capacities of the fiscally weaker provinces, reflecting the partial inclusion of resource revenues. However, as provinces with major revenue streams from resources tend to be fiscally strong, the post equalisation variation among fiscally weak provinces tends to be relatively small. Figure 2 shows the equalisation outcomes for Canada. Provinces with below pre-equalisation average revenue capacity receive payments. For example, Prince Edward Island started with around 67% of the average revenue capacity before equalisation payments raised it to the pre-equali</w:t>
      </w:r>
      <w:r w:rsidR="00492C6D" w:rsidRPr="008B60BF">
        <w:rPr>
          <w:rFonts w:ascii="Work Sans" w:hAnsi="Work Sans"/>
          <w:sz w:val="24"/>
          <w:szCs w:val="24"/>
        </w:rPr>
        <w:t>s</w:t>
      </w:r>
      <w:r w:rsidRPr="008B60BF">
        <w:rPr>
          <w:rFonts w:ascii="Work Sans" w:hAnsi="Work Sans"/>
          <w:sz w:val="24"/>
          <w:szCs w:val="24"/>
        </w:rPr>
        <w:t>ation average, or 93% of the post-equalisation average. Provinces with above average revenue capacity are unaffected in absolute terms, but they lose some relative advantage.</w:t>
      </w:r>
    </w:p>
    <w:p w14:paraId="7A0776EB" w14:textId="4290787E" w:rsidR="004D7F21" w:rsidRPr="002C5B2F" w:rsidRDefault="004D7F21" w:rsidP="004D7F21">
      <w:pPr>
        <w:pStyle w:val="Caption"/>
        <w:rPr>
          <w:rFonts w:ascii="Work Sans" w:hAnsi="Work Sans"/>
        </w:rPr>
      </w:pPr>
      <w:bookmarkStart w:id="10" w:name="_Ref76596033"/>
      <w:r w:rsidRPr="002C5B2F">
        <w:rPr>
          <w:rFonts w:ascii="Work Sans" w:hAnsi="Work Sans"/>
        </w:rPr>
        <w:lastRenderedPageBreak/>
        <w:t xml:space="preserve">Figure </w:t>
      </w:r>
      <w:r w:rsidRPr="002C5B2F">
        <w:rPr>
          <w:rFonts w:ascii="Work Sans" w:hAnsi="Work Sans"/>
        </w:rPr>
        <w:fldChar w:fldCharType="begin"/>
      </w:r>
      <w:r w:rsidRPr="002C5B2F">
        <w:rPr>
          <w:rFonts w:ascii="Work Sans" w:hAnsi="Work Sans"/>
        </w:rPr>
        <w:instrText>SEQ Figure \* ARABIC</w:instrText>
      </w:r>
      <w:r w:rsidRPr="002C5B2F">
        <w:rPr>
          <w:rFonts w:ascii="Work Sans" w:hAnsi="Work Sans"/>
        </w:rPr>
        <w:fldChar w:fldCharType="separate"/>
      </w:r>
      <w:r w:rsidR="00AB678F">
        <w:rPr>
          <w:rFonts w:ascii="Work Sans" w:hAnsi="Work Sans"/>
          <w:noProof/>
        </w:rPr>
        <w:t>2</w:t>
      </w:r>
      <w:r w:rsidRPr="002C5B2F">
        <w:rPr>
          <w:rFonts w:ascii="Work Sans" w:hAnsi="Work Sans"/>
        </w:rPr>
        <w:fldChar w:fldCharType="end"/>
      </w:r>
      <w:bookmarkEnd w:id="10"/>
      <w:r w:rsidRPr="002C5B2F">
        <w:rPr>
          <w:rFonts w:ascii="Work Sans" w:hAnsi="Work Sans"/>
        </w:rPr>
        <w:tab/>
        <w:t>Canadian equalisation outcomes, 2021-22</w:t>
      </w:r>
    </w:p>
    <w:p w14:paraId="0B6A0731" w14:textId="7A8CE279" w:rsidR="004D7F21" w:rsidRPr="002C5B2F" w:rsidRDefault="004D7F21" w:rsidP="00D073A2">
      <w:pPr>
        <w:rPr>
          <w:rFonts w:ascii="Work Sans" w:hAnsi="Work Sans"/>
        </w:rPr>
      </w:pPr>
      <w:r w:rsidRPr="002C5B2F">
        <w:rPr>
          <w:rFonts w:ascii="Work Sans" w:hAnsi="Work Sans"/>
        </w:rPr>
        <w:t xml:space="preserve"> </w:t>
      </w:r>
      <w:r w:rsidR="00A62031" w:rsidRPr="002C5B2F">
        <w:rPr>
          <w:rFonts w:ascii="Work Sans" w:hAnsi="Work Sans"/>
          <w:noProof/>
        </w:rPr>
        <w:drawing>
          <wp:inline distT="0" distB="0" distL="0" distR="0" wp14:anchorId="5F1473FD" wp14:editId="7D4D17DD">
            <wp:extent cx="5688965" cy="3503295"/>
            <wp:effectExtent l="0" t="0" r="698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88965" cy="3503295"/>
                    </a:xfrm>
                    <a:prstGeom prst="rect">
                      <a:avLst/>
                    </a:prstGeom>
                    <a:noFill/>
                    <a:ln>
                      <a:noFill/>
                    </a:ln>
                  </pic:spPr>
                </pic:pic>
              </a:graphicData>
            </a:graphic>
          </wp:inline>
        </w:drawing>
      </w:r>
    </w:p>
    <w:tbl>
      <w:tblPr>
        <w:tblW w:w="9540" w:type="dxa"/>
        <w:tblLook w:val="04A0" w:firstRow="1" w:lastRow="0" w:firstColumn="1" w:lastColumn="0" w:noHBand="0" w:noVBand="1"/>
      </w:tblPr>
      <w:tblGrid>
        <w:gridCol w:w="851"/>
        <w:gridCol w:w="540"/>
        <w:gridCol w:w="401"/>
        <w:gridCol w:w="1622"/>
        <w:gridCol w:w="537"/>
        <w:gridCol w:w="401"/>
        <w:gridCol w:w="2306"/>
        <w:gridCol w:w="530"/>
        <w:gridCol w:w="401"/>
        <w:gridCol w:w="1951"/>
      </w:tblGrid>
      <w:tr w:rsidR="004D7F21" w:rsidRPr="008510E1" w14:paraId="7072D4EE" w14:textId="77777777" w:rsidTr="004C6573">
        <w:trPr>
          <w:trHeight w:val="200"/>
        </w:trPr>
        <w:tc>
          <w:tcPr>
            <w:tcW w:w="851" w:type="dxa"/>
            <w:tcBorders>
              <w:top w:val="nil"/>
              <w:left w:val="nil"/>
              <w:bottom w:val="nil"/>
              <w:right w:val="nil"/>
            </w:tcBorders>
            <w:shd w:val="clear" w:color="000000" w:fill="FFFFFF"/>
            <w:vAlign w:val="center"/>
            <w:hideMark/>
          </w:tcPr>
          <w:p w14:paraId="7DA292FA" w14:textId="77777777" w:rsidR="004D7F21" w:rsidRPr="002C5B2F" w:rsidRDefault="004D7F21" w:rsidP="004C6573">
            <w:pPr>
              <w:pStyle w:val="CGCTablenote"/>
              <w:ind w:hanging="340"/>
              <w:rPr>
                <w:rFonts w:ascii="Work Sans" w:hAnsi="Work Sans"/>
                <w:lang w:eastAsia="en-AU"/>
              </w:rPr>
            </w:pPr>
            <w:r w:rsidRPr="002C5B2F">
              <w:rPr>
                <w:rFonts w:ascii="Work Sans" w:hAnsi="Work Sans"/>
                <w:lang w:eastAsia="en-AU"/>
              </w:rPr>
              <w:t>Notes:</w:t>
            </w:r>
          </w:p>
        </w:tc>
        <w:tc>
          <w:tcPr>
            <w:tcW w:w="538" w:type="dxa"/>
            <w:tcBorders>
              <w:top w:val="nil"/>
              <w:left w:val="nil"/>
              <w:bottom w:val="nil"/>
              <w:right w:val="nil"/>
            </w:tcBorders>
            <w:shd w:val="clear" w:color="000000" w:fill="FFFFFF"/>
            <w:vAlign w:val="center"/>
            <w:hideMark/>
          </w:tcPr>
          <w:p w14:paraId="60ED7927" w14:textId="77777777" w:rsidR="004D7F21" w:rsidRPr="002C5B2F" w:rsidRDefault="004D7F21" w:rsidP="004C6573">
            <w:pPr>
              <w:pStyle w:val="CGCTablenote"/>
              <w:rPr>
                <w:rFonts w:ascii="Work Sans" w:hAnsi="Work Sans"/>
                <w:lang w:eastAsia="en-AU"/>
              </w:rPr>
            </w:pPr>
            <w:r w:rsidRPr="002C5B2F">
              <w:rPr>
                <w:rFonts w:ascii="Work Sans" w:hAnsi="Work Sans"/>
                <w:lang w:eastAsia="en-AU"/>
              </w:rPr>
              <w:t>AB</w:t>
            </w:r>
          </w:p>
        </w:tc>
        <w:tc>
          <w:tcPr>
            <w:tcW w:w="375" w:type="dxa"/>
            <w:tcBorders>
              <w:top w:val="nil"/>
              <w:left w:val="nil"/>
              <w:bottom w:val="nil"/>
              <w:right w:val="nil"/>
            </w:tcBorders>
            <w:shd w:val="clear" w:color="000000" w:fill="FFFFFF"/>
            <w:vAlign w:val="center"/>
            <w:hideMark/>
          </w:tcPr>
          <w:p w14:paraId="114DC295" w14:textId="77777777" w:rsidR="004D7F21" w:rsidRPr="002C5B2F" w:rsidRDefault="004D7F21" w:rsidP="004C6573">
            <w:pPr>
              <w:pStyle w:val="CGCTablenote"/>
              <w:rPr>
                <w:rFonts w:ascii="Work Sans" w:hAnsi="Work Sans"/>
                <w:lang w:eastAsia="en-AU"/>
              </w:rPr>
            </w:pPr>
            <w:r w:rsidRPr="002C5B2F">
              <w:rPr>
                <w:rFonts w:ascii="Work Sans" w:hAnsi="Work Sans"/>
                <w:lang w:eastAsia="en-AU"/>
              </w:rPr>
              <w:t>-</w:t>
            </w:r>
          </w:p>
        </w:tc>
        <w:tc>
          <w:tcPr>
            <w:tcW w:w="1638" w:type="dxa"/>
            <w:tcBorders>
              <w:top w:val="nil"/>
              <w:left w:val="nil"/>
              <w:bottom w:val="nil"/>
              <w:right w:val="nil"/>
            </w:tcBorders>
            <w:shd w:val="clear" w:color="000000" w:fill="FFFFFF"/>
            <w:vAlign w:val="center"/>
            <w:hideMark/>
          </w:tcPr>
          <w:p w14:paraId="6F2E99CE" w14:textId="77777777" w:rsidR="004D7F21" w:rsidRPr="002C5B2F" w:rsidRDefault="004D7F21" w:rsidP="004C6573">
            <w:pPr>
              <w:pStyle w:val="CGCTablenote"/>
              <w:rPr>
                <w:rFonts w:ascii="Work Sans" w:hAnsi="Work Sans"/>
                <w:lang w:eastAsia="en-AU"/>
              </w:rPr>
            </w:pPr>
            <w:r w:rsidRPr="002C5B2F">
              <w:rPr>
                <w:rFonts w:ascii="Work Sans" w:hAnsi="Work Sans"/>
                <w:lang w:eastAsia="en-AU"/>
              </w:rPr>
              <w:t>Alberta</w:t>
            </w:r>
          </w:p>
        </w:tc>
        <w:tc>
          <w:tcPr>
            <w:tcW w:w="537" w:type="dxa"/>
            <w:tcBorders>
              <w:top w:val="nil"/>
              <w:left w:val="nil"/>
              <w:bottom w:val="nil"/>
              <w:right w:val="nil"/>
            </w:tcBorders>
            <w:shd w:val="clear" w:color="000000" w:fill="FFFFFF"/>
            <w:vAlign w:val="center"/>
            <w:hideMark/>
          </w:tcPr>
          <w:p w14:paraId="69CF5F35" w14:textId="77777777" w:rsidR="004D7F21" w:rsidRPr="002C5B2F" w:rsidRDefault="004D7F21" w:rsidP="004C6573">
            <w:pPr>
              <w:pStyle w:val="CGCTablenote"/>
              <w:rPr>
                <w:rFonts w:ascii="Work Sans" w:hAnsi="Work Sans"/>
                <w:lang w:eastAsia="en-AU"/>
              </w:rPr>
            </w:pPr>
            <w:r w:rsidRPr="002C5B2F">
              <w:rPr>
                <w:rFonts w:ascii="Work Sans" w:hAnsi="Work Sans"/>
                <w:lang w:eastAsia="en-AU"/>
              </w:rPr>
              <w:t>NL</w:t>
            </w:r>
          </w:p>
        </w:tc>
        <w:tc>
          <w:tcPr>
            <w:tcW w:w="375" w:type="dxa"/>
            <w:tcBorders>
              <w:top w:val="nil"/>
              <w:left w:val="nil"/>
              <w:bottom w:val="nil"/>
              <w:right w:val="nil"/>
            </w:tcBorders>
            <w:shd w:val="clear" w:color="000000" w:fill="FFFFFF"/>
            <w:vAlign w:val="center"/>
            <w:hideMark/>
          </w:tcPr>
          <w:p w14:paraId="53845955" w14:textId="77777777" w:rsidR="004D7F21" w:rsidRPr="002C5B2F" w:rsidRDefault="004D7F21" w:rsidP="004C6573">
            <w:pPr>
              <w:pStyle w:val="CGCTablenote"/>
              <w:rPr>
                <w:rFonts w:ascii="Work Sans" w:hAnsi="Work Sans"/>
                <w:lang w:eastAsia="en-AU"/>
              </w:rPr>
            </w:pPr>
            <w:r w:rsidRPr="002C5B2F">
              <w:rPr>
                <w:rFonts w:ascii="Work Sans" w:hAnsi="Work Sans"/>
                <w:lang w:eastAsia="en-AU"/>
              </w:rPr>
              <w:t>-</w:t>
            </w:r>
          </w:p>
        </w:tc>
        <w:tc>
          <w:tcPr>
            <w:tcW w:w="2349" w:type="dxa"/>
            <w:tcBorders>
              <w:top w:val="nil"/>
              <w:left w:val="nil"/>
              <w:bottom w:val="nil"/>
              <w:right w:val="nil"/>
            </w:tcBorders>
            <w:shd w:val="clear" w:color="000000" w:fill="FFFFFF"/>
            <w:vAlign w:val="center"/>
            <w:hideMark/>
          </w:tcPr>
          <w:p w14:paraId="1763ECFF" w14:textId="77777777" w:rsidR="004D7F21" w:rsidRPr="002C5B2F" w:rsidRDefault="004D7F21" w:rsidP="004C6573">
            <w:pPr>
              <w:pStyle w:val="CGCTablenote"/>
              <w:rPr>
                <w:rFonts w:ascii="Work Sans" w:hAnsi="Work Sans"/>
                <w:lang w:eastAsia="en-AU"/>
              </w:rPr>
            </w:pPr>
            <w:r w:rsidRPr="002C5B2F">
              <w:rPr>
                <w:rFonts w:ascii="Work Sans" w:hAnsi="Work Sans"/>
                <w:lang w:eastAsia="en-AU"/>
              </w:rPr>
              <w:t>Newfoundland and Labrador</w:t>
            </w:r>
          </w:p>
        </w:tc>
        <w:tc>
          <w:tcPr>
            <w:tcW w:w="523" w:type="dxa"/>
            <w:tcBorders>
              <w:top w:val="nil"/>
              <w:left w:val="nil"/>
              <w:bottom w:val="nil"/>
              <w:right w:val="nil"/>
            </w:tcBorders>
            <w:shd w:val="clear" w:color="000000" w:fill="FFFFFF"/>
            <w:vAlign w:val="center"/>
            <w:hideMark/>
          </w:tcPr>
          <w:p w14:paraId="6F87A151" w14:textId="77777777" w:rsidR="004D7F21" w:rsidRPr="002C5B2F" w:rsidRDefault="004D7F21" w:rsidP="004C6573">
            <w:pPr>
              <w:pStyle w:val="CGCTablenote"/>
              <w:rPr>
                <w:rFonts w:ascii="Work Sans" w:hAnsi="Work Sans"/>
                <w:lang w:eastAsia="en-AU"/>
              </w:rPr>
            </w:pPr>
            <w:r w:rsidRPr="002C5B2F">
              <w:rPr>
                <w:rFonts w:ascii="Work Sans" w:hAnsi="Work Sans"/>
                <w:lang w:eastAsia="en-AU"/>
              </w:rPr>
              <w:t>QC</w:t>
            </w:r>
          </w:p>
        </w:tc>
        <w:tc>
          <w:tcPr>
            <w:tcW w:w="375" w:type="dxa"/>
            <w:tcBorders>
              <w:top w:val="nil"/>
              <w:left w:val="nil"/>
              <w:bottom w:val="nil"/>
              <w:right w:val="nil"/>
            </w:tcBorders>
            <w:shd w:val="clear" w:color="000000" w:fill="FFFFFF"/>
            <w:vAlign w:val="center"/>
            <w:hideMark/>
          </w:tcPr>
          <w:p w14:paraId="4144807C" w14:textId="77777777" w:rsidR="004D7F21" w:rsidRPr="002C5B2F" w:rsidRDefault="004D7F21" w:rsidP="004C6573">
            <w:pPr>
              <w:pStyle w:val="CGCTablenote"/>
              <w:rPr>
                <w:rFonts w:ascii="Work Sans" w:hAnsi="Work Sans"/>
                <w:lang w:eastAsia="en-AU"/>
              </w:rPr>
            </w:pPr>
            <w:r w:rsidRPr="002C5B2F">
              <w:rPr>
                <w:rFonts w:ascii="Work Sans" w:hAnsi="Work Sans"/>
                <w:lang w:eastAsia="en-AU"/>
              </w:rPr>
              <w:t>-</w:t>
            </w:r>
          </w:p>
        </w:tc>
        <w:tc>
          <w:tcPr>
            <w:tcW w:w="1979" w:type="dxa"/>
            <w:tcBorders>
              <w:top w:val="nil"/>
              <w:left w:val="nil"/>
              <w:bottom w:val="nil"/>
              <w:right w:val="nil"/>
            </w:tcBorders>
            <w:shd w:val="clear" w:color="000000" w:fill="FFFFFF"/>
            <w:vAlign w:val="center"/>
            <w:hideMark/>
          </w:tcPr>
          <w:p w14:paraId="7C01E9CA" w14:textId="77777777" w:rsidR="004D7F21" w:rsidRPr="002C5B2F" w:rsidRDefault="004D7F21" w:rsidP="004C6573">
            <w:pPr>
              <w:pStyle w:val="CGCTablenote"/>
              <w:rPr>
                <w:rFonts w:ascii="Work Sans" w:hAnsi="Work Sans"/>
                <w:lang w:eastAsia="en-AU"/>
              </w:rPr>
            </w:pPr>
            <w:r w:rsidRPr="002C5B2F">
              <w:rPr>
                <w:rFonts w:ascii="Work Sans" w:hAnsi="Work Sans"/>
                <w:lang w:eastAsia="en-AU"/>
              </w:rPr>
              <w:t>Quebec</w:t>
            </w:r>
          </w:p>
        </w:tc>
      </w:tr>
      <w:tr w:rsidR="004D7F21" w:rsidRPr="008510E1" w14:paraId="6105A010" w14:textId="77777777" w:rsidTr="004C6573">
        <w:trPr>
          <w:trHeight w:val="200"/>
        </w:trPr>
        <w:tc>
          <w:tcPr>
            <w:tcW w:w="851" w:type="dxa"/>
            <w:tcBorders>
              <w:top w:val="nil"/>
              <w:left w:val="nil"/>
              <w:bottom w:val="nil"/>
              <w:right w:val="nil"/>
            </w:tcBorders>
            <w:shd w:val="clear" w:color="auto" w:fill="auto"/>
            <w:noWrap/>
            <w:vAlign w:val="bottom"/>
            <w:hideMark/>
          </w:tcPr>
          <w:p w14:paraId="005F93B1" w14:textId="77777777" w:rsidR="004D7F21" w:rsidRPr="002C5B2F" w:rsidRDefault="004D7F21" w:rsidP="004C6573">
            <w:pPr>
              <w:pStyle w:val="CGCTablenote"/>
              <w:rPr>
                <w:rFonts w:ascii="Work Sans" w:eastAsia="Times New Roman" w:hAnsi="Work Sans" w:cs="Open Sans Light"/>
                <w:color w:val="585858"/>
                <w:szCs w:val="14"/>
                <w:lang w:eastAsia="en-AU"/>
              </w:rPr>
            </w:pPr>
          </w:p>
        </w:tc>
        <w:tc>
          <w:tcPr>
            <w:tcW w:w="538" w:type="dxa"/>
            <w:tcBorders>
              <w:top w:val="nil"/>
              <w:left w:val="nil"/>
              <w:bottom w:val="nil"/>
              <w:right w:val="nil"/>
            </w:tcBorders>
            <w:shd w:val="clear" w:color="000000" w:fill="FFFFFF"/>
            <w:vAlign w:val="center"/>
            <w:hideMark/>
          </w:tcPr>
          <w:p w14:paraId="6DB1B00F" w14:textId="77777777" w:rsidR="004D7F21" w:rsidRPr="002C5B2F" w:rsidRDefault="004D7F21" w:rsidP="004C6573">
            <w:pPr>
              <w:pStyle w:val="CGCTablenote"/>
              <w:rPr>
                <w:rFonts w:ascii="Work Sans" w:hAnsi="Work Sans"/>
                <w:lang w:eastAsia="en-AU"/>
              </w:rPr>
            </w:pPr>
            <w:r w:rsidRPr="002C5B2F">
              <w:rPr>
                <w:rFonts w:ascii="Work Sans" w:hAnsi="Work Sans"/>
                <w:lang w:eastAsia="en-AU"/>
              </w:rPr>
              <w:t>BC</w:t>
            </w:r>
          </w:p>
        </w:tc>
        <w:tc>
          <w:tcPr>
            <w:tcW w:w="375" w:type="dxa"/>
            <w:tcBorders>
              <w:top w:val="nil"/>
              <w:left w:val="nil"/>
              <w:bottom w:val="nil"/>
              <w:right w:val="nil"/>
            </w:tcBorders>
            <w:shd w:val="clear" w:color="000000" w:fill="FFFFFF"/>
            <w:vAlign w:val="center"/>
            <w:hideMark/>
          </w:tcPr>
          <w:p w14:paraId="54BC2995" w14:textId="77777777" w:rsidR="004D7F21" w:rsidRPr="002C5B2F" w:rsidRDefault="004D7F21" w:rsidP="004C6573">
            <w:pPr>
              <w:pStyle w:val="CGCTablenote"/>
              <w:rPr>
                <w:rFonts w:ascii="Work Sans" w:hAnsi="Work Sans"/>
                <w:lang w:eastAsia="en-AU"/>
              </w:rPr>
            </w:pPr>
            <w:r w:rsidRPr="002C5B2F">
              <w:rPr>
                <w:rFonts w:ascii="Work Sans" w:hAnsi="Work Sans"/>
                <w:lang w:eastAsia="en-AU"/>
              </w:rPr>
              <w:t>-</w:t>
            </w:r>
          </w:p>
        </w:tc>
        <w:tc>
          <w:tcPr>
            <w:tcW w:w="1638" w:type="dxa"/>
            <w:tcBorders>
              <w:top w:val="nil"/>
              <w:left w:val="nil"/>
              <w:bottom w:val="nil"/>
              <w:right w:val="nil"/>
            </w:tcBorders>
            <w:shd w:val="clear" w:color="000000" w:fill="FFFFFF"/>
            <w:vAlign w:val="center"/>
            <w:hideMark/>
          </w:tcPr>
          <w:p w14:paraId="51942433" w14:textId="77777777" w:rsidR="004D7F21" w:rsidRPr="002C5B2F" w:rsidRDefault="004D7F21" w:rsidP="004C6573">
            <w:pPr>
              <w:pStyle w:val="CGCTablenote"/>
              <w:rPr>
                <w:rFonts w:ascii="Work Sans" w:hAnsi="Work Sans"/>
                <w:lang w:eastAsia="en-AU"/>
              </w:rPr>
            </w:pPr>
            <w:r w:rsidRPr="002C5B2F">
              <w:rPr>
                <w:rFonts w:ascii="Work Sans" w:hAnsi="Work Sans"/>
                <w:lang w:eastAsia="en-AU"/>
              </w:rPr>
              <w:t>British Columbia</w:t>
            </w:r>
          </w:p>
        </w:tc>
        <w:tc>
          <w:tcPr>
            <w:tcW w:w="537" w:type="dxa"/>
            <w:tcBorders>
              <w:top w:val="nil"/>
              <w:left w:val="nil"/>
              <w:bottom w:val="nil"/>
              <w:right w:val="nil"/>
            </w:tcBorders>
            <w:shd w:val="clear" w:color="000000" w:fill="FFFFFF"/>
            <w:vAlign w:val="center"/>
            <w:hideMark/>
          </w:tcPr>
          <w:p w14:paraId="3B3DA805" w14:textId="77777777" w:rsidR="004D7F21" w:rsidRPr="002C5B2F" w:rsidRDefault="004D7F21" w:rsidP="004C6573">
            <w:pPr>
              <w:pStyle w:val="CGCTablenote"/>
              <w:rPr>
                <w:rFonts w:ascii="Work Sans" w:hAnsi="Work Sans"/>
                <w:lang w:eastAsia="en-AU"/>
              </w:rPr>
            </w:pPr>
            <w:r w:rsidRPr="002C5B2F">
              <w:rPr>
                <w:rFonts w:ascii="Work Sans" w:hAnsi="Work Sans"/>
                <w:lang w:eastAsia="en-AU"/>
              </w:rPr>
              <w:t>NS</w:t>
            </w:r>
          </w:p>
        </w:tc>
        <w:tc>
          <w:tcPr>
            <w:tcW w:w="375" w:type="dxa"/>
            <w:tcBorders>
              <w:top w:val="nil"/>
              <w:left w:val="nil"/>
              <w:bottom w:val="nil"/>
              <w:right w:val="nil"/>
            </w:tcBorders>
            <w:shd w:val="clear" w:color="000000" w:fill="FFFFFF"/>
            <w:vAlign w:val="center"/>
            <w:hideMark/>
          </w:tcPr>
          <w:p w14:paraId="4763AC72" w14:textId="77777777" w:rsidR="004D7F21" w:rsidRPr="002C5B2F" w:rsidRDefault="004D7F21" w:rsidP="004C6573">
            <w:pPr>
              <w:pStyle w:val="CGCTablenote"/>
              <w:rPr>
                <w:rFonts w:ascii="Work Sans" w:hAnsi="Work Sans"/>
                <w:lang w:eastAsia="en-AU"/>
              </w:rPr>
            </w:pPr>
            <w:r w:rsidRPr="002C5B2F">
              <w:rPr>
                <w:rFonts w:ascii="Work Sans" w:hAnsi="Work Sans"/>
                <w:lang w:eastAsia="en-AU"/>
              </w:rPr>
              <w:t>-</w:t>
            </w:r>
          </w:p>
        </w:tc>
        <w:tc>
          <w:tcPr>
            <w:tcW w:w="2349" w:type="dxa"/>
            <w:tcBorders>
              <w:top w:val="nil"/>
              <w:left w:val="nil"/>
              <w:bottom w:val="nil"/>
              <w:right w:val="nil"/>
            </w:tcBorders>
            <w:shd w:val="clear" w:color="000000" w:fill="FFFFFF"/>
            <w:vAlign w:val="center"/>
            <w:hideMark/>
          </w:tcPr>
          <w:p w14:paraId="55DB6914" w14:textId="77777777" w:rsidR="004D7F21" w:rsidRPr="002C5B2F" w:rsidRDefault="004D7F21" w:rsidP="004C6573">
            <w:pPr>
              <w:pStyle w:val="CGCTablenote"/>
              <w:rPr>
                <w:rFonts w:ascii="Work Sans" w:hAnsi="Work Sans"/>
                <w:lang w:eastAsia="en-AU"/>
              </w:rPr>
            </w:pPr>
            <w:r w:rsidRPr="002C5B2F">
              <w:rPr>
                <w:rFonts w:ascii="Work Sans" w:hAnsi="Work Sans"/>
                <w:lang w:eastAsia="en-AU"/>
              </w:rPr>
              <w:t>Nova Scotia</w:t>
            </w:r>
          </w:p>
        </w:tc>
        <w:tc>
          <w:tcPr>
            <w:tcW w:w="523" w:type="dxa"/>
            <w:tcBorders>
              <w:top w:val="nil"/>
              <w:left w:val="nil"/>
              <w:bottom w:val="nil"/>
              <w:right w:val="nil"/>
            </w:tcBorders>
            <w:shd w:val="clear" w:color="000000" w:fill="FFFFFF"/>
            <w:vAlign w:val="center"/>
            <w:hideMark/>
          </w:tcPr>
          <w:p w14:paraId="5D5B1209" w14:textId="77777777" w:rsidR="004D7F21" w:rsidRPr="002C5B2F" w:rsidRDefault="004D7F21" w:rsidP="004C6573">
            <w:pPr>
              <w:pStyle w:val="CGCTablenote"/>
              <w:rPr>
                <w:rFonts w:ascii="Work Sans" w:hAnsi="Work Sans"/>
                <w:lang w:eastAsia="en-AU"/>
              </w:rPr>
            </w:pPr>
            <w:r w:rsidRPr="002C5B2F">
              <w:rPr>
                <w:rFonts w:ascii="Work Sans" w:hAnsi="Work Sans"/>
                <w:lang w:eastAsia="en-AU"/>
              </w:rPr>
              <w:t>SK</w:t>
            </w:r>
          </w:p>
        </w:tc>
        <w:tc>
          <w:tcPr>
            <w:tcW w:w="375" w:type="dxa"/>
            <w:tcBorders>
              <w:top w:val="nil"/>
              <w:left w:val="nil"/>
              <w:bottom w:val="nil"/>
              <w:right w:val="nil"/>
            </w:tcBorders>
            <w:shd w:val="clear" w:color="000000" w:fill="FFFFFF"/>
            <w:vAlign w:val="center"/>
            <w:hideMark/>
          </w:tcPr>
          <w:p w14:paraId="09CFC115" w14:textId="77777777" w:rsidR="004D7F21" w:rsidRPr="002C5B2F" w:rsidRDefault="004D7F21" w:rsidP="004C6573">
            <w:pPr>
              <w:pStyle w:val="CGCTablenote"/>
              <w:rPr>
                <w:rFonts w:ascii="Work Sans" w:hAnsi="Work Sans"/>
                <w:lang w:eastAsia="en-AU"/>
              </w:rPr>
            </w:pPr>
            <w:r w:rsidRPr="002C5B2F">
              <w:rPr>
                <w:rFonts w:ascii="Work Sans" w:hAnsi="Work Sans"/>
                <w:lang w:eastAsia="en-AU"/>
              </w:rPr>
              <w:t>-</w:t>
            </w:r>
          </w:p>
        </w:tc>
        <w:tc>
          <w:tcPr>
            <w:tcW w:w="1979" w:type="dxa"/>
            <w:tcBorders>
              <w:top w:val="nil"/>
              <w:left w:val="nil"/>
              <w:bottom w:val="nil"/>
              <w:right w:val="nil"/>
            </w:tcBorders>
            <w:shd w:val="clear" w:color="000000" w:fill="FFFFFF"/>
            <w:vAlign w:val="center"/>
            <w:hideMark/>
          </w:tcPr>
          <w:p w14:paraId="022F05FE" w14:textId="77777777" w:rsidR="004D7F21" w:rsidRPr="002C5B2F" w:rsidRDefault="004D7F21" w:rsidP="004C6573">
            <w:pPr>
              <w:pStyle w:val="CGCTablenote"/>
              <w:rPr>
                <w:rFonts w:ascii="Work Sans" w:hAnsi="Work Sans"/>
                <w:lang w:eastAsia="en-AU"/>
              </w:rPr>
            </w:pPr>
            <w:r w:rsidRPr="002C5B2F">
              <w:rPr>
                <w:rFonts w:ascii="Work Sans" w:hAnsi="Work Sans"/>
                <w:lang w:eastAsia="en-AU"/>
              </w:rPr>
              <w:t>Saskatchewan</w:t>
            </w:r>
          </w:p>
        </w:tc>
      </w:tr>
      <w:tr w:rsidR="004D7F21" w:rsidRPr="008510E1" w14:paraId="093F7C65" w14:textId="77777777" w:rsidTr="004C6573">
        <w:trPr>
          <w:trHeight w:val="200"/>
        </w:trPr>
        <w:tc>
          <w:tcPr>
            <w:tcW w:w="851" w:type="dxa"/>
            <w:tcBorders>
              <w:top w:val="nil"/>
              <w:left w:val="nil"/>
              <w:bottom w:val="nil"/>
              <w:right w:val="nil"/>
            </w:tcBorders>
            <w:shd w:val="clear" w:color="auto" w:fill="auto"/>
            <w:noWrap/>
            <w:vAlign w:val="bottom"/>
            <w:hideMark/>
          </w:tcPr>
          <w:p w14:paraId="2FDA67E6" w14:textId="77777777" w:rsidR="004D7F21" w:rsidRPr="002C5B2F" w:rsidRDefault="004D7F21" w:rsidP="004C6573">
            <w:pPr>
              <w:pStyle w:val="CGCTablenote"/>
              <w:rPr>
                <w:rFonts w:ascii="Work Sans" w:eastAsia="Times New Roman" w:hAnsi="Work Sans" w:cs="Open Sans Light"/>
                <w:color w:val="585858"/>
                <w:szCs w:val="14"/>
                <w:lang w:eastAsia="en-AU"/>
              </w:rPr>
            </w:pPr>
          </w:p>
        </w:tc>
        <w:tc>
          <w:tcPr>
            <w:tcW w:w="538" w:type="dxa"/>
            <w:tcBorders>
              <w:top w:val="nil"/>
              <w:left w:val="nil"/>
              <w:bottom w:val="nil"/>
              <w:right w:val="nil"/>
            </w:tcBorders>
            <w:shd w:val="clear" w:color="000000" w:fill="FFFFFF"/>
            <w:vAlign w:val="center"/>
            <w:hideMark/>
          </w:tcPr>
          <w:p w14:paraId="68D0A41D" w14:textId="77777777" w:rsidR="004D7F21" w:rsidRPr="002C5B2F" w:rsidRDefault="004D7F21" w:rsidP="004C6573">
            <w:pPr>
              <w:pStyle w:val="CGCTablenote"/>
              <w:rPr>
                <w:rFonts w:ascii="Work Sans" w:hAnsi="Work Sans"/>
                <w:lang w:eastAsia="en-AU"/>
              </w:rPr>
            </w:pPr>
            <w:r w:rsidRPr="002C5B2F">
              <w:rPr>
                <w:rFonts w:ascii="Work Sans" w:hAnsi="Work Sans"/>
                <w:lang w:eastAsia="en-AU"/>
              </w:rPr>
              <w:t>MB</w:t>
            </w:r>
          </w:p>
        </w:tc>
        <w:tc>
          <w:tcPr>
            <w:tcW w:w="375" w:type="dxa"/>
            <w:tcBorders>
              <w:top w:val="nil"/>
              <w:left w:val="nil"/>
              <w:bottom w:val="nil"/>
              <w:right w:val="nil"/>
            </w:tcBorders>
            <w:shd w:val="clear" w:color="000000" w:fill="FFFFFF"/>
            <w:vAlign w:val="center"/>
            <w:hideMark/>
          </w:tcPr>
          <w:p w14:paraId="2734EA44" w14:textId="77777777" w:rsidR="004D7F21" w:rsidRPr="002C5B2F" w:rsidRDefault="004D7F21" w:rsidP="004C6573">
            <w:pPr>
              <w:pStyle w:val="CGCTablenote"/>
              <w:rPr>
                <w:rFonts w:ascii="Work Sans" w:hAnsi="Work Sans"/>
                <w:lang w:eastAsia="en-AU"/>
              </w:rPr>
            </w:pPr>
            <w:r w:rsidRPr="002C5B2F">
              <w:rPr>
                <w:rFonts w:ascii="Work Sans" w:hAnsi="Work Sans"/>
                <w:lang w:eastAsia="en-AU"/>
              </w:rPr>
              <w:t>-</w:t>
            </w:r>
          </w:p>
        </w:tc>
        <w:tc>
          <w:tcPr>
            <w:tcW w:w="1638" w:type="dxa"/>
            <w:tcBorders>
              <w:top w:val="nil"/>
              <w:left w:val="nil"/>
              <w:bottom w:val="nil"/>
              <w:right w:val="nil"/>
            </w:tcBorders>
            <w:shd w:val="clear" w:color="000000" w:fill="FFFFFF"/>
            <w:vAlign w:val="center"/>
            <w:hideMark/>
          </w:tcPr>
          <w:p w14:paraId="340C049A" w14:textId="77777777" w:rsidR="004D7F21" w:rsidRPr="002C5B2F" w:rsidRDefault="004D7F21" w:rsidP="004C6573">
            <w:pPr>
              <w:pStyle w:val="CGCTablenote"/>
              <w:rPr>
                <w:rFonts w:ascii="Work Sans" w:hAnsi="Work Sans"/>
                <w:lang w:eastAsia="en-AU"/>
              </w:rPr>
            </w:pPr>
            <w:r w:rsidRPr="002C5B2F">
              <w:rPr>
                <w:rFonts w:ascii="Work Sans" w:hAnsi="Work Sans"/>
                <w:lang w:eastAsia="en-AU"/>
              </w:rPr>
              <w:t>Manitoba</w:t>
            </w:r>
          </w:p>
        </w:tc>
        <w:tc>
          <w:tcPr>
            <w:tcW w:w="537" w:type="dxa"/>
            <w:tcBorders>
              <w:top w:val="nil"/>
              <w:left w:val="nil"/>
              <w:bottom w:val="nil"/>
              <w:right w:val="nil"/>
            </w:tcBorders>
            <w:shd w:val="clear" w:color="000000" w:fill="FFFFFF"/>
            <w:vAlign w:val="center"/>
            <w:hideMark/>
          </w:tcPr>
          <w:p w14:paraId="4C194FE0" w14:textId="77777777" w:rsidR="004D7F21" w:rsidRPr="002C5B2F" w:rsidRDefault="004D7F21" w:rsidP="004C6573">
            <w:pPr>
              <w:pStyle w:val="CGCTablenote"/>
              <w:rPr>
                <w:rFonts w:ascii="Work Sans" w:hAnsi="Work Sans"/>
                <w:lang w:eastAsia="en-AU"/>
              </w:rPr>
            </w:pPr>
            <w:r w:rsidRPr="002C5B2F">
              <w:rPr>
                <w:rFonts w:ascii="Work Sans" w:hAnsi="Work Sans"/>
                <w:lang w:eastAsia="en-AU"/>
              </w:rPr>
              <w:t>ON</w:t>
            </w:r>
          </w:p>
        </w:tc>
        <w:tc>
          <w:tcPr>
            <w:tcW w:w="375" w:type="dxa"/>
            <w:tcBorders>
              <w:top w:val="nil"/>
              <w:left w:val="nil"/>
              <w:bottom w:val="nil"/>
              <w:right w:val="nil"/>
            </w:tcBorders>
            <w:shd w:val="clear" w:color="000000" w:fill="FFFFFF"/>
            <w:vAlign w:val="center"/>
            <w:hideMark/>
          </w:tcPr>
          <w:p w14:paraId="021A2C9B" w14:textId="77777777" w:rsidR="004D7F21" w:rsidRPr="002C5B2F" w:rsidRDefault="004D7F21" w:rsidP="004C6573">
            <w:pPr>
              <w:pStyle w:val="CGCTablenote"/>
              <w:rPr>
                <w:rFonts w:ascii="Work Sans" w:hAnsi="Work Sans"/>
                <w:lang w:eastAsia="en-AU"/>
              </w:rPr>
            </w:pPr>
            <w:r w:rsidRPr="002C5B2F">
              <w:rPr>
                <w:rFonts w:ascii="Work Sans" w:hAnsi="Work Sans"/>
                <w:lang w:eastAsia="en-AU"/>
              </w:rPr>
              <w:t>-</w:t>
            </w:r>
          </w:p>
        </w:tc>
        <w:tc>
          <w:tcPr>
            <w:tcW w:w="2349" w:type="dxa"/>
            <w:tcBorders>
              <w:top w:val="nil"/>
              <w:left w:val="nil"/>
              <w:bottom w:val="nil"/>
              <w:right w:val="nil"/>
            </w:tcBorders>
            <w:shd w:val="clear" w:color="000000" w:fill="FFFFFF"/>
            <w:vAlign w:val="center"/>
            <w:hideMark/>
          </w:tcPr>
          <w:p w14:paraId="412DDCD2" w14:textId="77777777" w:rsidR="004D7F21" w:rsidRPr="002C5B2F" w:rsidRDefault="004D7F21" w:rsidP="004C6573">
            <w:pPr>
              <w:pStyle w:val="CGCTablenote"/>
              <w:rPr>
                <w:rFonts w:ascii="Work Sans" w:hAnsi="Work Sans"/>
                <w:lang w:eastAsia="en-AU"/>
              </w:rPr>
            </w:pPr>
            <w:r w:rsidRPr="002C5B2F">
              <w:rPr>
                <w:rFonts w:ascii="Work Sans" w:hAnsi="Work Sans"/>
                <w:lang w:eastAsia="en-AU"/>
              </w:rPr>
              <w:t>Ontario</w:t>
            </w:r>
          </w:p>
        </w:tc>
        <w:tc>
          <w:tcPr>
            <w:tcW w:w="523" w:type="dxa"/>
            <w:tcBorders>
              <w:top w:val="nil"/>
              <w:left w:val="nil"/>
              <w:bottom w:val="nil"/>
              <w:right w:val="nil"/>
            </w:tcBorders>
            <w:shd w:val="clear" w:color="000000" w:fill="FFFFFF"/>
            <w:vAlign w:val="center"/>
            <w:hideMark/>
          </w:tcPr>
          <w:p w14:paraId="177D4C12" w14:textId="77777777" w:rsidR="004D7F21" w:rsidRPr="002C5B2F" w:rsidRDefault="004D7F21" w:rsidP="004C6573">
            <w:pPr>
              <w:pStyle w:val="CGCTablenote"/>
              <w:rPr>
                <w:rFonts w:ascii="Work Sans" w:hAnsi="Work Sans"/>
                <w:lang w:eastAsia="en-AU"/>
              </w:rPr>
            </w:pPr>
            <w:r w:rsidRPr="002C5B2F">
              <w:rPr>
                <w:rFonts w:ascii="Work Sans" w:hAnsi="Work Sans"/>
                <w:lang w:eastAsia="en-AU"/>
              </w:rPr>
              <w:t> </w:t>
            </w:r>
          </w:p>
        </w:tc>
        <w:tc>
          <w:tcPr>
            <w:tcW w:w="375" w:type="dxa"/>
            <w:tcBorders>
              <w:top w:val="nil"/>
              <w:left w:val="nil"/>
              <w:bottom w:val="nil"/>
              <w:right w:val="nil"/>
            </w:tcBorders>
            <w:shd w:val="clear" w:color="000000" w:fill="FFFFFF"/>
            <w:vAlign w:val="center"/>
            <w:hideMark/>
          </w:tcPr>
          <w:p w14:paraId="3CDC089C" w14:textId="77777777" w:rsidR="004D7F21" w:rsidRPr="002C5B2F" w:rsidRDefault="004D7F21" w:rsidP="004C6573">
            <w:pPr>
              <w:pStyle w:val="CGCTablenote"/>
              <w:rPr>
                <w:rFonts w:ascii="Work Sans" w:hAnsi="Work Sans"/>
                <w:lang w:eastAsia="en-AU"/>
              </w:rPr>
            </w:pPr>
            <w:r w:rsidRPr="002C5B2F">
              <w:rPr>
                <w:rFonts w:ascii="Work Sans" w:hAnsi="Work Sans"/>
                <w:lang w:eastAsia="en-AU"/>
              </w:rPr>
              <w:t> </w:t>
            </w:r>
          </w:p>
        </w:tc>
        <w:tc>
          <w:tcPr>
            <w:tcW w:w="1979" w:type="dxa"/>
            <w:tcBorders>
              <w:top w:val="nil"/>
              <w:left w:val="nil"/>
              <w:bottom w:val="nil"/>
              <w:right w:val="nil"/>
            </w:tcBorders>
            <w:shd w:val="clear" w:color="000000" w:fill="FFFFFF"/>
            <w:vAlign w:val="center"/>
            <w:hideMark/>
          </w:tcPr>
          <w:p w14:paraId="604319BE" w14:textId="77777777" w:rsidR="004D7F21" w:rsidRPr="002C5B2F" w:rsidRDefault="004D7F21" w:rsidP="004C6573">
            <w:pPr>
              <w:pStyle w:val="CGCTablenote"/>
              <w:rPr>
                <w:rFonts w:ascii="Work Sans" w:hAnsi="Work Sans"/>
                <w:lang w:eastAsia="en-AU"/>
              </w:rPr>
            </w:pPr>
            <w:r w:rsidRPr="002C5B2F">
              <w:rPr>
                <w:rFonts w:ascii="Work Sans" w:hAnsi="Work Sans"/>
                <w:lang w:eastAsia="en-AU"/>
              </w:rPr>
              <w:t> </w:t>
            </w:r>
          </w:p>
        </w:tc>
      </w:tr>
      <w:tr w:rsidR="004D7F21" w:rsidRPr="008510E1" w14:paraId="3EABF639" w14:textId="77777777" w:rsidTr="004C6573">
        <w:trPr>
          <w:trHeight w:val="200"/>
        </w:trPr>
        <w:tc>
          <w:tcPr>
            <w:tcW w:w="851" w:type="dxa"/>
            <w:tcBorders>
              <w:top w:val="nil"/>
              <w:left w:val="nil"/>
              <w:bottom w:val="nil"/>
              <w:right w:val="nil"/>
            </w:tcBorders>
            <w:shd w:val="clear" w:color="auto" w:fill="auto"/>
            <w:noWrap/>
            <w:vAlign w:val="bottom"/>
            <w:hideMark/>
          </w:tcPr>
          <w:p w14:paraId="6393F785" w14:textId="77777777" w:rsidR="004D7F21" w:rsidRPr="002C5B2F" w:rsidRDefault="004D7F21" w:rsidP="004C6573">
            <w:pPr>
              <w:pStyle w:val="CGCTablenote"/>
              <w:rPr>
                <w:rFonts w:ascii="Work Sans" w:eastAsia="Times New Roman" w:hAnsi="Work Sans" w:cs="Open Sans Light"/>
                <w:color w:val="585858"/>
                <w:szCs w:val="14"/>
                <w:lang w:eastAsia="en-AU"/>
              </w:rPr>
            </w:pPr>
          </w:p>
        </w:tc>
        <w:tc>
          <w:tcPr>
            <w:tcW w:w="538" w:type="dxa"/>
            <w:tcBorders>
              <w:top w:val="nil"/>
              <w:left w:val="nil"/>
              <w:bottom w:val="nil"/>
              <w:right w:val="nil"/>
            </w:tcBorders>
            <w:shd w:val="clear" w:color="000000" w:fill="FFFFFF"/>
            <w:vAlign w:val="center"/>
            <w:hideMark/>
          </w:tcPr>
          <w:p w14:paraId="3E8B986F" w14:textId="77777777" w:rsidR="004D7F21" w:rsidRPr="002C5B2F" w:rsidRDefault="004D7F21" w:rsidP="004C6573">
            <w:pPr>
              <w:pStyle w:val="CGCTablenote"/>
              <w:rPr>
                <w:rFonts w:ascii="Work Sans" w:hAnsi="Work Sans"/>
                <w:lang w:eastAsia="en-AU"/>
              </w:rPr>
            </w:pPr>
            <w:r w:rsidRPr="002C5B2F">
              <w:rPr>
                <w:rFonts w:ascii="Work Sans" w:hAnsi="Work Sans"/>
                <w:lang w:eastAsia="en-AU"/>
              </w:rPr>
              <w:t>NB</w:t>
            </w:r>
          </w:p>
        </w:tc>
        <w:tc>
          <w:tcPr>
            <w:tcW w:w="375" w:type="dxa"/>
            <w:tcBorders>
              <w:top w:val="nil"/>
              <w:left w:val="nil"/>
              <w:bottom w:val="nil"/>
              <w:right w:val="nil"/>
            </w:tcBorders>
            <w:shd w:val="clear" w:color="000000" w:fill="FFFFFF"/>
            <w:vAlign w:val="center"/>
            <w:hideMark/>
          </w:tcPr>
          <w:p w14:paraId="0C63C27A" w14:textId="77777777" w:rsidR="004D7F21" w:rsidRPr="002C5B2F" w:rsidRDefault="004D7F21" w:rsidP="004C6573">
            <w:pPr>
              <w:pStyle w:val="CGCTablenote"/>
              <w:rPr>
                <w:rFonts w:ascii="Work Sans" w:hAnsi="Work Sans"/>
                <w:lang w:eastAsia="en-AU"/>
              </w:rPr>
            </w:pPr>
            <w:r w:rsidRPr="002C5B2F">
              <w:rPr>
                <w:rFonts w:ascii="Work Sans" w:hAnsi="Work Sans"/>
                <w:lang w:eastAsia="en-AU"/>
              </w:rPr>
              <w:t>-</w:t>
            </w:r>
          </w:p>
        </w:tc>
        <w:tc>
          <w:tcPr>
            <w:tcW w:w="1638" w:type="dxa"/>
            <w:tcBorders>
              <w:top w:val="nil"/>
              <w:left w:val="nil"/>
              <w:bottom w:val="nil"/>
              <w:right w:val="nil"/>
            </w:tcBorders>
            <w:shd w:val="clear" w:color="000000" w:fill="FFFFFF"/>
            <w:vAlign w:val="center"/>
            <w:hideMark/>
          </w:tcPr>
          <w:p w14:paraId="6A28883A" w14:textId="77777777" w:rsidR="004D7F21" w:rsidRPr="002C5B2F" w:rsidRDefault="004D7F21" w:rsidP="004C6573">
            <w:pPr>
              <w:pStyle w:val="CGCTablenote"/>
              <w:rPr>
                <w:rFonts w:ascii="Work Sans" w:hAnsi="Work Sans"/>
                <w:lang w:eastAsia="en-AU"/>
              </w:rPr>
            </w:pPr>
            <w:r w:rsidRPr="002C5B2F">
              <w:rPr>
                <w:rFonts w:ascii="Work Sans" w:hAnsi="Work Sans"/>
                <w:lang w:eastAsia="en-AU"/>
              </w:rPr>
              <w:t>New Brunswick</w:t>
            </w:r>
          </w:p>
        </w:tc>
        <w:tc>
          <w:tcPr>
            <w:tcW w:w="537" w:type="dxa"/>
            <w:tcBorders>
              <w:top w:val="nil"/>
              <w:left w:val="nil"/>
              <w:bottom w:val="nil"/>
              <w:right w:val="nil"/>
            </w:tcBorders>
            <w:shd w:val="clear" w:color="000000" w:fill="FFFFFF"/>
            <w:vAlign w:val="center"/>
            <w:hideMark/>
          </w:tcPr>
          <w:p w14:paraId="2FFF04F8" w14:textId="77777777" w:rsidR="004D7F21" w:rsidRPr="00E135DE" w:rsidRDefault="004D7F21" w:rsidP="004C6573">
            <w:pPr>
              <w:pStyle w:val="CGCTablenote"/>
              <w:rPr>
                <w:rFonts w:ascii="Work Sans" w:hAnsi="Work Sans"/>
                <w:color w:val="000000" w:themeColor="text1"/>
                <w:lang w:eastAsia="en-AU"/>
              </w:rPr>
            </w:pPr>
            <w:r w:rsidRPr="00E135DE">
              <w:rPr>
                <w:rFonts w:ascii="Work Sans" w:hAnsi="Work Sans"/>
                <w:color w:val="000000" w:themeColor="text1"/>
                <w:lang w:eastAsia="en-AU"/>
              </w:rPr>
              <w:t>PE</w:t>
            </w:r>
          </w:p>
        </w:tc>
        <w:tc>
          <w:tcPr>
            <w:tcW w:w="375" w:type="dxa"/>
            <w:tcBorders>
              <w:top w:val="nil"/>
              <w:left w:val="nil"/>
              <w:bottom w:val="nil"/>
              <w:right w:val="nil"/>
            </w:tcBorders>
            <w:shd w:val="clear" w:color="000000" w:fill="FFFFFF"/>
            <w:vAlign w:val="center"/>
            <w:hideMark/>
          </w:tcPr>
          <w:p w14:paraId="656E6726" w14:textId="77777777" w:rsidR="004D7F21" w:rsidRPr="00E135DE" w:rsidRDefault="004D7F21" w:rsidP="004C6573">
            <w:pPr>
              <w:pStyle w:val="CGCTablenote"/>
              <w:rPr>
                <w:rFonts w:ascii="Work Sans" w:hAnsi="Work Sans"/>
                <w:color w:val="000000" w:themeColor="text1"/>
                <w:lang w:eastAsia="en-AU"/>
              </w:rPr>
            </w:pPr>
            <w:r w:rsidRPr="00E135DE">
              <w:rPr>
                <w:rFonts w:ascii="Work Sans" w:hAnsi="Work Sans"/>
                <w:color w:val="000000" w:themeColor="text1"/>
                <w:lang w:eastAsia="en-AU"/>
              </w:rPr>
              <w:t>-</w:t>
            </w:r>
          </w:p>
        </w:tc>
        <w:tc>
          <w:tcPr>
            <w:tcW w:w="2349" w:type="dxa"/>
            <w:tcBorders>
              <w:top w:val="nil"/>
              <w:left w:val="nil"/>
              <w:bottom w:val="nil"/>
              <w:right w:val="nil"/>
            </w:tcBorders>
            <w:shd w:val="clear" w:color="000000" w:fill="FFFFFF"/>
            <w:vAlign w:val="center"/>
            <w:hideMark/>
          </w:tcPr>
          <w:p w14:paraId="5777FA77" w14:textId="77777777" w:rsidR="004D7F21" w:rsidRPr="00E135DE" w:rsidRDefault="004D7F21" w:rsidP="004C6573">
            <w:pPr>
              <w:pStyle w:val="CGCTablenote"/>
              <w:rPr>
                <w:rFonts w:ascii="Work Sans" w:eastAsia="Times New Roman" w:hAnsi="Work Sans" w:cs="Open Sans Light"/>
                <w:color w:val="000000" w:themeColor="text1"/>
                <w:szCs w:val="14"/>
                <w:lang w:eastAsia="en-AU"/>
              </w:rPr>
            </w:pPr>
            <w:r w:rsidRPr="00E135DE">
              <w:rPr>
                <w:rFonts w:ascii="Work Sans" w:eastAsia="Times New Roman" w:hAnsi="Work Sans" w:cs="Open Sans Light"/>
                <w:color w:val="000000" w:themeColor="text1"/>
                <w:szCs w:val="14"/>
                <w:lang w:eastAsia="en-AU"/>
              </w:rPr>
              <w:t>Prince Edward Island</w:t>
            </w:r>
          </w:p>
        </w:tc>
        <w:tc>
          <w:tcPr>
            <w:tcW w:w="523" w:type="dxa"/>
            <w:tcBorders>
              <w:top w:val="nil"/>
              <w:left w:val="nil"/>
              <w:bottom w:val="nil"/>
              <w:right w:val="nil"/>
            </w:tcBorders>
            <w:shd w:val="clear" w:color="000000" w:fill="FFFFFF"/>
            <w:vAlign w:val="center"/>
            <w:hideMark/>
          </w:tcPr>
          <w:p w14:paraId="30D08305" w14:textId="77777777" w:rsidR="004D7F21" w:rsidRPr="002C5B2F" w:rsidRDefault="004D7F21" w:rsidP="004C6573">
            <w:pPr>
              <w:pStyle w:val="CGCTablenote"/>
              <w:rPr>
                <w:rFonts w:ascii="Work Sans" w:eastAsia="Times New Roman" w:hAnsi="Work Sans" w:cs="Open Sans Light"/>
                <w:color w:val="585858"/>
                <w:szCs w:val="14"/>
                <w:lang w:eastAsia="en-AU"/>
              </w:rPr>
            </w:pPr>
            <w:r w:rsidRPr="002C5B2F">
              <w:rPr>
                <w:rFonts w:ascii="Work Sans" w:eastAsia="Times New Roman" w:hAnsi="Work Sans" w:cs="Open Sans Light"/>
                <w:color w:val="585858"/>
                <w:szCs w:val="14"/>
                <w:lang w:eastAsia="en-AU"/>
              </w:rPr>
              <w:t> </w:t>
            </w:r>
          </w:p>
        </w:tc>
        <w:tc>
          <w:tcPr>
            <w:tcW w:w="375" w:type="dxa"/>
            <w:tcBorders>
              <w:top w:val="nil"/>
              <w:left w:val="nil"/>
              <w:bottom w:val="nil"/>
              <w:right w:val="nil"/>
            </w:tcBorders>
            <w:shd w:val="clear" w:color="000000" w:fill="FFFFFF"/>
            <w:vAlign w:val="center"/>
            <w:hideMark/>
          </w:tcPr>
          <w:p w14:paraId="4A3F1DD9" w14:textId="77777777" w:rsidR="004D7F21" w:rsidRPr="002C5B2F" w:rsidRDefault="004D7F21" w:rsidP="004C6573">
            <w:pPr>
              <w:pStyle w:val="CGCTablenote"/>
              <w:rPr>
                <w:rFonts w:ascii="Work Sans" w:eastAsia="Times New Roman" w:hAnsi="Work Sans" w:cs="Open Sans Light"/>
                <w:color w:val="585858"/>
                <w:szCs w:val="14"/>
                <w:lang w:eastAsia="en-AU"/>
              </w:rPr>
            </w:pPr>
            <w:r w:rsidRPr="002C5B2F">
              <w:rPr>
                <w:rFonts w:ascii="Work Sans" w:eastAsia="Times New Roman" w:hAnsi="Work Sans" w:cs="Open Sans Light"/>
                <w:color w:val="585858"/>
                <w:szCs w:val="14"/>
                <w:lang w:eastAsia="en-AU"/>
              </w:rPr>
              <w:t> </w:t>
            </w:r>
          </w:p>
        </w:tc>
        <w:tc>
          <w:tcPr>
            <w:tcW w:w="1979" w:type="dxa"/>
            <w:tcBorders>
              <w:top w:val="nil"/>
              <w:left w:val="nil"/>
              <w:bottom w:val="nil"/>
              <w:right w:val="nil"/>
            </w:tcBorders>
            <w:shd w:val="clear" w:color="000000" w:fill="FFFFFF"/>
            <w:vAlign w:val="center"/>
            <w:hideMark/>
          </w:tcPr>
          <w:p w14:paraId="7268EF29" w14:textId="77777777" w:rsidR="004D7F21" w:rsidRPr="002C5B2F" w:rsidRDefault="004D7F21" w:rsidP="004C6573">
            <w:pPr>
              <w:pStyle w:val="CGCTablenote"/>
              <w:rPr>
                <w:rFonts w:ascii="Work Sans" w:eastAsia="Times New Roman" w:hAnsi="Work Sans" w:cs="Open Sans Light"/>
                <w:color w:val="585858"/>
                <w:szCs w:val="14"/>
                <w:lang w:eastAsia="en-AU"/>
              </w:rPr>
            </w:pPr>
            <w:r w:rsidRPr="002C5B2F">
              <w:rPr>
                <w:rFonts w:ascii="Work Sans" w:eastAsia="Times New Roman" w:hAnsi="Work Sans" w:cs="Open Sans Light"/>
                <w:color w:val="585858"/>
                <w:szCs w:val="14"/>
                <w:lang w:eastAsia="en-AU"/>
              </w:rPr>
              <w:t> </w:t>
            </w:r>
          </w:p>
        </w:tc>
      </w:tr>
    </w:tbl>
    <w:p w14:paraId="0EF4CA40" w14:textId="6348BDA9" w:rsidR="004C6573" w:rsidRPr="002C5B2F" w:rsidRDefault="004C6573" w:rsidP="004C6573">
      <w:pPr>
        <w:pStyle w:val="CGCTablenote"/>
        <w:numPr>
          <w:ilvl w:val="0"/>
          <w:numId w:val="40"/>
        </w:numPr>
        <w:rPr>
          <w:rFonts w:ascii="Work Sans" w:hAnsi="Work Sans"/>
          <w:lang w:eastAsia="en-AU"/>
        </w:rPr>
      </w:pPr>
      <w:r w:rsidRPr="002C5B2F">
        <w:rPr>
          <w:rFonts w:ascii="Work Sans" w:hAnsi="Work Sans"/>
          <w:lang w:eastAsia="en-AU"/>
        </w:rPr>
        <w:t>Revenue capacity after equalisation includes revenue from federal equalisation payments, resulting in a higher average capacity than before equalisation</w:t>
      </w:r>
    </w:p>
    <w:p w14:paraId="1438F5B5" w14:textId="77777777" w:rsidR="00E41B6F" w:rsidRPr="002C5B2F" w:rsidRDefault="00E41B6F" w:rsidP="000510FD">
      <w:pPr>
        <w:pStyle w:val="CGCTablerow"/>
        <w:rPr>
          <w:rFonts w:ascii="Work Sans" w:hAnsi="Work Sans"/>
          <w:lang w:eastAsia="en-AU"/>
        </w:rPr>
      </w:pPr>
    </w:p>
    <w:p w14:paraId="2206263A" w14:textId="16D81A00" w:rsidR="004D7F21" w:rsidRPr="00C32075" w:rsidRDefault="004D7F21" w:rsidP="004D7F21">
      <w:pPr>
        <w:pStyle w:val="Heading3"/>
      </w:pPr>
      <w:r w:rsidRPr="00C32075">
        <w:t>Germany</w:t>
      </w:r>
    </w:p>
    <w:p w14:paraId="60F554A3" w14:textId="28A806C8" w:rsidR="004D7F21" w:rsidRPr="00E01E9A" w:rsidRDefault="002560A9" w:rsidP="00D073A2">
      <w:pPr>
        <w:rPr>
          <w:rFonts w:ascii="Work Sans" w:hAnsi="Work Sans"/>
          <w:sz w:val="24"/>
          <w:szCs w:val="24"/>
        </w:rPr>
      </w:pPr>
      <w:r w:rsidRPr="00E01E9A">
        <w:rPr>
          <w:rFonts w:ascii="Work Sans" w:hAnsi="Work Sans"/>
          <w:sz w:val="24"/>
          <w:szCs w:val="24"/>
        </w:rPr>
        <w:t>Germany is a federation of 16 Länder</w:t>
      </w:r>
      <w:r w:rsidR="005C6A5C" w:rsidRPr="00E01E9A">
        <w:rPr>
          <w:rFonts w:ascii="Work Sans" w:hAnsi="Work Sans"/>
          <w:sz w:val="24"/>
          <w:szCs w:val="24"/>
        </w:rPr>
        <w:t>,</w:t>
      </w:r>
      <w:r w:rsidRPr="00E01E9A">
        <w:rPr>
          <w:rFonts w:ascii="Work Sans" w:hAnsi="Work Sans"/>
          <w:sz w:val="24"/>
          <w:szCs w:val="24"/>
        </w:rPr>
        <w:t xml:space="preserve"> with populations ranging from </w:t>
      </w:r>
      <w:r w:rsidR="007874B3" w:rsidRPr="00E01E9A">
        <w:rPr>
          <w:rFonts w:ascii="Work Sans" w:hAnsi="Work Sans"/>
          <w:sz w:val="24"/>
          <w:szCs w:val="24"/>
        </w:rPr>
        <w:t>680</w:t>
      </w:r>
      <w:r w:rsidR="00405398" w:rsidRPr="00E01E9A">
        <w:rPr>
          <w:rFonts w:ascii="Work Sans" w:hAnsi="Work Sans"/>
          <w:sz w:val="24"/>
          <w:szCs w:val="24"/>
        </w:rPr>
        <w:t xml:space="preserve">,000 </w:t>
      </w:r>
      <w:r w:rsidR="007874B3" w:rsidRPr="00E01E9A">
        <w:rPr>
          <w:rFonts w:ascii="Work Sans" w:hAnsi="Work Sans"/>
          <w:sz w:val="24"/>
          <w:szCs w:val="24"/>
        </w:rPr>
        <w:t>(Bremen)</w:t>
      </w:r>
      <w:r w:rsidR="00266199" w:rsidRPr="00E01E9A">
        <w:rPr>
          <w:rFonts w:ascii="Work Sans" w:hAnsi="Work Sans"/>
          <w:sz w:val="24"/>
          <w:szCs w:val="24"/>
        </w:rPr>
        <w:t xml:space="preserve"> </w:t>
      </w:r>
      <w:r w:rsidR="00C65502" w:rsidRPr="00E01E9A">
        <w:rPr>
          <w:rFonts w:ascii="Work Sans" w:hAnsi="Work Sans"/>
          <w:sz w:val="24"/>
          <w:szCs w:val="24"/>
        </w:rPr>
        <w:t>t</w:t>
      </w:r>
      <w:r w:rsidR="00266199" w:rsidRPr="00E01E9A">
        <w:rPr>
          <w:rFonts w:ascii="Work Sans" w:hAnsi="Work Sans"/>
          <w:sz w:val="24"/>
          <w:szCs w:val="24"/>
        </w:rPr>
        <w:t xml:space="preserve">o </w:t>
      </w:r>
      <w:r w:rsidRPr="00E01E9A">
        <w:rPr>
          <w:rFonts w:ascii="Work Sans" w:hAnsi="Work Sans"/>
          <w:sz w:val="24"/>
          <w:szCs w:val="24"/>
        </w:rPr>
        <w:t>17.9</w:t>
      </w:r>
      <w:r w:rsidR="005C6A5C" w:rsidRPr="00E01E9A">
        <w:rPr>
          <w:rFonts w:ascii="Work Sans" w:hAnsi="Work Sans"/>
          <w:sz w:val="24"/>
          <w:szCs w:val="24"/>
        </w:rPr>
        <w:t> </w:t>
      </w:r>
      <w:r w:rsidRPr="00E01E9A">
        <w:rPr>
          <w:rFonts w:ascii="Work Sans" w:hAnsi="Work Sans"/>
          <w:sz w:val="24"/>
          <w:szCs w:val="24"/>
        </w:rPr>
        <w:t xml:space="preserve">million </w:t>
      </w:r>
      <w:r w:rsidR="007A209E" w:rsidRPr="00E01E9A">
        <w:rPr>
          <w:rFonts w:ascii="Work Sans" w:hAnsi="Work Sans"/>
          <w:sz w:val="24"/>
          <w:szCs w:val="24"/>
        </w:rPr>
        <w:t>(</w:t>
      </w:r>
      <w:r w:rsidRPr="00E01E9A">
        <w:rPr>
          <w:rFonts w:ascii="Work Sans" w:hAnsi="Work Sans"/>
          <w:sz w:val="24"/>
          <w:szCs w:val="24"/>
        </w:rPr>
        <w:t>North</w:t>
      </w:r>
      <w:r w:rsidR="00263A12" w:rsidRPr="00E01E9A">
        <w:rPr>
          <w:rFonts w:ascii="Work Sans" w:hAnsi="Work Sans"/>
          <w:sz w:val="24"/>
          <w:szCs w:val="24"/>
        </w:rPr>
        <w:t> </w:t>
      </w:r>
      <w:r w:rsidRPr="00E01E9A">
        <w:rPr>
          <w:rFonts w:ascii="Work Sans" w:hAnsi="Work Sans"/>
          <w:sz w:val="24"/>
          <w:szCs w:val="24"/>
        </w:rPr>
        <w:t>Rhine</w:t>
      </w:r>
      <w:r w:rsidR="00263A12" w:rsidRPr="00E01E9A">
        <w:rPr>
          <w:rFonts w:ascii="Work Sans" w:hAnsi="Work Sans"/>
          <w:sz w:val="24"/>
          <w:szCs w:val="24"/>
        </w:rPr>
        <w:noBreakHyphen/>
      </w:r>
      <w:r w:rsidRPr="00E01E9A">
        <w:rPr>
          <w:rFonts w:ascii="Work Sans" w:hAnsi="Work Sans"/>
          <w:sz w:val="24"/>
          <w:szCs w:val="24"/>
        </w:rPr>
        <w:t>Westphalia</w:t>
      </w:r>
      <w:r w:rsidR="007A209E" w:rsidRPr="00E01E9A">
        <w:rPr>
          <w:rFonts w:ascii="Work Sans" w:hAnsi="Work Sans"/>
          <w:sz w:val="24"/>
          <w:szCs w:val="24"/>
        </w:rPr>
        <w:t>)</w:t>
      </w:r>
      <w:r w:rsidRPr="00E01E9A">
        <w:rPr>
          <w:rFonts w:ascii="Work Sans" w:hAnsi="Work Sans"/>
          <w:sz w:val="24"/>
          <w:szCs w:val="24"/>
        </w:rPr>
        <w:t xml:space="preserve">. </w:t>
      </w:r>
      <w:r w:rsidR="004D7F21" w:rsidRPr="00E01E9A">
        <w:rPr>
          <w:rFonts w:ascii="Work Sans" w:hAnsi="Work Sans"/>
          <w:sz w:val="24"/>
          <w:szCs w:val="24"/>
        </w:rPr>
        <w:t>Equalisation in Germany reallocat</w:t>
      </w:r>
      <w:r w:rsidR="005D63BA" w:rsidRPr="00E01E9A">
        <w:rPr>
          <w:rFonts w:ascii="Work Sans" w:hAnsi="Work Sans"/>
          <w:sz w:val="24"/>
          <w:szCs w:val="24"/>
        </w:rPr>
        <w:t>es</w:t>
      </w:r>
      <w:r w:rsidR="004D7F21" w:rsidRPr="00E01E9A">
        <w:rPr>
          <w:rFonts w:ascii="Work Sans" w:hAnsi="Work Sans"/>
          <w:sz w:val="24"/>
          <w:szCs w:val="24"/>
        </w:rPr>
        <w:t xml:space="preserve"> funds between the Länder, Germany’s subnational governments. This is to ensure a reasonable equalisation of the disparate financial capacities of the Länder. The German Finance Ministry calculates and distributes equalisation payments. </w:t>
      </w:r>
    </w:p>
    <w:p w14:paraId="3EBCDBB0" w14:textId="2C093249" w:rsidR="004D7F21" w:rsidRPr="00E01E9A" w:rsidRDefault="004D7F21" w:rsidP="00D073A2">
      <w:pPr>
        <w:rPr>
          <w:rFonts w:ascii="Work Sans" w:hAnsi="Work Sans"/>
          <w:sz w:val="24"/>
          <w:szCs w:val="24"/>
        </w:rPr>
      </w:pPr>
      <w:r w:rsidRPr="00E01E9A">
        <w:rPr>
          <w:rFonts w:ascii="Work Sans" w:hAnsi="Work Sans"/>
          <w:sz w:val="24"/>
          <w:szCs w:val="24"/>
        </w:rPr>
        <w:t xml:space="preserve">There is little vertical fiscal imbalance in Germany, as tax sharing legislation assigns revenues to the Länder and the Federal government approximately in line with the expenditure requirements of each level of government. The central government sets rates for most taxes, but the Länder tax offices collect the tax. </w:t>
      </w:r>
    </w:p>
    <w:p w14:paraId="6E44CD0C" w14:textId="77777777" w:rsidR="004D7F21" w:rsidRPr="00E01E9A" w:rsidRDefault="004D7F21" w:rsidP="00D073A2">
      <w:pPr>
        <w:rPr>
          <w:rFonts w:ascii="Work Sans" w:hAnsi="Work Sans"/>
          <w:sz w:val="24"/>
          <w:szCs w:val="24"/>
        </w:rPr>
      </w:pPr>
      <w:r w:rsidRPr="00E01E9A">
        <w:rPr>
          <w:rFonts w:ascii="Work Sans" w:hAnsi="Work Sans"/>
          <w:sz w:val="24"/>
          <w:szCs w:val="24"/>
        </w:rPr>
        <w:t>The Länder and municipal governments share revenues from various bases, depending on population and where economic activity occurs. Fiscally stronger Länder and the central government contribute to an equalisation pool</w:t>
      </w:r>
      <w:r w:rsidRPr="00E01E9A" w:rsidDel="00D72F20">
        <w:rPr>
          <w:rFonts w:ascii="Work Sans" w:hAnsi="Work Sans"/>
          <w:sz w:val="24"/>
          <w:szCs w:val="24"/>
        </w:rPr>
        <w:t xml:space="preserve">. </w:t>
      </w:r>
    </w:p>
    <w:p w14:paraId="607B2497" w14:textId="77777777" w:rsidR="004D7F21" w:rsidRPr="002C5B2F" w:rsidRDefault="004D7F21" w:rsidP="00D073A2">
      <w:pPr>
        <w:rPr>
          <w:rFonts w:ascii="Work Sans" w:hAnsi="Work Sans"/>
        </w:rPr>
      </w:pPr>
      <w:r w:rsidRPr="00E01E9A">
        <w:rPr>
          <w:rFonts w:ascii="Work Sans" w:hAnsi="Work Sans"/>
          <w:sz w:val="24"/>
          <w:szCs w:val="24"/>
        </w:rPr>
        <w:t xml:space="preserve">Assessments are generally based on actual revenues. Federal legislation determines the rate and base of most taxes. This ensures uniformity of tax laws across Germany, and means actual revenue raised reflects the </w:t>
      </w:r>
      <w:r w:rsidRPr="00E01E9A">
        <w:rPr>
          <w:rFonts w:ascii="Work Sans" w:hAnsi="Work Sans"/>
          <w:sz w:val="24"/>
          <w:szCs w:val="24"/>
        </w:rPr>
        <w:lastRenderedPageBreak/>
        <w:t>capacity to raise revenue under average policy. Rates for land tax and local business tax are set at the municipal, or local government, level. Real estate transfer tax rates are set by Länder. While the rates for these taxes are set at the Lander or local level, the base or scope for them is set federally. The federal government determines which assets or transactions can be taxed. Assessed revenue from these taxes is calculated using a representative tax system approach.</w:t>
      </w:r>
    </w:p>
    <w:p w14:paraId="6F37AFF6" w14:textId="77777777" w:rsidR="004D7F21" w:rsidRPr="00E01E9A" w:rsidRDefault="004D7F21" w:rsidP="00D073A2">
      <w:pPr>
        <w:rPr>
          <w:rFonts w:ascii="Work Sans" w:hAnsi="Work Sans"/>
          <w:sz w:val="24"/>
          <w:szCs w:val="24"/>
        </w:rPr>
      </w:pPr>
      <w:r w:rsidRPr="00E01E9A">
        <w:rPr>
          <w:rFonts w:ascii="Work Sans" w:hAnsi="Work Sans"/>
          <w:sz w:val="24"/>
          <w:szCs w:val="24"/>
        </w:rPr>
        <w:t xml:space="preserve">A discount of 25% is applied to the land tax and local business tax assessments, as these are municipal rather than Länder revenues. Länder have responsibility for funding equalisation among their component municipalities but have no direct control over these taxes. </w:t>
      </w:r>
    </w:p>
    <w:p w14:paraId="46665AEA" w14:textId="7B6A416C" w:rsidR="004D7F21" w:rsidRPr="002C5B2F" w:rsidRDefault="004D7F21" w:rsidP="00D073A2">
      <w:pPr>
        <w:rPr>
          <w:rFonts w:ascii="Work Sans" w:hAnsi="Work Sans"/>
          <w:highlight w:val="yellow"/>
        </w:rPr>
      </w:pPr>
      <w:r w:rsidRPr="00E01E9A">
        <w:rPr>
          <w:rFonts w:ascii="Work Sans" w:hAnsi="Work Sans"/>
          <w:sz w:val="24"/>
          <w:szCs w:val="24"/>
        </w:rPr>
        <w:t>Germany includes only 33% of mining revenues in its equalisation formula. The 67% discount recognises there can be social and environmental costs to local citizens associated with mining, while the economic benefits of the industry are shared more widely</w:t>
      </w:r>
      <w:r w:rsidRPr="00E01E9A" w:rsidDel="00992106">
        <w:rPr>
          <w:rFonts w:ascii="Work Sans" w:hAnsi="Work Sans"/>
          <w:sz w:val="24"/>
          <w:szCs w:val="24"/>
        </w:rPr>
        <w:t>.</w:t>
      </w:r>
      <w:r w:rsidRPr="002C5B2F">
        <w:rPr>
          <w:rFonts w:ascii="Work Sans" w:hAnsi="Work Sans"/>
        </w:rPr>
        <w:t xml:space="preserve"> </w:t>
      </w:r>
    </w:p>
    <w:p w14:paraId="5FBAA83C" w14:textId="0524F271" w:rsidR="004D7F21" w:rsidRPr="00E01E9A" w:rsidRDefault="004D7F21" w:rsidP="00D073A2">
      <w:pPr>
        <w:rPr>
          <w:rFonts w:ascii="Work Sans" w:hAnsi="Work Sans"/>
          <w:sz w:val="24"/>
          <w:szCs w:val="24"/>
        </w:rPr>
      </w:pPr>
      <w:r w:rsidRPr="00E01E9A">
        <w:rPr>
          <w:rFonts w:ascii="Work Sans" w:hAnsi="Work Sans"/>
          <w:sz w:val="24"/>
          <w:szCs w:val="24"/>
        </w:rPr>
        <w:t>Germany’s equalisation system takes some account of expense needs, with adjustments for sparsely populated Länder, port and transport infrastructure, disparities in federal research grants, costs related to high levels of unemployment benefits, unusually low municipal revenues, and administrative expenses of smaller Länder. The largest expense adjustment is for the metropolitan Länder (Berlin, Hamburg, and Bremen). They are treated as servicing 1.35 times their resident populations when calculating fiscal capacity. This accounts for higher demand on services, increased costs of service provision and services provided to non</w:t>
      </w:r>
      <w:r w:rsidR="00F85014">
        <w:rPr>
          <w:rFonts w:ascii="Work Sans" w:hAnsi="Work Sans"/>
          <w:sz w:val="24"/>
          <w:szCs w:val="24"/>
        </w:rPr>
        <w:noBreakHyphen/>
      </w:r>
      <w:r w:rsidRPr="00E01E9A">
        <w:rPr>
          <w:rFonts w:ascii="Work Sans" w:hAnsi="Work Sans"/>
          <w:sz w:val="24"/>
          <w:szCs w:val="24"/>
        </w:rPr>
        <w:t xml:space="preserve">residents. </w:t>
      </w:r>
    </w:p>
    <w:p w14:paraId="16D4EED9" w14:textId="5F519182" w:rsidR="004D7F21" w:rsidRPr="00E01E9A" w:rsidRDefault="004D7F21" w:rsidP="00D073A2">
      <w:pPr>
        <w:rPr>
          <w:rFonts w:ascii="Work Sans" w:hAnsi="Work Sans"/>
          <w:sz w:val="24"/>
          <w:szCs w:val="24"/>
        </w:rPr>
      </w:pPr>
      <w:r w:rsidRPr="00E01E9A">
        <w:rPr>
          <w:rFonts w:ascii="Work Sans" w:hAnsi="Work Sans"/>
          <w:sz w:val="24"/>
          <w:szCs w:val="24"/>
        </w:rPr>
        <w:t>Germany does not fully equalise fiscal capacity. Instead, it moves each Länder closer to the national average. Equalisation reduces fiscal disadvantage for Länder with below average capacity to 7.5% of their pre</w:t>
      </w:r>
      <w:r w:rsidR="00E74BA2">
        <w:rPr>
          <w:rFonts w:ascii="Work Sans" w:hAnsi="Work Sans"/>
          <w:sz w:val="24"/>
          <w:szCs w:val="24"/>
        </w:rPr>
        <w:noBreakHyphen/>
      </w:r>
      <w:r w:rsidRPr="00E01E9A">
        <w:rPr>
          <w:rFonts w:ascii="Work Sans" w:hAnsi="Work Sans"/>
          <w:sz w:val="24"/>
          <w:szCs w:val="24"/>
        </w:rPr>
        <w:t xml:space="preserve">equalisation disadvantage. It reduces fiscal advantage for Länder with above average capacity to 37% of their pre-equalisation advantage. The dotted line in </w:t>
      </w:r>
      <w:r w:rsidRPr="00E01E9A">
        <w:rPr>
          <w:rFonts w:ascii="Work Sans" w:hAnsi="Work Sans"/>
          <w:sz w:val="24"/>
          <w:szCs w:val="24"/>
        </w:rPr>
        <w:fldChar w:fldCharType="begin"/>
      </w:r>
      <w:r w:rsidRPr="00E01E9A">
        <w:rPr>
          <w:rFonts w:ascii="Work Sans" w:hAnsi="Work Sans"/>
          <w:sz w:val="24"/>
          <w:szCs w:val="24"/>
        </w:rPr>
        <w:instrText xml:space="preserve"> REF _Ref76597088 \h  \* MERGEFORMAT </w:instrText>
      </w:r>
      <w:r w:rsidRPr="00E01E9A">
        <w:rPr>
          <w:rFonts w:ascii="Work Sans" w:hAnsi="Work Sans"/>
          <w:sz w:val="24"/>
          <w:szCs w:val="24"/>
        </w:rPr>
      </w:r>
      <w:r w:rsidRPr="00E01E9A">
        <w:rPr>
          <w:rFonts w:ascii="Work Sans" w:hAnsi="Work Sans"/>
          <w:sz w:val="24"/>
          <w:szCs w:val="24"/>
        </w:rPr>
        <w:fldChar w:fldCharType="separate"/>
      </w:r>
      <w:r w:rsidR="00AB678F" w:rsidRPr="00AB678F">
        <w:rPr>
          <w:rFonts w:ascii="Work Sans" w:hAnsi="Work Sans"/>
          <w:sz w:val="24"/>
          <w:szCs w:val="24"/>
        </w:rPr>
        <w:t>Figure 3</w:t>
      </w:r>
      <w:r w:rsidRPr="00E01E9A">
        <w:rPr>
          <w:rFonts w:ascii="Work Sans" w:hAnsi="Work Sans"/>
          <w:sz w:val="24"/>
          <w:szCs w:val="24"/>
        </w:rPr>
        <w:fldChar w:fldCharType="end"/>
      </w:r>
      <w:r w:rsidRPr="00E01E9A">
        <w:rPr>
          <w:rFonts w:ascii="Work Sans" w:hAnsi="Work Sans"/>
          <w:sz w:val="24"/>
          <w:szCs w:val="24"/>
        </w:rPr>
        <w:t xml:space="preserve"> shows this equalisation. The expense adjustments increase the post equalisation capacity of the three metropolitan Länder and reduce it for the other 13 Länder. </w:t>
      </w:r>
    </w:p>
    <w:p w14:paraId="01DBC7A3" w14:textId="77777777" w:rsidR="004D7F21" w:rsidRPr="00E01E9A" w:rsidRDefault="004D7F21" w:rsidP="00D073A2">
      <w:pPr>
        <w:rPr>
          <w:rFonts w:ascii="Work Sans" w:hAnsi="Work Sans"/>
          <w:sz w:val="24"/>
          <w:szCs w:val="24"/>
        </w:rPr>
      </w:pPr>
      <w:r w:rsidRPr="00E01E9A">
        <w:rPr>
          <w:rFonts w:ascii="Work Sans" w:hAnsi="Work Sans"/>
          <w:sz w:val="24"/>
          <w:szCs w:val="24"/>
        </w:rPr>
        <w:t>Figure 3 shows the equalisation outcome in Germany. Revenue equalisation moves Länder from the diagonal to the dotted line. Expense adjustments then favour the metropolitan Länder. For example, Thuringia starts with around 70% of the average revenue capacity.</w:t>
      </w:r>
    </w:p>
    <w:p w14:paraId="678672A8" w14:textId="77777777" w:rsidR="004D7F21" w:rsidRPr="00416BE0" w:rsidRDefault="004D7F21" w:rsidP="00E01E9A">
      <w:pPr>
        <w:pStyle w:val="CGCBullet1"/>
        <w:rPr>
          <w:rFonts w:ascii="Work Sans" w:hAnsi="Work Sans"/>
          <w:sz w:val="24"/>
          <w:szCs w:val="24"/>
        </w:rPr>
      </w:pPr>
      <w:r w:rsidRPr="00416BE0">
        <w:rPr>
          <w:rFonts w:ascii="Work Sans" w:hAnsi="Work Sans"/>
          <w:sz w:val="24"/>
          <w:szCs w:val="24"/>
        </w:rPr>
        <w:t>Revenue equalisation alone would bring it to 97% of the average revenue capacity.</w:t>
      </w:r>
    </w:p>
    <w:p w14:paraId="2BE98AF3" w14:textId="77777777" w:rsidR="004D7F21" w:rsidRPr="00416BE0" w:rsidRDefault="004D7F21" w:rsidP="00E01E9A">
      <w:pPr>
        <w:pStyle w:val="CGCBullet1"/>
        <w:rPr>
          <w:rFonts w:ascii="Work Sans" w:hAnsi="Work Sans"/>
          <w:sz w:val="24"/>
          <w:szCs w:val="24"/>
        </w:rPr>
      </w:pPr>
      <w:r w:rsidRPr="00416BE0">
        <w:rPr>
          <w:rFonts w:ascii="Work Sans" w:hAnsi="Work Sans"/>
          <w:sz w:val="24"/>
          <w:szCs w:val="24"/>
        </w:rPr>
        <w:t>Expense adjustments result in it ending at 95% of the average revenue capacity.</w:t>
      </w:r>
    </w:p>
    <w:p w14:paraId="398456AF" w14:textId="0D9A6AF6" w:rsidR="004D7F21" w:rsidRPr="002C5B2F" w:rsidRDefault="004D7F21" w:rsidP="004D7F21">
      <w:pPr>
        <w:pStyle w:val="Caption"/>
        <w:rPr>
          <w:rFonts w:ascii="Work Sans" w:hAnsi="Work Sans"/>
        </w:rPr>
      </w:pPr>
      <w:bookmarkStart w:id="11" w:name="_Ref76597088"/>
      <w:r w:rsidRPr="002C5B2F">
        <w:rPr>
          <w:rFonts w:ascii="Work Sans" w:hAnsi="Work Sans"/>
        </w:rPr>
        <w:lastRenderedPageBreak/>
        <w:t xml:space="preserve">Figure </w:t>
      </w:r>
      <w:r w:rsidRPr="002C5B2F">
        <w:rPr>
          <w:rFonts w:ascii="Work Sans" w:hAnsi="Work Sans"/>
        </w:rPr>
        <w:fldChar w:fldCharType="begin"/>
      </w:r>
      <w:r w:rsidRPr="002C5B2F">
        <w:rPr>
          <w:rFonts w:ascii="Work Sans" w:hAnsi="Work Sans"/>
        </w:rPr>
        <w:instrText>SEQ Figure \* ARABIC</w:instrText>
      </w:r>
      <w:r w:rsidRPr="002C5B2F">
        <w:rPr>
          <w:rFonts w:ascii="Work Sans" w:hAnsi="Work Sans"/>
        </w:rPr>
        <w:fldChar w:fldCharType="separate"/>
      </w:r>
      <w:r w:rsidR="00AB678F">
        <w:rPr>
          <w:rFonts w:ascii="Work Sans" w:hAnsi="Work Sans"/>
          <w:noProof/>
        </w:rPr>
        <w:t>3</w:t>
      </w:r>
      <w:r w:rsidRPr="002C5B2F">
        <w:rPr>
          <w:rFonts w:ascii="Work Sans" w:hAnsi="Work Sans"/>
        </w:rPr>
        <w:fldChar w:fldCharType="end"/>
      </w:r>
      <w:bookmarkEnd w:id="11"/>
      <w:r w:rsidRPr="002C5B2F">
        <w:rPr>
          <w:rFonts w:ascii="Work Sans" w:hAnsi="Work Sans"/>
        </w:rPr>
        <w:tab/>
        <w:t>German equalisation outcomes, 2019</w:t>
      </w:r>
    </w:p>
    <w:p w14:paraId="24FE3937" w14:textId="13242E59" w:rsidR="004D7F21" w:rsidRPr="002C5B2F" w:rsidRDefault="004D7F21" w:rsidP="0000059F">
      <w:pPr>
        <w:keepNext/>
        <w:rPr>
          <w:rFonts w:ascii="Work Sans" w:hAnsi="Work Sans"/>
        </w:rPr>
      </w:pPr>
      <w:r w:rsidRPr="002C5B2F">
        <w:rPr>
          <w:rFonts w:ascii="Work Sans" w:hAnsi="Work Sans"/>
        </w:rPr>
        <w:t xml:space="preserve"> </w:t>
      </w:r>
      <w:r w:rsidR="008473D8" w:rsidRPr="002C5B2F">
        <w:rPr>
          <w:rFonts w:ascii="Work Sans" w:hAnsi="Work Sans"/>
          <w:noProof/>
        </w:rPr>
        <w:drawing>
          <wp:inline distT="0" distB="0" distL="0" distR="0" wp14:anchorId="1AEDEBDF" wp14:editId="5BA63AA2">
            <wp:extent cx="5646420" cy="35509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46420" cy="3550920"/>
                    </a:xfrm>
                    <a:prstGeom prst="rect">
                      <a:avLst/>
                    </a:prstGeom>
                    <a:noFill/>
                    <a:ln>
                      <a:noFill/>
                    </a:ln>
                  </pic:spPr>
                </pic:pic>
              </a:graphicData>
            </a:graphic>
          </wp:inline>
        </w:drawing>
      </w:r>
    </w:p>
    <w:tbl>
      <w:tblPr>
        <w:tblW w:w="8838" w:type="dxa"/>
        <w:tblLayout w:type="fixed"/>
        <w:tblLook w:val="04A0" w:firstRow="1" w:lastRow="0" w:firstColumn="1" w:lastColumn="0" w:noHBand="0" w:noVBand="1"/>
      </w:tblPr>
      <w:tblGrid>
        <w:gridCol w:w="709"/>
        <w:gridCol w:w="442"/>
        <w:gridCol w:w="267"/>
        <w:gridCol w:w="1559"/>
        <w:gridCol w:w="454"/>
        <w:gridCol w:w="288"/>
        <w:gridCol w:w="2126"/>
        <w:gridCol w:w="425"/>
        <w:gridCol w:w="288"/>
        <w:gridCol w:w="2280"/>
      </w:tblGrid>
      <w:tr w:rsidR="004D7F21" w:rsidRPr="00E57AE8" w14:paraId="7F567C31" w14:textId="77777777" w:rsidTr="00F678E3">
        <w:trPr>
          <w:trHeight w:val="200"/>
        </w:trPr>
        <w:tc>
          <w:tcPr>
            <w:tcW w:w="709" w:type="dxa"/>
            <w:tcBorders>
              <w:top w:val="nil"/>
              <w:left w:val="nil"/>
              <w:bottom w:val="nil"/>
              <w:right w:val="nil"/>
            </w:tcBorders>
            <w:shd w:val="clear" w:color="000000" w:fill="FFFFFF"/>
            <w:vAlign w:val="center"/>
            <w:hideMark/>
          </w:tcPr>
          <w:p w14:paraId="47E5AAF4" w14:textId="77777777" w:rsidR="004D7F21" w:rsidRPr="007B295A" w:rsidRDefault="004D7F21" w:rsidP="0000059F">
            <w:pPr>
              <w:pStyle w:val="CGCTablenote"/>
              <w:keepNext/>
              <w:ind w:left="-8" w:firstLine="8"/>
              <w:rPr>
                <w:rFonts w:ascii="Work Sans" w:hAnsi="Work Sans" w:cs="Open Sans Light"/>
                <w:szCs w:val="14"/>
                <w:lang w:eastAsia="en-AU"/>
              </w:rPr>
            </w:pPr>
            <w:r w:rsidRPr="007B295A">
              <w:rPr>
                <w:rFonts w:ascii="Work Sans" w:hAnsi="Work Sans" w:cs="Open Sans Light"/>
                <w:szCs w:val="14"/>
                <w:lang w:eastAsia="en-AU"/>
              </w:rPr>
              <w:t>Notes:</w:t>
            </w:r>
          </w:p>
        </w:tc>
        <w:tc>
          <w:tcPr>
            <w:tcW w:w="442" w:type="dxa"/>
            <w:tcBorders>
              <w:top w:val="nil"/>
              <w:left w:val="nil"/>
              <w:bottom w:val="nil"/>
              <w:right w:val="nil"/>
            </w:tcBorders>
            <w:shd w:val="clear" w:color="000000" w:fill="FFFFFF"/>
            <w:vAlign w:val="center"/>
            <w:hideMark/>
          </w:tcPr>
          <w:p w14:paraId="50DC206A" w14:textId="77777777" w:rsidR="004D7F21" w:rsidRPr="007B295A" w:rsidRDefault="004D7F21" w:rsidP="0000059F">
            <w:pPr>
              <w:pStyle w:val="CGCTablenote"/>
              <w:keepNext/>
              <w:ind w:left="-8" w:firstLine="8"/>
              <w:rPr>
                <w:rFonts w:ascii="Work Sans" w:hAnsi="Work Sans" w:cs="Open Sans Light"/>
                <w:szCs w:val="14"/>
                <w:lang w:eastAsia="en-AU"/>
              </w:rPr>
            </w:pPr>
            <w:r w:rsidRPr="007B295A">
              <w:rPr>
                <w:rFonts w:ascii="Work Sans" w:hAnsi="Work Sans" w:cs="Open Sans Light"/>
                <w:szCs w:val="14"/>
                <w:lang w:eastAsia="en-AU"/>
              </w:rPr>
              <w:t>BW</w:t>
            </w:r>
          </w:p>
        </w:tc>
        <w:tc>
          <w:tcPr>
            <w:tcW w:w="267" w:type="dxa"/>
            <w:tcBorders>
              <w:top w:val="nil"/>
              <w:left w:val="nil"/>
              <w:bottom w:val="nil"/>
              <w:right w:val="nil"/>
            </w:tcBorders>
            <w:shd w:val="clear" w:color="000000" w:fill="FFFFFF"/>
            <w:vAlign w:val="center"/>
            <w:hideMark/>
          </w:tcPr>
          <w:p w14:paraId="27D4712E" w14:textId="77777777" w:rsidR="004D7F21" w:rsidRPr="007B295A" w:rsidRDefault="004D7F21" w:rsidP="0000059F">
            <w:pPr>
              <w:pStyle w:val="CGCTablenote"/>
              <w:keepNext/>
              <w:ind w:left="-8" w:firstLine="8"/>
              <w:rPr>
                <w:rFonts w:ascii="Work Sans" w:hAnsi="Work Sans" w:cs="Open Sans Light"/>
                <w:szCs w:val="14"/>
                <w:lang w:eastAsia="en-AU"/>
              </w:rPr>
            </w:pPr>
            <w:r w:rsidRPr="007B295A">
              <w:rPr>
                <w:rFonts w:ascii="Work Sans" w:hAnsi="Work Sans" w:cs="Open Sans Light"/>
                <w:szCs w:val="14"/>
                <w:lang w:eastAsia="en-AU"/>
              </w:rPr>
              <w:t>-</w:t>
            </w:r>
          </w:p>
        </w:tc>
        <w:tc>
          <w:tcPr>
            <w:tcW w:w="1559" w:type="dxa"/>
            <w:tcBorders>
              <w:top w:val="nil"/>
              <w:left w:val="nil"/>
              <w:bottom w:val="nil"/>
              <w:right w:val="nil"/>
            </w:tcBorders>
            <w:shd w:val="clear" w:color="000000" w:fill="FFFFFF"/>
            <w:vAlign w:val="center"/>
            <w:hideMark/>
          </w:tcPr>
          <w:p w14:paraId="1C06B00E" w14:textId="77777777" w:rsidR="004D7F21" w:rsidRPr="007B295A" w:rsidRDefault="004D7F21" w:rsidP="007B295A">
            <w:pPr>
              <w:pStyle w:val="CGCTablenote"/>
              <w:keepNext/>
              <w:ind w:left="-8" w:right="-149" w:firstLine="8"/>
              <w:rPr>
                <w:rFonts w:ascii="Work Sans" w:hAnsi="Work Sans" w:cs="Open Sans Light"/>
                <w:szCs w:val="14"/>
                <w:lang w:eastAsia="en-AU"/>
              </w:rPr>
            </w:pPr>
            <w:r w:rsidRPr="007B295A">
              <w:rPr>
                <w:rFonts w:ascii="Work Sans" w:hAnsi="Work Sans" w:cs="Open Sans Light"/>
                <w:szCs w:val="14"/>
                <w:lang w:eastAsia="en-AU"/>
              </w:rPr>
              <w:t>Baden-Württemberg</w:t>
            </w:r>
          </w:p>
        </w:tc>
        <w:tc>
          <w:tcPr>
            <w:tcW w:w="454" w:type="dxa"/>
            <w:tcBorders>
              <w:top w:val="nil"/>
              <w:left w:val="nil"/>
              <w:bottom w:val="nil"/>
              <w:right w:val="nil"/>
            </w:tcBorders>
            <w:shd w:val="clear" w:color="000000" w:fill="FFFFFF"/>
            <w:vAlign w:val="center"/>
            <w:hideMark/>
          </w:tcPr>
          <w:p w14:paraId="479CC15B" w14:textId="77777777" w:rsidR="004D7F21" w:rsidRPr="007B295A" w:rsidRDefault="004D7F21" w:rsidP="0000059F">
            <w:pPr>
              <w:pStyle w:val="CGCTablenote"/>
              <w:keepNext/>
              <w:ind w:left="-8" w:firstLine="8"/>
              <w:rPr>
                <w:rFonts w:ascii="Work Sans" w:hAnsi="Work Sans" w:cs="Open Sans Light"/>
                <w:szCs w:val="14"/>
                <w:lang w:eastAsia="en-AU"/>
              </w:rPr>
            </w:pPr>
            <w:r w:rsidRPr="007B295A">
              <w:rPr>
                <w:rFonts w:ascii="Work Sans" w:hAnsi="Work Sans" w:cs="Open Sans Light"/>
                <w:szCs w:val="14"/>
                <w:lang w:eastAsia="en-AU"/>
              </w:rPr>
              <w:t>HE</w:t>
            </w:r>
          </w:p>
        </w:tc>
        <w:tc>
          <w:tcPr>
            <w:tcW w:w="288" w:type="dxa"/>
            <w:tcBorders>
              <w:top w:val="nil"/>
              <w:left w:val="nil"/>
              <w:bottom w:val="nil"/>
              <w:right w:val="nil"/>
            </w:tcBorders>
            <w:shd w:val="clear" w:color="000000" w:fill="FFFFFF"/>
            <w:vAlign w:val="center"/>
            <w:hideMark/>
          </w:tcPr>
          <w:p w14:paraId="63B2A9B5" w14:textId="77777777" w:rsidR="004D7F21" w:rsidRPr="007B295A" w:rsidRDefault="004D7F21" w:rsidP="0000059F">
            <w:pPr>
              <w:pStyle w:val="CGCTablenote"/>
              <w:keepNext/>
              <w:ind w:left="-8" w:firstLine="8"/>
              <w:rPr>
                <w:rFonts w:ascii="Work Sans" w:hAnsi="Work Sans" w:cs="Open Sans Light"/>
                <w:szCs w:val="14"/>
                <w:lang w:eastAsia="en-AU"/>
              </w:rPr>
            </w:pPr>
            <w:r w:rsidRPr="007B295A">
              <w:rPr>
                <w:rFonts w:ascii="Work Sans" w:hAnsi="Work Sans" w:cs="Open Sans Light"/>
                <w:szCs w:val="14"/>
                <w:lang w:eastAsia="en-AU"/>
              </w:rPr>
              <w:t>-</w:t>
            </w:r>
          </w:p>
        </w:tc>
        <w:tc>
          <w:tcPr>
            <w:tcW w:w="2126" w:type="dxa"/>
            <w:tcBorders>
              <w:top w:val="nil"/>
              <w:left w:val="nil"/>
              <w:bottom w:val="nil"/>
              <w:right w:val="nil"/>
            </w:tcBorders>
            <w:shd w:val="clear" w:color="000000" w:fill="FFFFFF"/>
            <w:vAlign w:val="center"/>
            <w:hideMark/>
          </w:tcPr>
          <w:p w14:paraId="582562F0" w14:textId="77777777" w:rsidR="004D7F21" w:rsidRPr="007B295A" w:rsidRDefault="004D7F21" w:rsidP="0000059F">
            <w:pPr>
              <w:pStyle w:val="CGCTablenote"/>
              <w:keepNext/>
              <w:ind w:left="-8" w:firstLine="8"/>
              <w:rPr>
                <w:rFonts w:ascii="Work Sans" w:hAnsi="Work Sans" w:cs="Open Sans Light"/>
                <w:szCs w:val="14"/>
                <w:lang w:eastAsia="en-AU"/>
              </w:rPr>
            </w:pPr>
            <w:r w:rsidRPr="007B295A">
              <w:rPr>
                <w:rFonts w:ascii="Work Sans" w:hAnsi="Work Sans" w:cs="Open Sans Light"/>
                <w:szCs w:val="14"/>
                <w:lang w:eastAsia="en-AU"/>
              </w:rPr>
              <w:t>Hesse</w:t>
            </w:r>
          </w:p>
        </w:tc>
        <w:tc>
          <w:tcPr>
            <w:tcW w:w="425" w:type="dxa"/>
            <w:tcBorders>
              <w:top w:val="nil"/>
              <w:left w:val="nil"/>
              <w:bottom w:val="nil"/>
              <w:right w:val="nil"/>
            </w:tcBorders>
            <w:shd w:val="clear" w:color="000000" w:fill="FFFFFF"/>
            <w:vAlign w:val="center"/>
            <w:hideMark/>
          </w:tcPr>
          <w:p w14:paraId="2D517764" w14:textId="77777777" w:rsidR="004D7F21" w:rsidRPr="007B295A" w:rsidRDefault="004D7F21" w:rsidP="0000059F">
            <w:pPr>
              <w:pStyle w:val="CGCTablenote"/>
              <w:keepNext/>
              <w:ind w:left="-8" w:firstLine="8"/>
              <w:rPr>
                <w:rFonts w:ascii="Work Sans" w:hAnsi="Work Sans" w:cs="Open Sans Light"/>
                <w:szCs w:val="14"/>
                <w:lang w:eastAsia="en-AU"/>
              </w:rPr>
            </w:pPr>
            <w:r w:rsidRPr="007B295A">
              <w:rPr>
                <w:rFonts w:ascii="Work Sans" w:hAnsi="Work Sans" w:cs="Open Sans Light"/>
                <w:szCs w:val="14"/>
                <w:lang w:eastAsia="en-AU"/>
              </w:rPr>
              <w:t>SL</w:t>
            </w:r>
          </w:p>
        </w:tc>
        <w:tc>
          <w:tcPr>
            <w:tcW w:w="288" w:type="dxa"/>
            <w:tcBorders>
              <w:top w:val="nil"/>
              <w:left w:val="nil"/>
              <w:bottom w:val="nil"/>
              <w:right w:val="nil"/>
            </w:tcBorders>
            <w:shd w:val="clear" w:color="000000" w:fill="FFFFFF"/>
            <w:vAlign w:val="center"/>
            <w:hideMark/>
          </w:tcPr>
          <w:p w14:paraId="295E07E1" w14:textId="77777777" w:rsidR="004D7F21" w:rsidRPr="007B295A" w:rsidRDefault="004D7F21" w:rsidP="0000059F">
            <w:pPr>
              <w:pStyle w:val="CGCTablenote"/>
              <w:keepNext/>
              <w:ind w:left="-8" w:firstLine="8"/>
              <w:rPr>
                <w:rFonts w:ascii="Work Sans" w:hAnsi="Work Sans" w:cs="Open Sans Light"/>
                <w:szCs w:val="14"/>
                <w:lang w:eastAsia="en-AU"/>
              </w:rPr>
            </w:pPr>
            <w:r w:rsidRPr="007B295A">
              <w:rPr>
                <w:rFonts w:ascii="Work Sans" w:hAnsi="Work Sans" w:cs="Open Sans Light"/>
                <w:szCs w:val="14"/>
                <w:lang w:eastAsia="en-AU"/>
              </w:rPr>
              <w:t>-</w:t>
            </w:r>
          </w:p>
        </w:tc>
        <w:tc>
          <w:tcPr>
            <w:tcW w:w="2280" w:type="dxa"/>
            <w:tcBorders>
              <w:top w:val="nil"/>
              <w:left w:val="nil"/>
              <w:bottom w:val="nil"/>
              <w:right w:val="nil"/>
            </w:tcBorders>
            <w:shd w:val="clear" w:color="000000" w:fill="FFFFFF"/>
            <w:vAlign w:val="center"/>
            <w:hideMark/>
          </w:tcPr>
          <w:p w14:paraId="17610055" w14:textId="77777777" w:rsidR="004D7F21" w:rsidRPr="007B295A" w:rsidRDefault="004D7F21" w:rsidP="0000059F">
            <w:pPr>
              <w:pStyle w:val="CGCTablenote"/>
              <w:keepNext/>
              <w:ind w:left="-8" w:firstLine="8"/>
              <w:rPr>
                <w:rFonts w:ascii="Work Sans" w:hAnsi="Work Sans" w:cs="Open Sans Light"/>
                <w:szCs w:val="14"/>
                <w:lang w:eastAsia="en-AU"/>
              </w:rPr>
            </w:pPr>
            <w:r w:rsidRPr="007B295A">
              <w:rPr>
                <w:rFonts w:ascii="Work Sans" w:hAnsi="Work Sans" w:cs="Open Sans Light"/>
                <w:szCs w:val="14"/>
                <w:lang w:eastAsia="en-AU"/>
              </w:rPr>
              <w:t>Saarland</w:t>
            </w:r>
          </w:p>
        </w:tc>
      </w:tr>
      <w:tr w:rsidR="004D7F21" w:rsidRPr="00E57AE8" w14:paraId="1C4FD1A2" w14:textId="77777777" w:rsidTr="00F678E3">
        <w:trPr>
          <w:trHeight w:val="200"/>
        </w:trPr>
        <w:tc>
          <w:tcPr>
            <w:tcW w:w="709" w:type="dxa"/>
            <w:tcBorders>
              <w:top w:val="nil"/>
              <w:left w:val="nil"/>
              <w:bottom w:val="nil"/>
              <w:right w:val="nil"/>
            </w:tcBorders>
            <w:shd w:val="clear" w:color="auto" w:fill="auto"/>
            <w:noWrap/>
            <w:vAlign w:val="bottom"/>
            <w:hideMark/>
          </w:tcPr>
          <w:p w14:paraId="33E7504C" w14:textId="77777777" w:rsidR="004D7F21" w:rsidRPr="007B295A" w:rsidRDefault="004D7F21" w:rsidP="0000059F">
            <w:pPr>
              <w:pStyle w:val="CGCTablenote"/>
              <w:keepNext/>
              <w:ind w:left="-8" w:firstLine="8"/>
              <w:rPr>
                <w:rFonts w:ascii="Work Sans" w:eastAsia="Times New Roman" w:hAnsi="Work Sans" w:cs="Open Sans Light"/>
                <w:color w:val="585858"/>
                <w:szCs w:val="14"/>
                <w:lang w:eastAsia="en-AU"/>
              </w:rPr>
            </w:pPr>
          </w:p>
        </w:tc>
        <w:tc>
          <w:tcPr>
            <w:tcW w:w="442" w:type="dxa"/>
            <w:tcBorders>
              <w:top w:val="nil"/>
              <w:left w:val="nil"/>
              <w:bottom w:val="nil"/>
              <w:right w:val="nil"/>
            </w:tcBorders>
            <w:shd w:val="clear" w:color="000000" w:fill="FFFFFF"/>
            <w:vAlign w:val="center"/>
            <w:hideMark/>
          </w:tcPr>
          <w:p w14:paraId="4C004E0C" w14:textId="77777777" w:rsidR="004D7F21" w:rsidRPr="007B295A" w:rsidRDefault="004D7F21" w:rsidP="0000059F">
            <w:pPr>
              <w:pStyle w:val="CGCTablenote"/>
              <w:keepNext/>
              <w:ind w:left="-8" w:firstLine="8"/>
              <w:rPr>
                <w:rFonts w:ascii="Work Sans" w:hAnsi="Work Sans" w:cs="Open Sans Light"/>
                <w:szCs w:val="14"/>
                <w:lang w:eastAsia="en-AU"/>
              </w:rPr>
            </w:pPr>
            <w:r w:rsidRPr="007B295A">
              <w:rPr>
                <w:rFonts w:ascii="Work Sans" w:hAnsi="Work Sans" w:cs="Open Sans Light"/>
                <w:szCs w:val="14"/>
                <w:lang w:eastAsia="en-AU"/>
              </w:rPr>
              <w:t>BY</w:t>
            </w:r>
          </w:p>
        </w:tc>
        <w:tc>
          <w:tcPr>
            <w:tcW w:w="267" w:type="dxa"/>
            <w:tcBorders>
              <w:top w:val="nil"/>
              <w:left w:val="nil"/>
              <w:bottom w:val="nil"/>
              <w:right w:val="nil"/>
            </w:tcBorders>
            <w:shd w:val="clear" w:color="000000" w:fill="FFFFFF"/>
            <w:vAlign w:val="center"/>
            <w:hideMark/>
          </w:tcPr>
          <w:p w14:paraId="42BF056A" w14:textId="77777777" w:rsidR="004D7F21" w:rsidRPr="007B295A" w:rsidRDefault="004D7F21" w:rsidP="0000059F">
            <w:pPr>
              <w:pStyle w:val="CGCTablenote"/>
              <w:keepNext/>
              <w:ind w:left="-8" w:firstLine="8"/>
              <w:rPr>
                <w:rFonts w:ascii="Work Sans" w:hAnsi="Work Sans" w:cs="Open Sans Light"/>
                <w:szCs w:val="14"/>
                <w:lang w:eastAsia="en-AU"/>
              </w:rPr>
            </w:pPr>
            <w:r w:rsidRPr="007B295A">
              <w:rPr>
                <w:rFonts w:ascii="Work Sans" w:hAnsi="Work Sans" w:cs="Open Sans Light"/>
                <w:szCs w:val="14"/>
                <w:lang w:eastAsia="en-AU"/>
              </w:rPr>
              <w:t>-</w:t>
            </w:r>
          </w:p>
        </w:tc>
        <w:tc>
          <w:tcPr>
            <w:tcW w:w="1559" w:type="dxa"/>
            <w:tcBorders>
              <w:top w:val="nil"/>
              <w:left w:val="nil"/>
              <w:bottom w:val="nil"/>
              <w:right w:val="nil"/>
            </w:tcBorders>
            <w:shd w:val="clear" w:color="000000" w:fill="FFFFFF"/>
            <w:vAlign w:val="center"/>
            <w:hideMark/>
          </w:tcPr>
          <w:p w14:paraId="353F924B" w14:textId="77777777" w:rsidR="004D7F21" w:rsidRPr="007B295A" w:rsidRDefault="004D7F21" w:rsidP="0000059F">
            <w:pPr>
              <w:pStyle w:val="CGCTablenote"/>
              <w:keepNext/>
              <w:ind w:left="-8" w:firstLine="8"/>
              <w:rPr>
                <w:rFonts w:ascii="Work Sans" w:hAnsi="Work Sans" w:cs="Open Sans Light"/>
                <w:szCs w:val="14"/>
                <w:lang w:eastAsia="en-AU"/>
              </w:rPr>
            </w:pPr>
            <w:r w:rsidRPr="007B295A">
              <w:rPr>
                <w:rFonts w:ascii="Work Sans" w:hAnsi="Work Sans" w:cs="Open Sans Light"/>
                <w:szCs w:val="14"/>
                <w:lang w:eastAsia="en-AU"/>
              </w:rPr>
              <w:t>Bavaria</w:t>
            </w:r>
          </w:p>
        </w:tc>
        <w:tc>
          <w:tcPr>
            <w:tcW w:w="454" w:type="dxa"/>
            <w:tcBorders>
              <w:top w:val="nil"/>
              <w:left w:val="nil"/>
              <w:bottom w:val="nil"/>
              <w:right w:val="nil"/>
            </w:tcBorders>
            <w:shd w:val="clear" w:color="000000" w:fill="FFFFFF"/>
            <w:vAlign w:val="center"/>
            <w:hideMark/>
          </w:tcPr>
          <w:p w14:paraId="62DC1877" w14:textId="77777777" w:rsidR="004D7F21" w:rsidRPr="007B295A" w:rsidRDefault="004D7F21" w:rsidP="0000059F">
            <w:pPr>
              <w:pStyle w:val="CGCTablenote"/>
              <w:keepNext/>
              <w:ind w:left="-8" w:firstLine="8"/>
              <w:rPr>
                <w:rFonts w:ascii="Work Sans" w:hAnsi="Work Sans" w:cs="Open Sans Light"/>
                <w:szCs w:val="14"/>
                <w:lang w:eastAsia="en-AU"/>
              </w:rPr>
            </w:pPr>
            <w:r w:rsidRPr="007B295A">
              <w:rPr>
                <w:rFonts w:ascii="Work Sans" w:hAnsi="Work Sans" w:cs="Open Sans Light"/>
                <w:szCs w:val="14"/>
                <w:lang w:eastAsia="en-AU"/>
              </w:rPr>
              <w:t>NI</w:t>
            </w:r>
          </w:p>
        </w:tc>
        <w:tc>
          <w:tcPr>
            <w:tcW w:w="288" w:type="dxa"/>
            <w:tcBorders>
              <w:top w:val="nil"/>
              <w:left w:val="nil"/>
              <w:bottom w:val="nil"/>
              <w:right w:val="nil"/>
            </w:tcBorders>
            <w:shd w:val="clear" w:color="000000" w:fill="FFFFFF"/>
            <w:vAlign w:val="center"/>
            <w:hideMark/>
          </w:tcPr>
          <w:p w14:paraId="30A3898A" w14:textId="77777777" w:rsidR="004D7F21" w:rsidRPr="007B295A" w:rsidRDefault="004D7F21" w:rsidP="0000059F">
            <w:pPr>
              <w:pStyle w:val="CGCTablenote"/>
              <w:keepNext/>
              <w:ind w:left="-8" w:firstLine="8"/>
              <w:rPr>
                <w:rFonts w:ascii="Work Sans" w:hAnsi="Work Sans" w:cs="Open Sans Light"/>
                <w:szCs w:val="14"/>
                <w:lang w:eastAsia="en-AU"/>
              </w:rPr>
            </w:pPr>
            <w:r w:rsidRPr="007B295A">
              <w:rPr>
                <w:rFonts w:ascii="Work Sans" w:hAnsi="Work Sans" w:cs="Open Sans Light"/>
                <w:szCs w:val="14"/>
                <w:lang w:eastAsia="en-AU"/>
              </w:rPr>
              <w:t>-</w:t>
            </w:r>
          </w:p>
        </w:tc>
        <w:tc>
          <w:tcPr>
            <w:tcW w:w="2126" w:type="dxa"/>
            <w:tcBorders>
              <w:top w:val="nil"/>
              <w:left w:val="nil"/>
              <w:bottom w:val="nil"/>
              <w:right w:val="nil"/>
            </w:tcBorders>
            <w:shd w:val="clear" w:color="000000" w:fill="FFFFFF"/>
            <w:vAlign w:val="center"/>
            <w:hideMark/>
          </w:tcPr>
          <w:p w14:paraId="0CE033B9" w14:textId="77777777" w:rsidR="004D7F21" w:rsidRPr="007B295A" w:rsidRDefault="004D7F21" w:rsidP="0000059F">
            <w:pPr>
              <w:pStyle w:val="CGCTablenote"/>
              <w:keepNext/>
              <w:ind w:left="-8" w:firstLine="8"/>
              <w:rPr>
                <w:rFonts w:ascii="Work Sans" w:hAnsi="Work Sans" w:cs="Open Sans Light"/>
                <w:szCs w:val="14"/>
                <w:lang w:eastAsia="en-AU"/>
              </w:rPr>
            </w:pPr>
            <w:r w:rsidRPr="007B295A">
              <w:rPr>
                <w:rFonts w:ascii="Work Sans" w:hAnsi="Work Sans" w:cs="Open Sans Light"/>
                <w:szCs w:val="14"/>
                <w:lang w:eastAsia="en-AU"/>
              </w:rPr>
              <w:t>Lower Saxony</w:t>
            </w:r>
          </w:p>
        </w:tc>
        <w:tc>
          <w:tcPr>
            <w:tcW w:w="425" w:type="dxa"/>
            <w:tcBorders>
              <w:top w:val="nil"/>
              <w:left w:val="nil"/>
              <w:bottom w:val="nil"/>
              <w:right w:val="nil"/>
            </w:tcBorders>
            <w:shd w:val="clear" w:color="000000" w:fill="FFFFFF"/>
            <w:vAlign w:val="center"/>
            <w:hideMark/>
          </w:tcPr>
          <w:p w14:paraId="102D09B7" w14:textId="77777777" w:rsidR="004D7F21" w:rsidRPr="007B295A" w:rsidRDefault="004D7F21" w:rsidP="0000059F">
            <w:pPr>
              <w:pStyle w:val="CGCTablenote"/>
              <w:keepNext/>
              <w:ind w:left="-8" w:firstLine="8"/>
              <w:rPr>
                <w:rFonts w:ascii="Work Sans" w:hAnsi="Work Sans" w:cs="Open Sans Light"/>
                <w:szCs w:val="14"/>
                <w:lang w:eastAsia="en-AU"/>
              </w:rPr>
            </w:pPr>
            <w:r w:rsidRPr="007B295A">
              <w:rPr>
                <w:rFonts w:ascii="Work Sans" w:hAnsi="Work Sans" w:cs="Open Sans Light"/>
                <w:szCs w:val="14"/>
                <w:lang w:eastAsia="en-AU"/>
              </w:rPr>
              <w:t>SN</w:t>
            </w:r>
          </w:p>
        </w:tc>
        <w:tc>
          <w:tcPr>
            <w:tcW w:w="288" w:type="dxa"/>
            <w:tcBorders>
              <w:top w:val="nil"/>
              <w:left w:val="nil"/>
              <w:bottom w:val="nil"/>
              <w:right w:val="nil"/>
            </w:tcBorders>
            <w:shd w:val="clear" w:color="000000" w:fill="FFFFFF"/>
            <w:vAlign w:val="center"/>
            <w:hideMark/>
          </w:tcPr>
          <w:p w14:paraId="2ADA6C3A" w14:textId="77777777" w:rsidR="004D7F21" w:rsidRPr="007B295A" w:rsidRDefault="004D7F21" w:rsidP="0000059F">
            <w:pPr>
              <w:pStyle w:val="CGCTablenote"/>
              <w:keepNext/>
              <w:ind w:left="-8" w:firstLine="8"/>
              <w:rPr>
                <w:rFonts w:ascii="Work Sans" w:hAnsi="Work Sans" w:cs="Open Sans Light"/>
                <w:szCs w:val="14"/>
                <w:lang w:eastAsia="en-AU"/>
              </w:rPr>
            </w:pPr>
            <w:r w:rsidRPr="007B295A">
              <w:rPr>
                <w:rFonts w:ascii="Work Sans" w:hAnsi="Work Sans" w:cs="Open Sans Light"/>
                <w:szCs w:val="14"/>
                <w:lang w:eastAsia="en-AU"/>
              </w:rPr>
              <w:t>-</w:t>
            </w:r>
          </w:p>
        </w:tc>
        <w:tc>
          <w:tcPr>
            <w:tcW w:w="2280" w:type="dxa"/>
            <w:tcBorders>
              <w:top w:val="nil"/>
              <w:left w:val="nil"/>
              <w:bottom w:val="nil"/>
              <w:right w:val="nil"/>
            </w:tcBorders>
            <w:shd w:val="clear" w:color="000000" w:fill="FFFFFF"/>
            <w:vAlign w:val="center"/>
            <w:hideMark/>
          </w:tcPr>
          <w:p w14:paraId="1876B022" w14:textId="77777777" w:rsidR="004D7F21" w:rsidRPr="007B295A" w:rsidRDefault="004D7F21" w:rsidP="0000059F">
            <w:pPr>
              <w:pStyle w:val="CGCTablenote"/>
              <w:keepNext/>
              <w:ind w:left="-8" w:firstLine="8"/>
              <w:rPr>
                <w:rFonts w:ascii="Work Sans" w:hAnsi="Work Sans" w:cs="Open Sans Light"/>
                <w:szCs w:val="14"/>
                <w:lang w:eastAsia="en-AU"/>
              </w:rPr>
            </w:pPr>
            <w:r w:rsidRPr="007B295A">
              <w:rPr>
                <w:rFonts w:ascii="Work Sans" w:hAnsi="Work Sans" w:cs="Open Sans Light"/>
                <w:szCs w:val="14"/>
                <w:lang w:eastAsia="en-AU"/>
              </w:rPr>
              <w:t>Saxony</w:t>
            </w:r>
          </w:p>
        </w:tc>
      </w:tr>
      <w:tr w:rsidR="004D7F21" w:rsidRPr="00E57AE8" w14:paraId="0405781A" w14:textId="77777777" w:rsidTr="00F678E3">
        <w:trPr>
          <w:trHeight w:val="200"/>
        </w:trPr>
        <w:tc>
          <w:tcPr>
            <w:tcW w:w="709" w:type="dxa"/>
            <w:tcBorders>
              <w:top w:val="nil"/>
              <w:left w:val="nil"/>
              <w:bottom w:val="nil"/>
              <w:right w:val="nil"/>
            </w:tcBorders>
            <w:shd w:val="clear" w:color="auto" w:fill="auto"/>
            <w:noWrap/>
            <w:vAlign w:val="bottom"/>
            <w:hideMark/>
          </w:tcPr>
          <w:p w14:paraId="3D2A000E" w14:textId="77777777" w:rsidR="004D7F21" w:rsidRPr="007B295A" w:rsidRDefault="004D7F21" w:rsidP="0000059F">
            <w:pPr>
              <w:pStyle w:val="CGCTablenote"/>
              <w:keepNext/>
              <w:ind w:left="-8" w:firstLine="8"/>
              <w:rPr>
                <w:rFonts w:ascii="Work Sans" w:eastAsia="Times New Roman" w:hAnsi="Work Sans" w:cs="Open Sans Light"/>
                <w:color w:val="585858"/>
                <w:szCs w:val="14"/>
                <w:lang w:eastAsia="en-AU"/>
              </w:rPr>
            </w:pPr>
          </w:p>
        </w:tc>
        <w:tc>
          <w:tcPr>
            <w:tcW w:w="442" w:type="dxa"/>
            <w:tcBorders>
              <w:top w:val="nil"/>
              <w:left w:val="nil"/>
              <w:bottom w:val="nil"/>
              <w:right w:val="nil"/>
            </w:tcBorders>
            <w:shd w:val="clear" w:color="000000" w:fill="FFFFFF"/>
            <w:vAlign w:val="center"/>
            <w:hideMark/>
          </w:tcPr>
          <w:p w14:paraId="0F50E883" w14:textId="77777777" w:rsidR="004D7F21" w:rsidRPr="007B295A" w:rsidRDefault="004D7F21" w:rsidP="0000059F">
            <w:pPr>
              <w:pStyle w:val="CGCTablenote"/>
              <w:keepNext/>
              <w:ind w:left="-8" w:firstLine="8"/>
              <w:rPr>
                <w:rFonts w:ascii="Work Sans" w:hAnsi="Work Sans" w:cs="Open Sans Light"/>
                <w:szCs w:val="14"/>
                <w:lang w:eastAsia="en-AU"/>
              </w:rPr>
            </w:pPr>
            <w:r w:rsidRPr="007B295A">
              <w:rPr>
                <w:rFonts w:ascii="Work Sans" w:hAnsi="Work Sans" w:cs="Open Sans Light"/>
                <w:szCs w:val="14"/>
                <w:lang w:eastAsia="en-AU"/>
              </w:rPr>
              <w:t>BE</w:t>
            </w:r>
          </w:p>
        </w:tc>
        <w:tc>
          <w:tcPr>
            <w:tcW w:w="267" w:type="dxa"/>
            <w:tcBorders>
              <w:top w:val="nil"/>
              <w:left w:val="nil"/>
              <w:bottom w:val="nil"/>
              <w:right w:val="nil"/>
            </w:tcBorders>
            <w:shd w:val="clear" w:color="000000" w:fill="FFFFFF"/>
            <w:vAlign w:val="center"/>
            <w:hideMark/>
          </w:tcPr>
          <w:p w14:paraId="2DF4B1BF" w14:textId="77777777" w:rsidR="004D7F21" w:rsidRPr="007B295A" w:rsidRDefault="004D7F21" w:rsidP="0000059F">
            <w:pPr>
              <w:pStyle w:val="CGCTablenote"/>
              <w:keepNext/>
              <w:ind w:left="-8" w:firstLine="8"/>
              <w:rPr>
                <w:rFonts w:ascii="Work Sans" w:hAnsi="Work Sans" w:cs="Open Sans Light"/>
                <w:szCs w:val="14"/>
                <w:lang w:eastAsia="en-AU"/>
              </w:rPr>
            </w:pPr>
            <w:r w:rsidRPr="007B295A">
              <w:rPr>
                <w:rFonts w:ascii="Work Sans" w:hAnsi="Work Sans" w:cs="Open Sans Light"/>
                <w:szCs w:val="14"/>
                <w:lang w:eastAsia="en-AU"/>
              </w:rPr>
              <w:t>-</w:t>
            </w:r>
          </w:p>
        </w:tc>
        <w:tc>
          <w:tcPr>
            <w:tcW w:w="1559" w:type="dxa"/>
            <w:tcBorders>
              <w:top w:val="nil"/>
              <w:left w:val="nil"/>
              <w:bottom w:val="nil"/>
              <w:right w:val="nil"/>
            </w:tcBorders>
            <w:shd w:val="clear" w:color="000000" w:fill="FFFFFF"/>
            <w:vAlign w:val="center"/>
            <w:hideMark/>
          </w:tcPr>
          <w:p w14:paraId="1F53C328" w14:textId="77777777" w:rsidR="004D7F21" w:rsidRPr="007B295A" w:rsidRDefault="004D7F21" w:rsidP="0000059F">
            <w:pPr>
              <w:pStyle w:val="CGCTablenote"/>
              <w:keepNext/>
              <w:ind w:left="-8" w:firstLine="8"/>
              <w:rPr>
                <w:rFonts w:ascii="Work Sans" w:hAnsi="Work Sans" w:cs="Open Sans Light"/>
                <w:szCs w:val="14"/>
                <w:lang w:eastAsia="en-AU"/>
              </w:rPr>
            </w:pPr>
            <w:r w:rsidRPr="007B295A">
              <w:rPr>
                <w:rFonts w:ascii="Work Sans" w:hAnsi="Work Sans" w:cs="Open Sans Light"/>
                <w:szCs w:val="14"/>
                <w:lang w:eastAsia="en-AU"/>
              </w:rPr>
              <w:t>Berlin</w:t>
            </w:r>
          </w:p>
        </w:tc>
        <w:tc>
          <w:tcPr>
            <w:tcW w:w="454" w:type="dxa"/>
            <w:tcBorders>
              <w:top w:val="nil"/>
              <w:left w:val="nil"/>
              <w:bottom w:val="nil"/>
              <w:right w:val="nil"/>
            </w:tcBorders>
            <w:shd w:val="clear" w:color="000000" w:fill="FFFFFF"/>
            <w:vAlign w:val="center"/>
            <w:hideMark/>
          </w:tcPr>
          <w:p w14:paraId="6B72960B" w14:textId="77777777" w:rsidR="004D7F21" w:rsidRPr="007B295A" w:rsidRDefault="004D7F21" w:rsidP="0000059F">
            <w:pPr>
              <w:pStyle w:val="CGCTablenote"/>
              <w:keepNext/>
              <w:ind w:left="-8" w:firstLine="8"/>
              <w:rPr>
                <w:rFonts w:ascii="Work Sans" w:hAnsi="Work Sans" w:cs="Open Sans Light"/>
                <w:szCs w:val="14"/>
                <w:lang w:eastAsia="en-AU"/>
              </w:rPr>
            </w:pPr>
            <w:r w:rsidRPr="007B295A">
              <w:rPr>
                <w:rFonts w:ascii="Work Sans" w:hAnsi="Work Sans" w:cs="Open Sans Light"/>
                <w:szCs w:val="14"/>
                <w:lang w:eastAsia="en-AU"/>
              </w:rPr>
              <w:t>MV</w:t>
            </w:r>
          </w:p>
        </w:tc>
        <w:tc>
          <w:tcPr>
            <w:tcW w:w="288" w:type="dxa"/>
            <w:tcBorders>
              <w:top w:val="nil"/>
              <w:left w:val="nil"/>
              <w:bottom w:val="nil"/>
              <w:right w:val="nil"/>
            </w:tcBorders>
            <w:shd w:val="clear" w:color="000000" w:fill="FFFFFF"/>
            <w:vAlign w:val="center"/>
            <w:hideMark/>
          </w:tcPr>
          <w:p w14:paraId="25F30CE6" w14:textId="77777777" w:rsidR="004D7F21" w:rsidRPr="007B295A" w:rsidRDefault="004D7F21" w:rsidP="0000059F">
            <w:pPr>
              <w:pStyle w:val="CGCTablenote"/>
              <w:keepNext/>
              <w:ind w:left="-8" w:firstLine="8"/>
              <w:rPr>
                <w:rFonts w:ascii="Work Sans" w:hAnsi="Work Sans" w:cs="Open Sans Light"/>
                <w:szCs w:val="14"/>
                <w:lang w:eastAsia="en-AU"/>
              </w:rPr>
            </w:pPr>
            <w:r w:rsidRPr="007B295A">
              <w:rPr>
                <w:rFonts w:ascii="Work Sans" w:hAnsi="Work Sans" w:cs="Open Sans Light"/>
                <w:szCs w:val="14"/>
                <w:lang w:eastAsia="en-AU"/>
              </w:rPr>
              <w:t>-</w:t>
            </w:r>
          </w:p>
        </w:tc>
        <w:tc>
          <w:tcPr>
            <w:tcW w:w="2126" w:type="dxa"/>
            <w:tcBorders>
              <w:top w:val="nil"/>
              <w:left w:val="nil"/>
              <w:bottom w:val="nil"/>
              <w:right w:val="nil"/>
            </w:tcBorders>
            <w:shd w:val="clear" w:color="000000" w:fill="FFFFFF"/>
            <w:vAlign w:val="center"/>
            <w:hideMark/>
          </w:tcPr>
          <w:p w14:paraId="7842926B" w14:textId="77777777" w:rsidR="004D7F21" w:rsidRPr="007B295A" w:rsidRDefault="004D7F21" w:rsidP="0000059F">
            <w:pPr>
              <w:pStyle w:val="CGCTablenote"/>
              <w:keepNext/>
              <w:ind w:left="-8" w:firstLine="8"/>
              <w:rPr>
                <w:rFonts w:ascii="Work Sans" w:hAnsi="Work Sans" w:cs="Open Sans Light"/>
                <w:szCs w:val="14"/>
                <w:lang w:eastAsia="en-AU"/>
              </w:rPr>
            </w:pPr>
            <w:r w:rsidRPr="007B295A">
              <w:rPr>
                <w:rFonts w:ascii="Work Sans" w:hAnsi="Work Sans" w:cs="Open Sans Light"/>
                <w:szCs w:val="14"/>
                <w:lang w:eastAsia="en-AU"/>
              </w:rPr>
              <w:t>Mecklenburg-Vorpommern</w:t>
            </w:r>
          </w:p>
        </w:tc>
        <w:tc>
          <w:tcPr>
            <w:tcW w:w="425" w:type="dxa"/>
            <w:tcBorders>
              <w:top w:val="nil"/>
              <w:left w:val="nil"/>
              <w:bottom w:val="nil"/>
              <w:right w:val="nil"/>
            </w:tcBorders>
            <w:shd w:val="clear" w:color="000000" w:fill="FFFFFF"/>
            <w:vAlign w:val="center"/>
            <w:hideMark/>
          </w:tcPr>
          <w:p w14:paraId="2CF7FBEC" w14:textId="77777777" w:rsidR="004D7F21" w:rsidRPr="007B295A" w:rsidRDefault="004D7F21" w:rsidP="0000059F">
            <w:pPr>
              <w:pStyle w:val="CGCTablenote"/>
              <w:keepNext/>
              <w:ind w:left="-8" w:firstLine="8"/>
              <w:rPr>
                <w:rFonts w:ascii="Work Sans" w:hAnsi="Work Sans" w:cs="Open Sans Light"/>
                <w:szCs w:val="14"/>
                <w:lang w:eastAsia="en-AU"/>
              </w:rPr>
            </w:pPr>
            <w:r w:rsidRPr="007B295A">
              <w:rPr>
                <w:rFonts w:ascii="Work Sans" w:hAnsi="Work Sans" w:cs="Open Sans Light"/>
                <w:szCs w:val="14"/>
                <w:lang w:eastAsia="en-AU"/>
              </w:rPr>
              <w:t>ST</w:t>
            </w:r>
          </w:p>
        </w:tc>
        <w:tc>
          <w:tcPr>
            <w:tcW w:w="288" w:type="dxa"/>
            <w:tcBorders>
              <w:top w:val="nil"/>
              <w:left w:val="nil"/>
              <w:bottom w:val="nil"/>
              <w:right w:val="nil"/>
            </w:tcBorders>
            <w:shd w:val="clear" w:color="000000" w:fill="FFFFFF"/>
            <w:vAlign w:val="center"/>
            <w:hideMark/>
          </w:tcPr>
          <w:p w14:paraId="408859B0" w14:textId="77777777" w:rsidR="004D7F21" w:rsidRPr="007B295A" w:rsidRDefault="004D7F21" w:rsidP="0000059F">
            <w:pPr>
              <w:pStyle w:val="CGCTablenote"/>
              <w:keepNext/>
              <w:ind w:left="-8" w:firstLine="8"/>
              <w:rPr>
                <w:rFonts w:ascii="Work Sans" w:hAnsi="Work Sans" w:cs="Open Sans Light"/>
                <w:szCs w:val="14"/>
                <w:lang w:eastAsia="en-AU"/>
              </w:rPr>
            </w:pPr>
            <w:r w:rsidRPr="007B295A">
              <w:rPr>
                <w:rFonts w:ascii="Work Sans" w:hAnsi="Work Sans" w:cs="Open Sans Light"/>
                <w:szCs w:val="14"/>
                <w:lang w:eastAsia="en-AU"/>
              </w:rPr>
              <w:t>-</w:t>
            </w:r>
          </w:p>
        </w:tc>
        <w:tc>
          <w:tcPr>
            <w:tcW w:w="2280" w:type="dxa"/>
            <w:tcBorders>
              <w:top w:val="nil"/>
              <w:left w:val="nil"/>
              <w:bottom w:val="nil"/>
              <w:right w:val="nil"/>
            </w:tcBorders>
            <w:shd w:val="clear" w:color="000000" w:fill="FFFFFF"/>
            <w:vAlign w:val="center"/>
            <w:hideMark/>
          </w:tcPr>
          <w:p w14:paraId="49E57D51" w14:textId="77777777" w:rsidR="004D7F21" w:rsidRPr="007B295A" w:rsidRDefault="004D7F21" w:rsidP="0000059F">
            <w:pPr>
              <w:pStyle w:val="CGCTablenote"/>
              <w:keepNext/>
              <w:ind w:left="-8" w:firstLine="8"/>
              <w:rPr>
                <w:rFonts w:ascii="Work Sans" w:hAnsi="Work Sans" w:cs="Open Sans Light"/>
                <w:szCs w:val="14"/>
                <w:lang w:eastAsia="en-AU"/>
              </w:rPr>
            </w:pPr>
            <w:r w:rsidRPr="007B295A">
              <w:rPr>
                <w:rFonts w:ascii="Work Sans" w:hAnsi="Work Sans" w:cs="Open Sans Light"/>
                <w:szCs w:val="14"/>
                <w:lang w:eastAsia="en-AU"/>
              </w:rPr>
              <w:t>Saxony-Anhalt</w:t>
            </w:r>
          </w:p>
        </w:tc>
      </w:tr>
      <w:tr w:rsidR="004D7F21" w:rsidRPr="00E57AE8" w14:paraId="2DBA80C4" w14:textId="77777777" w:rsidTr="00F678E3">
        <w:trPr>
          <w:trHeight w:val="200"/>
        </w:trPr>
        <w:tc>
          <w:tcPr>
            <w:tcW w:w="709" w:type="dxa"/>
            <w:tcBorders>
              <w:top w:val="nil"/>
              <w:left w:val="nil"/>
              <w:bottom w:val="nil"/>
              <w:right w:val="nil"/>
            </w:tcBorders>
            <w:shd w:val="clear" w:color="auto" w:fill="auto"/>
            <w:noWrap/>
            <w:vAlign w:val="bottom"/>
            <w:hideMark/>
          </w:tcPr>
          <w:p w14:paraId="60DD3198" w14:textId="77777777" w:rsidR="004D7F21" w:rsidRPr="007B295A" w:rsidRDefault="004D7F21" w:rsidP="0000059F">
            <w:pPr>
              <w:pStyle w:val="CGCTablenote"/>
              <w:keepNext/>
              <w:ind w:left="-8" w:firstLine="8"/>
              <w:rPr>
                <w:rFonts w:ascii="Work Sans" w:eastAsia="Times New Roman" w:hAnsi="Work Sans" w:cs="Open Sans Light"/>
                <w:color w:val="585858"/>
                <w:szCs w:val="14"/>
                <w:lang w:eastAsia="en-AU"/>
              </w:rPr>
            </w:pPr>
          </w:p>
        </w:tc>
        <w:tc>
          <w:tcPr>
            <w:tcW w:w="442" w:type="dxa"/>
            <w:tcBorders>
              <w:top w:val="nil"/>
              <w:left w:val="nil"/>
              <w:bottom w:val="nil"/>
              <w:right w:val="nil"/>
            </w:tcBorders>
            <w:shd w:val="clear" w:color="000000" w:fill="FFFFFF"/>
            <w:vAlign w:val="center"/>
            <w:hideMark/>
          </w:tcPr>
          <w:p w14:paraId="20C47E3F" w14:textId="77777777" w:rsidR="004D7F21" w:rsidRPr="007B295A" w:rsidRDefault="004D7F21" w:rsidP="0000059F">
            <w:pPr>
              <w:pStyle w:val="CGCTablenote"/>
              <w:keepNext/>
              <w:ind w:left="-8" w:firstLine="8"/>
              <w:rPr>
                <w:rFonts w:ascii="Work Sans" w:hAnsi="Work Sans" w:cs="Open Sans Light"/>
                <w:szCs w:val="14"/>
                <w:lang w:eastAsia="en-AU"/>
              </w:rPr>
            </w:pPr>
            <w:r w:rsidRPr="007B295A">
              <w:rPr>
                <w:rFonts w:ascii="Work Sans" w:hAnsi="Work Sans" w:cs="Open Sans Light"/>
                <w:szCs w:val="14"/>
                <w:lang w:eastAsia="en-AU"/>
              </w:rPr>
              <w:t>BB</w:t>
            </w:r>
          </w:p>
        </w:tc>
        <w:tc>
          <w:tcPr>
            <w:tcW w:w="267" w:type="dxa"/>
            <w:tcBorders>
              <w:top w:val="nil"/>
              <w:left w:val="nil"/>
              <w:bottom w:val="nil"/>
              <w:right w:val="nil"/>
            </w:tcBorders>
            <w:shd w:val="clear" w:color="000000" w:fill="FFFFFF"/>
            <w:vAlign w:val="center"/>
            <w:hideMark/>
          </w:tcPr>
          <w:p w14:paraId="2D2BEB30" w14:textId="77777777" w:rsidR="004D7F21" w:rsidRPr="007B295A" w:rsidRDefault="004D7F21" w:rsidP="0000059F">
            <w:pPr>
              <w:pStyle w:val="CGCTablenote"/>
              <w:keepNext/>
              <w:ind w:left="-8" w:firstLine="8"/>
              <w:rPr>
                <w:rFonts w:ascii="Work Sans" w:hAnsi="Work Sans" w:cs="Open Sans Light"/>
                <w:szCs w:val="14"/>
                <w:lang w:eastAsia="en-AU"/>
              </w:rPr>
            </w:pPr>
            <w:r w:rsidRPr="007B295A">
              <w:rPr>
                <w:rFonts w:ascii="Work Sans" w:hAnsi="Work Sans" w:cs="Open Sans Light"/>
                <w:szCs w:val="14"/>
                <w:lang w:eastAsia="en-AU"/>
              </w:rPr>
              <w:t>-</w:t>
            </w:r>
          </w:p>
        </w:tc>
        <w:tc>
          <w:tcPr>
            <w:tcW w:w="1559" w:type="dxa"/>
            <w:tcBorders>
              <w:top w:val="nil"/>
              <w:left w:val="nil"/>
              <w:bottom w:val="nil"/>
              <w:right w:val="nil"/>
            </w:tcBorders>
            <w:shd w:val="clear" w:color="000000" w:fill="FFFFFF"/>
            <w:vAlign w:val="center"/>
            <w:hideMark/>
          </w:tcPr>
          <w:p w14:paraId="08EA620A" w14:textId="77777777" w:rsidR="004D7F21" w:rsidRPr="007B295A" w:rsidRDefault="004D7F21" w:rsidP="0000059F">
            <w:pPr>
              <w:pStyle w:val="CGCTablenote"/>
              <w:keepNext/>
              <w:ind w:left="-8" w:firstLine="8"/>
              <w:rPr>
                <w:rFonts w:ascii="Work Sans" w:hAnsi="Work Sans" w:cs="Open Sans Light"/>
                <w:szCs w:val="14"/>
                <w:lang w:eastAsia="en-AU"/>
              </w:rPr>
            </w:pPr>
            <w:r w:rsidRPr="007B295A">
              <w:rPr>
                <w:rFonts w:ascii="Work Sans" w:hAnsi="Work Sans" w:cs="Open Sans Light"/>
                <w:szCs w:val="14"/>
                <w:lang w:eastAsia="en-AU"/>
              </w:rPr>
              <w:t>Brandenburg</w:t>
            </w:r>
          </w:p>
        </w:tc>
        <w:tc>
          <w:tcPr>
            <w:tcW w:w="454" w:type="dxa"/>
            <w:tcBorders>
              <w:top w:val="nil"/>
              <w:left w:val="nil"/>
              <w:bottom w:val="nil"/>
              <w:right w:val="nil"/>
            </w:tcBorders>
            <w:shd w:val="clear" w:color="000000" w:fill="FFFFFF"/>
            <w:vAlign w:val="center"/>
            <w:hideMark/>
          </w:tcPr>
          <w:p w14:paraId="22BFC5B1" w14:textId="77777777" w:rsidR="004D7F21" w:rsidRPr="007B295A" w:rsidRDefault="004D7F21" w:rsidP="0000059F">
            <w:pPr>
              <w:pStyle w:val="CGCTablenote"/>
              <w:keepNext/>
              <w:ind w:left="-8" w:firstLine="8"/>
              <w:rPr>
                <w:rFonts w:ascii="Work Sans" w:hAnsi="Work Sans" w:cs="Open Sans Light"/>
                <w:szCs w:val="14"/>
                <w:lang w:eastAsia="en-AU"/>
              </w:rPr>
            </w:pPr>
            <w:r w:rsidRPr="007B295A">
              <w:rPr>
                <w:rFonts w:ascii="Work Sans" w:hAnsi="Work Sans" w:cs="Open Sans Light"/>
                <w:szCs w:val="14"/>
                <w:lang w:eastAsia="en-AU"/>
              </w:rPr>
              <w:t>NW</w:t>
            </w:r>
          </w:p>
        </w:tc>
        <w:tc>
          <w:tcPr>
            <w:tcW w:w="288" w:type="dxa"/>
            <w:tcBorders>
              <w:top w:val="nil"/>
              <w:left w:val="nil"/>
              <w:bottom w:val="nil"/>
              <w:right w:val="nil"/>
            </w:tcBorders>
            <w:shd w:val="clear" w:color="000000" w:fill="FFFFFF"/>
            <w:vAlign w:val="center"/>
            <w:hideMark/>
          </w:tcPr>
          <w:p w14:paraId="320FE9A6" w14:textId="77777777" w:rsidR="004D7F21" w:rsidRPr="007B295A" w:rsidRDefault="004D7F21" w:rsidP="0000059F">
            <w:pPr>
              <w:pStyle w:val="CGCTablenote"/>
              <w:keepNext/>
              <w:ind w:left="-8" w:firstLine="8"/>
              <w:rPr>
                <w:rFonts w:ascii="Work Sans" w:hAnsi="Work Sans" w:cs="Open Sans Light"/>
                <w:szCs w:val="14"/>
                <w:lang w:eastAsia="en-AU"/>
              </w:rPr>
            </w:pPr>
            <w:r w:rsidRPr="007B295A">
              <w:rPr>
                <w:rFonts w:ascii="Work Sans" w:hAnsi="Work Sans" w:cs="Open Sans Light"/>
                <w:szCs w:val="14"/>
                <w:lang w:eastAsia="en-AU"/>
              </w:rPr>
              <w:t>-</w:t>
            </w:r>
          </w:p>
        </w:tc>
        <w:tc>
          <w:tcPr>
            <w:tcW w:w="2126" w:type="dxa"/>
            <w:tcBorders>
              <w:top w:val="nil"/>
              <w:left w:val="nil"/>
              <w:bottom w:val="nil"/>
              <w:right w:val="nil"/>
            </w:tcBorders>
            <w:shd w:val="clear" w:color="000000" w:fill="FFFFFF"/>
            <w:vAlign w:val="center"/>
            <w:hideMark/>
          </w:tcPr>
          <w:p w14:paraId="278350AF" w14:textId="77777777" w:rsidR="004D7F21" w:rsidRPr="007B295A" w:rsidRDefault="004D7F21" w:rsidP="0000059F">
            <w:pPr>
              <w:pStyle w:val="CGCTablenote"/>
              <w:keepNext/>
              <w:ind w:left="-8" w:firstLine="8"/>
              <w:rPr>
                <w:rFonts w:ascii="Work Sans" w:hAnsi="Work Sans" w:cs="Open Sans Light"/>
                <w:szCs w:val="14"/>
                <w:lang w:eastAsia="en-AU"/>
              </w:rPr>
            </w:pPr>
            <w:r w:rsidRPr="007B295A">
              <w:rPr>
                <w:rFonts w:ascii="Work Sans" w:hAnsi="Work Sans" w:cs="Open Sans Light"/>
                <w:szCs w:val="14"/>
                <w:lang w:eastAsia="en-AU"/>
              </w:rPr>
              <w:t>North Rhine-Westphalia</w:t>
            </w:r>
          </w:p>
        </w:tc>
        <w:tc>
          <w:tcPr>
            <w:tcW w:w="425" w:type="dxa"/>
            <w:tcBorders>
              <w:top w:val="nil"/>
              <w:left w:val="nil"/>
              <w:bottom w:val="nil"/>
              <w:right w:val="nil"/>
            </w:tcBorders>
            <w:shd w:val="clear" w:color="000000" w:fill="FFFFFF"/>
            <w:vAlign w:val="center"/>
            <w:hideMark/>
          </w:tcPr>
          <w:p w14:paraId="73BB1912" w14:textId="77777777" w:rsidR="004D7F21" w:rsidRPr="007B295A" w:rsidRDefault="004D7F21" w:rsidP="0000059F">
            <w:pPr>
              <w:pStyle w:val="CGCTablenote"/>
              <w:keepNext/>
              <w:ind w:left="-8" w:firstLine="8"/>
              <w:rPr>
                <w:rFonts w:ascii="Work Sans" w:hAnsi="Work Sans" w:cs="Open Sans Light"/>
                <w:szCs w:val="14"/>
                <w:lang w:eastAsia="en-AU"/>
              </w:rPr>
            </w:pPr>
            <w:r w:rsidRPr="007B295A">
              <w:rPr>
                <w:rFonts w:ascii="Work Sans" w:hAnsi="Work Sans" w:cs="Open Sans Light"/>
                <w:szCs w:val="14"/>
                <w:lang w:eastAsia="en-AU"/>
              </w:rPr>
              <w:t>SH</w:t>
            </w:r>
          </w:p>
        </w:tc>
        <w:tc>
          <w:tcPr>
            <w:tcW w:w="288" w:type="dxa"/>
            <w:tcBorders>
              <w:top w:val="nil"/>
              <w:left w:val="nil"/>
              <w:bottom w:val="nil"/>
              <w:right w:val="nil"/>
            </w:tcBorders>
            <w:shd w:val="clear" w:color="000000" w:fill="FFFFFF"/>
            <w:vAlign w:val="center"/>
            <w:hideMark/>
          </w:tcPr>
          <w:p w14:paraId="6BBDBD06" w14:textId="77777777" w:rsidR="004D7F21" w:rsidRPr="007B295A" w:rsidRDefault="004D7F21" w:rsidP="0000059F">
            <w:pPr>
              <w:pStyle w:val="CGCTablenote"/>
              <w:keepNext/>
              <w:ind w:left="-8" w:firstLine="8"/>
              <w:rPr>
                <w:rFonts w:ascii="Work Sans" w:hAnsi="Work Sans" w:cs="Open Sans Light"/>
                <w:szCs w:val="14"/>
                <w:lang w:eastAsia="en-AU"/>
              </w:rPr>
            </w:pPr>
            <w:r w:rsidRPr="007B295A">
              <w:rPr>
                <w:rFonts w:ascii="Work Sans" w:hAnsi="Work Sans" w:cs="Open Sans Light"/>
                <w:szCs w:val="14"/>
                <w:lang w:eastAsia="en-AU"/>
              </w:rPr>
              <w:t>-</w:t>
            </w:r>
          </w:p>
        </w:tc>
        <w:tc>
          <w:tcPr>
            <w:tcW w:w="2280" w:type="dxa"/>
            <w:tcBorders>
              <w:top w:val="nil"/>
              <w:left w:val="nil"/>
              <w:bottom w:val="nil"/>
              <w:right w:val="nil"/>
            </w:tcBorders>
            <w:shd w:val="clear" w:color="000000" w:fill="FFFFFF"/>
            <w:vAlign w:val="center"/>
            <w:hideMark/>
          </w:tcPr>
          <w:p w14:paraId="69098830" w14:textId="77777777" w:rsidR="004D7F21" w:rsidRPr="007B295A" w:rsidRDefault="004D7F21" w:rsidP="0000059F">
            <w:pPr>
              <w:pStyle w:val="CGCTablenote"/>
              <w:keepNext/>
              <w:ind w:left="-8" w:firstLine="8"/>
              <w:rPr>
                <w:rFonts w:ascii="Work Sans" w:hAnsi="Work Sans" w:cs="Open Sans Light"/>
                <w:szCs w:val="14"/>
                <w:lang w:eastAsia="en-AU"/>
              </w:rPr>
            </w:pPr>
            <w:r w:rsidRPr="007B295A">
              <w:rPr>
                <w:rFonts w:ascii="Work Sans" w:hAnsi="Work Sans" w:cs="Open Sans Light"/>
                <w:szCs w:val="14"/>
                <w:lang w:eastAsia="en-AU"/>
              </w:rPr>
              <w:t>Schleswig-Holstein</w:t>
            </w:r>
          </w:p>
        </w:tc>
      </w:tr>
      <w:tr w:rsidR="004D7F21" w:rsidRPr="00E57AE8" w14:paraId="7635E89C" w14:textId="77777777" w:rsidTr="00F678E3">
        <w:trPr>
          <w:trHeight w:val="200"/>
        </w:trPr>
        <w:tc>
          <w:tcPr>
            <w:tcW w:w="709" w:type="dxa"/>
            <w:tcBorders>
              <w:top w:val="nil"/>
              <w:left w:val="nil"/>
              <w:bottom w:val="nil"/>
              <w:right w:val="nil"/>
            </w:tcBorders>
            <w:shd w:val="clear" w:color="auto" w:fill="auto"/>
            <w:noWrap/>
            <w:vAlign w:val="bottom"/>
            <w:hideMark/>
          </w:tcPr>
          <w:p w14:paraId="66EAA52F" w14:textId="77777777" w:rsidR="004D7F21" w:rsidRPr="007B295A" w:rsidRDefault="004D7F21" w:rsidP="0000059F">
            <w:pPr>
              <w:pStyle w:val="CGCTablenote"/>
              <w:keepNext/>
              <w:ind w:left="-8" w:firstLine="8"/>
              <w:rPr>
                <w:rFonts w:ascii="Work Sans" w:eastAsia="Times New Roman" w:hAnsi="Work Sans" w:cs="Open Sans Light"/>
                <w:color w:val="585858"/>
                <w:szCs w:val="14"/>
                <w:lang w:eastAsia="en-AU"/>
              </w:rPr>
            </w:pPr>
          </w:p>
        </w:tc>
        <w:tc>
          <w:tcPr>
            <w:tcW w:w="442" w:type="dxa"/>
            <w:tcBorders>
              <w:top w:val="nil"/>
              <w:left w:val="nil"/>
              <w:bottom w:val="nil"/>
              <w:right w:val="nil"/>
            </w:tcBorders>
            <w:shd w:val="clear" w:color="000000" w:fill="FFFFFF"/>
            <w:vAlign w:val="center"/>
            <w:hideMark/>
          </w:tcPr>
          <w:p w14:paraId="52CFEEF0" w14:textId="77777777" w:rsidR="004D7F21" w:rsidRPr="007B295A" w:rsidRDefault="004D7F21" w:rsidP="0000059F">
            <w:pPr>
              <w:pStyle w:val="CGCTablenote"/>
              <w:keepNext/>
              <w:ind w:left="-8" w:firstLine="8"/>
              <w:rPr>
                <w:rFonts w:ascii="Work Sans" w:hAnsi="Work Sans" w:cs="Open Sans Light"/>
                <w:szCs w:val="14"/>
                <w:lang w:eastAsia="en-AU"/>
              </w:rPr>
            </w:pPr>
            <w:r w:rsidRPr="007B295A">
              <w:rPr>
                <w:rFonts w:ascii="Work Sans" w:hAnsi="Work Sans" w:cs="Open Sans Light"/>
                <w:szCs w:val="14"/>
                <w:lang w:eastAsia="en-AU"/>
              </w:rPr>
              <w:t>HB</w:t>
            </w:r>
          </w:p>
        </w:tc>
        <w:tc>
          <w:tcPr>
            <w:tcW w:w="267" w:type="dxa"/>
            <w:tcBorders>
              <w:top w:val="nil"/>
              <w:left w:val="nil"/>
              <w:bottom w:val="nil"/>
              <w:right w:val="nil"/>
            </w:tcBorders>
            <w:shd w:val="clear" w:color="000000" w:fill="FFFFFF"/>
            <w:vAlign w:val="center"/>
            <w:hideMark/>
          </w:tcPr>
          <w:p w14:paraId="0E0E587D" w14:textId="77777777" w:rsidR="004D7F21" w:rsidRPr="007B295A" w:rsidRDefault="004D7F21" w:rsidP="0000059F">
            <w:pPr>
              <w:pStyle w:val="CGCTablenote"/>
              <w:keepNext/>
              <w:ind w:left="-8" w:firstLine="8"/>
              <w:rPr>
                <w:rFonts w:ascii="Work Sans" w:hAnsi="Work Sans" w:cs="Open Sans Light"/>
                <w:szCs w:val="14"/>
                <w:lang w:eastAsia="en-AU"/>
              </w:rPr>
            </w:pPr>
            <w:r w:rsidRPr="007B295A">
              <w:rPr>
                <w:rFonts w:ascii="Work Sans" w:hAnsi="Work Sans" w:cs="Open Sans Light"/>
                <w:szCs w:val="14"/>
                <w:lang w:eastAsia="en-AU"/>
              </w:rPr>
              <w:t>-</w:t>
            </w:r>
          </w:p>
        </w:tc>
        <w:tc>
          <w:tcPr>
            <w:tcW w:w="1559" w:type="dxa"/>
            <w:tcBorders>
              <w:top w:val="nil"/>
              <w:left w:val="nil"/>
              <w:bottom w:val="nil"/>
              <w:right w:val="nil"/>
            </w:tcBorders>
            <w:shd w:val="clear" w:color="000000" w:fill="FFFFFF"/>
            <w:vAlign w:val="center"/>
            <w:hideMark/>
          </w:tcPr>
          <w:p w14:paraId="57656B15" w14:textId="77777777" w:rsidR="004D7F21" w:rsidRPr="007B295A" w:rsidRDefault="004D7F21" w:rsidP="0000059F">
            <w:pPr>
              <w:pStyle w:val="CGCTablenote"/>
              <w:keepNext/>
              <w:ind w:left="-8" w:firstLine="8"/>
              <w:rPr>
                <w:rFonts w:ascii="Work Sans" w:hAnsi="Work Sans" w:cs="Open Sans Light"/>
                <w:szCs w:val="14"/>
                <w:lang w:eastAsia="en-AU"/>
              </w:rPr>
            </w:pPr>
            <w:r w:rsidRPr="007B295A">
              <w:rPr>
                <w:rFonts w:ascii="Work Sans" w:hAnsi="Work Sans" w:cs="Open Sans Light"/>
                <w:szCs w:val="14"/>
                <w:lang w:eastAsia="en-AU"/>
              </w:rPr>
              <w:t>Bremen</w:t>
            </w:r>
          </w:p>
        </w:tc>
        <w:tc>
          <w:tcPr>
            <w:tcW w:w="454" w:type="dxa"/>
            <w:tcBorders>
              <w:top w:val="nil"/>
              <w:left w:val="nil"/>
              <w:bottom w:val="nil"/>
              <w:right w:val="nil"/>
            </w:tcBorders>
            <w:shd w:val="clear" w:color="000000" w:fill="FFFFFF"/>
            <w:vAlign w:val="center"/>
            <w:hideMark/>
          </w:tcPr>
          <w:p w14:paraId="68C9DCE4" w14:textId="77777777" w:rsidR="004D7F21" w:rsidRPr="007B295A" w:rsidRDefault="004D7F21" w:rsidP="0000059F">
            <w:pPr>
              <w:pStyle w:val="CGCTablenote"/>
              <w:keepNext/>
              <w:ind w:left="-8" w:firstLine="8"/>
              <w:rPr>
                <w:rFonts w:ascii="Work Sans" w:hAnsi="Work Sans" w:cs="Open Sans Light"/>
                <w:szCs w:val="14"/>
                <w:lang w:eastAsia="en-AU"/>
              </w:rPr>
            </w:pPr>
            <w:r w:rsidRPr="007B295A">
              <w:rPr>
                <w:rFonts w:ascii="Work Sans" w:hAnsi="Work Sans" w:cs="Open Sans Light"/>
                <w:szCs w:val="14"/>
                <w:lang w:eastAsia="en-AU"/>
              </w:rPr>
              <w:t>RP</w:t>
            </w:r>
          </w:p>
        </w:tc>
        <w:tc>
          <w:tcPr>
            <w:tcW w:w="288" w:type="dxa"/>
            <w:tcBorders>
              <w:top w:val="nil"/>
              <w:left w:val="nil"/>
              <w:bottom w:val="nil"/>
              <w:right w:val="nil"/>
            </w:tcBorders>
            <w:shd w:val="clear" w:color="000000" w:fill="FFFFFF"/>
            <w:vAlign w:val="center"/>
            <w:hideMark/>
          </w:tcPr>
          <w:p w14:paraId="232C15FC" w14:textId="77777777" w:rsidR="004D7F21" w:rsidRPr="007B295A" w:rsidRDefault="004D7F21" w:rsidP="0000059F">
            <w:pPr>
              <w:pStyle w:val="CGCTablenote"/>
              <w:keepNext/>
              <w:ind w:left="-8" w:firstLine="8"/>
              <w:rPr>
                <w:rFonts w:ascii="Work Sans" w:hAnsi="Work Sans" w:cs="Open Sans Light"/>
                <w:szCs w:val="14"/>
                <w:lang w:eastAsia="en-AU"/>
              </w:rPr>
            </w:pPr>
            <w:r w:rsidRPr="007B295A">
              <w:rPr>
                <w:rFonts w:ascii="Work Sans" w:hAnsi="Work Sans" w:cs="Open Sans Light"/>
                <w:szCs w:val="14"/>
                <w:lang w:eastAsia="en-AU"/>
              </w:rPr>
              <w:t>-</w:t>
            </w:r>
          </w:p>
        </w:tc>
        <w:tc>
          <w:tcPr>
            <w:tcW w:w="2126" w:type="dxa"/>
            <w:tcBorders>
              <w:top w:val="nil"/>
              <w:left w:val="nil"/>
              <w:bottom w:val="nil"/>
              <w:right w:val="nil"/>
            </w:tcBorders>
            <w:shd w:val="clear" w:color="000000" w:fill="FFFFFF"/>
            <w:vAlign w:val="center"/>
            <w:hideMark/>
          </w:tcPr>
          <w:p w14:paraId="6D542163" w14:textId="77777777" w:rsidR="004D7F21" w:rsidRPr="007B295A" w:rsidRDefault="004D7F21" w:rsidP="0000059F">
            <w:pPr>
              <w:pStyle w:val="CGCTablenote"/>
              <w:keepNext/>
              <w:ind w:left="-8" w:firstLine="8"/>
              <w:rPr>
                <w:rFonts w:ascii="Work Sans" w:hAnsi="Work Sans" w:cs="Open Sans Light"/>
                <w:szCs w:val="14"/>
                <w:lang w:eastAsia="en-AU"/>
              </w:rPr>
            </w:pPr>
            <w:r w:rsidRPr="007B295A">
              <w:rPr>
                <w:rFonts w:ascii="Work Sans" w:hAnsi="Work Sans" w:cs="Open Sans Light"/>
                <w:szCs w:val="14"/>
                <w:lang w:eastAsia="en-AU"/>
              </w:rPr>
              <w:t>Rhineland-Palatinate</w:t>
            </w:r>
          </w:p>
        </w:tc>
        <w:tc>
          <w:tcPr>
            <w:tcW w:w="425" w:type="dxa"/>
            <w:tcBorders>
              <w:top w:val="nil"/>
              <w:left w:val="nil"/>
              <w:bottom w:val="nil"/>
              <w:right w:val="nil"/>
            </w:tcBorders>
            <w:shd w:val="clear" w:color="000000" w:fill="FFFFFF"/>
            <w:vAlign w:val="center"/>
            <w:hideMark/>
          </w:tcPr>
          <w:p w14:paraId="4F91BFAF" w14:textId="77777777" w:rsidR="004D7F21" w:rsidRPr="007B295A" w:rsidRDefault="004D7F21" w:rsidP="0000059F">
            <w:pPr>
              <w:pStyle w:val="CGCTablenote"/>
              <w:keepNext/>
              <w:ind w:left="-8" w:firstLine="8"/>
              <w:rPr>
                <w:rFonts w:ascii="Work Sans" w:hAnsi="Work Sans" w:cs="Open Sans Light"/>
                <w:szCs w:val="14"/>
                <w:lang w:eastAsia="en-AU"/>
              </w:rPr>
            </w:pPr>
            <w:r w:rsidRPr="007B295A">
              <w:rPr>
                <w:rFonts w:ascii="Work Sans" w:hAnsi="Work Sans" w:cs="Open Sans Light"/>
                <w:szCs w:val="14"/>
                <w:lang w:eastAsia="en-AU"/>
              </w:rPr>
              <w:t>TH</w:t>
            </w:r>
          </w:p>
        </w:tc>
        <w:tc>
          <w:tcPr>
            <w:tcW w:w="288" w:type="dxa"/>
            <w:tcBorders>
              <w:top w:val="nil"/>
              <w:left w:val="nil"/>
              <w:bottom w:val="nil"/>
              <w:right w:val="nil"/>
            </w:tcBorders>
            <w:shd w:val="clear" w:color="000000" w:fill="FFFFFF"/>
            <w:vAlign w:val="center"/>
            <w:hideMark/>
          </w:tcPr>
          <w:p w14:paraId="25738BFF" w14:textId="77777777" w:rsidR="004D7F21" w:rsidRPr="007B295A" w:rsidRDefault="004D7F21" w:rsidP="0000059F">
            <w:pPr>
              <w:pStyle w:val="CGCTablenote"/>
              <w:keepNext/>
              <w:ind w:left="-8" w:firstLine="8"/>
              <w:rPr>
                <w:rFonts w:ascii="Work Sans" w:hAnsi="Work Sans" w:cs="Open Sans Light"/>
                <w:szCs w:val="14"/>
                <w:lang w:eastAsia="en-AU"/>
              </w:rPr>
            </w:pPr>
            <w:r w:rsidRPr="007B295A">
              <w:rPr>
                <w:rFonts w:ascii="Work Sans" w:hAnsi="Work Sans" w:cs="Open Sans Light"/>
                <w:szCs w:val="14"/>
                <w:lang w:eastAsia="en-AU"/>
              </w:rPr>
              <w:t>-</w:t>
            </w:r>
          </w:p>
        </w:tc>
        <w:tc>
          <w:tcPr>
            <w:tcW w:w="2280" w:type="dxa"/>
            <w:tcBorders>
              <w:top w:val="nil"/>
              <w:left w:val="nil"/>
              <w:bottom w:val="nil"/>
              <w:right w:val="nil"/>
            </w:tcBorders>
            <w:shd w:val="clear" w:color="000000" w:fill="FFFFFF"/>
            <w:vAlign w:val="center"/>
            <w:hideMark/>
          </w:tcPr>
          <w:p w14:paraId="5CCE6CEF" w14:textId="77777777" w:rsidR="004D7F21" w:rsidRPr="007B295A" w:rsidRDefault="004D7F21" w:rsidP="0000059F">
            <w:pPr>
              <w:pStyle w:val="CGCTablenote"/>
              <w:keepNext/>
              <w:ind w:left="-8" w:firstLine="8"/>
              <w:rPr>
                <w:rFonts w:ascii="Work Sans" w:hAnsi="Work Sans" w:cs="Open Sans Light"/>
                <w:szCs w:val="14"/>
                <w:lang w:eastAsia="en-AU"/>
              </w:rPr>
            </w:pPr>
            <w:r w:rsidRPr="007B295A">
              <w:rPr>
                <w:rFonts w:ascii="Work Sans" w:hAnsi="Work Sans" w:cs="Open Sans Light"/>
                <w:szCs w:val="14"/>
                <w:lang w:eastAsia="en-AU"/>
              </w:rPr>
              <w:t>Thuringia</w:t>
            </w:r>
          </w:p>
        </w:tc>
      </w:tr>
      <w:tr w:rsidR="004D7F21" w:rsidRPr="00E57AE8" w14:paraId="43ADF5A2" w14:textId="77777777" w:rsidTr="00F678E3">
        <w:trPr>
          <w:trHeight w:val="200"/>
        </w:trPr>
        <w:tc>
          <w:tcPr>
            <w:tcW w:w="709" w:type="dxa"/>
            <w:tcBorders>
              <w:top w:val="nil"/>
              <w:left w:val="nil"/>
              <w:bottom w:val="nil"/>
              <w:right w:val="nil"/>
            </w:tcBorders>
            <w:shd w:val="clear" w:color="auto" w:fill="auto"/>
            <w:noWrap/>
            <w:vAlign w:val="bottom"/>
            <w:hideMark/>
          </w:tcPr>
          <w:p w14:paraId="0D299612" w14:textId="77777777" w:rsidR="004D7F21" w:rsidRPr="007B295A" w:rsidRDefault="004D7F21" w:rsidP="0000059F">
            <w:pPr>
              <w:pStyle w:val="CGCTablenote"/>
              <w:keepNext/>
              <w:ind w:left="-8" w:firstLine="8"/>
              <w:rPr>
                <w:rFonts w:ascii="Work Sans" w:eastAsia="Times New Roman" w:hAnsi="Work Sans" w:cs="Open Sans Light"/>
                <w:color w:val="585858"/>
                <w:szCs w:val="14"/>
                <w:lang w:eastAsia="en-AU"/>
              </w:rPr>
            </w:pPr>
          </w:p>
        </w:tc>
        <w:tc>
          <w:tcPr>
            <w:tcW w:w="442" w:type="dxa"/>
            <w:tcBorders>
              <w:top w:val="nil"/>
              <w:left w:val="nil"/>
              <w:bottom w:val="nil"/>
              <w:right w:val="nil"/>
            </w:tcBorders>
            <w:shd w:val="clear" w:color="000000" w:fill="FFFFFF"/>
            <w:vAlign w:val="center"/>
            <w:hideMark/>
          </w:tcPr>
          <w:p w14:paraId="0F6EEB83" w14:textId="77777777" w:rsidR="004D7F21" w:rsidRPr="007B295A" w:rsidRDefault="004D7F21" w:rsidP="0000059F">
            <w:pPr>
              <w:pStyle w:val="CGCTablenote"/>
              <w:keepNext/>
              <w:ind w:left="-8" w:firstLine="8"/>
              <w:rPr>
                <w:rFonts w:ascii="Work Sans" w:hAnsi="Work Sans" w:cs="Open Sans Light"/>
                <w:szCs w:val="14"/>
                <w:lang w:eastAsia="en-AU"/>
              </w:rPr>
            </w:pPr>
            <w:r w:rsidRPr="007B295A">
              <w:rPr>
                <w:rFonts w:ascii="Work Sans" w:hAnsi="Work Sans" w:cs="Open Sans Light"/>
                <w:szCs w:val="14"/>
                <w:lang w:eastAsia="en-AU"/>
              </w:rPr>
              <w:t>HH</w:t>
            </w:r>
          </w:p>
        </w:tc>
        <w:tc>
          <w:tcPr>
            <w:tcW w:w="267" w:type="dxa"/>
            <w:tcBorders>
              <w:top w:val="nil"/>
              <w:left w:val="nil"/>
              <w:bottom w:val="nil"/>
              <w:right w:val="nil"/>
            </w:tcBorders>
            <w:shd w:val="clear" w:color="000000" w:fill="FFFFFF"/>
            <w:vAlign w:val="center"/>
            <w:hideMark/>
          </w:tcPr>
          <w:p w14:paraId="2D4DB232" w14:textId="77777777" w:rsidR="004D7F21" w:rsidRPr="007B295A" w:rsidRDefault="004D7F21" w:rsidP="0000059F">
            <w:pPr>
              <w:pStyle w:val="CGCTablenote"/>
              <w:keepNext/>
              <w:ind w:left="-8" w:firstLine="8"/>
              <w:rPr>
                <w:rFonts w:ascii="Work Sans" w:hAnsi="Work Sans" w:cs="Open Sans Light"/>
                <w:szCs w:val="14"/>
                <w:lang w:eastAsia="en-AU"/>
              </w:rPr>
            </w:pPr>
            <w:r w:rsidRPr="007B295A">
              <w:rPr>
                <w:rFonts w:ascii="Work Sans" w:hAnsi="Work Sans" w:cs="Open Sans Light"/>
                <w:szCs w:val="14"/>
                <w:lang w:eastAsia="en-AU"/>
              </w:rPr>
              <w:t>-</w:t>
            </w:r>
          </w:p>
        </w:tc>
        <w:tc>
          <w:tcPr>
            <w:tcW w:w="1559" w:type="dxa"/>
            <w:tcBorders>
              <w:top w:val="nil"/>
              <w:left w:val="nil"/>
              <w:bottom w:val="nil"/>
              <w:right w:val="nil"/>
            </w:tcBorders>
            <w:shd w:val="clear" w:color="000000" w:fill="FFFFFF"/>
            <w:vAlign w:val="center"/>
            <w:hideMark/>
          </w:tcPr>
          <w:p w14:paraId="18B9E515" w14:textId="77777777" w:rsidR="004D7F21" w:rsidRPr="007B295A" w:rsidRDefault="004D7F21" w:rsidP="0000059F">
            <w:pPr>
              <w:pStyle w:val="CGCTablenote"/>
              <w:keepNext/>
              <w:ind w:left="-8" w:firstLine="8"/>
              <w:rPr>
                <w:rFonts w:ascii="Work Sans" w:hAnsi="Work Sans" w:cs="Open Sans Light"/>
                <w:szCs w:val="14"/>
                <w:lang w:eastAsia="en-AU"/>
              </w:rPr>
            </w:pPr>
            <w:r w:rsidRPr="007B295A">
              <w:rPr>
                <w:rFonts w:ascii="Work Sans" w:hAnsi="Work Sans" w:cs="Open Sans Light"/>
                <w:szCs w:val="14"/>
                <w:lang w:eastAsia="en-AU"/>
              </w:rPr>
              <w:t>Hamburg</w:t>
            </w:r>
          </w:p>
        </w:tc>
        <w:tc>
          <w:tcPr>
            <w:tcW w:w="454" w:type="dxa"/>
            <w:tcBorders>
              <w:top w:val="nil"/>
              <w:left w:val="nil"/>
              <w:bottom w:val="nil"/>
              <w:right w:val="nil"/>
            </w:tcBorders>
            <w:shd w:val="clear" w:color="auto" w:fill="auto"/>
            <w:noWrap/>
            <w:vAlign w:val="center"/>
            <w:hideMark/>
          </w:tcPr>
          <w:p w14:paraId="2E9623F5" w14:textId="77777777" w:rsidR="004D7F21" w:rsidRPr="007B295A" w:rsidRDefault="004D7F21" w:rsidP="0000059F">
            <w:pPr>
              <w:pStyle w:val="CGCTablenote"/>
              <w:keepNext/>
              <w:ind w:left="-8" w:firstLine="8"/>
              <w:rPr>
                <w:rFonts w:ascii="Work Sans" w:eastAsia="Times New Roman" w:hAnsi="Work Sans" w:cs="Open Sans Light"/>
                <w:color w:val="585858"/>
                <w:szCs w:val="14"/>
                <w:lang w:eastAsia="en-AU"/>
              </w:rPr>
            </w:pPr>
          </w:p>
        </w:tc>
        <w:tc>
          <w:tcPr>
            <w:tcW w:w="288" w:type="dxa"/>
            <w:tcBorders>
              <w:top w:val="nil"/>
              <w:left w:val="nil"/>
              <w:bottom w:val="nil"/>
              <w:right w:val="nil"/>
            </w:tcBorders>
            <w:shd w:val="clear" w:color="000000" w:fill="FFFFFF"/>
            <w:vAlign w:val="center"/>
            <w:hideMark/>
          </w:tcPr>
          <w:p w14:paraId="50EE32DD" w14:textId="77777777" w:rsidR="004D7F21" w:rsidRPr="007B295A" w:rsidRDefault="004D7F21" w:rsidP="0000059F">
            <w:pPr>
              <w:pStyle w:val="CGCTablenote"/>
              <w:keepNext/>
              <w:ind w:left="-8" w:firstLine="8"/>
              <w:rPr>
                <w:rFonts w:ascii="Work Sans" w:hAnsi="Work Sans" w:cs="Open Sans Light"/>
                <w:szCs w:val="14"/>
                <w:lang w:eastAsia="en-AU"/>
              </w:rPr>
            </w:pPr>
            <w:r w:rsidRPr="007B295A">
              <w:rPr>
                <w:rFonts w:ascii="Work Sans" w:hAnsi="Work Sans" w:cs="Open Sans Light"/>
                <w:szCs w:val="14"/>
                <w:lang w:eastAsia="en-AU"/>
              </w:rPr>
              <w:t> </w:t>
            </w:r>
          </w:p>
        </w:tc>
        <w:tc>
          <w:tcPr>
            <w:tcW w:w="2126" w:type="dxa"/>
            <w:tcBorders>
              <w:top w:val="nil"/>
              <w:left w:val="nil"/>
              <w:bottom w:val="nil"/>
              <w:right w:val="nil"/>
            </w:tcBorders>
            <w:shd w:val="clear" w:color="auto" w:fill="auto"/>
            <w:noWrap/>
            <w:vAlign w:val="center"/>
            <w:hideMark/>
          </w:tcPr>
          <w:p w14:paraId="5D221F5A" w14:textId="77777777" w:rsidR="004D7F21" w:rsidRPr="007B295A" w:rsidRDefault="004D7F21" w:rsidP="0000059F">
            <w:pPr>
              <w:pStyle w:val="CGCTablenote"/>
              <w:keepNext/>
              <w:ind w:left="-8" w:firstLine="8"/>
              <w:rPr>
                <w:rFonts w:ascii="Work Sans" w:eastAsia="Times New Roman" w:hAnsi="Work Sans" w:cs="Open Sans Light"/>
                <w:color w:val="585858"/>
                <w:szCs w:val="14"/>
                <w:lang w:eastAsia="en-AU"/>
              </w:rPr>
            </w:pPr>
          </w:p>
        </w:tc>
        <w:tc>
          <w:tcPr>
            <w:tcW w:w="425" w:type="dxa"/>
            <w:tcBorders>
              <w:top w:val="nil"/>
              <w:left w:val="nil"/>
              <w:bottom w:val="nil"/>
              <w:right w:val="nil"/>
            </w:tcBorders>
            <w:shd w:val="clear" w:color="auto" w:fill="auto"/>
            <w:noWrap/>
            <w:vAlign w:val="center"/>
            <w:hideMark/>
          </w:tcPr>
          <w:p w14:paraId="01199C16" w14:textId="77777777" w:rsidR="004D7F21" w:rsidRPr="007B295A" w:rsidRDefault="004D7F21" w:rsidP="0000059F">
            <w:pPr>
              <w:pStyle w:val="CGCTablenote"/>
              <w:keepNext/>
              <w:ind w:left="-8" w:firstLine="8"/>
              <w:rPr>
                <w:rFonts w:ascii="Work Sans" w:eastAsia="Times New Roman" w:hAnsi="Work Sans" w:cs="Open Sans Light"/>
                <w:szCs w:val="14"/>
                <w:lang w:eastAsia="en-AU"/>
              </w:rPr>
            </w:pPr>
          </w:p>
        </w:tc>
        <w:tc>
          <w:tcPr>
            <w:tcW w:w="288" w:type="dxa"/>
            <w:tcBorders>
              <w:top w:val="nil"/>
              <w:left w:val="nil"/>
              <w:bottom w:val="nil"/>
              <w:right w:val="nil"/>
            </w:tcBorders>
            <w:shd w:val="clear" w:color="000000" w:fill="FFFFFF"/>
            <w:vAlign w:val="center"/>
            <w:hideMark/>
          </w:tcPr>
          <w:p w14:paraId="4E85AA0B" w14:textId="77777777" w:rsidR="004D7F21" w:rsidRPr="007B295A" w:rsidRDefault="004D7F21" w:rsidP="0000059F">
            <w:pPr>
              <w:pStyle w:val="CGCTablenote"/>
              <w:keepNext/>
              <w:ind w:left="-8" w:firstLine="8"/>
              <w:rPr>
                <w:rFonts w:ascii="Work Sans" w:hAnsi="Work Sans" w:cs="Open Sans Light"/>
                <w:szCs w:val="14"/>
                <w:lang w:eastAsia="en-AU"/>
              </w:rPr>
            </w:pPr>
            <w:r w:rsidRPr="007B295A">
              <w:rPr>
                <w:rFonts w:ascii="Work Sans" w:hAnsi="Work Sans" w:cs="Open Sans Light"/>
                <w:szCs w:val="14"/>
                <w:lang w:eastAsia="en-AU"/>
              </w:rPr>
              <w:t> </w:t>
            </w:r>
          </w:p>
        </w:tc>
        <w:tc>
          <w:tcPr>
            <w:tcW w:w="2280" w:type="dxa"/>
            <w:tcBorders>
              <w:top w:val="nil"/>
              <w:left w:val="nil"/>
              <w:bottom w:val="nil"/>
              <w:right w:val="nil"/>
            </w:tcBorders>
            <w:shd w:val="clear" w:color="auto" w:fill="auto"/>
            <w:noWrap/>
            <w:vAlign w:val="center"/>
            <w:hideMark/>
          </w:tcPr>
          <w:p w14:paraId="78D94EB9" w14:textId="77777777" w:rsidR="004D7F21" w:rsidRPr="007B295A" w:rsidRDefault="004D7F21" w:rsidP="0000059F">
            <w:pPr>
              <w:pStyle w:val="CGCTablenote"/>
              <w:keepNext/>
              <w:ind w:left="-8" w:firstLine="8"/>
              <w:rPr>
                <w:rFonts w:ascii="Work Sans" w:eastAsia="Times New Roman" w:hAnsi="Work Sans" w:cs="Open Sans Light"/>
                <w:color w:val="585858"/>
                <w:szCs w:val="14"/>
                <w:lang w:eastAsia="en-AU"/>
              </w:rPr>
            </w:pPr>
          </w:p>
        </w:tc>
      </w:tr>
    </w:tbl>
    <w:p w14:paraId="03B52D62" w14:textId="77777777" w:rsidR="004D7F21" w:rsidRPr="00F678E3" w:rsidRDefault="004D7F21" w:rsidP="0000059F">
      <w:pPr>
        <w:pStyle w:val="CGCTablenote"/>
        <w:keepNext/>
        <w:numPr>
          <w:ilvl w:val="0"/>
          <w:numId w:val="37"/>
        </w:numPr>
        <w:tabs>
          <w:tab w:val="clear" w:pos="680"/>
        </w:tabs>
        <w:ind w:left="567" w:hanging="425"/>
        <w:rPr>
          <w:rFonts w:ascii="Work Sans" w:eastAsia="Times New Roman" w:hAnsi="Work Sans" w:cs="Open Sans Light"/>
          <w:color w:val="000000" w:themeColor="text1"/>
          <w:szCs w:val="14"/>
          <w:lang w:eastAsia="en-AU"/>
        </w:rPr>
      </w:pPr>
      <w:r w:rsidRPr="00F678E3">
        <w:rPr>
          <w:rFonts w:ascii="Work Sans" w:eastAsia="Times New Roman" w:hAnsi="Work Sans" w:cs="Open Sans Light"/>
          <w:color w:val="000000" w:themeColor="text1"/>
          <w:szCs w:val="14"/>
          <w:lang w:eastAsia="en-AU"/>
        </w:rPr>
        <w:t>Revenue capacity after equalisation includes revenue from federal equalisation payments, resulting in a higher average capacity than before equalisation</w:t>
      </w:r>
    </w:p>
    <w:p w14:paraId="589AC0CC" w14:textId="77777777" w:rsidR="004D7F21" w:rsidRPr="002C5B2F" w:rsidRDefault="004D7F21" w:rsidP="004D7F21">
      <w:pPr>
        <w:pStyle w:val="CGCTablenote"/>
        <w:rPr>
          <w:rFonts w:ascii="Work Sans" w:hAnsi="Work Sans"/>
          <w:lang w:eastAsia="en-AU"/>
        </w:rPr>
      </w:pPr>
    </w:p>
    <w:p w14:paraId="43E334CA" w14:textId="365CC869" w:rsidR="004D7F21" w:rsidRPr="00C32075" w:rsidRDefault="004D7F21" w:rsidP="004D7F21">
      <w:pPr>
        <w:pStyle w:val="Heading3"/>
      </w:pPr>
      <w:r w:rsidRPr="00C32075" w:rsidDel="001D3DF1">
        <w:t>Switzerland</w:t>
      </w:r>
    </w:p>
    <w:p w14:paraId="7E6D0BAF" w14:textId="46322573" w:rsidR="004D7F21" w:rsidRPr="00517367" w:rsidRDefault="00A22959" w:rsidP="00D073A2">
      <w:pPr>
        <w:rPr>
          <w:rFonts w:ascii="Work Sans" w:hAnsi="Work Sans"/>
          <w:sz w:val="24"/>
          <w:szCs w:val="24"/>
        </w:rPr>
      </w:pPr>
      <w:r w:rsidRPr="00517367">
        <w:rPr>
          <w:rFonts w:ascii="Work Sans" w:hAnsi="Work Sans"/>
          <w:sz w:val="24"/>
          <w:szCs w:val="24"/>
        </w:rPr>
        <w:t>Switzerland is a federation of 26 cantons, with populations ranging from 16</w:t>
      </w:r>
      <w:r w:rsidR="00376A9D" w:rsidRPr="00517367">
        <w:rPr>
          <w:rFonts w:ascii="Work Sans" w:hAnsi="Work Sans"/>
          <w:sz w:val="24"/>
          <w:szCs w:val="24"/>
        </w:rPr>
        <w:t xml:space="preserve">,000 </w:t>
      </w:r>
      <w:r w:rsidR="00BA51BD" w:rsidRPr="00517367">
        <w:rPr>
          <w:rFonts w:ascii="Work Sans" w:hAnsi="Work Sans"/>
          <w:sz w:val="24"/>
          <w:szCs w:val="24"/>
        </w:rPr>
        <w:t>(</w:t>
      </w:r>
      <w:r w:rsidRPr="00517367">
        <w:rPr>
          <w:rFonts w:ascii="Work Sans" w:hAnsi="Work Sans"/>
          <w:sz w:val="24"/>
          <w:szCs w:val="24"/>
        </w:rPr>
        <w:t>Appenzell Inner</w:t>
      </w:r>
      <w:r w:rsidR="00366F90" w:rsidRPr="00517367">
        <w:rPr>
          <w:rFonts w:ascii="Work Sans" w:hAnsi="Work Sans"/>
          <w:sz w:val="24"/>
          <w:szCs w:val="24"/>
        </w:rPr>
        <w:t>rhoden</w:t>
      </w:r>
      <w:r w:rsidR="00BA51BD" w:rsidRPr="00517367">
        <w:rPr>
          <w:rFonts w:ascii="Work Sans" w:hAnsi="Work Sans"/>
          <w:sz w:val="24"/>
          <w:szCs w:val="24"/>
        </w:rPr>
        <w:t>) to</w:t>
      </w:r>
      <w:r w:rsidR="00012C4D" w:rsidRPr="00517367">
        <w:rPr>
          <w:rFonts w:ascii="Work Sans" w:hAnsi="Work Sans"/>
          <w:sz w:val="24"/>
          <w:szCs w:val="24"/>
        </w:rPr>
        <w:t xml:space="preserve"> </w:t>
      </w:r>
      <w:r w:rsidR="00BA51BD" w:rsidRPr="00517367">
        <w:rPr>
          <w:rFonts w:ascii="Work Sans" w:hAnsi="Work Sans"/>
          <w:sz w:val="24"/>
          <w:szCs w:val="24"/>
        </w:rPr>
        <w:t>1.5</w:t>
      </w:r>
      <w:r w:rsidR="005C6A5C" w:rsidRPr="00517367">
        <w:rPr>
          <w:rFonts w:ascii="Work Sans" w:hAnsi="Work Sans"/>
          <w:sz w:val="24"/>
          <w:szCs w:val="24"/>
        </w:rPr>
        <w:t> </w:t>
      </w:r>
      <w:r w:rsidR="00BA51BD" w:rsidRPr="00517367">
        <w:rPr>
          <w:rFonts w:ascii="Work Sans" w:hAnsi="Work Sans"/>
          <w:sz w:val="24"/>
          <w:szCs w:val="24"/>
        </w:rPr>
        <w:t>million (Zurich)</w:t>
      </w:r>
      <w:r w:rsidRPr="00517367">
        <w:rPr>
          <w:rFonts w:ascii="Work Sans" w:hAnsi="Work Sans"/>
          <w:sz w:val="24"/>
          <w:szCs w:val="24"/>
        </w:rPr>
        <w:t xml:space="preserve">. </w:t>
      </w:r>
      <w:r w:rsidR="004D7F21" w:rsidRPr="00517367">
        <w:rPr>
          <w:rFonts w:ascii="Work Sans" w:hAnsi="Work Sans"/>
          <w:sz w:val="24"/>
          <w:szCs w:val="24"/>
        </w:rPr>
        <w:t>Equalisation in Switzerland reduces differences in fiscal capacity among the cantons, Switzerland’s subnational governments. This guarantees them a minimum level of financial resources and compensates for excessive costs due to factors outside their control. The Federal Department of Finance calculates and distributes equalisation payments.</w:t>
      </w:r>
    </w:p>
    <w:p w14:paraId="386644C4" w14:textId="77777777" w:rsidR="004D7F21" w:rsidRPr="00517367" w:rsidRDefault="004D7F21" w:rsidP="00D073A2">
      <w:pPr>
        <w:rPr>
          <w:rFonts w:ascii="Work Sans" w:hAnsi="Work Sans"/>
          <w:sz w:val="24"/>
          <w:szCs w:val="24"/>
        </w:rPr>
      </w:pPr>
      <w:r w:rsidRPr="00517367">
        <w:rPr>
          <w:rFonts w:ascii="Work Sans" w:hAnsi="Work Sans"/>
          <w:sz w:val="24"/>
          <w:szCs w:val="24"/>
        </w:rPr>
        <w:t>Own-source revenues make up approximately 70% of canton budgets.</w:t>
      </w:r>
      <w:r w:rsidRPr="00517367">
        <w:rPr>
          <w:rFonts w:ascii="Work Sans" w:hAnsi="Work Sans"/>
          <w:sz w:val="24"/>
          <w:szCs w:val="24"/>
          <w:vertAlign w:val="superscript"/>
        </w:rPr>
        <w:footnoteReference w:id="6"/>
      </w:r>
      <w:r w:rsidRPr="00517367">
        <w:rPr>
          <w:rFonts w:ascii="Work Sans" w:hAnsi="Work Sans"/>
          <w:sz w:val="24"/>
          <w:szCs w:val="24"/>
        </w:rPr>
        <w:t xml:space="preserve"> Individual cantons have access to a wide range of tax bases and operate different tax regimes. The fiscal diversity of cantons is greater than in the other case study countries. Switzerland’s richest canton, Zug, has a revenue raising capacity of around 250% of the national average, while the corresponding figure is 65% in Valais, the poorest canton.</w:t>
      </w:r>
    </w:p>
    <w:p w14:paraId="4668E759" w14:textId="77777777" w:rsidR="004D7F21" w:rsidRPr="00517367" w:rsidRDefault="004D7F21" w:rsidP="00D073A2">
      <w:pPr>
        <w:rPr>
          <w:rFonts w:ascii="Work Sans" w:hAnsi="Work Sans"/>
          <w:sz w:val="24"/>
          <w:szCs w:val="24"/>
        </w:rPr>
      </w:pPr>
      <w:bookmarkStart w:id="12" w:name="_Ref77179673"/>
      <w:r w:rsidRPr="00517367">
        <w:rPr>
          <w:rFonts w:ascii="Work Sans" w:hAnsi="Work Sans"/>
          <w:sz w:val="24"/>
          <w:szCs w:val="24"/>
        </w:rPr>
        <w:lastRenderedPageBreak/>
        <w:t>Switzerland has two distinct pools of equalisation funds. The pool for revenue equalisation is determined by the level of disparity between cantons, while the pool for expenditure equalisation is fixed. Cantons with above average fiscal capacity pay into the revenue equalisation fund. The size of their combined contribution is directly proportional to the size of the federal contribution.</w:t>
      </w:r>
      <w:bookmarkEnd w:id="12"/>
    </w:p>
    <w:p w14:paraId="41801A7F" w14:textId="59F2E4FB" w:rsidR="004D7F21" w:rsidRPr="00517367" w:rsidRDefault="004D7F21" w:rsidP="00D073A2">
      <w:pPr>
        <w:rPr>
          <w:rFonts w:ascii="Work Sans" w:hAnsi="Work Sans"/>
          <w:sz w:val="24"/>
          <w:szCs w:val="24"/>
        </w:rPr>
      </w:pPr>
      <w:r w:rsidRPr="00517367">
        <w:rPr>
          <w:rFonts w:ascii="Work Sans" w:hAnsi="Work Sans"/>
          <w:sz w:val="24"/>
          <w:szCs w:val="24"/>
        </w:rPr>
        <w:t>The federal government allocates around 14% of Federal Direct Tax revenue</w:t>
      </w:r>
      <w:r w:rsidR="00517367">
        <w:rPr>
          <w:rFonts w:ascii="Work Sans" w:hAnsi="Work Sans"/>
          <w:sz w:val="24"/>
          <w:szCs w:val="24"/>
        </w:rPr>
        <w:t xml:space="preserve"> </w:t>
      </w:r>
      <w:r>
        <w:rPr>
          <w:rFonts w:ascii="Work Sans" w:hAnsi="Work Sans"/>
          <w:sz w:val="24"/>
          <w:szCs w:val="24"/>
        </w:rPr>
        <w:t xml:space="preserve">for </w:t>
      </w:r>
      <w:r w:rsidRPr="00517367">
        <w:rPr>
          <w:rFonts w:ascii="Work Sans" w:hAnsi="Work Sans"/>
          <w:sz w:val="24"/>
          <w:szCs w:val="24"/>
        </w:rPr>
        <w:t>equalisation. In a separate tax sharing arrangement, a further 21% of this revenue goes to the cantons where the tax was collected. Wealthy cantons contribute to equalisation payments from their own sources and are net contributors to the system of equalisation payments. No canton contributes more to equalisation than it receives in Federal Direct Tax revenues.</w:t>
      </w:r>
    </w:p>
    <w:p w14:paraId="6A8559D1" w14:textId="77777777" w:rsidR="004D7F21" w:rsidRPr="00517367" w:rsidRDefault="004D7F21" w:rsidP="00D073A2">
      <w:pPr>
        <w:rPr>
          <w:rFonts w:ascii="Work Sans" w:hAnsi="Work Sans"/>
          <w:sz w:val="24"/>
          <w:szCs w:val="24"/>
        </w:rPr>
      </w:pPr>
      <w:r w:rsidRPr="00517367">
        <w:rPr>
          <w:rFonts w:ascii="Work Sans" w:hAnsi="Work Sans"/>
          <w:sz w:val="24"/>
          <w:szCs w:val="24"/>
        </w:rPr>
        <w:t xml:space="preserve">Revenues from personal income, profits of legal entities and personal wealth taxes are assessed using a representative tax system approach. These represent about 80% of canton own-source revenue. </w:t>
      </w:r>
    </w:p>
    <w:p w14:paraId="18D3A568" w14:textId="77777777" w:rsidR="004D7F21" w:rsidRPr="00517367" w:rsidRDefault="004D7F21" w:rsidP="00D073A2">
      <w:pPr>
        <w:rPr>
          <w:rFonts w:ascii="Work Sans" w:hAnsi="Work Sans"/>
          <w:sz w:val="24"/>
          <w:szCs w:val="24"/>
        </w:rPr>
      </w:pPr>
      <w:r w:rsidRPr="00517367">
        <w:rPr>
          <w:rFonts w:ascii="Work Sans" w:hAnsi="Work Sans"/>
          <w:sz w:val="24"/>
          <w:szCs w:val="24"/>
        </w:rPr>
        <w:t>Expense equalisation is based on broad indicators of need, including social aid recipients, elderly residents, foreign residents, population density, productive land area, and altitude. The weights on demographic indicators draw from a statistical analysis, while the geographic indicators are determined through intergovernmental negotiation.</w:t>
      </w:r>
    </w:p>
    <w:p w14:paraId="0A7D51A3" w14:textId="77777777" w:rsidR="004D7F21" w:rsidRPr="00517367" w:rsidRDefault="004D7F21" w:rsidP="00D073A2">
      <w:pPr>
        <w:rPr>
          <w:rFonts w:ascii="Work Sans" w:hAnsi="Work Sans"/>
          <w:sz w:val="24"/>
          <w:szCs w:val="24"/>
        </w:rPr>
      </w:pPr>
      <w:r w:rsidRPr="00517367">
        <w:rPr>
          <w:rFonts w:ascii="Work Sans" w:hAnsi="Work Sans"/>
          <w:sz w:val="24"/>
          <w:szCs w:val="24"/>
        </w:rPr>
        <w:t>Cantons with below average revenue raising capacity receive scaled payments that preserve the order of capacity among cantons. This reduces the differences. In 2021, cantons with above average revenue raising capacities paid around 20% of their above average capacity revenue into the equalisation fund, and so retained most of their fiscal advantage. Valais, the canton with the lowest revenue capacity, increased from having 65% of the average capacity before equalisation to 84</w:t>
      </w:r>
      <w:r w:rsidRPr="00517367" w:rsidDel="00973E35">
        <w:rPr>
          <w:rFonts w:ascii="Work Sans" w:hAnsi="Work Sans"/>
          <w:sz w:val="24"/>
          <w:szCs w:val="24"/>
        </w:rPr>
        <w:t>%</w:t>
      </w:r>
      <w:r w:rsidRPr="00517367">
        <w:rPr>
          <w:rFonts w:ascii="Work Sans" w:hAnsi="Work Sans"/>
          <w:sz w:val="24"/>
          <w:szCs w:val="24"/>
        </w:rPr>
        <w:t xml:space="preserve"> of the post equalisation average</w:t>
      </w:r>
      <w:r w:rsidRPr="00517367">
        <w:rPr>
          <w:rStyle w:val="FootnoteReference"/>
          <w:rFonts w:ascii="Work Sans" w:hAnsi="Work Sans"/>
          <w:sz w:val="24"/>
          <w:szCs w:val="24"/>
        </w:rPr>
        <w:footnoteReference w:id="7"/>
      </w:r>
      <w:r w:rsidRPr="00517367">
        <w:rPr>
          <w:rFonts w:ascii="Work Sans" w:hAnsi="Work Sans"/>
          <w:sz w:val="24"/>
          <w:szCs w:val="24"/>
        </w:rPr>
        <w:t xml:space="preserve"> (see Figure 4). </w:t>
      </w:r>
    </w:p>
    <w:p w14:paraId="04B19F4D" w14:textId="77777777" w:rsidR="004D7F21" w:rsidRPr="00517367" w:rsidRDefault="004D7F21" w:rsidP="00D073A2">
      <w:pPr>
        <w:rPr>
          <w:rFonts w:ascii="Work Sans" w:hAnsi="Work Sans"/>
          <w:sz w:val="24"/>
          <w:szCs w:val="24"/>
        </w:rPr>
      </w:pPr>
      <w:r w:rsidRPr="00517367" w:rsidDel="0075758D">
        <w:rPr>
          <w:rFonts w:ascii="Work Sans" w:hAnsi="Work Sans"/>
          <w:sz w:val="24"/>
          <w:szCs w:val="24"/>
        </w:rPr>
        <w:t>I</w:t>
      </w:r>
      <w:r w:rsidRPr="00517367">
        <w:rPr>
          <w:rFonts w:ascii="Work Sans" w:hAnsi="Work Sans"/>
          <w:sz w:val="24"/>
          <w:szCs w:val="24"/>
        </w:rPr>
        <w:t>n 2021, total revenue equalisation payments</w:t>
      </w:r>
      <w:r w:rsidRPr="00517367" w:rsidDel="004E4C50">
        <w:rPr>
          <w:rFonts w:ascii="Work Sans" w:hAnsi="Work Sans"/>
          <w:sz w:val="24"/>
          <w:szCs w:val="24"/>
        </w:rPr>
        <w:t xml:space="preserve"> were </w:t>
      </w:r>
      <w:r w:rsidRPr="00517367">
        <w:rPr>
          <w:rFonts w:ascii="Work Sans" w:hAnsi="Work Sans"/>
          <w:sz w:val="24"/>
          <w:szCs w:val="24"/>
        </w:rPr>
        <w:t>five times larger than total expense equalisation payments. The dotted line in Figure 4 shows the distribution under the revenue equalisation formula. The effect of expense equalisation is the relatively small vertical deviation from that line.</w:t>
      </w:r>
    </w:p>
    <w:p w14:paraId="2D391295" w14:textId="77777777" w:rsidR="004D7F21" w:rsidRPr="00517367" w:rsidRDefault="004D7F21" w:rsidP="00D073A2">
      <w:pPr>
        <w:rPr>
          <w:rFonts w:ascii="Work Sans" w:hAnsi="Work Sans"/>
          <w:sz w:val="24"/>
          <w:szCs w:val="24"/>
        </w:rPr>
      </w:pPr>
      <w:r w:rsidRPr="00517367">
        <w:rPr>
          <w:rFonts w:ascii="Work Sans" w:hAnsi="Work Sans"/>
          <w:sz w:val="24"/>
          <w:szCs w:val="24"/>
        </w:rPr>
        <w:t>Figure 4 shows the Swiss equalisation outcomes. Revenue equalisation alone would place each canton on the dotted line, any deviation from that line is due to the expense considerations. For example, Valais starts with around 65% of the average revenue raising capacity.</w:t>
      </w:r>
    </w:p>
    <w:p w14:paraId="018AAE28" w14:textId="77777777" w:rsidR="004D7F21" w:rsidRPr="00517367" w:rsidRDefault="004D7F21" w:rsidP="004D7F21">
      <w:pPr>
        <w:pStyle w:val="ListParagraph"/>
        <w:numPr>
          <w:ilvl w:val="0"/>
          <w:numId w:val="32"/>
        </w:numPr>
        <w:rPr>
          <w:rFonts w:ascii="Work Sans" w:hAnsi="Work Sans"/>
          <w:sz w:val="24"/>
          <w:szCs w:val="24"/>
        </w:rPr>
      </w:pPr>
      <w:r w:rsidRPr="00517367">
        <w:rPr>
          <w:rFonts w:ascii="Work Sans" w:hAnsi="Work Sans"/>
          <w:sz w:val="24"/>
          <w:szCs w:val="24"/>
        </w:rPr>
        <w:t>Revenue equalisation brings it up to 84% of the post-equalisation average revenue raising capacity.</w:t>
      </w:r>
    </w:p>
    <w:p w14:paraId="4047E7B5" w14:textId="77777777" w:rsidR="004D7F21" w:rsidRPr="00517367" w:rsidRDefault="004D7F21" w:rsidP="004D7F21">
      <w:pPr>
        <w:pStyle w:val="ListParagraph"/>
        <w:numPr>
          <w:ilvl w:val="0"/>
          <w:numId w:val="32"/>
        </w:numPr>
        <w:rPr>
          <w:rFonts w:ascii="Work Sans" w:hAnsi="Work Sans"/>
          <w:sz w:val="24"/>
          <w:szCs w:val="24"/>
        </w:rPr>
      </w:pPr>
      <w:r w:rsidRPr="00517367">
        <w:rPr>
          <w:rFonts w:ascii="Work Sans" w:hAnsi="Work Sans"/>
          <w:sz w:val="24"/>
          <w:szCs w:val="24"/>
        </w:rPr>
        <w:lastRenderedPageBreak/>
        <w:t>Expense equalisation then raises it to 86% of the average revenue raising capacity.</w:t>
      </w:r>
    </w:p>
    <w:p w14:paraId="4EF79458" w14:textId="70D3A525" w:rsidR="004D7F21" w:rsidRPr="002C5B2F" w:rsidRDefault="004D7F21" w:rsidP="004D7F21">
      <w:pPr>
        <w:pStyle w:val="Caption"/>
        <w:rPr>
          <w:rFonts w:ascii="Work Sans" w:hAnsi="Work Sans"/>
        </w:rPr>
      </w:pPr>
      <w:r w:rsidRPr="002C5B2F">
        <w:rPr>
          <w:rFonts w:ascii="Work Sans" w:hAnsi="Work Sans"/>
        </w:rPr>
        <w:t xml:space="preserve">Figure </w:t>
      </w:r>
      <w:r w:rsidRPr="002C5B2F">
        <w:rPr>
          <w:rFonts w:ascii="Work Sans" w:hAnsi="Work Sans"/>
        </w:rPr>
        <w:fldChar w:fldCharType="begin"/>
      </w:r>
      <w:r w:rsidRPr="002C5B2F">
        <w:rPr>
          <w:rFonts w:ascii="Work Sans" w:hAnsi="Work Sans"/>
        </w:rPr>
        <w:instrText>SEQ Figure \* ARABIC</w:instrText>
      </w:r>
      <w:r w:rsidRPr="002C5B2F">
        <w:rPr>
          <w:rFonts w:ascii="Work Sans" w:hAnsi="Work Sans"/>
        </w:rPr>
        <w:fldChar w:fldCharType="separate"/>
      </w:r>
      <w:r w:rsidR="00AB678F">
        <w:rPr>
          <w:rFonts w:ascii="Work Sans" w:hAnsi="Work Sans"/>
          <w:noProof/>
        </w:rPr>
        <w:t>4</w:t>
      </w:r>
      <w:r w:rsidRPr="002C5B2F">
        <w:rPr>
          <w:rFonts w:ascii="Work Sans" w:hAnsi="Work Sans"/>
        </w:rPr>
        <w:fldChar w:fldCharType="end"/>
      </w:r>
      <w:r w:rsidRPr="002C5B2F">
        <w:rPr>
          <w:rFonts w:ascii="Work Sans" w:hAnsi="Work Sans"/>
        </w:rPr>
        <w:t xml:space="preserve"> </w:t>
      </w:r>
      <w:r w:rsidRPr="002C5B2F">
        <w:rPr>
          <w:rFonts w:ascii="Work Sans" w:hAnsi="Work Sans"/>
        </w:rPr>
        <w:tab/>
        <w:t>Swiss equalisation outcomes (2021 payments)</w:t>
      </w:r>
    </w:p>
    <w:p w14:paraId="0B02DF0B" w14:textId="5EACCEEF" w:rsidR="004D7F21" w:rsidRPr="002C5B2F" w:rsidRDefault="004D7F21" w:rsidP="00D073A2">
      <w:pPr>
        <w:rPr>
          <w:rFonts w:ascii="Work Sans" w:hAnsi="Work Sans"/>
        </w:rPr>
      </w:pPr>
      <w:r w:rsidRPr="002C5B2F">
        <w:rPr>
          <w:rFonts w:ascii="Work Sans" w:hAnsi="Work Sans"/>
        </w:rPr>
        <w:t xml:space="preserve"> </w:t>
      </w:r>
      <w:r w:rsidR="00F94D8A" w:rsidRPr="002C5B2F">
        <w:rPr>
          <w:rFonts w:ascii="Work Sans" w:hAnsi="Work Sans"/>
          <w:noProof/>
        </w:rPr>
        <w:drawing>
          <wp:inline distT="0" distB="0" distL="0" distR="0" wp14:anchorId="5720CF57" wp14:editId="69FB099E">
            <wp:extent cx="5577840" cy="377190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77840" cy="3771900"/>
                    </a:xfrm>
                    <a:prstGeom prst="rect">
                      <a:avLst/>
                    </a:prstGeom>
                    <a:noFill/>
                    <a:ln>
                      <a:noFill/>
                    </a:ln>
                  </pic:spPr>
                </pic:pic>
              </a:graphicData>
            </a:graphic>
          </wp:inline>
        </w:drawing>
      </w:r>
    </w:p>
    <w:tbl>
      <w:tblPr>
        <w:tblW w:w="9977" w:type="dxa"/>
        <w:tblLayout w:type="fixed"/>
        <w:tblLook w:val="04A0" w:firstRow="1" w:lastRow="0" w:firstColumn="1" w:lastColumn="0" w:noHBand="0" w:noVBand="1"/>
      </w:tblPr>
      <w:tblGrid>
        <w:gridCol w:w="961"/>
        <w:gridCol w:w="457"/>
        <w:gridCol w:w="283"/>
        <w:gridCol w:w="2268"/>
        <w:gridCol w:w="561"/>
        <w:gridCol w:w="236"/>
        <w:gridCol w:w="2180"/>
        <w:gridCol w:w="513"/>
        <w:gridCol w:w="238"/>
        <w:gridCol w:w="2280"/>
      </w:tblGrid>
      <w:tr w:rsidR="004D7F21" w:rsidRPr="006F7050" w14:paraId="28E32EA6" w14:textId="77777777" w:rsidTr="00665D9C">
        <w:trPr>
          <w:trHeight w:val="200"/>
        </w:trPr>
        <w:tc>
          <w:tcPr>
            <w:tcW w:w="961" w:type="dxa"/>
            <w:tcBorders>
              <w:top w:val="nil"/>
              <w:left w:val="nil"/>
              <w:bottom w:val="nil"/>
              <w:right w:val="nil"/>
            </w:tcBorders>
            <w:shd w:val="clear" w:color="000000" w:fill="FFFFFF"/>
            <w:vAlign w:val="center"/>
            <w:hideMark/>
          </w:tcPr>
          <w:p w14:paraId="08337221" w14:textId="77777777" w:rsidR="004D7F21" w:rsidRPr="002C5B2F" w:rsidRDefault="004D7F21" w:rsidP="00665D9C">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Note:</w:t>
            </w:r>
          </w:p>
        </w:tc>
        <w:tc>
          <w:tcPr>
            <w:tcW w:w="457" w:type="dxa"/>
            <w:tcBorders>
              <w:top w:val="nil"/>
              <w:left w:val="nil"/>
              <w:bottom w:val="nil"/>
              <w:right w:val="nil"/>
            </w:tcBorders>
            <w:shd w:val="clear" w:color="000000" w:fill="FFFFFF"/>
            <w:vAlign w:val="center"/>
            <w:hideMark/>
          </w:tcPr>
          <w:p w14:paraId="38AE1A41" w14:textId="77777777" w:rsidR="004D7F21" w:rsidRPr="002C5B2F" w:rsidRDefault="004D7F21" w:rsidP="00665D9C">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AG</w:t>
            </w:r>
          </w:p>
        </w:tc>
        <w:tc>
          <w:tcPr>
            <w:tcW w:w="283" w:type="dxa"/>
            <w:tcBorders>
              <w:top w:val="nil"/>
              <w:left w:val="nil"/>
              <w:bottom w:val="nil"/>
              <w:right w:val="nil"/>
            </w:tcBorders>
            <w:shd w:val="clear" w:color="000000" w:fill="FFFFFF"/>
            <w:vAlign w:val="center"/>
            <w:hideMark/>
          </w:tcPr>
          <w:p w14:paraId="0A320748" w14:textId="77777777" w:rsidR="004D7F21" w:rsidRPr="002C5B2F" w:rsidRDefault="004D7F21" w:rsidP="00665D9C">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w:t>
            </w:r>
          </w:p>
        </w:tc>
        <w:tc>
          <w:tcPr>
            <w:tcW w:w="2268" w:type="dxa"/>
            <w:tcBorders>
              <w:top w:val="nil"/>
              <w:left w:val="nil"/>
              <w:bottom w:val="nil"/>
              <w:right w:val="nil"/>
            </w:tcBorders>
            <w:shd w:val="clear" w:color="000000" w:fill="FFFFFF"/>
            <w:vAlign w:val="center"/>
            <w:hideMark/>
          </w:tcPr>
          <w:p w14:paraId="3C4E1C90" w14:textId="77777777" w:rsidR="004D7F21" w:rsidRPr="002C5B2F" w:rsidRDefault="004D7F21" w:rsidP="00665D9C">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Aargau</w:t>
            </w:r>
          </w:p>
        </w:tc>
        <w:tc>
          <w:tcPr>
            <w:tcW w:w="561" w:type="dxa"/>
            <w:tcBorders>
              <w:top w:val="nil"/>
              <w:left w:val="nil"/>
              <w:bottom w:val="nil"/>
              <w:right w:val="nil"/>
            </w:tcBorders>
            <w:shd w:val="clear" w:color="000000" w:fill="FFFFFF"/>
            <w:vAlign w:val="center"/>
            <w:hideMark/>
          </w:tcPr>
          <w:p w14:paraId="1BAA9E20" w14:textId="77777777" w:rsidR="004D7F21" w:rsidRPr="002C5B2F" w:rsidRDefault="004D7F21" w:rsidP="00665D9C">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GR</w:t>
            </w:r>
          </w:p>
        </w:tc>
        <w:tc>
          <w:tcPr>
            <w:tcW w:w="236" w:type="dxa"/>
            <w:tcBorders>
              <w:top w:val="nil"/>
              <w:left w:val="nil"/>
              <w:bottom w:val="nil"/>
              <w:right w:val="nil"/>
            </w:tcBorders>
            <w:shd w:val="clear" w:color="000000" w:fill="FFFFFF"/>
            <w:vAlign w:val="center"/>
            <w:hideMark/>
          </w:tcPr>
          <w:p w14:paraId="7B80F4FB" w14:textId="77777777" w:rsidR="004D7F21" w:rsidRPr="002C5B2F" w:rsidRDefault="004D7F21" w:rsidP="00665D9C">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w:t>
            </w:r>
          </w:p>
        </w:tc>
        <w:tc>
          <w:tcPr>
            <w:tcW w:w="2180" w:type="dxa"/>
            <w:tcBorders>
              <w:top w:val="nil"/>
              <w:left w:val="nil"/>
              <w:bottom w:val="nil"/>
              <w:right w:val="nil"/>
            </w:tcBorders>
            <w:shd w:val="clear" w:color="000000" w:fill="FFFFFF"/>
            <w:vAlign w:val="center"/>
            <w:hideMark/>
          </w:tcPr>
          <w:p w14:paraId="1D434CB4" w14:textId="77777777" w:rsidR="004D7F21" w:rsidRPr="002C5B2F" w:rsidRDefault="004D7F21" w:rsidP="00665D9C">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Graubünden</w:t>
            </w:r>
          </w:p>
        </w:tc>
        <w:tc>
          <w:tcPr>
            <w:tcW w:w="513" w:type="dxa"/>
            <w:tcBorders>
              <w:top w:val="nil"/>
              <w:left w:val="nil"/>
              <w:bottom w:val="nil"/>
              <w:right w:val="nil"/>
            </w:tcBorders>
            <w:shd w:val="clear" w:color="000000" w:fill="FFFFFF"/>
            <w:vAlign w:val="center"/>
            <w:hideMark/>
          </w:tcPr>
          <w:p w14:paraId="39E25142" w14:textId="77777777" w:rsidR="004D7F21" w:rsidRPr="002C5B2F" w:rsidRDefault="004D7F21" w:rsidP="00665D9C">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SZ</w:t>
            </w:r>
          </w:p>
        </w:tc>
        <w:tc>
          <w:tcPr>
            <w:tcW w:w="238" w:type="dxa"/>
            <w:tcBorders>
              <w:top w:val="nil"/>
              <w:left w:val="nil"/>
              <w:bottom w:val="nil"/>
              <w:right w:val="nil"/>
            </w:tcBorders>
            <w:shd w:val="clear" w:color="000000" w:fill="FFFFFF"/>
            <w:vAlign w:val="center"/>
            <w:hideMark/>
          </w:tcPr>
          <w:p w14:paraId="3A542FD6" w14:textId="77777777" w:rsidR="004D7F21" w:rsidRPr="002C5B2F" w:rsidRDefault="004D7F21" w:rsidP="00665D9C">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w:t>
            </w:r>
          </w:p>
        </w:tc>
        <w:tc>
          <w:tcPr>
            <w:tcW w:w="2280" w:type="dxa"/>
            <w:tcBorders>
              <w:top w:val="nil"/>
              <w:left w:val="nil"/>
              <w:bottom w:val="nil"/>
              <w:right w:val="nil"/>
            </w:tcBorders>
            <w:shd w:val="clear" w:color="000000" w:fill="FFFFFF"/>
            <w:vAlign w:val="center"/>
            <w:hideMark/>
          </w:tcPr>
          <w:p w14:paraId="4ABBFCEF" w14:textId="77777777" w:rsidR="004D7F21" w:rsidRPr="002C5B2F" w:rsidRDefault="004D7F21" w:rsidP="00665D9C">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Schwyz</w:t>
            </w:r>
          </w:p>
        </w:tc>
      </w:tr>
      <w:tr w:rsidR="004D7F21" w:rsidRPr="006F7050" w14:paraId="03007346" w14:textId="77777777" w:rsidTr="00665D9C">
        <w:trPr>
          <w:trHeight w:val="200"/>
        </w:trPr>
        <w:tc>
          <w:tcPr>
            <w:tcW w:w="961" w:type="dxa"/>
            <w:tcBorders>
              <w:top w:val="nil"/>
              <w:left w:val="nil"/>
              <w:bottom w:val="nil"/>
              <w:right w:val="nil"/>
            </w:tcBorders>
            <w:shd w:val="clear" w:color="auto" w:fill="auto"/>
            <w:noWrap/>
            <w:vAlign w:val="bottom"/>
            <w:hideMark/>
          </w:tcPr>
          <w:p w14:paraId="2E815745" w14:textId="77777777" w:rsidR="004D7F21" w:rsidRPr="002C5B2F" w:rsidRDefault="004D7F21" w:rsidP="00665D9C">
            <w:pPr>
              <w:pStyle w:val="CGCTablenote"/>
              <w:tabs>
                <w:tab w:val="clear" w:pos="567"/>
                <w:tab w:val="clear" w:pos="680"/>
              </w:tabs>
              <w:ind w:left="0" w:firstLine="0"/>
              <w:rPr>
                <w:rFonts w:ascii="Work Sans" w:eastAsia="Times New Roman" w:hAnsi="Work Sans" w:cs="Open Sans Light"/>
                <w:color w:val="585858"/>
                <w:szCs w:val="14"/>
                <w:lang w:eastAsia="en-AU"/>
              </w:rPr>
            </w:pPr>
          </w:p>
        </w:tc>
        <w:tc>
          <w:tcPr>
            <w:tcW w:w="457" w:type="dxa"/>
            <w:tcBorders>
              <w:top w:val="nil"/>
              <w:left w:val="nil"/>
              <w:bottom w:val="nil"/>
              <w:right w:val="nil"/>
            </w:tcBorders>
            <w:shd w:val="clear" w:color="000000" w:fill="FFFFFF"/>
            <w:vAlign w:val="center"/>
            <w:hideMark/>
          </w:tcPr>
          <w:p w14:paraId="32FDB80D" w14:textId="77777777" w:rsidR="004D7F21" w:rsidRPr="002C5B2F" w:rsidRDefault="004D7F21" w:rsidP="00665D9C">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AI</w:t>
            </w:r>
          </w:p>
        </w:tc>
        <w:tc>
          <w:tcPr>
            <w:tcW w:w="283" w:type="dxa"/>
            <w:tcBorders>
              <w:top w:val="nil"/>
              <w:left w:val="nil"/>
              <w:bottom w:val="nil"/>
              <w:right w:val="nil"/>
            </w:tcBorders>
            <w:shd w:val="clear" w:color="000000" w:fill="FFFFFF"/>
            <w:vAlign w:val="center"/>
            <w:hideMark/>
          </w:tcPr>
          <w:p w14:paraId="4A8A9739" w14:textId="77777777" w:rsidR="004D7F21" w:rsidRPr="002C5B2F" w:rsidRDefault="004D7F21" w:rsidP="00665D9C">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w:t>
            </w:r>
          </w:p>
        </w:tc>
        <w:tc>
          <w:tcPr>
            <w:tcW w:w="2268" w:type="dxa"/>
            <w:tcBorders>
              <w:top w:val="nil"/>
              <w:left w:val="nil"/>
              <w:bottom w:val="nil"/>
              <w:right w:val="nil"/>
            </w:tcBorders>
            <w:shd w:val="clear" w:color="000000" w:fill="FFFFFF"/>
            <w:vAlign w:val="center"/>
            <w:hideMark/>
          </w:tcPr>
          <w:p w14:paraId="41D85101" w14:textId="45E93D12" w:rsidR="004D7F21" w:rsidRPr="002C5B2F" w:rsidRDefault="004D7F21" w:rsidP="00665D9C">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Appenzell Inner</w:t>
            </w:r>
            <w:r w:rsidR="0024750C" w:rsidRPr="002C5B2F">
              <w:rPr>
                <w:rFonts w:ascii="Work Sans" w:hAnsi="Work Sans"/>
                <w:lang w:eastAsia="en-AU"/>
              </w:rPr>
              <w:t>rhoden</w:t>
            </w:r>
          </w:p>
        </w:tc>
        <w:tc>
          <w:tcPr>
            <w:tcW w:w="561" w:type="dxa"/>
            <w:tcBorders>
              <w:top w:val="nil"/>
              <w:left w:val="nil"/>
              <w:bottom w:val="nil"/>
              <w:right w:val="nil"/>
            </w:tcBorders>
            <w:shd w:val="clear" w:color="000000" w:fill="FFFFFF"/>
            <w:vAlign w:val="center"/>
            <w:hideMark/>
          </w:tcPr>
          <w:p w14:paraId="22A87167" w14:textId="77777777" w:rsidR="004D7F21" w:rsidRPr="002C5B2F" w:rsidRDefault="004D7F21" w:rsidP="00665D9C">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JU</w:t>
            </w:r>
          </w:p>
        </w:tc>
        <w:tc>
          <w:tcPr>
            <w:tcW w:w="236" w:type="dxa"/>
            <w:tcBorders>
              <w:top w:val="nil"/>
              <w:left w:val="nil"/>
              <w:bottom w:val="nil"/>
              <w:right w:val="nil"/>
            </w:tcBorders>
            <w:shd w:val="clear" w:color="000000" w:fill="FFFFFF"/>
            <w:vAlign w:val="center"/>
            <w:hideMark/>
          </w:tcPr>
          <w:p w14:paraId="33132E52" w14:textId="77777777" w:rsidR="004D7F21" w:rsidRPr="002C5B2F" w:rsidRDefault="004D7F21" w:rsidP="00665D9C">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w:t>
            </w:r>
          </w:p>
        </w:tc>
        <w:tc>
          <w:tcPr>
            <w:tcW w:w="2180" w:type="dxa"/>
            <w:tcBorders>
              <w:top w:val="nil"/>
              <w:left w:val="nil"/>
              <w:bottom w:val="nil"/>
              <w:right w:val="nil"/>
            </w:tcBorders>
            <w:shd w:val="clear" w:color="000000" w:fill="FFFFFF"/>
            <w:vAlign w:val="center"/>
            <w:hideMark/>
          </w:tcPr>
          <w:p w14:paraId="01E4D895" w14:textId="77777777" w:rsidR="004D7F21" w:rsidRPr="002C5B2F" w:rsidRDefault="004D7F21" w:rsidP="00665D9C">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Jura</w:t>
            </w:r>
          </w:p>
        </w:tc>
        <w:tc>
          <w:tcPr>
            <w:tcW w:w="513" w:type="dxa"/>
            <w:tcBorders>
              <w:top w:val="nil"/>
              <w:left w:val="nil"/>
              <w:bottom w:val="nil"/>
              <w:right w:val="nil"/>
            </w:tcBorders>
            <w:shd w:val="clear" w:color="000000" w:fill="FFFFFF"/>
            <w:vAlign w:val="center"/>
            <w:hideMark/>
          </w:tcPr>
          <w:p w14:paraId="435588F9" w14:textId="77777777" w:rsidR="004D7F21" w:rsidRPr="002C5B2F" w:rsidRDefault="004D7F21" w:rsidP="00665D9C">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TG</w:t>
            </w:r>
          </w:p>
        </w:tc>
        <w:tc>
          <w:tcPr>
            <w:tcW w:w="238" w:type="dxa"/>
            <w:tcBorders>
              <w:top w:val="nil"/>
              <w:left w:val="nil"/>
              <w:bottom w:val="nil"/>
              <w:right w:val="nil"/>
            </w:tcBorders>
            <w:shd w:val="clear" w:color="000000" w:fill="FFFFFF"/>
            <w:vAlign w:val="center"/>
            <w:hideMark/>
          </w:tcPr>
          <w:p w14:paraId="43747ED1" w14:textId="77777777" w:rsidR="004D7F21" w:rsidRPr="002C5B2F" w:rsidRDefault="004D7F21" w:rsidP="00665D9C">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w:t>
            </w:r>
          </w:p>
        </w:tc>
        <w:tc>
          <w:tcPr>
            <w:tcW w:w="2280" w:type="dxa"/>
            <w:tcBorders>
              <w:top w:val="nil"/>
              <w:left w:val="nil"/>
              <w:bottom w:val="nil"/>
              <w:right w:val="nil"/>
            </w:tcBorders>
            <w:shd w:val="clear" w:color="000000" w:fill="FFFFFF"/>
            <w:vAlign w:val="center"/>
            <w:hideMark/>
          </w:tcPr>
          <w:p w14:paraId="6731F7E8" w14:textId="77777777" w:rsidR="004D7F21" w:rsidRPr="002C5B2F" w:rsidRDefault="004D7F21" w:rsidP="00665D9C">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Thurgau</w:t>
            </w:r>
          </w:p>
        </w:tc>
      </w:tr>
      <w:tr w:rsidR="004D7F21" w:rsidRPr="006F7050" w14:paraId="362AD304" w14:textId="77777777" w:rsidTr="00665D9C">
        <w:trPr>
          <w:trHeight w:val="200"/>
        </w:trPr>
        <w:tc>
          <w:tcPr>
            <w:tcW w:w="961" w:type="dxa"/>
            <w:tcBorders>
              <w:top w:val="nil"/>
              <w:left w:val="nil"/>
              <w:bottom w:val="nil"/>
              <w:right w:val="nil"/>
            </w:tcBorders>
            <w:shd w:val="clear" w:color="auto" w:fill="auto"/>
            <w:noWrap/>
            <w:vAlign w:val="bottom"/>
            <w:hideMark/>
          </w:tcPr>
          <w:p w14:paraId="4352FECD" w14:textId="77777777" w:rsidR="004D7F21" w:rsidRPr="002C5B2F" w:rsidRDefault="004D7F21" w:rsidP="00665D9C">
            <w:pPr>
              <w:pStyle w:val="CGCTablenote"/>
              <w:tabs>
                <w:tab w:val="clear" w:pos="567"/>
                <w:tab w:val="clear" w:pos="680"/>
              </w:tabs>
              <w:ind w:left="0" w:firstLine="0"/>
              <w:rPr>
                <w:rFonts w:ascii="Work Sans" w:eastAsia="Times New Roman" w:hAnsi="Work Sans" w:cs="Open Sans Light"/>
                <w:color w:val="585858"/>
                <w:szCs w:val="14"/>
                <w:lang w:eastAsia="en-AU"/>
              </w:rPr>
            </w:pPr>
          </w:p>
        </w:tc>
        <w:tc>
          <w:tcPr>
            <w:tcW w:w="457" w:type="dxa"/>
            <w:tcBorders>
              <w:top w:val="nil"/>
              <w:left w:val="nil"/>
              <w:bottom w:val="nil"/>
              <w:right w:val="nil"/>
            </w:tcBorders>
            <w:shd w:val="clear" w:color="000000" w:fill="FFFFFF"/>
            <w:vAlign w:val="center"/>
            <w:hideMark/>
          </w:tcPr>
          <w:p w14:paraId="6205C50E" w14:textId="77777777" w:rsidR="004D7F21" w:rsidRPr="002C5B2F" w:rsidRDefault="004D7F21" w:rsidP="00665D9C">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AR</w:t>
            </w:r>
          </w:p>
        </w:tc>
        <w:tc>
          <w:tcPr>
            <w:tcW w:w="283" w:type="dxa"/>
            <w:tcBorders>
              <w:top w:val="nil"/>
              <w:left w:val="nil"/>
              <w:bottom w:val="nil"/>
              <w:right w:val="nil"/>
            </w:tcBorders>
            <w:shd w:val="clear" w:color="000000" w:fill="FFFFFF"/>
            <w:vAlign w:val="center"/>
            <w:hideMark/>
          </w:tcPr>
          <w:p w14:paraId="12659EFA" w14:textId="77777777" w:rsidR="004D7F21" w:rsidRPr="002C5B2F" w:rsidRDefault="004D7F21" w:rsidP="00665D9C">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w:t>
            </w:r>
          </w:p>
        </w:tc>
        <w:tc>
          <w:tcPr>
            <w:tcW w:w="2268" w:type="dxa"/>
            <w:tcBorders>
              <w:top w:val="nil"/>
              <w:left w:val="nil"/>
              <w:bottom w:val="nil"/>
              <w:right w:val="nil"/>
            </w:tcBorders>
            <w:shd w:val="clear" w:color="000000" w:fill="FFFFFF"/>
            <w:vAlign w:val="center"/>
            <w:hideMark/>
          </w:tcPr>
          <w:p w14:paraId="5F909E15" w14:textId="69FA79CD" w:rsidR="004D7F21" w:rsidRPr="002C5B2F" w:rsidRDefault="004D7F21" w:rsidP="00665D9C">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 xml:space="preserve">Appenzell </w:t>
            </w:r>
            <w:r w:rsidR="0024750C" w:rsidRPr="002C5B2F">
              <w:rPr>
                <w:rFonts w:ascii="Work Sans" w:hAnsi="Work Sans"/>
                <w:lang w:eastAsia="en-AU"/>
              </w:rPr>
              <w:t>Ausserrhoden</w:t>
            </w:r>
          </w:p>
        </w:tc>
        <w:tc>
          <w:tcPr>
            <w:tcW w:w="561" w:type="dxa"/>
            <w:tcBorders>
              <w:top w:val="nil"/>
              <w:left w:val="nil"/>
              <w:bottom w:val="nil"/>
              <w:right w:val="nil"/>
            </w:tcBorders>
            <w:shd w:val="clear" w:color="000000" w:fill="FFFFFF"/>
            <w:vAlign w:val="center"/>
            <w:hideMark/>
          </w:tcPr>
          <w:p w14:paraId="4A0D6D7C" w14:textId="77777777" w:rsidR="004D7F21" w:rsidRPr="002C5B2F" w:rsidRDefault="004D7F21" w:rsidP="00665D9C">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LU</w:t>
            </w:r>
          </w:p>
        </w:tc>
        <w:tc>
          <w:tcPr>
            <w:tcW w:w="236" w:type="dxa"/>
            <w:tcBorders>
              <w:top w:val="nil"/>
              <w:left w:val="nil"/>
              <w:bottom w:val="nil"/>
              <w:right w:val="nil"/>
            </w:tcBorders>
            <w:shd w:val="clear" w:color="000000" w:fill="FFFFFF"/>
            <w:vAlign w:val="center"/>
            <w:hideMark/>
          </w:tcPr>
          <w:p w14:paraId="002E106F" w14:textId="77777777" w:rsidR="004D7F21" w:rsidRPr="002C5B2F" w:rsidRDefault="004D7F21" w:rsidP="00665D9C">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w:t>
            </w:r>
          </w:p>
        </w:tc>
        <w:tc>
          <w:tcPr>
            <w:tcW w:w="2180" w:type="dxa"/>
            <w:tcBorders>
              <w:top w:val="nil"/>
              <w:left w:val="nil"/>
              <w:bottom w:val="nil"/>
              <w:right w:val="nil"/>
            </w:tcBorders>
            <w:shd w:val="clear" w:color="000000" w:fill="FFFFFF"/>
            <w:vAlign w:val="center"/>
            <w:hideMark/>
          </w:tcPr>
          <w:p w14:paraId="02391266" w14:textId="77777777" w:rsidR="004D7F21" w:rsidRPr="002C5B2F" w:rsidRDefault="004D7F21" w:rsidP="00665D9C">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Luzern</w:t>
            </w:r>
          </w:p>
        </w:tc>
        <w:tc>
          <w:tcPr>
            <w:tcW w:w="513" w:type="dxa"/>
            <w:tcBorders>
              <w:top w:val="nil"/>
              <w:left w:val="nil"/>
              <w:bottom w:val="nil"/>
              <w:right w:val="nil"/>
            </w:tcBorders>
            <w:shd w:val="clear" w:color="000000" w:fill="FFFFFF"/>
            <w:vAlign w:val="center"/>
            <w:hideMark/>
          </w:tcPr>
          <w:p w14:paraId="62837CA4" w14:textId="77777777" w:rsidR="004D7F21" w:rsidRPr="002C5B2F" w:rsidRDefault="004D7F21" w:rsidP="00665D9C">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TI</w:t>
            </w:r>
          </w:p>
        </w:tc>
        <w:tc>
          <w:tcPr>
            <w:tcW w:w="238" w:type="dxa"/>
            <w:tcBorders>
              <w:top w:val="nil"/>
              <w:left w:val="nil"/>
              <w:bottom w:val="nil"/>
              <w:right w:val="nil"/>
            </w:tcBorders>
            <w:shd w:val="clear" w:color="000000" w:fill="FFFFFF"/>
            <w:vAlign w:val="center"/>
            <w:hideMark/>
          </w:tcPr>
          <w:p w14:paraId="69518085" w14:textId="77777777" w:rsidR="004D7F21" w:rsidRPr="002C5B2F" w:rsidRDefault="004D7F21" w:rsidP="00665D9C">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w:t>
            </w:r>
          </w:p>
        </w:tc>
        <w:tc>
          <w:tcPr>
            <w:tcW w:w="2280" w:type="dxa"/>
            <w:tcBorders>
              <w:top w:val="nil"/>
              <w:left w:val="nil"/>
              <w:bottom w:val="nil"/>
              <w:right w:val="nil"/>
            </w:tcBorders>
            <w:shd w:val="clear" w:color="000000" w:fill="FFFFFF"/>
            <w:vAlign w:val="center"/>
            <w:hideMark/>
          </w:tcPr>
          <w:p w14:paraId="76BC703D" w14:textId="77777777" w:rsidR="004D7F21" w:rsidRPr="002C5B2F" w:rsidRDefault="004D7F21" w:rsidP="00665D9C">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Ticino</w:t>
            </w:r>
          </w:p>
        </w:tc>
      </w:tr>
      <w:tr w:rsidR="004D7F21" w:rsidRPr="006F7050" w14:paraId="70962A2A" w14:textId="77777777" w:rsidTr="00665D9C">
        <w:trPr>
          <w:trHeight w:val="200"/>
        </w:trPr>
        <w:tc>
          <w:tcPr>
            <w:tcW w:w="961" w:type="dxa"/>
            <w:tcBorders>
              <w:top w:val="nil"/>
              <w:left w:val="nil"/>
              <w:bottom w:val="nil"/>
              <w:right w:val="nil"/>
            </w:tcBorders>
            <w:shd w:val="clear" w:color="auto" w:fill="auto"/>
            <w:noWrap/>
            <w:vAlign w:val="bottom"/>
            <w:hideMark/>
          </w:tcPr>
          <w:p w14:paraId="23EE07DD" w14:textId="77777777" w:rsidR="004D7F21" w:rsidRPr="002C5B2F" w:rsidRDefault="004D7F21" w:rsidP="00665D9C">
            <w:pPr>
              <w:pStyle w:val="CGCTablenote"/>
              <w:tabs>
                <w:tab w:val="clear" w:pos="567"/>
                <w:tab w:val="clear" w:pos="680"/>
              </w:tabs>
              <w:ind w:left="0" w:firstLine="0"/>
              <w:rPr>
                <w:rFonts w:ascii="Work Sans" w:eastAsia="Times New Roman" w:hAnsi="Work Sans" w:cs="Open Sans Light"/>
                <w:color w:val="585858"/>
                <w:szCs w:val="14"/>
                <w:lang w:eastAsia="en-AU"/>
              </w:rPr>
            </w:pPr>
          </w:p>
        </w:tc>
        <w:tc>
          <w:tcPr>
            <w:tcW w:w="457" w:type="dxa"/>
            <w:tcBorders>
              <w:top w:val="nil"/>
              <w:left w:val="nil"/>
              <w:bottom w:val="nil"/>
              <w:right w:val="nil"/>
            </w:tcBorders>
            <w:shd w:val="clear" w:color="000000" w:fill="FFFFFF"/>
            <w:vAlign w:val="center"/>
            <w:hideMark/>
          </w:tcPr>
          <w:p w14:paraId="7DB060BB" w14:textId="77777777" w:rsidR="004D7F21" w:rsidRPr="002C5B2F" w:rsidRDefault="004D7F21" w:rsidP="00665D9C">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BE</w:t>
            </w:r>
          </w:p>
        </w:tc>
        <w:tc>
          <w:tcPr>
            <w:tcW w:w="283" w:type="dxa"/>
            <w:tcBorders>
              <w:top w:val="nil"/>
              <w:left w:val="nil"/>
              <w:bottom w:val="nil"/>
              <w:right w:val="nil"/>
            </w:tcBorders>
            <w:shd w:val="clear" w:color="000000" w:fill="FFFFFF"/>
            <w:vAlign w:val="center"/>
            <w:hideMark/>
          </w:tcPr>
          <w:p w14:paraId="727BCFA8" w14:textId="77777777" w:rsidR="004D7F21" w:rsidRPr="002C5B2F" w:rsidRDefault="004D7F21" w:rsidP="00665D9C">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w:t>
            </w:r>
          </w:p>
        </w:tc>
        <w:tc>
          <w:tcPr>
            <w:tcW w:w="2268" w:type="dxa"/>
            <w:tcBorders>
              <w:top w:val="nil"/>
              <w:left w:val="nil"/>
              <w:bottom w:val="nil"/>
              <w:right w:val="nil"/>
            </w:tcBorders>
            <w:shd w:val="clear" w:color="000000" w:fill="FFFFFF"/>
            <w:vAlign w:val="center"/>
            <w:hideMark/>
          </w:tcPr>
          <w:p w14:paraId="12DA4543" w14:textId="77777777" w:rsidR="004D7F21" w:rsidRPr="002C5B2F" w:rsidRDefault="004D7F21" w:rsidP="00665D9C">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Bern</w:t>
            </w:r>
          </w:p>
        </w:tc>
        <w:tc>
          <w:tcPr>
            <w:tcW w:w="561" w:type="dxa"/>
            <w:tcBorders>
              <w:top w:val="nil"/>
              <w:left w:val="nil"/>
              <w:bottom w:val="nil"/>
              <w:right w:val="nil"/>
            </w:tcBorders>
            <w:shd w:val="clear" w:color="000000" w:fill="FFFFFF"/>
            <w:vAlign w:val="center"/>
            <w:hideMark/>
          </w:tcPr>
          <w:p w14:paraId="5A9FDE1A" w14:textId="77777777" w:rsidR="004D7F21" w:rsidRPr="002C5B2F" w:rsidRDefault="004D7F21" w:rsidP="00665D9C">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NE</w:t>
            </w:r>
          </w:p>
        </w:tc>
        <w:tc>
          <w:tcPr>
            <w:tcW w:w="236" w:type="dxa"/>
            <w:tcBorders>
              <w:top w:val="nil"/>
              <w:left w:val="nil"/>
              <w:bottom w:val="nil"/>
              <w:right w:val="nil"/>
            </w:tcBorders>
            <w:shd w:val="clear" w:color="000000" w:fill="FFFFFF"/>
            <w:vAlign w:val="center"/>
            <w:hideMark/>
          </w:tcPr>
          <w:p w14:paraId="42185F37" w14:textId="77777777" w:rsidR="004D7F21" w:rsidRPr="002C5B2F" w:rsidRDefault="004D7F21" w:rsidP="00665D9C">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w:t>
            </w:r>
          </w:p>
        </w:tc>
        <w:tc>
          <w:tcPr>
            <w:tcW w:w="2180" w:type="dxa"/>
            <w:tcBorders>
              <w:top w:val="nil"/>
              <w:left w:val="nil"/>
              <w:bottom w:val="nil"/>
              <w:right w:val="nil"/>
            </w:tcBorders>
            <w:shd w:val="clear" w:color="000000" w:fill="FFFFFF"/>
            <w:vAlign w:val="center"/>
            <w:hideMark/>
          </w:tcPr>
          <w:p w14:paraId="3C099DAB" w14:textId="77777777" w:rsidR="004D7F21" w:rsidRPr="002C5B2F" w:rsidRDefault="004D7F21" w:rsidP="00665D9C">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Neuchâtel</w:t>
            </w:r>
          </w:p>
        </w:tc>
        <w:tc>
          <w:tcPr>
            <w:tcW w:w="513" w:type="dxa"/>
            <w:tcBorders>
              <w:top w:val="nil"/>
              <w:left w:val="nil"/>
              <w:bottom w:val="nil"/>
              <w:right w:val="nil"/>
            </w:tcBorders>
            <w:shd w:val="clear" w:color="000000" w:fill="FFFFFF"/>
            <w:vAlign w:val="center"/>
            <w:hideMark/>
          </w:tcPr>
          <w:p w14:paraId="57F2770C" w14:textId="77777777" w:rsidR="004D7F21" w:rsidRPr="002C5B2F" w:rsidRDefault="004D7F21" w:rsidP="00665D9C">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UR</w:t>
            </w:r>
          </w:p>
        </w:tc>
        <w:tc>
          <w:tcPr>
            <w:tcW w:w="238" w:type="dxa"/>
            <w:tcBorders>
              <w:top w:val="nil"/>
              <w:left w:val="nil"/>
              <w:bottom w:val="nil"/>
              <w:right w:val="nil"/>
            </w:tcBorders>
            <w:shd w:val="clear" w:color="000000" w:fill="FFFFFF"/>
            <w:vAlign w:val="center"/>
            <w:hideMark/>
          </w:tcPr>
          <w:p w14:paraId="0BCDDD9B" w14:textId="77777777" w:rsidR="004D7F21" w:rsidRPr="002C5B2F" w:rsidRDefault="004D7F21" w:rsidP="00665D9C">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w:t>
            </w:r>
          </w:p>
        </w:tc>
        <w:tc>
          <w:tcPr>
            <w:tcW w:w="2280" w:type="dxa"/>
            <w:tcBorders>
              <w:top w:val="nil"/>
              <w:left w:val="nil"/>
              <w:bottom w:val="nil"/>
              <w:right w:val="nil"/>
            </w:tcBorders>
            <w:shd w:val="clear" w:color="000000" w:fill="FFFFFF"/>
            <w:vAlign w:val="center"/>
            <w:hideMark/>
          </w:tcPr>
          <w:p w14:paraId="73BB3967" w14:textId="77777777" w:rsidR="004D7F21" w:rsidRPr="002C5B2F" w:rsidRDefault="004D7F21" w:rsidP="00665D9C">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Uri</w:t>
            </w:r>
          </w:p>
        </w:tc>
      </w:tr>
      <w:tr w:rsidR="004D7F21" w:rsidRPr="006F7050" w14:paraId="7B45225D" w14:textId="77777777" w:rsidTr="00665D9C">
        <w:trPr>
          <w:trHeight w:val="200"/>
        </w:trPr>
        <w:tc>
          <w:tcPr>
            <w:tcW w:w="961" w:type="dxa"/>
            <w:tcBorders>
              <w:top w:val="nil"/>
              <w:left w:val="nil"/>
              <w:bottom w:val="nil"/>
              <w:right w:val="nil"/>
            </w:tcBorders>
            <w:shd w:val="clear" w:color="auto" w:fill="auto"/>
            <w:noWrap/>
            <w:vAlign w:val="bottom"/>
            <w:hideMark/>
          </w:tcPr>
          <w:p w14:paraId="4BDC6FF0" w14:textId="77777777" w:rsidR="004D7F21" w:rsidRPr="002C5B2F" w:rsidRDefault="004D7F21" w:rsidP="00665D9C">
            <w:pPr>
              <w:pStyle w:val="CGCTablenote"/>
              <w:tabs>
                <w:tab w:val="clear" w:pos="567"/>
                <w:tab w:val="clear" w:pos="680"/>
              </w:tabs>
              <w:ind w:left="0" w:firstLine="0"/>
              <w:rPr>
                <w:rFonts w:ascii="Work Sans" w:eastAsia="Times New Roman" w:hAnsi="Work Sans" w:cs="Open Sans Light"/>
                <w:color w:val="585858"/>
                <w:szCs w:val="14"/>
                <w:lang w:eastAsia="en-AU"/>
              </w:rPr>
            </w:pPr>
          </w:p>
        </w:tc>
        <w:tc>
          <w:tcPr>
            <w:tcW w:w="457" w:type="dxa"/>
            <w:tcBorders>
              <w:top w:val="nil"/>
              <w:left w:val="nil"/>
              <w:bottom w:val="nil"/>
              <w:right w:val="nil"/>
            </w:tcBorders>
            <w:shd w:val="clear" w:color="000000" w:fill="FFFFFF"/>
            <w:vAlign w:val="center"/>
            <w:hideMark/>
          </w:tcPr>
          <w:p w14:paraId="62BF2C91" w14:textId="77777777" w:rsidR="004D7F21" w:rsidRPr="002C5B2F" w:rsidRDefault="004D7F21" w:rsidP="00665D9C">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BL</w:t>
            </w:r>
          </w:p>
        </w:tc>
        <w:tc>
          <w:tcPr>
            <w:tcW w:w="283" w:type="dxa"/>
            <w:tcBorders>
              <w:top w:val="nil"/>
              <w:left w:val="nil"/>
              <w:bottom w:val="nil"/>
              <w:right w:val="nil"/>
            </w:tcBorders>
            <w:shd w:val="clear" w:color="000000" w:fill="FFFFFF"/>
            <w:vAlign w:val="center"/>
            <w:hideMark/>
          </w:tcPr>
          <w:p w14:paraId="5B1DA378" w14:textId="77777777" w:rsidR="004D7F21" w:rsidRPr="002C5B2F" w:rsidRDefault="004D7F21" w:rsidP="00665D9C">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w:t>
            </w:r>
          </w:p>
        </w:tc>
        <w:tc>
          <w:tcPr>
            <w:tcW w:w="2268" w:type="dxa"/>
            <w:tcBorders>
              <w:top w:val="nil"/>
              <w:left w:val="nil"/>
              <w:bottom w:val="nil"/>
              <w:right w:val="nil"/>
            </w:tcBorders>
            <w:shd w:val="clear" w:color="000000" w:fill="FFFFFF"/>
            <w:vAlign w:val="center"/>
            <w:hideMark/>
          </w:tcPr>
          <w:p w14:paraId="1B1528E8" w14:textId="68BB6DE8" w:rsidR="004D7F21" w:rsidRPr="002C5B2F" w:rsidRDefault="004D7F21" w:rsidP="00665D9C">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Basel</w:t>
            </w:r>
            <w:r w:rsidR="00B23000" w:rsidRPr="002C5B2F">
              <w:rPr>
                <w:rFonts w:ascii="Work Sans" w:hAnsi="Work Sans"/>
                <w:lang w:eastAsia="en-AU"/>
              </w:rPr>
              <w:t>-L</w:t>
            </w:r>
            <w:r w:rsidR="00D40AE3" w:rsidRPr="002C5B2F">
              <w:rPr>
                <w:rFonts w:ascii="Work Sans" w:hAnsi="Work Sans"/>
                <w:lang w:eastAsia="en-AU"/>
              </w:rPr>
              <w:t>andschaft</w:t>
            </w:r>
          </w:p>
        </w:tc>
        <w:tc>
          <w:tcPr>
            <w:tcW w:w="561" w:type="dxa"/>
            <w:tcBorders>
              <w:top w:val="nil"/>
              <w:left w:val="nil"/>
              <w:bottom w:val="nil"/>
              <w:right w:val="nil"/>
            </w:tcBorders>
            <w:shd w:val="clear" w:color="auto" w:fill="auto"/>
            <w:noWrap/>
            <w:vAlign w:val="center"/>
            <w:hideMark/>
          </w:tcPr>
          <w:p w14:paraId="15CF1EDB" w14:textId="77777777" w:rsidR="004D7F21" w:rsidRPr="002C5B2F" w:rsidRDefault="004D7F21" w:rsidP="00665D9C">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NW</w:t>
            </w:r>
          </w:p>
        </w:tc>
        <w:tc>
          <w:tcPr>
            <w:tcW w:w="236" w:type="dxa"/>
            <w:tcBorders>
              <w:top w:val="nil"/>
              <w:left w:val="nil"/>
              <w:bottom w:val="nil"/>
              <w:right w:val="nil"/>
            </w:tcBorders>
            <w:shd w:val="clear" w:color="000000" w:fill="FFFFFF"/>
            <w:vAlign w:val="center"/>
            <w:hideMark/>
          </w:tcPr>
          <w:p w14:paraId="45DF717A" w14:textId="77777777" w:rsidR="004D7F21" w:rsidRPr="002C5B2F" w:rsidRDefault="004D7F21" w:rsidP="00665D9C">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w:t>
            </w:r>
          </w:p>
        </w:tc>
        <w:tc>
          <w:tcPr>
            <w:tcW w:w="2180" w:type="dxa"/>
            <w:tcBorders>
              <w:top w:val="nil"/>
              <w:left w:val="nil"/>
              <w:bottom w:val="nil"/>
              <w:right w:val="nil"/>
            </w:tcBorders>
            <w:shd w:val="clear" w:color="auto" w:fill="auto"/>
            <w:noWrap/>
            <w:vAlign w:val="center"/>
            <w:hideMark/>
          </w:tcPr>
          <w:p w14:paraId="28113ED2" w14:textId="77777777" w:rsidR="004D7F21" w:rsidRPr="002C5B2F" w:rsidRDefault="004D7F21" w:rsidP="00665D9C">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Nidwalden</w:t>
            </w:r>
          </w:p>
        </w:tc>
        <w:tc>
          <w:tcPr>
            <w:tcW w:w="513" w:type="dxa"/>
            <w:tcBorders>
              <w:top w:val="nil"/>
              <w:left w:val="nil"/>
              <w:bottom w:val="nil"/>
              <w:right w:val="nil"/>
            </w:tcBorders>
            <w:shd w:val="clear" w:color="auto" w:fill="auto"/>
            <w:noWrap/>
            <w:vAlign w:val="center"/>
            <w:hideMark/>
          </w:tcPr>
          <w:p w14:paraId="38A3CE8A" w14:textId="77777777" w:rsidR="004D7F21" w:rsidRPr="002C5B2F" w:rsidRDefault="004D7F21" w:rsidP="00665D9C">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VD</w:t>
            </w:r>
          </w:p>
        </w:tc>
        <w:tc>
          <w:tcPr>
            <w:tcW w:w="238" w:type="dxa"/>
            <w:tcBorders>
              <w:top w:val="nil"/>
              <w:left w:val="nil"/>
              <w:bottom w:val="nil"/>
              <w:right w:val="nil"/>
            </w:tcBorders>
            <w:shd w:val="clear" w:color="000000" w:fill="FFFFFF"/>
            <w:vAlign w:val="center"/>
            <w:hideMark/>
          </w:tcPr>
          <w:p w14:paraId="7F374C36" w14:textId="77777777" w:rsidR="004D7F21" w:rsidRPr="002C5B2F" w:rsidRDefault="004D7F21" w:rsidP="00665D9C">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w:t>
            </w:r>
          </w:p>
        </w:tc>
        <w:tc>
          <w:tcPr>
            <w:tcW w:w="2280" w:type="dxa"/>
            <w:tcBorders>
              <w:top w:val="nil"/>
              <w:left w:val="nil"/>
              <w:bottom w:val="nil"/>
              <w:right w:val="nil"/>
            </w:tcBorders>
            <w:shd w:val="clear" w:color="auto" w:fill="auto"/>
            <w:noWrap/>
            <w:vAlign w:val="center"/>
            <w:hideMark/>
          </w:tcPr>
          <w:p w14:paraId="0773A9C8" w14:textId="77777777" w:rsidR="004D7F21" w:rsidRPr="002C5B2F" w:rsidRDefault="004D7F21" w:rsidP="00665D9C">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Vaud</w:t>
            </w:r>
          </w:p>
        </w:tc>
      </w:tr>
      <w:tr w:rsidR="004D7F21" w:rsidRPr="006F7050" w14:paraId="045E423E" w14:textId="77777777" w:rsidTr="00665D9C">
        <w:trPr>
          <w:trHeight w:val="200"/>
        </w:trPr>
        <w:tc>
          <w:tcPr>
            <w:tcW w:w="961" w:type="dxa"/>
            <w:tcBorders>
              <w:top w:val="nil"/>
              <w:left w:val="nil"/>
              <w:bottom w:val="nil"/>
              <w:right w:val="nil"/>
            </w:tcBorders>
            <w:shd w:val="clear" w:color="auto" w:fill="auto"/>
            <w:noWrap/>
            <w:vAlign w:val="bottom"/>
            <w:hideMark/>
          </w:tcPr>
          <w:p w14:paraId="26443948" w14:textId="77777777" w:rsidR="004D7F21" w:rsidRPr="002C5B2F" w:rsidRDefault="004D7F21" w:rsidP="00665D9C">
            <w:pPr>
              <w:pStyle w:val="CGCTablenote"/>
              <w:tabs>
                <w:tab w:val="clear" w:pos="567"/>
                <w:tab w:val="clear" w:pos="680"/>
              </w:tabs>
              <w:ind w:left="0" w:firstLine="0"/>
              <w:rPr>
                <w:rFonts w:ascii="Work Sans" w:eastAsia="Times New Roman" w:hAnsi="Work Sans" w:cs="Open Sans Light"/>
                <w:szCs w:val="14"/>
                <w:lang w:eastAsia="en-AU"/>
              </w:rPr>
            </w:pPr>
          </w:p>
        </w:tc>
        <w:tc>
          <w:tcPr>
            <w:tcW w:w="457" w:type="dxa"/>
            <w:tcBorders>
              <w:top w:val="nil"/>
              <w:left w:val="nil"/>
              <w:bottom w:val="nil"/>
              <w:right w:val="nil"/>
            </w:tcBorders>
            <w:shd w:val="clear" w:color="000000" w:fill="FFFFFF"/>
            <w:vAlign w:val="center"/>
            <w:hideMark/>
          </w:tcPr>
          <w:p w14:paraId="22563D6C" w14:textId="77777777" w:rsidR="004D7F21" w:rsidRPr="002C5B2F" w:rsidRDefault="004D7F21" w:rsidP="00665D9C">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BS</w:t>
            </w:r>
          </w:p>
        </w:tc>
        <w:tc>
          <w:tcPr>
            <w:tcW w:w="283" w:type="dxa"/>
            <w:tcBorders>
              <w:top w:val="nil"/>
              <w:left w:val="nil"/>
              <w:bottom w:val="nil"/>
              <w:right w:val="nil"/>
            </w:tcBorders>
            <w:shd w:val="clear" w:color="000000" w:fill="FFFFFF"/>
            <w:vAlign w:val="center"/>
            <w:hideMark/>
          </w:tcPr>
          <w:p w14:paraId="617F2FE6" w14:textId="77777777" w:rsidR="004D7F21" w:rsidRPr="002C5B2F" w:rsidRDefault="004D7F21" w:rsidP="00665D9C">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w:t>
            </w:r>
          </w:p>
        </w:tc>
        <w:tc>
          <w:tcPr>
            <w:tcW w:w="2268" w:type="dxa"/>
            <w:tcBorders>
              <w:top w:val="nil"/>
              <w:left w:val="nil"/>
              <w:bottom w:val="nil"/>
              <w:right w:val="nil"/>
            </w:tcBorders>
            <w:shd w:val="clear" w:color="000000" w:fill="FFFFFF"/>
            <w:vAlign w:val="center"/>
            <w:hideMark/>
          </w:tcPr>
          <w:p w14:paraId="675D7853" w14:textId="54D10756" w:rsidR="004D7F21" w:rsidRPr="002C5B2F" w:rsidRDefault="004D7F21" w:rsidP="00665D9C">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Basel</w:t>
            </w:r>
            <w:r w:rsidR="00B23000" w:rsidRPr="002C5B2F">
              <w:rPr>
                <w:rFonts w:ascii="Work Sans" w:hAnsi="Work Sans"/>
                <w:lang w:eastAsia="en-AU"/>
              </w:rPr>
              <w:t>-Stadt</w:t>
            </w:r>
          </w:p>
        </w:tc>
        <w:tc>
          <w:tcPr>
            <w:tcW w:w="561" w:type="dxa"/>
            <w:tcBorders>
              <w:top w:val="nil"/>
              <w:left w:val="nil"/>
              <w:bottom w:val="nil"/>
              <w:right w:val="nil"/>
            </w:tcBorders>
            <w:shd w:val="clear" w:color="000000" w:fill="FFFFFF"/>
            <w:vAlign w:val="center"/>
            <w:hideMark/>
          </w:tcPr>
          <w:p w14:paraId="07DDE5F7" w14:textId="77777777" w:rsidR="004D7F21" w:rsidRPr="002C5B2F" w:rsidRDefault="004D7F21" w:rsidP="00665D9C">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OW</w:t>
            </w:r>
          </w:p>
        </w:tc>
        <w:tc>
          <w:tcPr>
            <w:tcW w:w="236" w:type="dxa"/>
            <w:tcBorders>
              <w:top w:val="nil"/>
              <w:left w:val="nil"/>
              <w:bottom w:val="nil"/>
              <w:right w:val="nil"/>
            </w:tcBorders>
            <w:shd w:val="clear" w:color="000000" w:fill="FFFFFF"/>
            <w:vAlign w:val="center"/>
            <w:hideMark/>
          </w:tcPr>
          <w:p w14:paraId="66CBF817" w14:textId="77777777" w:rsidR="004D7F21" w:rsidRPr="002C5B2F" w:rsidRDefault="004D7F21" w:rsidP="00665D9C">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w:t>
            </w:r>
          </w:p>
        </w:tc>
        <w:tc>
          <w:tcPr>
            <w:tcW w:w="2180" w:type="dxa"/>
            <w:tcBorders>
              <w:top w:val="nil"/>
              <w:left w:val="nil"/>
              <w:bottom w:val="nil"/>
              <w:right w:val="nil"/>
            </w:tcBorders>
            <w:shd w:val="clear" w:color="000000" w:fill="FFFFFF"/>
            <w:vAlign w:val="center"/>
            <w:hideMark/>
          </w:tcPr>
          <w:p w14:paraId="39F96F82" w14:textId="77777777" w:rsidR="004D7F21" w:rsidRPr="002C5B2F" w:rsidRDefault="004D7F21" w:rsidP="00665D9C">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Obwalden</w:t>
            </w:r>
          </w:p>
        </w:tc>
        <w:tc>
          <w:tcPr>
            <w:tcW w:w="513" w:type="dxa"/>
            <w:tcBorders>
              <w:top w:val="nil"/>
              <w:left w:val="nil"/>
              <w:bottom w:val="nil"/>
              <w:right w:val="nil"/>
            </w:tcBorders>
            <w:shd w:val="clear" w:color="000000" w:fill="FFFFFF"/>
            <w:vAlign w:val="center"/>
            <w:hideMark/>
          </w:tcPr>
          <w:p w14:paraId="3137B04F" w14:textId="77777777" w:rsidR="004D7F21" w:rsidRPr="002C5B2F" w:rsidRDefault="004D7F21" w:rsidP="00665D9C">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VS</w:t>
            </w:r>
          </w:p>
        </w:tc>
        <w:tc>
          <w:tcPr>
            <w:tcW w:w="238" w:type="dxa"/>
            <w:tcBorders>
              <w:top w:val="nil"/>
              <w:left w:val="nil"/>
              <w:bottom w:val="nil"/>
              <w:right w:val="nil"/>
            </w:tcBorders>
            <w:shd w:val="clear" w:color="000000" w:fill="FFFFFF"/>
            <w:vAlign w:val="center"/>
            <w:hideMark/>
          </w:tcPr>
          <w:p w14:paraId="4073979F" w14:textId="77777777" w:rsidR="004D7F21" w:rsidRPr="002C5B2F" w:rsidRDefault="004D7F21" w:rsidP="00665D9C">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w:t>
            </w:r>
          </w:p>
        </w:tc>
        <w:tc>
          <w:tcPr>
            <w:tcW w:w="2280" w:type="dxa"/>
            <w:tcBorders>
              <w:top w:val="nil"/>
              <w:left w:val="nil"/>
              <w:bottom w:val="nil"/>
              <w:right w:val="nil"/>
            </w:tcBorders>
            <w:shd w:val="clear" w:color="000000" w:fill="FFFFFF"/>
            <w:vAlign w:val="center"/>
            <w:hideMark/>
          </w:tcPr>
          <w:p w14:paraId="2D8C8F32" w14:textId="77777777" w:rsidR="004D7F21" w:rsidRPr="002C5B2F" w:rsidRDefault="004D7F21" w:rsidP="00665D9C">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Valais</w:t>
            </w:r>
          </w:p>
        </w:tc>
      </w:tr>
      <w:tr w:rsidR="004D7F21" w:rsidRPr="006F7050" w14:paraId="1D8FB09B" w14:textId="77777777" w:rsidTr="00665D9C">
        <w:trPr>
          <w:trHeight w:val="200"/>
        </w:trPr>
        <w:tc>
          <w:tcPr>
            <w:tcW w:w="961" w:type="dxa"/>
            <w:tcBorders>
              <w:top w:val="nil"/>
              <w:left w:val="nil"/>
              <w:bottom w:val="nil"/>
              <w:right w:val="nil"/>
            </w:tcBorders>
            <w:shd w:val="clear" w:color="auto" w:fill="auto"/>
            <w:noWrap/>
            <w:vAlign w:val="bottom"/>
            <w:hideMark/>
          </w:tcPr>
          <w:p w14:paraId="2F1FE62B" w14:textId="77777777" w:rsidR="004D7F21" w:rsidRPr="002C5B2F" w:rsidRDefault="004D7F21" w:rsidP="00665D9C">
            <w:pPr>
              <w:pStyle w:val="CGCTablenote"/>
              <w:tabs>
                <w:tab w:val="clear" w:pos="567"/>
                <w:tab w:val="clear" w:pos="680"/>
              </w:tabs>
              <w:ind w:left="0" w:firstLine="0"/>
              <w:rPr>
                <w:rFonts w:ascii="Work Sans" w:eastAsia="Times New Roman" w:hAnsi="Work Sans" w:cs="Open Sans Light"/>
                <w:color w:val="585858"/>
                <w:szCs w:val="14"/>
                <w:lang w:eastAsia="en-AU"/>
              </w:rPr>
            </w:pPr>
          </w:p>
        </w:tc>
        <w:tc>
          <w:tcPr>
            <w:tcW w:w="457" w:type="dxa"/>
            <w:tcBorders>
              <w:top w:val="nil"/>
              <w:left w:val="nil"/>
              <w:bottom w:val="nil"/>
              <w:right w:val="nil"/>
            </w:tcBorders>
            <w:shd w:val="clear" w:color="000000" w:fill="FFFFFF"/>
            <w:vAlign w:val="center"/>
            <w:hideMark/>
          </w:tcPr>
          <w:p w14:paraId="75CDC873" w14:textId="77777777" w:rsidR="004D7F21" w:rsidRPr="002C5B2F" w:rsidRDefault="004D7F21" w:rsidP="00665D9C">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FR</w:t>
            </w:r>
          </w:p>
        </w:tc>
        <w:tc>
          <w:tcPr>
            <w:tcW w:w="283" w:type="dxa"/>
            <w:tcBorders>
              <w:top w:val="nil"/>
              <w:left w:val="nil"/>
              <w:bottom w:val="nil"/>
              <w:right w:val="nil"/>
            </w:tcBorders>
            <w:shd w:val="clear" w:color="000000" w:fill="FFFFFF"/>
            <w:vAlign w:val="center"/>
            <w:hideMark/>
          </w:tcPr>
          <w:p w14:paraId="728FD2E5" w14:textId="77777777" w:rsidR="004D7F21" w:rsidRPr="002C5B2F" w:rsidRDefault="004D7F21" w:rsidP="00665D9C">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w:t>
            </w:r>
          </w:p>
        </w:tc>
        <w:tc>
          <w:tcPr>
            <w:tcW w:w="2268" w:type="dxa"/>
            <w:tcBorders>
              <w:top w:val="nil"/>
              <w:left w:val="nil"/>
              <w:bottom w:val="nil"/>
              <w:right w:val="nil"/>
            </w:tcBorders>
            <w:shd w:val="clear" w:color="000000" w:fill="FFFFFF"/>
            <w:vAlign w:val="center"/>
            <w:hideMark/>
          </w:tcPr>
          <w:p w14:paraId="129A836B" w14:textId="77777777" w:rsidR="004D7F21" w:rsidRPr="002C5B2F" w:rsidRDefault="004D7F21" w:rsidP="00665D9C">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Fribourg</w:t>
            </w:r>
          </w:p>
        </w:tc>
        <w:tc>
          <w:tcPr>
            <w:tcW w:w="561" w:type="dxa"/>
            <w:tcBorders>
              <w:top w:val="nil"/>
              <w:left w:val="nil"/>
              <w:bottom w:val="nil"/>
              <w:right w:val="nil"/>
            </w:tcBorders>
            <w:shd w:val="clear" w:color="000000" w:fill="FFFFFF"/>
            <w:vAlign w:val="center"/>
            <w:hideMark/>
          </w:tcPr>
          <w:p w14:paraId="4CB06CD2" w14:textId="77777777" w:rsidR="004D7F21" w:rsidRPr="002C5B2F" w:rsidRDefault="004D7F21" w:rsidP="00665D9C">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SG</w:t>
            </w:r>
          </w:p>
        </w:tc>
        <w:tc>
          <w:tcPr>
            <w:tcW w:w="236" w:type="dxa"/>
            <w:tcBorders>
              <w:top w:val="nil"/>
              <w:left w:val="nil"/>
              <w:bottom w:val="nil"/>
              <w:right w:val="nil"/>
            </w:tcBorders>
            <w:shd w:val="clear" w:color="000000" w:fill="FFFFFF"/>
            <w:vAlign w:val="center"/>
            <w:hideMark/>
          </w:tcPr>
          <w:p w14:paraId="274BA309" w14:textId="77777777" w:rsidR="004D7F21" w:rsidRPr="002C5B2F" w:rsidRDefault="004D7F21" w:rsidP="00665D9C">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w:t>
            </w:r>
          </w:p>
        </w:tc>
        <w:tc>
          <w:tcPr>
            <w:tcW w:w="2180" w:type="dxa"/>
            <w:tcBorders>
              <w:top w:val="nil"/>
              <w:left w:val="nil"/>
              <w:bottom w:val="nil"/>
              <w:right w:val="nil"/>
            </w:tcBorders>
            <w:shd w:val="clear" w:color="000000" w:fill="FFFFFF"/>
            <w:vAlign w:val="center"/>
            <w:hideMark/>
          </w:tcPr>
          <w:p w14:paraId="1BBA5595" w14:textId="77777777" w:rsidR="004D7F21" w:rsidRPr="002C5B2F" w:rsidRDefault="004D7F21" w:rsidP="00665D9C">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St. Gallen</w:t>
            </w:r>
          </w:p>
        </w:tc>
        <w:tc>
          <w:tcPr>
            <w:tcW w:w="513" w:type="dxa"/>
            <w:tcBorders>
              <w:top w:val="nil"/>
              <w:left w:val="nil"/>
              <w:bottom w:val="nil"/>
              <w:right w:val="nil"/>
            </w:tcBorders>
            <w:shd w:val="clear" w:color="000000" w:fill="FFFFFF"/>
            <w:vAlign w:val="center"/>
            <w:hideMark/>
          </w:tcPr>
          <w:p w14:paraId="5671E947" w14:textId="77777777" w:rsidR="004D7F21" w:rsidRPr="002C5B2F" w:rsidRDefault="004D7F21" w:rsidP="00665D9C">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ZG</w:t>
            </w:r>
          </w:p>
        </w:tc>
        <w:tc>
          <w:tcPr>
            <w:tcW w:w="238" w:type="dxa"/>
            <w:tcBorders>
              <w:top w:val="nil"/>
              <w:left w:val="nil"/>
              <w:bottom w:val="nil"/>
              <w:right w:val="nil"/>
            </w:tcBorders>
            <w:shd w:val="clear" w:color="000000" w:fill="FFFFFF"/>
            <w:vAlign w:val="center"/>
            <w:hideMark/>
          </w:tcPr>
          <w:p w14:paraId="6B0F32D0" w14:textId="77777777" w:rsidR="004D7F21" w:rsidRPr="002C5B2F" w:rsidRDefault="004D7F21" w:rsidP="00665D9C">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w:t>
            </w:r>
          </w:p>
        </w:tc>
        <w:tc>
          <w:tcPr>
            <w:tcW w:w="2280" w:type="dxa"/>
            <w:tcBorders>
              <w:top w:val="nil"/>
              <w:left w:val="nil"/>
              <w:bottom w:val="nil"/>
              <w:right w:val="nil"/>
            </w:tcBorders>
            <w:shd w:val="clear" w:color="000000" w:fill="FFFFFF"/>
            <w:vAlign w:val="center"/>
            <w:hideMark/>
          </w:tcPr>
          <w:p w14:paraId="411D5697" w14:textId="77777777" w:rsidR="004D7F21" w:rsidRPr="002C5B2F" w:rsidRDefault="004D7F21" w:rsidP="00665D9C">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Zug (b)</w:t>
            </w:r>
          </w:p>
        </w:tc>
      </w:tr>
      <w:tr w:rsidR="004D7F21" w:rsidRPr="006F7050" w14:paraId="2556242F" w14:textId="77777777" w:rsidTr="00665D9C">
        <w:trPr>
          <w:trHeight w:val="200"/>
        </w:trPr>
        <w:tc>
          <w:tcPr>
            <w:tcW w:w="961" w:type="dxa"/>
            <w:tcBorders>
              <w:top w:val="nil"/>
              <w:left w:val="nil"/>
              <w:bottom w:val="nil"/>
              <w:right w:val="nil"/>
            </w:tcBorders>
            <w:shd w:val="clear" w:color="auto" w:fill="auto"/>
            <w:noWrap/>
            <w:vAlign w:val="bottom"/>
            <w:hideMark/>
          </w:tcPr>
          <w:p w14:paraId="2C76E44E" w14:textId="77777777" w:rsidR="004D7F21" w:rsidRPr="002C5B2F" w:rsidRDefault="004D7F21" w:rsidP="00665D9C">
            <w:pPr>
              <w:pStyle w:val="CGCTablenote"/>
              <w:tabs>
                <w:tab w:val="clear" w:pos="567"/>
                <w:tab w:val="clear" w:pos="680"/>
              </w:tabs>
              <w:ind w:left="0" w:firstLine="0"/>
              <w:rPr>
                <w:rFonts w:ascii="Work Sans" w:eastAsia="Times New Roman" w:hAnsi="Work Sans" w:cs="Open Sans Light"/>
                <w:color w:val="585858"/>
                <w:szCs w:val="14"/>
                <w:lang w:eastAsia="en-AU"/>
              </w:rPr>
            </w:pPr>
          </w:p>
        </w:tc>
        <w:tc>
          <w:tcPr>
            <w:tcW w:w="457" w:type="dxa"/>
            <w:tcBorders>
              <w:top w:val="nil"/>
              <w:left w:val="nil"/>
              <w:bottom w:val="nil"/>
              <w:right w:val="nil"/>
            </w:tcBorders>
            <w:shd w:val="clear" w:color="000000" w:fill="FFFFFF"/>
            <w:vAlign w:val="center"/>
            <w:hideMark/>
          </w:tcPr>
          <w:p w14:paraId="68214E70" w14:textId="77777777" w:rsidR="004D7F21" w:rsidRPr="002C5B2F" w:rsidRDefault="004D7F21" w:rsidP="00665D9C">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GE</w:t>
            </w:r>
          </w:p>
        </w:tc>
        <w:tc>
          <w:tcPr>
            <w:tcW w:w="283" w:type="dxa"/>
            <w:tcBorders>
              <w:top w:val="nil"/>
              <w:left w:val="nil"/>
              <w:bottom w:val="nil"/>
              <w:right w:val="nil"/>
            </w:tcBorders>
            <w:shd w:val="clear" w:color="000000" w:fill="FFFFFF"/>
            <w:vAlign w:val="center"/>
            <w:hideMark/>
          </w:tcPr>
          <w:p w14:paraId="60CB112D" w14:textId="77777777" w:rsidR="004D7F21" w:rsidRPr="002C5B2F" w:rsidRDefault="004D7F21" w:rsidP="00665D9C">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w:t>
            </w:r>
          </w:p>
        </w:tc>
        <w:tc>
          <w:tcPr>
            <w:tcW w:w="2268" w:type="dxa"/>
            <w:tcBorders>
              <w:top w:val="nil"/>
              <w:left w:val="nil"/>
              <w:bottom w:val="nil"/>
              <w:right w:val="nil"/>
            </w:tcBorders>
            <w:shd w:val="clear" w:color="000000" w:fill="FFFFFF"/>
            <w:vAlign w:val="center"/>
            <w:hideMark/>
          </w:tcPr>
          <w:p w14:paraId="695EDA2A" w14:textId="14609D1A" w:rsidR="004D7F21" w:rsidRPr="002C5B2F" w:rsidRDefault="004D7F21" w:rsidP="00665D9C">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Geneva</w:t>
            </w:r>
          </w:p>
        </w:tc>
        <w:tc>
          <w:tcPr>
            <w:tcW w:w="561" w:type="dxa"/>
            <w:tcBorders>
              <w:top w:val="nil"/>
              <w:left w:val="nil"/>
              <w:bottom w:val="nil"/>
              <w:right w:val="nil"/>
            </w:tcBorders>
            <w:shd w:val="clear" w:color="000000" w:fill="FFFFFF"/>
            <w:vAlign w:val="center"/>
            <w:hideMark/>
          </w:tcPr>
          <w:p w14:paraId="76E46FE5" w14:textId="77777777" w:rsidR="004D7F21" w:rsidRPr="002C5B2F" w:rsidRDefault="004D7F21" w:rsidP="00665D9C">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SH</w:t>
            </w:r>
          </w:p>
        </w:tc>
        <w:tc>
          <w:tcPr>
            <w:tcW w:w="236" w:type="dxa"/>
            <w:tcBorders>
              <w:top w:val="nil"/>
              <w:left w:val="nil"/>
              <w:bottom w:val="nil"/>
              <w:right w:val="nil"/>
            </w:tcBorders>
            <w:shd w:val="clear" w:color="000000" w:fill="FFFFFF"/>
            <w:vAlign w:val="center"/>
            <w:hideMark/>
          </w:tcPr>
          <w:p w14:paraId="34A5A0F3" w14:textId="77777777" w:rsidR="004D7F21" w:rsidRPr="002C5B2F" w:rsidRDefault="004D7F21" w:rsidP="00665D9C">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w:t>
            </w:r>
          </w:p>
        </w:tc>
        <w:tc>
          <w:tcPr>
            <w:tcW w:w="2180" w:type="dxa"/>
            <w:tcBorders>
              <w:top w:val="nil"/>
              <w:left w:val="nil"/>
              <w:bottom w:val="nil"/>
              <w:right w:val="nil"/>
            </w:tcBorders>
            <w:shd w:val="clear" w:color="000000" w:fill="FFFFFF"/>
            <w:vAlign w:val="center"/>
            <w:hideMark/>
          </w:tcPr>
          <w:p w14:paraId="511C4E63" w14:textId="77777777" w:rsidR="004D7F21" w:rsidRPr="002C5B2F" w:rsidRDefault="004D7F21" w:rsidP="00665D9C">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Schaffhausen</w:t>
            </w:r>
          </w:p>
        </w:tc>
        <w:tc>
          <w:tcPr>
            <w:tcW w:w="513" w:type="dxa"/>
            <w:tcBorders>
              <w:top w:val="nil"/>
              <w:left w:val="nil"/>
              <w:bottom w:val="nil"/>
              <w:right w:val="nil"/>
            </w:tcBorders>
            <w:shd w:val="clear" w:color="000000" w:fill="FFFFFF"/>
            <w:vAlign w:val="center"/>
            <w:hideMark/>
          </w:tcPr>
          <w:p w14:paraId="45F80A13" w14:textId="77777777" w:rsidR="004D7F21" w:rsidRPr="002C5B2F" w:rsidRDefault="004D7F21" w:rsidP="00665D9C">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ZH</w:t>
            </w:r>
          </w:p>
        </w:tc>
        <w:tc>
          <w:tcPr>
            <w:tcW w:w="238" w:type="dxa"/>
            <w:tcBorders>
              <w:top w:val="nil"/>
              <w:left w:val="nil"/>
              <w:bottom w:val="nil"/>
              <w:right w:val="nil"/>
            </w:tcBorders>
            <w:shd w:val="clear" w:color="000000" w:fill="FFFFFF"/>
            <w:vAlign w:val="center"/>
            <w:hideMark/>
          </w:tcPr>
          <w:p w14:paraId="57A75A23" w14:textId="77777777" w:rsidR="004D7F21" w:rsidRPr="002C5B2F" w:rsidRDefault="004D7F21" w:rsidP="00665D9C">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w:t>
            </w:r>
          </w:p>
        </w:tc>
        <w:tc>
          <w:tcPr>
            <w:tcW w:w="2280" w:type="dxa"/>
            <w:tcBorders>
              <w:top w:val="nil"/>
              <w:left w:val="nil"/>
              <w:bottom w:val="nil"/>
              <w:right w:val="nil"/>
            </w:tcBorders>
            <w:shd w:val="clear" w:color="000000" w:fill="FFFFFF"/>
            <w:vAlign w:val="center"/>
            <w:hideMark/>
          </w:tcPr>
          <w:p w14:paraId="4A39C562" w14:textId="77777777" w:rsidR="004D7F21" w:rsidRPr="002C5B2F" w:rsidRDefault="004D7F21" w:rsidP="00665D9C">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Zurich</w:t>
            </w:r>
          </w:p>
        </w:tc>
      </w:tr>
      <w:tr w:rsidR="004D7F21" w:rsidRPr="006F7050" w14:paraId="6D3B7D81" w14:textId="77777777" w:rsidTr="00665D9C">
        <w:trPr>
          <w:trHeight w:val="200"/>
        </w:trPr>
        <w:tc>
          <w:tcPr>
            <w:tcW w:w="961" w:type="dxa"/>
            <w:tcBorders>
              <w:top w:val="nil"/>
              <w:left w:val="nil"/>
              <w:bottom w:val="nil"/>
              <w:right w:val="nil"/>
            </w:tcBorders>
            <w:shd w:val="clear" w:color="auto" w:fill="auto"/>
            <w:noWrap/>
            <w:vAlign w:val="bottom"/>
            <w:hideMark/>
          </w:tcPr>
          <w:p w14:paraId="74B6E1E8" w14:textId="77777777" w:rsidR="004D7F21" w:rsidRPr="002C5B2F" w:rsidRDefault="004D7F21" w:rsidP="00665D9C">
            <w:pPr>
              <w:pStyle w:val="CGCTablenote"/>
              <w:tabs>
                <w:tab w:val="clear" w:pos="567"/>
                <w:tab w:val="clear" w:pos="680"/>
              </w:tabs>
              <w:ind w:left="0" w:firstLine="0"/>
              <w:rPr>
                <w:rFonts w:ascii="Work Sans" w:eastAsia="Times New Roman" w:hAnsi="Work Sans" w:cs="Open Sans Light"/>
                <w:color w:val="585858"/>
                <w:szCs w:val="14"/>
                <w:lang w:eastAsia="en-AU"/>
              </w:rPr>
            </w:pPr>
          </w:p>
        </w:tc>
        <w:tc>
          <w:tcPr>
            <w:tcW w:w="457" w:type="dxa"/>
            <w:tcBorders>
              <w:top w:val="nil"/>
              <w:left w:val="nil"/>
              <w:bottom w:val="nil"/>
              <w:right w:val="nil"/>
            </w:tcBorders>
            <w:shd w:val="clear" w:color="000000" w:fill="FFFFFF"/>
            <w:vAlign w:val="center"/>
            <w:hideMark/>
          </w:tcPr>
          <w:p w14:paraId="27058262" w14:textId="77777777" w:rsidR="004D7F21" w:rsidRPr="002C5B2F" w:rsidRDefault="004D7F21" w:rsidP="00665D9C">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GL</w:t>
            </w:r>
          </w:p>
        </w:tc>
        <w:tc>
          <w:tcPr>
            <w:tcW w:w="283" w:type="dxa"/>
            <w:tcBorders>
              <w:top w:val="nil"/>
              <w:left w:val="nil"/>
              <w:bottom w:val="nil"/>
              <w:right w:val="nil"/>
            </w:tcBorders>
            <w:shd w:val="clear" w:color="000000" w:fill="FFFFFF"/>
            <w:vAlign w:val="center"/>
            <w:hideMark/>
          </w:tcPr>
          <w:p w14:paraId="1967C23F" w14:textId="77777777" w:rsidR="004D7F21" w:rsidRPr="002C5B2F" w:rsidRDefault="004D7F21" w:rsidP="00665D9C">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w:t>
            </w:r>
          </w:p>
        </w:tc>
        <w:tc>
          <w:tcPr>
            <w:tcW w:w="2268" w:type="dxa"/>
            <w:tcBorders>
              <w:top w:val="nil"/>
              <w:left w:val="nil"/>
              <w:bottom w:val="nil"/>
              <w:right w:val="nil"/>
            </w:tcBorders>
            <w:shd w:val="clear" w:color="000000" w:fill="FFFFFF"/>
            <w:vAlign w:val="center"/>
            <w:hideMark/>
          </w:tcPr>
          <w:p w14:paraId="3C9399CB" w14:textId="77777777" w:rsidR="004D7F21" w:rsidRPr="002C5B2F" w:rsidRDefault="004D7F21" w:rsidP="00665D9C">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Glarus</w:t>
            </w:r>
          </w:p>
        </w:tc>
        <w:tc>
          <w:tcPr>
            <w:tcW w:w="561" w:type="dxa"/>
            <w:tcBorders>
              <w:top w:val="nil"/>
              <w:left w:val="nil"/>
              <w:bottom w:val="nil"/>
              <w:right w:val="nil"/>
            </w:tcBorders>
            <w:shd w:val="clear" w:color="000000" w:fill="FFFFFF"/>
            <w:vAlign w:val="center"/>
            <w:hideMark/>
          </w:tcPr>
          <w:p w14:paraId="057FCF5A" w14:textId="77777777" w:rsidR="004D7F21" w:rsidRPr="002C5B2F" w:rsidRDefault="004D7F21" w:rsidP="00665D9C">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SO</w:t>
            </w:r>
          </w:p>
        </w:tc>
        <w:tc>
          <w:tcPr>
            <w:tcW w:w="236" w:type="dxa"/>
            <w:tcBorders>
              <w:top w:val="nil"/>
              <w:left w:val="nil"/>
              <w:bottom w:val="nil"/>
              <w:right w:val="nil"/>
            </w:tcBorders>
            <w:shd w:val="clear" w:color="000000" w:fill="FFFFFF"/>
            <w:vAlign w:val="center"/>
            <w:hideMark/>
          </w:tcPr>
          <w:p w14:paraId="13425191" w14:textId="77777777" w:rsidR="004D7F21" w:rsidRPr="002C5B2F" w:rsidRDefault="004D7F21" w:rsidP="00665D9C">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w:t>
            </w:r>
          </w:p>
        </w:tc>
        <w:tc>
          <w:tcPr>
            <w:tcW w:w="2180" w:type="dxa"/>
            <w:tcBorders>
              <w:top w:val="nil"/>
              <w:left w:val="nil"/>
              <w:bottom w:val="nil"/>
              <w:right w:val="nil"/>
            </w:tcBorders>
            <w:shd w:val="clear" w:color="000000" w:fill="FFFFFF"/>
            <w:vAlign w:val="center"/>
            <w:hideMark/>
          </w:tcPr>
          <w:p w14:paraId="723FDF0C" w14:textId="77777777" w:rsidR="004D7F21" w:rsidRPr="002C5B2F" w:rsidRDefault="004D7F21" w:rsidP="00665D9C">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Solothurn</w:t>
            </w:r>
          </w:p>
        </w:tc>
        <w:tc>
          <w:tcPr>
            <w:tcW w:w="513" w:type="dxa"/>
            <w:tcBorders>
              <w:top w:val="nil"/>
              <w:left w:val="nil"/>
              <w:bottom w:val="nil"/>
              <w:right w:val="nil"/>
            </w:tcBorders>
            <w:shd w:val="clear" w:color="000000" w:fill="FFFFFF"/>
            <w:vAlign w:val="center"/>
            <w:hideMark/>
          </w:tcPr>
          <w:p w14:paraId="175CB21E" w14:textId="77777777" w:rsidR="004D7F21" w:rsidRPr="002C5B2F" w:rsidRDefault="004D7F21" w:rsidP="00665D9C">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 </w:t>
            </w:r>
          </w:p>
        </w:tc>
        <w:tc>
          <w:tcPr>
            <w:tcW w:w="238" w:type="dxa"/>
            <w:tcBorders>
              <w:top w:val="nil"/>
              <w:left w:val="nil"/>
              <w:bottom w:val="nil"/>
              <w:right w:val="nil"/>
            </w:tcBorders>
            <w:shd w:val="clear" w:color="000000" w:fill="FFFFFF"/>
            <w:vAlign w:val="center"/>
            <w:hideMark/>
          </w:tcPr>
          <w:p w14:paraId="5A29EBF5" w14:textId="77777777" w:rsidR="004D7F21" w:rsidRPr="002C5B2F" w:rsidRDefault="004D7F21" w:rsidP="00665D9C">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 </w:t>
            </w:r>
          </w:p>
        </w:tc>
        <w:tc>
          <w:tcPr>
            <w:tcW w:w="2280" w:type="dxa"/>
            <w:tcBorders>
              <w:top w:val="nil"/>
              <w:left w:val="nil"/>
              <w:bottom w:val="nil"/>
              <w:right w:val="nil"/>
            </w:tcBorders>
            <w:shd w:val="clear" w:color="000000" w:fill="FFFFFF"/>
            <w:vAlign w:val="center"/>
            <w:hideMark/>
          </w:tcPr>
          <w:p w14:paraId="154E05A6" w14:textId="77777777" w:rsidR="004D7F21" w:rsidRPr="002C5B2F" w:rsidRDefault="004D7F21" w:rsidP="00665D9C">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 </w:t>
            </w:r>
          </w:p>
        </w:tc>
      </w:tr>
    </w:tbl>
    <w:p w14:paraId="1E4AB3A7" w14:textId="77777777" w:rsidR="004D7F21" w:rsidRPr="00F678E3" w:rsidRDefault="004D7F21" w:rsidP="00665D9C">
      <w:pPr>
        <w:pStyle w:val="CGCTablenote"/>
        <w:numPr>
          <w:ilvl w:val="0"/>
          <w:numId w:val="38"/>
        </w:numPr>
        <w:tabs>
          <w:tab w:val="clear" w:pos="567"/>
        </w:tabs>
        <w:ind w:left="426" w:hanging="426"/>
        <w:rPr>
          <w:rFonts w:ascii="Work Sans" w:eastAsia="Times New Roman" w:hAnsi="Work Sans" w:cs="Open Sans Light"/>
          <w:color w:val="000000" w:themeColor="text1"/>
          <w:szCs w:val="14"/>
          <w:lang w:eastAsia="en-AU"/>
        </w:rPr>
      </w:pPr>
      <w:bookmarkStart w:id="13" w:name="_Toc79486931"/>
      <w:r w:rsidRPr="00F678E3">
        <w:rPr>
          <w:rFonts w:ascii="Work Sans" w:eastAsia="Times New Roman" w:hAnsi="Work Sans" w:cs="Open Sans Light"/>
          <w:color w:val="000000" w:themeColor="text1"/>
          <w:szCs w:val="14"/>
          <w:lang w:eastAsia="en-AU"/>
        </w:rPr>
        <w:t>Revenue capacity after equalisation includes revenue from federal equalisation payments, resulting in a higher average capacity than before equalisation</w:t>
      </w:r>
    </w:p>
    <w:p w14:paraId="32DAD5D3" w14:textId="77777777" w:rsidR="004D7F21" w:rsidRPr="00F678E3" w:rsidRDefault="004D7F21" w:rsidP="00665D9C">
      <w:pPr>
        <w:pStyle w:val="CGCTablenote"/>
        <w:numPr>
          <w:ilvl w:val="0"/>
          <w:numId w:val="38"/>
        </w:numPr>
        <w:shd w:val="clear" w:color="auto" w:fill="FFFFFF" w:themeFill="background1"/>
        <w:tabs>
          <w:tab w:val="clear" w:pos="567"/>
        </w:tabs>
        <w:ind w:left="426" w:hanging="426"/>
        <w:rPr>
          <w:rFonts w:ascii="Work Sans" w:eastAsia="Times New Roman" w:hAnsi="Work Sans" w:cs="Open Sans Light"/>
          <w:color w:val="000000" w:themeColor="text1"/>
          <w:szCs w:val="14"/>
          <w:lang w:eastAsia="en-AU"/>
        </w:rPr>
      </w:pPr>
      <w:r w:rsidRPr="00F678E3">
        <w:rPr>
          <w:rFonts w:ascii="Work Sans" w:eastAsia="Times New Roman" w:hAnsi="Work Sans" w:cs="Open Sans Light"/>
          <w:color w:val="000000" w:themeColor="text1"/>
          <w:szCs w:val="14"/>
          <w:lang w:eastAsia="en-AU"/>
        </w:rPr>
        <w:t>Zug (not shown) has 254% of the average revenue capacity before equalisation and 220% after. It receives negligible expense equalisation payments</w:t>
      </w:r>
    </w:p>
    <w:p w14:paraId="1049D66C" w14:textId="77777777" w:rsidR="004D7F21" w:rsidRPr="002C5B2F" w:rsidRDefault="004D7F21" w:rsidP="004D7F21">
      <w:pPr>
        <w:pStyle w:val="CGCTablenote"/>
        <w:ind w:left="0"/>
        <w:rPr>
          <w:rFonts w:ascii="Work Sans" w:hAnsi="Work Sans"/>
        </w:rPr>
      </w:pPr>
    </w:p>
    <w:p w14:paraId="7BB3ADBF" w14:textId="77777777" w:rsidR="004D7F21" w:rsidRPr="002C5B2F" w:rsidRDefault="004D7F21" w:rsidP="00D073A2">
      <w:pPr>
        <w:rPr>
          <w:rFonts w:ascii="Work Sans" w:eastAsiaTheme="majorEastAsia" w:hAnsi="Work Sans" w:cs="Open Sans"/>
          <w:color w:val="4BACC6" w:themeColor="accent5"/>
          <w:sz w:val="36"/>
          <w:szCs w:val="36"/>
        </w:rPr>
      </w:pPr>
      <w:r w:rsidRPr="002C5B2F">
        <w:rPr>
          <w:rFonts w:ascii="Work Sans" w:hAnsi="Work Sans"/>
        </w:rPr>
        <w:br w:type="page"/>
      </w:r>
    </w:p>
    <w:p w14:paraId="371D614A" w14:textId="07E7F8ED" w:rsidR="004D7F21" w:rsidRDefault="004D7F21" w:rsidP="004D7F21">
      <w:pPr>
        <w:pStyle w:val="Heading2"/>
      </w:pPr>
      <w:r>
        <w:lastRenderedPageBreak/>
        <w:t xml:space="preserve">Transfers can be vertical, horizontal or a mix </w:t>
      </w:r>
    </w:p>
    <w:p w14:paraId="7D2A12BF" w14:textId="400458AE" w:rsidR="004D7F21" w:rsidRPr="00517367" w:rsidRDefault="004D7F21" w:rsidP="00D073A2">
      <w:pPr>
        <w:rPr>
          <w:rFonts w:ascii="Work Sans" w:eastAsia="Open Sans Light" w:hAnsi="Work Sans" w:cs="Open Sans Light"/>
          <w:color w:val="D13438"/>
          <w:sz w:val="24"/>
          <w:szCs w:val="24"/>
          <w:u w:val="single"/>
        </w:rPr>
      </w:pPr>
      <w:r w:rsidRPr="00517367">
        <w:rPr>
          <w:rFonts w:ascii="Work Sans" w:hAnsi="Work Sans"/>
          <w:sz w:val="24"/>
          <w:szCs w:val="24"/>
        </w:rPr>
        <w:t xml:space="preserve">Vertical systems </w:t>
      </w:r>
      <w:r w:rsidR="009A663B" w:rsidRPr="00517367">
        <w:rPr>
          <w:rFonts w:ascii="Work Sans" w:hAnsi="Work Sans"/>
          <w:sz w:val="24"/>
          <w:szCs w:val="24"/>
        </w:rPr>
        <w:t>of equali</w:t>
      </w:r>
      <w:r w:rsidR="00E41D7E" w:rsidRPr="00517367">
        <w:rPr>
          <w:rFonts w:ascii="Work Sans" w:hAnsi="Work Sans"/>
          <w:sz w:val="24"/>
          <w:szCs w:val="24"/>
        </w:rPr>
        <w:t>sation</w:t>
      </w:r>
      <w:r w:rsidRPr="00517367">
        <w:rPr>
          <w:rFonts w:ascii="Work Sans" w:hAnsi="Work Sans"/>
          <w:sz w:val="24"/>
          <w:szCs w:val="24"/>
        </w:rPr>
        <w:t xml:space="preserve"> involve a transfer of funds from higher to lower levels of government. Richer regions draw a smaller share from the pool of funds than poorer </w:t>
      </w:r>
      <w:r w:rsidR="006976BB" w:rsidRPr="00517367">
        <w:rPr>
          <w:rFonts w:ascii="Work Sans" w:hAnsi="Work Sans"/>
          <w:sz w:val="24"/>
          <w:szCs w:val="24"/>
        </w:rPr>
        <w:t>regions</w:t>
      </w:r>
      <w:r w:rsidRPr="00517367">
        <w:rPr>
          <w:rFonts w:ascii="Work Sans" w:hAnsi="Work Sans"/>
          <w:sz w:val="24"/>
          <w:szCs w:val="24"/>
        </w:rPr>
        <w:t xml:space="preserve">. Horizontal systems involve governments at the same level contributing to and sharing a common pool of funds. Richer regions contribute to a pool of funds while poorer jurisdictions draw from this pool. </w:t>
      </w:r>
    </w:p>
    <w:p w14:paraId="521E126F" w14:textId="77777777" w:rsidR="004D7F21" w:rsidRPr="00517367" w:rsidRDefault="004D7F21" w:rsidP="00D073A2">
      <w:pPr>
        <w:rPr>
          <w:rFonts w:ascii="Work Sans" w:hAnsi="Work Sans"/>
          <w:sz w:val="24"/>
          <w:szCs w:val="24"/>
        </w:rPr>
      </w:pPr>
      <w:r w:rsidRPr="00517367">
        <w:rPr>
          <w:rFonts w:ascii="Work Sans" w:hAnsi="Work Sans"/>
          <w:sz w:val="24"/>
          <w:szCs w:val="24"/>
        </w:rPr>
        <w:t xml:space="preserve">Canada has an unequivocally vertical system, with the federal government creating an equalisation pool from consolidated revenue. It distributes this to provinces. </w:t>
      </w:r>
    </w:p>
    <w:p w14:paraId="66B61FA3" w14:textId="77777777" w:rsidR="004D7F21" w:rsidRPr="00517367" w:rsidRDefault="004D7F21" w:rsidP="00D073A2">
      <w:pPr>
        <w:rPr>
          <w:rFonts w:ascii="Work Sans" w:hAnsi="Work Sans"/>
          <w:sz w:val="24"/>
          <w:szCs w:val="24"/>
        </w:rPr>
      </w:pPr>
      <w:r w:rsidRPr="00517367">
        <w:rPr>
          <w:rFonts w:ascii="Work Sans" w:hAnsi="Work Sans"/>
          <w:sz w:val="24"/>
          <w:szCs w:val="24"/>
        </w:rPr>
        <w:t xml:space="preserve">Australia also has a vertical system. The equalisation pool is a Commonwealth Government tax, the GST. The Commonwealth government has hypothecated this tax for distribution to the states in line with fiscal equalisation. This can lead to perceptions that the GST is a ‘states’ tax’ and that the fiscal equalisation arrangements are a horizontal system. </w:t>
      </w:r>
    </w:p>
    <w:p w14:paraId="73E89EF5" w14:textId="55596769" w:rsidR="004D7F21" w:rsidRPr="00517367" w:rsidRDefault="004D7F21" w:rsidP="00D073A2">
      <w:pPr>
        <w:rPr>
          <w:rFonts w:ascii="Work Sans" w:hAnsi="Work Sans"/>
          <w:sz w:val="24"/>
          <w:szCs w:val="24"/>
        </w:rPr>
      </w:pPr>
      <w:r w:rsidRPr="00517367">
        <w:rPr>
          <w:rFonts w:ascii="Work Sans" w:hAnsi="Work Sans"/>
          <w:sz w:val="24"/>
          <w:szCs w:val="24"/>
        </w:rPr>
        <w:t>The international literature classifies Switzerland and Germany as having horizontal elements. In Switzerland, the Constitution says that equalisation should aim to “encourage inter-cantonal cooperation on burden equalisation”.</w:t>
      </w:r>
      <w:r w:rsidRPr="00517367">
        <w:rPr>
          <w:rStyle w:val="FootnoteReference"/>
          <w:rFonts w:ascii="Work Sans" w:hAnsi="Work Sans"/>
          <w:sz w:val="24"/>
          <w:szCs w:val="24"/>
        </w:rPr>
        <w:footnoteReference w:id="8"/>
      </w:r>
      <w:r w:rsidRPr="00517367">
        <w:rPr>
          <w:rFonts w:ascii="Work Sans" w:hAnsi="Work Sans"/>
          <w:sz w:val="24"/>
          <w:szCs w:val="24"/>
        </w:rPr>
        <w:t xml:space="preserve"> </w:t>
      </w:r>
    </w:p>
    <w:p w14:paraId="3E2708AD" w14:textId="77777777" w:rsidR="004D7F21" w:rsidRPr="00517367" w:rsidRDefault="004D7F21" w:rsidP="00D073A2">
      <w:pPr>
        <w:rPr>
          <w:rFonts w:ascii="Work Sans" w:hAnsi="Work Sans"/>
          <w:sz w:val="24"/>
          <w:szCs w:val="24"/>
        </w:rPr>
      </w:pPr>
      <w:r w:rsidRPr="00517367">
        <w:rPr>
          <w:rFonts w:ascii="Work Sans" w:hAnsi="Work Sans"/>
          <w:sz w:val="24"/>
          <w:szCs w:val="24"/>
        </w:rPr>
        <w:t>In Switzerland, the federal government provides two-thirds of the equalisation pool and richer cantons provide the rest.</w:t>
      </w:r>
      <w:r w:rsidRPr="00517367" w:rsidDel="000B7FAB">
        <w:rPr>
          <w:rFonts w:ascii="Work Sans" w:hAnsi="Work Sans"/>
          <w:sz w:val="24"/>
          <w:szCs w:val="24"/>
        </w:rPr>
        <w:t xml:space="preserve"> </w:t>
      </w:r>
      <w:r w:rsidRPr="00517367">
        <w:rPr>
          <w:rFonts w:ascii="Work Sans" w:hAnsi="Work Sans"/>
          <w:sz w:val="24"/>
          <w:szCs w:val="24"/>
        </w:rPr>
        <w:t xml:space="preserve">In 2019, Zug contributed around 12% of its revenue raising capacity, which given Zug’s low taxation effort, represents about 18% of its total revenue. </w:t>
      </w:r>
    </w:p>
    <w:p w14:paraId="7A84AF6F" w14:textId="1A3F7F08" w:rsidR="004D7F21" w:rsidRPr="00517367" w:rsidRDefault="004D7F21" w:rsidP="00D073A2">
      <w:pPr>
        <w:rPr>
          <w:rFonts w:ascii="Work Sans" w:hAnsi="Work Sans"/>
          <w:sz w:val="24"/>
          <w:szCs w:val="24"/>
        </w:rPr>
      </w:pPr>
      <w:r w:rsidRPr="00517367">
        <w:rPr>
          <w:rFonts w:ascii="Work Sans" w:hAnsi="Work Sans"/>
          <w:sz w:val="24"/>
          <w:szCs w:val="24"/>
        </w:rPr>
        <w:t>In Germany, revenue sharing between regions is a key component of intergovernmental fiscal relations. The three levels of government share most tax revenues based on the responsibilities of each level. Hence, Germany does not have significant vertical fiscal imbalance, and inter</w:t>
      </w:r>
      <w:r w:rsidR="00F56B1E">
        <w:rPr>
          <w:rFonts w:ascii="Work Sans" w:hAnsi="Work Sans"/>
          <w:sz w:val="24"/>
          <w:szCs w:val="24"/>
        </w:rPr>
        <w:noBreakHyphen/>
      </w:r>
      <w:r w:rsidRPr="00517367">
        <w:rPr>
          <w:rFonts w:ascii="Work Sans" w:hAnsi="Work Sans"/>
          <w:sz w:val="24"/>
          <w:szCs w:val="24"/>
        </w:rPr>
        <w:t xml:space="preserve">regional fiscal transfers between ‘donor’ and ‘beneficiary’ Länder are necessary to achieve equalisation outcomes. </w:t>
      </w:r>
    </w:p>
    <w:p w14:paraId="4F4B2651" w14:textId="43D4F165" w:rsidR="004D7F21" w:rsidRDefault="004D7F21" w:rsidP="00D073A2">
      <w:pPr>
        <w:rPr>
          <w:rFonts w:ascii="Work Sans" w:hAnsi="Work Sans"/>
          <w:sz w:val="24"/>
          <w:szCs w:val="24"/>
        </w:rPr>
      </w:pPr>
      <w:r w:rsidRPr="00517367">
        <w:rPr>
          <w:rFonts w:ascii="Work Sans" w:hAnsi="Work Sans"/>
          <w:sz w:val="24"/>
          <w:szCs w:val="24"/>
        </w:rPr>
        <w:t>Reunification in 199</w:t>
      </w:r>
      <w:r w:rsidR="00906711" w:rsidRPr="00517367">
        <w:rPr>
          <w:rFonts w:ascii="Work Sans" w:hAnsi="Work Sans"/>
          <w:sz w:val="24"/>
          <w:szCs w:val="24"/>
        </w:rPr>
        <w:t>0</w:t>
      </w:r>
      <w:r w:rsidRPr="00517367">
        <w:rPr>
          <w:rFonts w:ascii="Work Sans" w:hAnsi="Work Sans"/>
          <w:sz w:val="24"/>
          <w:szCs w:val="24"/>
        </w:rPr>
        <w:t xml:space="preserve"> deepened regional disparities in the existing system and increased the size of the equalisation task. This put pressure on the horizontal nature of the equalisation system. In response, the federal government increased its share in the equalisation pool, without an offsetting change in the revenue sharing. The federal government, not the Länder, bore most of the costs of the increased equalisation task. </w:t>
      </w:r>
    </w:p>
    <w:p w14:paraId="097E3220" w14:textId="77777777" w:rsidR="00517367" w:rsidRDefault="00517367" w:rsidP="00D073A2">
      <w:pPr>
        <w:rPr>
          <w:rFonts w:ascii="Work Sans" w:hAnsi="Work Sans"/>
          <w:sz w:val="24"/>
          <w:szCs w:val="24"/>
        </w:rPr>
      </w:pPr>
    </w:p>
    <w:p w14:paraId="1109C7F9" w14:textId="155CF576" w:rsidR="004D7F21" w:rsidRPr="00C32075" w:rsidRDefault="00517367" w:rsidP="004D7F21">
      <w:pPr>
        <w:pStyle w:val="Heading2"/>
      </w:pPr>
      <w:r>
        <w:rPr>
          <w:sz w:val="24"/>
          <w:szCs w:val="24"/>
        </w:rPr>
        <w:br w:type="column"/>
      </w:r>
      <w:r w:rsidR="004D7F21">
        <w:lastRenderedPageBreak/>
        <w:t>R</w:t>
      </w:r>
      <w:r w:rsidR="004D7F21" w:rsidRPr="00C32075">
        <w:t>esource endowments bring challenges</w:t>
      </w:r>
      <w:bookmarkEnd w:id="13"/>
      <w:r w:rsidR="004D7F21">
        <w:t xml:space="preserve"> for fiscal equalisation</w:t>
      </w:r>
    </w:p>
    <w:p w14:paraId="3F494711" w14:textId="69454455" w:rsidR="004D7F21" w:rsidRPr="002C5B2F" w:rsidRDefault="004D7F21" w:rsidP="00D073A2">
      <w:pPr>
        <w:rPr>
          <w:rFonts w:ascii="Work Sans" w:hAnsi="Work Sans"/>
        </w:rPr>
      </w:pPr>
      <w:r w:rsidRPr="00A457DB">
        <w:rPr>
          <w:rFonts w:ascii="Work Sans" w:hAnsi="Work Sans"/>
          <w:sz w:val="24"/>
          <w:szCs w:val="24"/>
        </w:rPr>
        <w:t>Tax revenue from</w:t>
      </w:r>
      <w:r w:rsidRPr="002C5B2F">
        <w:rPr>
          <w:rFonts w:ascii="Work Sans" w:hAnsi="Work Sans"/>
        </w:rPr>
        <w:t xml:space="preserve"> </w:t>
      </w:r>
      <w:r w:rsidRPr="00A457DB">
        <w:rPr>
          <w:rFonts w:ascii="Work Sans" w:hAnsi="Work Sans"/>
          <w:sz w:val="24"/>
          <w:szCs w:val="24"/>
        </w:rPr>
        <w:t>mining poses several</w:t>
      </w:r>
      <w:r w:rsidRPr="002C5B2F">
        <w:rPr>
          <w:rFonts w:ascii="Work Sans" w:hAnsi="Work Sans"/>
        </w:rPr>
        <w:t xml:space="preserve"> </w:t>
      </w:r>
      <w:r w:rsidRPr="00A457DB">
        <w:rPr>
          <w:rFonts w:ascii="Work Sans" w:hAnsi="Work Sans"/>
          <w:sz w:val="24"/>
          <w:szCs w:val="24"/>
        </w:rPr>
        <w:t>challenges to the equalisation task, with countries responding in different ways. Canada and Germany both treat natural resource revenues differently from other state revenues. Australia has recently changed its equalisation arrangements in response to the effects of mining revenue on equalisation.</w:t>
      </w:r>
      <w:r w:rsidRPr="002C5B2F">
        <w:rPr>
          <w:rFonts w:ascii="Work Sans" w:hAnsi="Work Sans"/>
        </w:rPr>
        <w:t xml:space="preserve"> </w:t>
      </w:r>
    </w:p>
    <w:p w14:paraId="79382612" w14:textId="77777777" w:rsidR="004D7F21" w:rsidRPr="00A457DB" w:rsidRDefault="004D7F21" w:rsidP="004D7F21">
      <w:pPr>
        <w:pStyle w:val="Caption"/>
        <w:rPr>
          <w:rFonts w:ascii="Work Sans" w:hAnsi="Work Sans"/>
          <w:sz w:val="24"/>
          <w:szCs w:val="24"/>
        </w:rPr>
      </w:pPr>
      <w:r w:rsidRPr="00A457DB">
        <w:rPr>
          <w:rFonts w:ascii="Work Sans" w:hAnsi="Work Sans"/>
          <w:sz w:val="24"/>
          <w:szCs w:val="24"/>
        </w:rPr>
        <w:t xml:space="preserve">Minerals are unequally distributed within a country </w:t>
      </w:r>
    </w:p>
    <w:p w14:paraId="7A198B01" w14:textId="10F91F6A" w:rsidR="004D7F21" w:rsidRPr="00A457DB" w:rsidRDefault="004D7F21" w:rsidP="00D073A2">
      <w:pPr>
        <w:rPr>
          <w:rFonts w:ascii="Work Sans" w:hAnsi="Work Sans"/>
          <w:sz w:val="24"/>
          <w:szCs w:val="24"/>
        </w:rPr>
      </w:pPr>
      <w:r w:rsidRPr="00A457DB">
        <w:rPr>
          <w:rFonts w:ascii="Work Sans" w:hAnsi="Work Sans"/>
          <w:sz w:val="24"/>
          <w:szCs w:val="24"/>
        </w:rPr>
        <w:t>Mineral resources are usually geographically concentrated, meaning some</w:t>
      </w:r>
      <w:r w:rsidRPr="00A457DB" w:rsidDel="00E61B9D">
        <w:rPr>
          <w:rFonts w:ascii="Work Sans" w:hAnsi="Work Sans"/>
          <w:sz w:val="24"/>
          <w:szCs w:val="24"/>
        </w:rPr>
        <w:t xml:space="preserve"> </w:t>
      </w:r>
      <w:r w:rsidRPr="00A457DB">
        <w:rPr>
          <w:rFonts w:ascii="Work Sans" w:hAnsi="Work Sans"/>
          <w:sz w:val="24"/>
          <w:szCs w:val="24"/>
        </w:rPr>
        <w:t>regions can generate significant revenues from mineral wealth, while others cannot.</w:t>
      </w:r>
      <w:r w:rsidRPr="00A457DB">
        <w:rPr>
          <w:rStyle w:val="FootnoteReference"/>
          <w:rFonts w:ascii="Work Sans" w:hAnsi="Work Sans"/>
          <w:sz w:val="24"/>
          <w:szCs w:val="24"/>
        </w:rPr>
        <w:footnoteReference w:id="9"/>
      </w:r>
      <w:r w:rsidRPr="00A457DB">
        <w:rPr>
          <w:rFonts w:ascii="Work Sans" w:hAnsi="Work Sans"/>
          <w:sz w:val="24"/>
          <w:szCs w:val="24"/>
        </w:rPr>
        <w:t xml:space="preserve"> When mining generates significant revenue for some regional governments, revenue raising capacities become more disparate and the size of the equalisation task can become larger. Australia’s and Canada’s fiscally strongest regions have large resource revenues. Nonetheless, with no mining revenues, Switzerland has</w:t>
      </w:r>
      <w:r w:rsidRPr="00A457DB" w:rsidDel="007C419E">
        <w:rPr>
          <w:rFonts w:ascii="Work Sans" w:hAnsi="Work Sans"/>
          <w:sz w:val="24"/>
          <w:szCs w:val="24"/>
        </w:rPr>
        <w:t xml:space="preserve"> </w:t>
      </w:r>
      <w:r w:rsidRPr="00A457DB">
        <w:rPr>
          <w:rFonts w:ascii="Work Sans" w:hAnsi="Work Sans"/>
          <w:sz w:val="24"/>
          <w:szCs w:val="24"/>
        </w:rPr>
        <w:t xml:space="preserve">a larger disparity in revenue raising capacity between regions than Australia, Canada and Germany. This reflects the disparate economies across Switzerland, with some urban </w:t>
      </w:r>
      <w:r w:rsidR="00AE2C10" w:rsidRPr="00A457DB">
        <w:rPr>
          <w:rFonts w:ascii="Work Sans" w:hAnsi="Work Sans"/>
          <w:sz w:val="24"/>
          <w:szCs w:val="24"/>
        </w:rPr>
        <w:t>c</w:t>
      </w:r>
      <w:r w:rsidRPr="00A457DB">
        <w:rPr>
          <w:rFonts w:ascii="Work Sans" w:hAnsi="Work Sans"/>
          <w:sz w:val="24"/>
          <w:szCs w:val="24"/>
        </w:rPr>
        <w:t xml:space="preserve">antons having strong pharmaceutical, IT and finance sectors. </w:t>
      </w:r>
    </w:p>
    <w:p w14:paraId="40F698FA" w14:textId="1C8DF4D0" w:rsidR="004D7F21" w:rsidRPr="00A457DB" w:rsidRDefault="004D7F21" w:rsidP="00D073A2">
      <w:pPr>
        <w:rPr>
          <w:rFonts w:ascii="Work Sans" w:hAnsi="Work Sans"/>
          <w:sz w:val="24"/>
          <w:szCs w:val="24"/>
        </w:rPr>
      </w:pPr>
      <w:r w:rsidRPr="00A457DB">
        <w:rPr>
          <w:rFonts w:ascii="Work Sans" w:hAnsi="Work Sans"/>
          <w:sz w:val="24"/>
          <w:szCs w:val="24"/>
        </w:rPr>
        <w:t xml:space="preserve">The natural distribution of mineral reserves is </w:t>
      </w:r>
      <w:r w:rsidR="00536198" w:rsidRPr="00A457DB">
        <w:rPr>
          <w:rFonts w:ascii="Work Sans" w:hAnsi="Work Sans"/>
          <w:sz w:val="24"/>
          <w:szCs w:val="24"/>
        </w:rPr>
        <w:t xml:space="preserve">often </w:t>
      </w:r>
      <w:r w:rsidRPr="00A457DB">
        <w:rPr>
          <w:rFonts w:ascii="Work Sans" w:hAnsi="Work Sans"/>
          <w:sz w:val="24"/>
          <w:szCs w:val="24"/>
        </w:rPr>
        <w:t xml:space="preserve">the dominant influence on a region’s capacity to raise revenue from mining. Regional, and national, governments have some policy controls that can also influence the extent to which these reserves are exploited. </w:t>
      </w:r>
    </w:p>
    <w:p w14:paraId="4F579326" w14:textId="77777777" w:rsidR="004D7F21" w:rsidRPr="00517367" w:rsidRDefault="004D7F21" w:rsidP="004D7F21">
      <w:pPr>
        <w:pStyle w:val="Caption"/>
        <w:rPr>
          <w:rFonts w:ascii="Work Sans" w:hAnsi="Work Sans"/>
          <w:sz w:val="24"/>
          <w:szCs w:val="24"/>
        </w:rPr>
      </w:pPr>
      <w:r w:rsidRPr="00517367">
        <w:rPr>
          <w:rFonts w:ascii="Work Sans" w:hAnsi="Work Sans"/>
          <w:sz w:val="24"/>
          <w:szCs w:val="24"/>
        </w:rPr>
        <w:t>Assessments of mining revenue can pose challenges for equalisation</w:t>
      </w:r>
    </w:p>
    <w:p w14:paraId="6DB4FAF5" w14:textId="215B5F7A" w:rsidR="004D7F21" w:rsidRPr="00517367" w:rsidRDefault="004D7F21" w:rsidP="00D073A2">
      <w:pPr>
        <w:rPr>
          <w:rFonts w:ascii="Work Sans" w:hAnsi="Work Sans"/>
          <w:sz w:val="24"/>
          <w:szCs w:val="24"/>
        </w:rPr>
      </w:pPr>
      <w:r w:rsidRPr="00517367">
        <w:rPr>
          <w:rFonts w:ascii="Work Sans" w:hAnsi="Work Sans"/>
          <w:sz w:val="24"/>
          <w:szCs w:val="24"/>
        </w:rPr>
        <w:t>The concentration of mining revenues in certain regions puts other pressures on equalisation</w:t>
      </w:r>
      <w:r w:rsidR="00657634" w:rsidRPr="00517367">
        <w:rPr>
          <w:rFonts w:ascii="Work Sans" w:hAnsi="Work Sans"/>
          <w:sz w:val="24"/>
          <w:szCs w:val="24"/>
        </w:rPr>
        <w:t>, in addition to increasing the equalisation task</w:t>
      </w:r>
      <w:r w:rsidRPr="00517367">
        <w:rPr>
          <w:rFonts w:ascii="Work Sans" w:hAnsi="Work Sans"/>
          <w:sz w:val="24"/>
          <w:szCs w:val="24"/>
        </w:rPr>
        <w:t>. Each system tries to minimise an individual region’s choices about tax rates affecting the revenue it receives. However, where certain regions have a disproportionate share of a revenue base, their tax rates largely determine the national average tax rate on that base. This is notably the case for iron ore in Western Australia and</w:t>
      </w:r>
      <w:r w:rsidR="00296232" w:rsidRPr="00517367">
        <w:rPr>
          <w:rFonts w:ascii="Work Sans" w:hAnsi="Work Sans"/>
          <w:sz w:val="24"/>
          <w:szCs w:val="24"/>
        </w:rPr>
        <w:t xml:space="preserve"> the</w:t>
      </w:r>
      <w:r w:rsidRPr="00517367">
        <w:rPr>
          <w:rFonts w:ascii="Work Sans" w:hAnsi="Work Sans"/>
          <w:sz w:val="24"/>
          <w:szCs w:val="24"/>
        </w:rPr>
        <w:t xml:space="preserve"> oil rich provinces of Canada. </w:t>
      </w:r>
    </w:p>
    <w:p w14:paraId="530C8742" w14:textId="47B6FDAD" w:rsidR="004D7F21" w:rsidRPr="00517367" w:rsidRDefault="004D7F21" w:rsidP="004D7F21">
      <w:pPr>
        <w:pStyle w:val="Caption"/>
        <w:rPr>
          <w:rFonts w:ascii="Work Sans" w:hAnsi="Work Sans"/>
          <w:sz w:val="24"/>
          <w:szCs w:val="24"/>
        </w:rPr>
      </w:pPr>
      <w:r w:rsidRPr="00517367">
        <w:rPr>
          <w:rFonts w:ascii="Work Sans" w:hAnsi="Work Sans"/>
          <w:sz w:val="24"/>
          <w:szCs w:val="24"/>
        </w:rPr>
        <w:t>These pressures can lead to policy changes</w:t>
      </w:r>
      <w:r w:rsidR="00601EB9" w:rsidRPr="00517367">
        <w:rPr>
          <w:rFonts w:ascii="Work Sans" w:hAnsi="Work Sans"/>
          <w:sz w:val="24"/>
          <w:szCs w:val="24"/>
        </w:rPr>
        <w:t>.</w:t>
      </w:r>
    </w:p>
    <w:p w14:paraId="22ADCB5E" w14:textId="77777777" w:rsidR="004D7F21" w:rsidRPr="00517367" w:rsidRDefault="004D7F21" w:rsidP="00D073A2">
      <w:pPr>
        <w:rPr>
          <w:rFonts w:ascii="Work Sans" w:hAnsi="Work Sans"/>
          <w:sz w:val="24"/>
          <w:szCs w:val="24"/>
        </w:rPr>
      </w:pPr>
      <w:r w:rsidRPr="00517367">
        <w:rPr>
          <w:rFonts w:ascii="Work Sans" w:hAnsi="Work Sans"/>
          <w:sz w:val="24"/>
          <w:szCs w:val="24"/>
        </w:rPr>
        <w:t xml:space="preserve">Germany, Canada and Australia have all changed their equalisation systems in response to these challenges. </w:t>
      </w:r>
    </w:p>
    <w:p w14:paraId="005F8734" w14:textId="35C9D58D" w:rsidR="004D7F21" w:rsidRPr="00517367" w:rsidRDefault="004D7F21" w:rsidP="00D073A2">
      <w:pPr>
        <w:rPr>
          <w:rFonts w:ascii="Work Sans" w:hAnsi="Work Sans"/>
          <w:sz w:val="24"/>
          <w:szCs w:val="24"/>
        </w:rPr>
      </w:pPr>
      <w:r w:rsidRPr="00517367">
        <w:rPr>
          <w:rFonts w:ascii="Work Sans" w:hAnsi="Work Sans"/>
          <w:sz w:val="24"/>
          <w:szCs w:val="24"/>
        </w:rPr>
        <w:t xml:space="preserve">Mining is a very small source of revenue for German Länder, so it puts relatively little pressure on the equalisation system. Since 2020, Germany has only assessed one-third of mining revenue. This was primarily in response to concerns about the environmental, social and fiscal costs of mining. </w:t>
      </w:r>
    </w:p>
    <w:p w14:paraId="6BD29640" w14:textId="77777777" w:rsidR="004D7F21" w:rsidRPr="00517367" w:rsidRDefault="004D7F21" w:rsidP="00D073A2">
      <w:pPr>
        <w:rPr>
          <w:rStyle w:val="CommentReference"/>
          <w:rFonts w:ascii="Work Sans" w:hAnsi="Work Sans"/>
          <w:sz w:val="24"/>
          <w:szCs w:val="24"/>
        </w:rPr>
      </w:pPr>
      <w:r w:rsidRPr="00517367">
        <w:rPr>
          <w:rFonts w:ascii="Work Sans" w:hAnsi="Work Sans"/>
          <w:sz w:val="24"/>
          <w:szCs w:val="24"/>
        </w:rPr>
        <w:lastRenderedPageBreak/>
        <w:t xml:space="preserve">Over the past few decades, Canada has adjusted its approach to assessing natural resource revenues several times. In recognition of the challenges of applying a representative tax system approach to unevenly distributed resources, Canada’s equalisation system now measures resource fiscal capacity based on partial inclusion of actual resource revenues within certain bounds. In addition, changes were made to control the federal government’s exposure to volatility in its fiscal commitment. The current system has a capped pool linked to the growth of the economy, which means that volatile resource revenues do not lead to any volatility in the federal government commitment. Resource rich provinces tend to be fiscally stronger than average and so receive no equalisation payments. Therefore, the special treatment of resource revenue is mainly relevant for provinces that are overall fiscally weaker but have some resource revenue. </w:t>
      </w:r>
    </w:p>
    <w:p w14:paraId="08DB1695" w14:textId="27B536AF" w:rsidR="004D7F21" w:rsidRPr="00D923A7" w:rsidRDefault="004D7F21" w:rsidP="00D073A2">
      <w:pPr>
        <w:rPr>
          <w:rFonts w:ascii="Work Sans" w:hAnsi="Work Sans"/>
          <w:sz w:val="24"/>
          <w:szCs w:val="24"/>
        </w:rPr>
      </w:pPr>
      <w:r w:rsidRPr="00D923A7">
        <w:rPr>
          <w:rFonts w:ascii="Work Sans" w:hAnsi="Work Sans"/>
          <w:sz w:val="24"/>
          <w:szCs w:val="24"/>
        </w:rPr>
        <w:t>In recent years, there has been pressure for change in Australia. Volatility in the value of mining production was contributing to significant volatility in the GST share of some states</w:t>
      </w:r>
      <w:r w:rsidR="009D2324" w:rsidRPr="00D923A7">
        <w:rPr>
          <w:rFonts w:ascii="Work Sans" w:hAnsi="Work Sans"/>
          <w:sz w:val="24"/>
          <w:szCs w:val="24"/>
        </w:rPr>
        <w:t>, particularly Western Australia</w:t>
      </w:r>
      <w:r w:rsidRPr="00D923A7">
        <w:rPr>
          <w:rFonts w:ascii="Work Sans" w:hAnsi="Work Sans"/>
          <w:sz w:val="24"/>
          <w:szCs w:val="24"/>
        </w:rPr>
        <w:t>. This contributed to a policy change from the national government. Australia is now transitioning towards a system where no state will receive a per capita share of the GST revenue</w:t>
      </w:r>
      <w:r w:rsidRPr="00D923A7" w:rsidDel="00A00A39">
        <w:rPr>
          <w:rFonts w:ascii="Work Sans" w:hAnsi="Work Sans"/>
          <w:sz w:val="24"/>
          <w:szCs w:val="24"/>
        </w:rPr>
        <w:t xml:space="preserve"> </w:t>
      </w:r>
      <w:r w:rsidRPr="00D923A7">
        <w:rPr>
          <w:rFonts w:ascii="Work Sans" w:hAnsi="Work Sans"/>
          <w:sz w:val="24"/>
          <w:szCs w:val="24"/>
        </w:rPr>
        <w:t xml:space="preserve">below that of </w:t>
      </w:r>
      <w:r w:rsidR="00D14877" w:rsidRPr="00D923A7">
        <w:rPr>
          <w:rFonts w:ascii="Work Sans" w:hAnsi="Work Sans"/>
          <w:sz w:val="24"/>
          <w:szCs w:val="24"/>
        </w:rPr>
        <w:t xml:space="preserve">the fiscally stronger of </w:t>
      </w:r>
      <w:r w:rsidRPr="00D923A7">
        <w:rPr>
          <w:rFonts w:ascii="Work Sans" w:hAnsi="Work Sans"/>
          <w:sz w:val="24"/>
          <w:szCs w:val="24"/>
        </w:rPr>
        <w:t xml:space="preserve">New South Wales or Victoria. </w:t>
      </w:r>
      <w:r w:rsidR="00EA565A" w:rsidRPr="00D923A7">
        <w:rPr>
          <w:rFonts w:ascii="Work Sans" w:hAnsi="Work Sans"/>
          <w:sz w:val="24"/>
          <w:szCs w:val="24"/>
        </w:rPr>
        <w:t>A</w:t>
      </w:r>
      <w:r w:rsidR="00162FEB" w:rsidRPr="00D923A7">
        <w:rPr>
          <w:rFonts w:ascii="Work Sans" w:hAnsi="Work Sans"/>
          <w:sz w:val="24"/>
          <w:szCs w:val="24"/>
        </w:rPr>
        <w:t xml:space="preserve"> state </w:t>
      </w:r>
      <w:r w:rsidR="00EA565A" w:rsidRPr="00D923A7">
        <w:rPr>
          <w:rFonts w:ascii="Work Sans" w:hAnsi="Work Sans"/>
          <w:sz w:val="24"/>
          <w:szCs w:val="24"/>
        </w:rPr>
        <w:t xml:space="preserve">that </w:t>
      </w:r>
      <w:r w:rsidR="00162FEB" w:rsidRPr="00D923A7">
        <w:rPr>
          <w:rFonts w:ascii="Work Sans" w:hAnsi="Work Sans"/>
          <w:sz w:val="24"/>
          <w:szCs w:val="24"/>
        </w:rPr>
        <w:t>is fiscally stronger</w:t>
      </w:r>
      <w:r w:rsidR="003B7B90" w:rsidRPr="00D923A7">
        <w:rPr>
          <w:rFonts w:ascii="Work Sans" w:hAnsi="Work Sans"/>
          <w:sz w:val="24"/>
          <w:szCs w:val="24"/>
        </w:rPr>
        <w:t xml:space="preserve"> </w:t>
      </w:r>
      <w:r w:rsidR="00FC45BD" w:rsidRPr="00D923A7">
        <w:rPr>
          <w:rFonts w:ascii="Work Sans" w:hAnsi="Work Sans"/>
          <w:sz w:val="24"/>
          <w:szCs w:val="24"/>
        </w:rPr>
        <w:t xml:space="preserve">than New South Wales or Victoria </w:t>
      </w:r>
      <w:r w:rsidR="001E5203" w:rsidRPr="00D923A7">
        <w:rPr>
          <w:rFonts w:ascii="Work Sans" w:hAnsi="Work Sans"/>
          <w:sz w:val="24"/>
          <w:szCs w:val="24"/>
        </w:rPr>
        <w:t xml:space="preserve">will </w:t>
      </w:r>
      <w:r w:rsidR="00C51A2E" w:rsidRPr="00D923A7">
        <w:rPr>
          <w:rFonts w:ascii="Work Sans" w:hAnsi="Work Sans"/>
          <w:sz w:val="24"/>
          <w:szCs w:val="24"/>
        </w:rPr>
        <w:t xml:space="preserve">retain </w:t>
      </w:r>
      <w:r w:rsidR="00EC5B05" w:rsidRPr="00D923A7">
        <w:rPr>
          <w:rFonts w:ascii="Work Sans" w:hAnsi="Work Sans"/>
          <w:sz w:val="24"/>
          <w:szCs w:val="24"/>
        </w:rPr>
        <w:t>its</w:t>
      </w:r>
      <w:r w:rsidR="00F6410D" w:rsidRPr="00D923A7">
        <w:rPr>
          <w:rFonts w:ascii="Work Sans" w:hAnsi="Work Sans"/>
          <w:sz w:val="24"/>
          <w:szCs w:val="24"/>
        </w:rPr>
        <w:t xml:space="preserve"> fiscal advantage</w:t>
      </w:r>
      <w:r w:rsidR="00ED12D4" w:rsidRPr="00D923A7">
        <w:rPr>
          <w:rFonts w:ascii="Work Sans" w:hAnsi="Work Sans"/>
          <w:sz w:val="24"/>
          <w:szCs w:val="24"/>
        </w:rPr>
        <w:t>.</w:t>
      </w:r>
      <w:bookmarkStart w:id="14" w:name="_Toc79486932"/>
    </w:p>
    <w:p w14:paraId="57FE0142" w14:textId="77777777" w:rsidR="004D7F21" w:rsidRPr="002E1CC3" w:rsidRDefault="004D7F21" w:rsidP="004D7F21">
      <w:pPr>
        <w:pStyle w:val="Heading2"/>
      </w:pPr>
      <w:r>
        <w:t>Revenue equalisation</w:t>
      </w:r>
      <w:r w:rsidRPr="00A320F4">
        <w:t xml:space="preserve"> </w:t>
      </w:r>
      <w:r>
        <w:t xml:space="preserve">can </w:t>
      </w:r>
      <w:bookmarkEnd w:id="14"/>
      <w:r>
        <w:t xml:space="preserve">influence policy choices </w:t>
      </w:r>
    </w:p>
    <w:p w14:paraId="4683247B" w14:textId="38247425" w:rsidR="004D7F21" w:rsidRPr="00D923A7" w:rsidRDefault="004D7F21" w:rsidP="00D073A2">
      <w:pPr>
        <w:rPr>
          <w:rFonts w:ascii="Work Sans" w:hAnsi="Work Sans"/>
          <w:sz w:val="24"/>
          <w:szCs w:val="24"/>
          <w:highlight w:val="yellow"/>
        </w:rPr>
      </w:pPr>
      <w:r w:rsidRPr="00D923A7">
        <w:rPr>
          <w:rFonts w:ascii="Work Sans" w:hAnsi="Work Sans"/>
          <w:sz w:val="24"/>
          <w:szCs w:val="24"/>
        </w:rPr>
        <w:t xml:space="preserve">There is a risk </w:t>
      </w:r>
      <w:r w:rsidR="005B36F3" w:rsidRPr="00D923A7">
        <w:rPr>
          <w:rFonts w:ascii="Work Sans" w:hAnsi="Work Sans"/>
          <w:sz w:val="24"/>
          <w:szCs w:val="24"/>
        </w:rPr>
        <w:t xml:space="preserve">that equalisation may </w:t>
      </w:r>
      <w:r w:rsidR="007E5689" w:rsidRPr="00D923A7">
        <w:rPr>
          <w:rFonts w:ascii="Work Sans" w:hAnsi="Work Sans"/>
          <w:sz w:val="24"/>
          <w:szCs w:val="24"/>
        </w:rPr>
        <w:t xml:space="preserve">result in </w:t>
      </w:r>
      <w:r w:rsidRPr="00D923A7">
        <w:rPr>
          <w:rFonts w:ascii="Work Sans" w:hAnsi="Work Sans"/>
          <w:sz w:val="24"/>
          <w:szCs w:val="24"/>
        </w:rPr>
        <w:t>an (adverse) incentive for regions to avoid improvements in their fiscal capacity. Some systems exacerbate this risk, while others mitigate it. The level of risk depends on the extent to which regions’ policy choices can affect their equalisation payments.</w:t>
      </w:r>
      <w:r w:rsidRPr="00D923A7">
        <w:rPr>
          <w:rStyle w:val="FootnoteReference"/>
          <w:rFonts w:ascii="Work Sans" w:hAnsi="Work Sans"/>
          <w:sz w:val="24"/>
          <w:szCs w:val="24"/>
        </w:rPr>
        <w:footnoteReference w:id="10"/>
      </w:r>
      <w:r w:rsidRPr="00D923A7">
        <w:rPr>
          <w:rFonts w:ascii="Work Sans" w:hAnsi="Work Sans"/>
          <w:sz w:val="24"/>
          <w:szCs w:val="24"/>
        </w:rPr>
        <w:t xml:space="preserve"> </w:t>
      </w:r>
    </w:p>
    <w:p w14:paraId="301B64EA" w14:textId="496A82B1" w:rsidR="004D7F21" w:rsidRPr="00D923A7" w:rsidRDefault="004D7F21" w:rsidP="00D073A2">
      <w:pPr>
        <w:rPr>
          <w:rFonts w:ascii="Work Sans" w:hAnsi="Work Sans"/>
          <w:sz w:val="24"/>
          <w:szCs w:val="24"/>
        </w:rPr>
      </w:pPr>
      <w:r w:rsidRPr="00D923A7">
        <w:rPr>
          <w:rFonts w:ascii="Work Sans" w:hAnsi="Work Sans"/>
          <w:sz w:val="24"/>
          <w:szCs w:val="24"/>
        </w:rPr>
        <w:t>Where equalisation is based on actual revenues, each additional dollar raised can result in much of it being lost to other regions. In such a system, a region incurs all the wider economic costs of an increase in tax rates while only gaining its population share of the increase in revenue. To reduce incentive effects, equalisation systems generally use the representative tax system approach. In its 2018 report on horizontal fiscal equalisation</w:t>
      </w:r>
      <w:r w:rsidR="004B24D1" w:rsidRPr="00D923A7">
        <w:rPr>
          <w:rStyle w:val="FootnoteReference"/>
          <w:rFonts w:ascii="Work Sans" w:hAnsi="Work Sans"/>
          <w:sz w:val="24"/>
          <w:szCs w:val="24"/>
        </w:rPr>
        <w:footnoteReference w:id="11"/>
      </w:r>
      <w:r w:rsidRPr="00D923A7">
        <w:rPr>
          <w:rFonts w:ascii="Work Sans" w:hAnsi="Work Sans"/>
          <w:sz w:val="24"/>
          <w:szCs w:val="24"/>
        </w:rPr>
        <w:t xml:space="preserve"> the Australian Productivity Commission outlined the conceptual case for </w:t>
      </w:r>
      <w:r w:rsidR="005E0665" w:rsidRPr="00D923A7">
        <w:rPr>
          <w:rFonts w:ascii="Work Sans" w:hAnsi="Work Sans"/>
          <w:sz w:val="24"/>
          <w:szCs w:val="24"/>
        </w:rPr>
        <w:t>adverse</w:t>
      </w:r>
      <w:r w:rsidRPr="00D923A7">
        <w:rPr>
          <w:rFonts w:ascii="Work Sans" w:hAnsi="Work Sans"/>
          <w:sz w:val="24"/>
          <w:szCs w:val="24"/>
        </w:rPr>
        <w:t xml:space="preserve"> incentives even under a representative tax system approach, but it was unable to find evidence of states acting on these incentives in Australia.</w:t>
      </w:r>
    </w:p>
    <w:p w14:paraId="25FB43DE" w14:textId="1624A30F" w:rsidR="004D7F21" w:rsidRPr="00D923A7" w:rsidRDefault="00072E41" w:rsidP="00101B2B">
      <w:pPr>
        <w:pStyle w:val="BodyText"/>
        <w:spacing w:before="120" w:line="254" w:lineRule="auto"/>
        <w:rPr>
          <w:rFonts w:ascii="Work Sans" w:hAnsi="Work Sans"/>
          <w:szCs w:val="24"/>
        </w:rPr>
      </w:pPr>
      <w:r w:rsidRPr="00D923A7">
        <w:rPr>
          <w:rFonts w:ascii="Work Sans" w:eastAsiaTheme="minorHAnsi" w:hAnsi="Work Sans" w:cs="Open Sans Light"/>
          <w:szCs w:val="24"/>
          <w:lang w:eastAsia="en-US"/>
        </w:rPr>
        <w:t>The Australian Productivity Commission noted that r</w:t>
      </w:r>
      <w:r w:rsidR="004D7F21" w:rsidRPr="00D923A7">
        <w:rPr>
          <w:rFonts w:ascii="Work Sans" w:eastAsiaTheme="minorHAnsi" w:hAnsi="Work Sans" w:cs="Open Sans Light"/>
          <w:szCs w:val="24"/>
          <w:lang w:eastAsia="en-US"/>
        </w:rPr>
        <w:t xml:space="preserve">esearchers have found </w:t>
      </w:r>
      <w:r w:rsidR="00ED434D" w:rsidRPr="00D923A7">
        <w:rPr>
          <w:rFonts w:ascii="Work Sans" w:eastAsiaTheme="minorHAnsi" w:hAnsi="Work Sans" w:cs="Open Sans Light"/>
          <w:szCs w:val="24"/>
          <w:lang w:eastAsia="en-US"/>
        </w:rPr>
        <w:t xml:space="preserve">empirical </w:t>
      </w:r>
      <w:r w:rsidR="004D7F21" w:rsidRPr="00D923A7">
        <w:rPr>
          <w:rFonts w:ascii="Work Sans" w:eastAsiaTheme="minorHAnsi" w:hAnsi="Work Sans" w:cs="Open Sans Light"/>
          <w:szCs w:val="24"/>
          <w:lang w:eastAsia="en-US"/>
        </w:rPr>
        <w:t xml:space="preserve">evidence of such incentives in Germany and Canada. German reforms have allowed Länder freedom to set their own rates for the highly </w:t>
      </w:r>
      <w:r w:rsidR="004D7F21" w:rsidRPr="00D923A7">
        <w:rPr>
          <w:rFonts w:ascii="Work Sans" w:eastAsiaTheme="minorHAnsi" w:hAnsi="Work Sans" w:cs="Open Sans Light"/>
          <w:szCs w:val="24"/>
          <w:lang w:eastAsia="en-US"/>
        </w:rPr>
        <w:lastRenderedPageBreak/>
        <w:t>elastic</w:t>
      </w:r>
      <w:r w:rsidR="004D7F21" w:rsidRPr="00D923A7">
        <w:rPr>
          <w:rFonts w:ascii="Work Sans" w:eastAsiaTheme="minorHAnsi" w:hAnsi="Work Sans" w:cs="Open Sans Light"/>
          <w:szCs w:val="24"/>
          <w:vertAlign w:val="superscript"/>
          <w:lang w:eastAsia="en-US"/>
        </w:rPr>
        <w:footnoteReference w:id="12"/>
      </w:r>
      <w:r w:rsidR="004D7F21" w:rsidRPr="00D923A7">
        <w:rPr>
          <w:rFonts w:ascii="Work Sans" w:eastAsiaTheme="minorHAnsi" w:hAnsi="Work Sans" w:cs="Open Sans Light"/>
          <w:szCs w:val="24"/>
          <w:lang w:eastAsia="en-US"/>
        </w:rPr>
        <w:t xml:space="preserve"> real estate transfer tax since 2007, while tax rates on most other taxes continue to be set by the federal government. In the</w:t>
      </w:r>
      <w:r w:rsidR="004D7F21" w:rsidRPr="00F56B1E">
        <w:rPr>
          <w:rFonts w:ascii="Work Sans" w:eastAsiaTheme="minorHAnsi" w:hAnsi="Work Sans" w:cs="Open Sans Light"/>
          <w:szCs w:val="24"/>
          <w:lang w:eastAsia="en-US"/>
        </w:rPr>
        <w:t xml:space="preserve"> first decade following</w:t>
      </w:r>
      <w:r w:rsidR="004D7F21" w:rsidRPr="002C5B2F">
        <w:rPr>
          <w:rFonts w:ascii="Work Sans" w:eastAsiaTheme="minorHAnsi" w:hAnsi="Work Sans" w:cs="Open Sans Light"/>
          <w:sz w:val="20"/>
          <w:szCs w:val="22"/>
          <w:lang w:eastAsia="en-US"/>
        </w:rPr>
        <w:t xml:space="preserve"> </w:t>
      </w:r>
      <w:r w:rsidR="004D7F21" w:rsidRPr="00D923A7">
        <w:rPr>
          <w:rFonts w:ascii="Work Sans" w:eastAsiaTheme="minorHAnsi" w:hAnsi="Work Sans" w:cs="Open Sans Light"/>
          <w:szCs w:val="24"/>
          <w:lang w:eastAsia="en-US"/>
        </w:rPr>
        <w:t xml:space="preserve">the change, there were 26 increases </w:t>
      </w:r>
      <w:r w:rsidR="00846919" w:rsidRPr="00D923A7">
        <w:rPr>
          <w:rFonts w:ascii="Work Sans" w:eastAsiaTheme="minorHAnsi" w:hAnsi="Work Sans" w:cs="Open Sans Light"/>
          <w:szCs w:val="24"/>
          <w:lang w:eastAsia="en-US"/>
        </w:rPr>
        <w:t xml:space="preserve">in the real estate transfer tax rate </w:t>
      </w:r>
      <w:r w:rsidR="004D7F21" w:rsidRPr="00D923A7">
        <w:rPr>
          <w:rFonts w:ascii="Work Sans" w:eastAsiaTheme="minorHAnsi" w:hAnsi="Work Sans" w:cs="Open Sans Light"/>
          <w:szCs w:val="24"/>
          <w:lang w:eastAsia="en-US"/>
        </w:rPr>
        <w:t>among the 16 Länder.</w:t>
      </w:r>
      <w:r w:rsidR="004D7F21" w:rsidRPr="00D923A7">
        <w:rPr>
          <w:rFonts w:ascii="Work Sans" w:eastAsiaTheme="minorHAnsi" w:hAnsi="Work Sans" w:cs="Open Sans Light"/>
          <w:szCs w:val="24"/>
          <w:vertAlign w:val="superscript"/>
          <w:lang w:eastAsia="en-US"/>
        </w:rPr>
        <w:footnoteReference w:id="13"/>
      </w:r>
      <w:r w:rsidR="004D7F21" w:rsidRPr="00D923A7">
        <w:rPr>
          <w:rFonts w:ascii="Work Sans" w:eastAsiaTheme="minorHAnsi" w:hAnsi="Work Sans" w:cs="Open Sans Light"/>
          <w:szCs w:val="24"/>
          <w:lang w:eastAsia="en-US"/>
        </w:rPr>
        <w:t xml:space="preserve"> These increases could reflect Länder responding to incentives</w:t>
      </w:r>
      <w:r w:rsidR="004D7F21" w:rsidRPr="00D923A7">
        <w:rPr>
          <w:rFonts w:ascii="Work Sans" w:hAnsi="Work Sans"/>
          <w:szCs w:val="24"/>
        </w:rPr>
        <w:t>.</w:t>
      </w:r>
      <w:r w:rsidR="004D7F21" w:rsidRPr="00D923A7">
        <w:rPr>
          <w:rStyle w:val="FootnoteReference"/>
          <w:rFonts w:ascii="Work Sans" w:hAnsi="Work Sans" w:cs="Open Sans Light"/>
          <w:szCs w:val="24"/>
        </w:rPr>
        <w:footnoteReference w:id="14"/>
      </w:r>
    </w:p>
    <w:p w14:paraId="336773D7" w14:textId="507CE311" w:rsidR="004D7F21" w:rsidRPr="00D923A7" w:rsidRDefault="004D7F21" w:rsidP="00D073A2">
      <w:pPr>
        <w:rPr>
          <w:rFonts w:ascii="Work Sans" w:hAnsi="Work Sans"/>
          <w:sz w:val="24"/>
          <w:szCs w:val="24"/>
        </w:rPr>
      </w:pPr>
      <w:r w:rsidRPr="00D923A7">
        <w:rPr>
          <w:rFonts w:ascii="Work Sans" w:hAnsi="Work Sans"/>
          <w:sz w:val="24"/>
          <w:szCs w:val="24"/>
        </w:rPr>
        <w:t>Since Germany does not fully equalise</w:t>
      </w:r>
      <w:r w:rsidR="007B25E9" w:rsidRPr="00D923A7">
        <w:rPr>
          <w:rFonts w:ascii="Work Sans" w:hAnsi="Work Sans"/>
          <w:sz w:val="24"/>
          <w:szCs w:val="24"/>
        </w:rPr>
        <w:t xml:space="preserve"> </w:t>
      </w:r>
      <w:r w:rsidR="000A18A6" w:rsidRPr="00D923A7">
        <w:rPr>
          <w:rFonts w:ascii="Work Sans" w:hAnsi="Work Sans"/>
          <w:sz w:val="24"/>
          <w:szCs w:val="24"/>
        </w:rPr>
        <w:t>revenue raising</w:t>
      </w:r>
      <w:r w:rsidR="0084299A" w:rsidRPr="00D923A7">
        <w:rPr>
          <w:rFonts w:ascii="Work Sans" w:hAnsi="Work Sans"/>
          <w:sz w:val="24"/>
          <w:szCs w:val="24"/>
        </w:rPr>
        <w:t xml:space="preserve"> capacities</w:t>
      </w:r>
      <w:r w:rsidR="007B25E9" w:rsidRPr="00D923A7">
        <w:rPr>
          <w:rFonts w:ascii="Work Sans" w:hAnsi="Work Sans"/>
          <w:sz w:val="24"/>
          <w:szCs w:val="24"/>
        </w:rPr>
        <w:t>,</w:t>
      </w:r>
      <w:r w:rsidRPr="00D923A7">
        <w:rPr>
          <w:rFonts w:ascii="Work Sans" w:hAnsi="Work Sans"/>
          <w:sz w:val="24"/>
          <w:szCs w:val="24"/>
        </w:rPr>
        <w:t xml:space="preserve"> equalisation payments provide different levels of incentive in different Länder</w:t>
      </w:r>
      <w:r w:rsidR="00252438" w:rsidRPr="00D923A7">
        <w:rPr>
          <w:rFonts w:ascii="Work Sans" w:hAnsi="Work Sans"/>
          <w:sz w:val="24"/>
          <w:szCs w:val="24"/>
        </w:rPr>
        <w:t>,</w:t>
      </w:r>
      <w:r w:rsidRPr="00D923A7">
        <w:rPr>
          <w:rFonts w:ascii="Work Sans" w:hAnsi="Work Sans"/>
          <w:sz w:val="24"/>
          <w:szCs w:val="24"/>
        </w:rPr>
        <w:t xml:space="preserve"> at different times. </w:t>
      </w:r>
    </w:p>
    <w:p w14:paraId="22D3D0EE" w14:textId="454D76A9" w:rsidR="004D7F21" w:rsidRPr="00D923A7" w:rsidRDefault="004D7F21" w:rsidP="00D073A2">
      <w:pPr>
        <w:rPr>
          <w:rFonts w:ascii="Work Sans" w:hAnsi="Work Sans"/>
          <w:sz w:val="24"/>
          <w:szCs w:val="24"/>
        </w:rPr>
      </w:pPr>
      <w:r w:rsidRPr="00D923A7">
        <w:rPr>
          <w:rFonts w:ascii="Work Sans" w:hAnsi="Work Sans"/>
          <w:sz w:val="24"/>
          <w:szCs w:val="24"/>
        </w:rPr>
        <w:t xml:space="preserve">If a Länder increased its tax rate on the highly elastic real estate transfers tax base, the tax base would shrink. The resulting increase in equalisation payments would be larger for a Länder with below average capacity than for a </w:t>
      </w:r>
      <w:r w:rsidR="00EC44FA" w:rsidRPr="00D923A7">
        <w:rPr>
          <w:rFonts w:ascii="Work Sans" w:hAnsi="Work Sans"/>
          <w:sz w:val="24"/>
          <w:szCs w:val="24"/>
        </w:rPr>
        <w:t>Länder</w:t>
      </w:r>
      <w:r w:rsidRPr="00D923A7">
        <w:rPr>
          <w:rFonts w:ascii="Work Sans" w:hAnsi="Work Sans"/>
          <w:sz w:val="24"/>
          <w:szCs w:val="24"/>
        </w:rPr>
        <w:t xml:space="preserve"> with above average capacity. Länder with below average capacity have </w:t>
      </w:r>
      <w:r w:rsidR="001304BF" w:rsidRPr="00D923A7">
        <w:rPr>
          <w:rFonts w:ascii="Work Sans" w:hAnsi="Work Sans"/>
          <w:sz w:val="24"/>
          <w:szCs w:val="24"/>
        </w:rPr>
        <w:t>shown a greater propensity</w:t>
      </w:r>
      <w:r w:rsidRPr="00D923A7">
        <w:rPr>
          <w:rFonts w:ascii="Work Sans" w:hAnsi="Work Sans"/>
          <w:sz w:val="24"/>
          <w:szCs w:val="24"/>
        </w:rPr>
        <w:t xml:space="preserve"> to increase this tax. This supports the proposition that Länder respond to incentives created by the equalisation system. </w:t>
      </w:r>
    </w:p>
    <w:p w14:paraId="3302FB6D" w14:textId="77777777" w:rsidR="004D7F21" w:rsidRPr="00D923A7" w:rsidRDefault="004D7F21" w:rsidP="00D073A2">
      <w:pPr>
        <w:rPr>
          <w:rFonts w:ascii="Work Sans" w:hAnsi="Work Sans"/>
          <w:sz w:val="24"/>
          <w:szCs w:val="24"/>
        </w:rPr>
      </w:pPr>
      <w:r w:rsidRPr="00D923A7">
        <w:rPr>
          <w:rFonts w:ascii="Work Sans" w:hAnsi="Work Sans"/>
          <w:sz w:val="24"/>
          <w:szCs w:val="24"/>
        </w:rPr>
        <w:t xml:space="preserve">Similar research found that Canadian provinces also appear to be influenced by </w:t>
      </w:r>
      <w:r w:rsidRPr="00D923A7">
        <w:rPr>
          <w:rFonts w:ascii="Work Sans" w:eastAsia="Open Sans Light" w:hAnsi="Work Sans" w:cs="Open Sans Light"/>
          <w:sz w:val="24"/>
          <w:szCs w:val="24"/>
        </w:rPr>
        <w:t>the incentive to raise taxes on elastic bases when deciding tax rates.</w:t>
      </w:r>
      <w:r w:rsidRPr="00D923A7">
        <w:rPr>
          <w:rStyle w:val="FootnoteReference"/>
          <w:rFonts w:ascii="Work Sans" w:eastAsia="Open Sans Light" w:hAnsi="Work Sans" w:cs="Open Sans Light"/>
          <w:sz w:val="24"/>
          <w:szCs w:val="24"/>
        </w:rPr>
        <w:footnoteReference w:id="15"/>
      </w:r>
      <w:r w:rsidRPr="00D923A7">
        <w:rPr>
          <w:rFonts w:ascii="Work Sans" w:eastAsia="Open Sans Light" w:hAnsi="Work Sans" w:cs="Open Sans Light"/>
          <w:sz w:val="24"/>
          <w:szCs w:val="24"/>
        </w:rPr>
        <w:t xml:space="preserve"> </w:t>
      </w:r>
      <w:r w:rsidRPr="00D923A7">
        <w:rPr>
          <w:rFonts w:ascii="Work Sans" w:hAnsi="Work Sans"/>
          <w:sz w:val="24"/>
          <w:szCs w:val="24"/>
        </w:rPr>
        <w:t>Other studies</w:t>
      </w:r>
      <w:r w:rsidRPr="00D923A7">
        <w:rPr>
          <w:rStyle w:val="FootnoteReference"/>
          <w:rFonts w:ascii="Work Sans" w:hAnsi="Work Sans"/>
          <w:sz w:val="24"/>
          <w:szCs w:val="24"/>
        </w:rPr>
        <w:footnoteReference w:id="16"/>
      </w:r>
      <w:r w:rsidRPr="00D923A7">
        <w:rPr>
          <w:rFonts w:ascii="Work Sans" w:hAnsi="Work Sans"/>
          <w:sz w:val="24"/>
          <w:szCs w:val="24"/>
        </w:rPr>
        <w:t xml:space="preserve"> considering rate changes over time, rather </w:t>
      </w:r>
      <w:r w:rsidRPr="00D923A7">
        <w:rPr>
          <w:rFonts w:ascii="Work Sans" w:hAnsi="Work Sans"/>
          <w:color w:val="000000" w:themeColor="text1"/>
          <w:sz w:val="24"/>
          <w:szCs w:val="24"/>
        </w:rPr>
        <w:t>t</w:t>
      </w:r>
      <w:r w:rsidRPr="00D923A7">
        <w:rPr>
          <w:rFonts w:ascii="Work Sans" w:hAnsi="Work Sans"/>
          <w:sz w:val="24"/>
          <w:szCs w:val="24"/>
        </w:rPr>
        <w:t xml:space="preserve">han between provinces, also found that provinces change tax rates at least in part in accord with these incentive effects. </w:t>
      </w:r>
    </w:p>
    <w:p w14:paraId="14744A95" w14:textId="77777777" w:rsidR="004D7F21" w:rsidRPr="00D923A7" w:rsidRDefault="004D7F21" w:rsidP="004D7F21">
      <w:pPr>
        <w:pStyle w:val="Caption"/>
        <w:rPr>
          <w:rFonts w:ascii="Work Sans" w:hAnsi="Work Sans"/>
          <w:sz w:val="24"/>
          <w:szCs w:val="24"/>
        </w:rPr>
      </w:pPr>
      <w:r w:rsidRPr="00D923A7">
        <w:rPr>
          <w:rFonts w:ascii="Work Sans" w:hAnsi="Work Sans"/>
          <w:sz w:val="24"/>
          <w:szCs w:val="24"/>
        </w:rPr>
        <w:t>Compliance efforts can affect a region’s equalisation payments</w:t>
      </w:r>
    </w:p>
    <w:p w14:paraId="4C5E02A1" w14:textId="77777777" w:rsidR="004D7F21" w:rsidRPr="00D923A7" w:rsidRDefault="004D7F21" w:rsidP="00D073A2">
      <w:pPr>
        <w:rPr>
          <w:rFonts w:ascii="Work Sans" w:hAnsi="Work Sans"/>
          <w:sz w:val="24"/>
          <w:szCs w:val="24"/>
        </w:rPr>
      </w:pPr>
      <w:r w:rsidRPr="00D923A7">
        <w:rPr>
          <w:rFonts w:ascii="Work Sans" w:hAnsi="Work Sans"/>
          <w:sz w:val="24"/>
          <w:szCs w:val="24"/>
        </w:rPr>
        <w:t>In Germany, the federal government sets tax rates on most taxes. All Länder therefore have identical tax rates on these taxes. However, Länder have some control over their effort at enforcing tax compliance. Researchers</w:t>
      </w:r>
      <w:r w:rsidRPr="00D923A7">
        <w:rPr>
          <w:rFonts w:ascii="Work Sans" w:hAnsi="Work Sans"/>
          <w:sz w:val="24"/>
          <w:szCs w:val="24"/>
          <w:vertAlign w:val="superscript"/>
        </w:rPr>
        <w:footnoteReference w:id="17"/>
      </w:r>
      <w:r w:rsidRPr="00D923A7">
        <w:rPr>
          <w:rFonts w:ascii="Work Sans" w:hAnsi="Work Sans"/>
          <w:sz w:val="24"/>
          <w:szCs w:val="24"/>
          <w:vertAlign w:val="superscript"/>
        </w:rPr>
        <w:t>,</w:t>
      </w:r>
      <w:r w:rsidRPr="00D923A7">
        <w:rPr>
          <w:rStyle w:val="FootnoteReference"/>
          <w:rFonts w:ascii="Work Sans" w:hAnsi="Work Sans"/>
          <w:sz w:val="24"/>
          <w:szCs w:val="24"/>
        </w:rPr>
        <w:footnoteReference w:id="18"/>
      </w:r>
      <w:r w:rsidRPr="00D923A7">
        <w:rPr>
          <w:rFonts w:ascii="Work Sans" w:hAnsi="Work Sans"/>
          <w:sz w:val="24"/>
          <w:szCs w:val="24"/>
        </w:rPr>
        <w:t xml:space="preserve"> have found a relationship between the marginal rate of equalisation and tax enforcement effort. A Länder’s choice of the appropriate level of tax enforcement is a complex one, responding to a range of factors. However, there is some evidence that the effect of the equalisation system can be a factor. </w:t>
      </w:r>
    </w:p>
    <w:p w14:paraId="4D97C5C9" w14:textId="6736BF50" w:rsidR="004D7F21" w:rsidRPr="00D923A7" w:rsidRDefault="004D7F21" w:rsidP="00D073A2">
      <w:pPr>
        <w:rPr>
          <w:rFonts w:ascii="Work Sans" w:hAnsi="Work Sans"/>
          <w:sz w:val="24"/>
          <w:szCs w:val="24"/>
        </w:rPr>
      </w:pPr>
      <w:r w:rsidRPr="00D923A7">
        <w:rPr>
          <w:rFonts w:ascii="Work Sans" w:hAnsi="Work Sans"/>
          <w:sz w:val="24"/>
          <w:szCs w:val="24"/>
        </w:rPr>
        <w:t xml:space="preserve">In Australia, the </w:t>
      </w:r>
      <w:r w:rsidR="008738CE" w:rsidRPr="00D923A7">
        <w:rPr>
          <w:rFonts w:ascii="Work Sans" w:hAnsi="Work Sans"/>
          <w:sz w:val="24"/>
          <w:szCs w:val="24"/>
        </w:rPr>
        <w:t xml:space="preserve">Commonwealth Grants </w:t>
      </w:r>
      <w:r w:rsidRPr="00D923A7">
        <w:rPr>
          <w:rFonts w:ascii="Work Sans" w:hAnsi="Work Sans"/>
          <w:sz w:val="24"/>
          <w:szCs w:val="24"/>
        </w:rPr>
        <w:t>Commission generally measures tax bases using reliable data from independent sources, such as the Australian Bureau of Statistics, the national statistics agency. However, sometimes data on the size of a tax base reflect states’ tax efforts. In theory, this could mean that if a state spends</w:t>
      </w:r>
      <w:r w:rsidRPr="00D923A7" w:rsidDel="00AC1026">
        <w:rPr>
          <w:rFonts w:ascii="Work Sans" w:hAnsi="Work Sans"/>
          <w:sz w:val="24"/>
          <w:szCs w:val="24"/>
        </w:rPr>
        <w:t xml:space="preserve"> </w:t>
      </w:r>
      <w:r w:rsidRPr="00D923A7">
        <w:rPr>
          <w:rFonts w:ascii="Work Sans" w:hAnsi="Work Sans"/>
          <w:sz w:val="24"/>
          <w:szCs w:val="24"/>
        </w:rPr>
        <w:t xml:space="preserve">above average effort </w:t>
      </w:r>
      <w:r w:rsidRPr="00D923A7">
        <w:rPr>
          <w:rFonts w:ascii="Work Sans" w:hAnsi="Work Sans"/>
          <w:sz w:val="24"/>
          <w:szCs w:val="24"/>
        </w:rPr>
        <w:lastRenderedPageBreak/>
        <w:t xml:space="preserve">enforcing compliance with a tax, after equalisation it would only retain about its population share of any additional revenue raised. While there is a conceptual concern, there is no </w:t>
      </w:r>
      <w:r w:rsidR="001220C9" w:rsidRPr="00D923A7">
        <w:rPr>
          <w:rFonts w:ascii="Work Sans" w:hAnsi="Work Sans"/>
          <w:sz w:val="24"/>
          <w:szCs w:val="24"/>
        </w:rPr>
        <w:t>known research</w:t>
      </w:r>
      <w:r w:rsidR="0091061A" w:rsidRPr="00D923A7">
        <w:rPr>
          <w:rFonts w:ascii="Work Sans" w:hAnsi="Work Sans"/>
          <w:sz w:val="24"/>
          <w:szCs w:val="24"/>
        </w:rPr>
        <w:t xml:space="preserve"> </w:t>
      </w:r>
      <w:r w:rsidR="00D26CDE" w:rsidRPr="00D923A7">
        <w:rPr>
          <w:rFonts w:ascii="Work Sans" w:hAnsi="Work Sans"/>
          <w:sz w:val="24"/>
          <w:szCs w:val="24"/>
        </w:rPr>
        <w:t>investigating</w:t>
      </w:r>
      <w:r w:rsidRPr="00D923A7">
        <w:rPr>
          <w:rFonts w:ascii="Work Sans" w:hAnsi="Work Sans"/>
          <w:sz w:val="24"/>
          <w:szCs w:val="24"/>
        </w:rPr>
        <w:t xml:space="preserve"> states acting on this incentive in Australia.</w:t>
      </w:r>
    </w:p>
    <w:p w14:paraId="528B8E0E" w14:textId="77777777" w:rsidR="004D7F21" w:rsidRPr="00D923A7" w:rsidRDefault="004D7F21" w:rsidP="004D7F21">
      <w:pPr>
        <w:pStyle w:val="Caption"/>
        <w:rPr>
          <w:rFonts w:ascii="Work Sans" w:hAnsi="Work Sans"/>
          <w:sz w:val="24"/>
          <w:szCs w:val="24"/>
        </w:rPr>
      </w:pPr>
      <w:r w:rsidRPr="00D923A7">
        <w:rPr>
          <w:rFonts w:ascii="Work Sans" w:hAnsi="Work Sans"/>
          <w:sz w:val="24"/>
          <w:szCs w:val="24"/>
        </w:rPr>
        <w:t>Broad indicators are not the solution</w:t>
      </w:r>
    </w:p>
    <w:p w14:paraId="4ED5875A" w14:textId="61B71856" w:rsidR="004D7F21" w:rsidRPr="00D923A7" w:rsidRDefault="004D7F21" w:rsidP="00D073A2">
      <w:pPr>
        <w:rPr>
          <w:rFonts w:ascii="Work Sans" w:hAnsi="Work Sans"/>
          <w:sz w:val="24"/>
          <w:szCs w:val="24"/>
        </w:rPr>
      </w:pPr>
      <w:r w:rsidRPr="00D923A7">
        <w:rPr>
          <w:rFonts w:ascii="Work Sans" w:hAnsi="Work Sans"/>
          <w:sz w:val="24"/>
          <w:szCs w:val="24"/>
        </w:rPr>
        <w:t xml:space="preserve">One strategy sometimes suggested to reduce the potential for regional policies to influence their equalisation payments is to use broad indicators of revenue raising capacity such as gross state product, rather than the direct measures of the tax bases. </w:t>
      </w:r>
    </w:p>
    <w:p w14:paraId="70B6607C" w14:textId="4F36721A" w:rsidR="004D7F21" w:rsidRPr="00D923A7" w:rsidRDefault="004D7F21" w:rsidP="00D073A2">
      <w:pPr>
        <w:rPr>
          <w:rFonts w:ascii="Work Sans" w:hAnsi="Work Sans"/>
          <w:sz w:val="24"/>
          <w:szCs w:val="24"/>
        </w:rPr>
      </w:pPr>
      <w:r w:rsidRPr="00D923A7">
        <w:rPr>
          <w:rFonts w:ascii="Work Sans" w:hAnsi="Work Sans"/>
          <w:sz w:val="24"/>
          <w:szCs w:val="24"/>
        </w:rPr>
        <w:t xml:space="preserve">In 2006, Canada rejected a macro-indicator approach because it was unable to accurately measure actual tax capacity. In 2007 Switzerland replaced macro indicators with a representative tax system approach to improve accuracy and reliability. Due to German Länder having limited policy control over their taxation, macro indicators offer </w:t>
      </w:r>
      <w:r w:rsidR="00E35FB4" w:rsidRPr="00D923A7">
        <w:rPr>
          <w:rFonts w:ascii="Work Sans" w:hAnsi="Work Sans"/>
          <w:sz w:val="24"/>
          <w:szCs w:val="24"/>
        </w:rPr>
        <w:t xml:space="preserve">a </w:t>
      </w:r>
      <w:r w:rsidRPr="00D923A7">
        <w:rPr>
          <w:rFonts w:ascii="Work Sans" w:hAnsi="Work Sans"/>
          <w:sz w:val="24"/>
          <w:szCs w:val="24"/>
        </w:rPr>
        <w:t>limited increase in policy neutrality. In Australia, the Commission has also considered, but never implemented, a macro-indicator approach.</w:t>
      </w:r>
    </w:p>
    <w:p w14:paraId="1FA05841" w14:textId="77777777" w:rsidR="004D7F21" w:rsidRPr="00D923A7" w:rsidRDefault="004D7F21" w:rsidP="004D7F21">
      <w:pPr>
        <w:pStyle w:val="Caption"/>
        <w:rPr>
          <w:rFonts w:ascii="Work Sans" w:hAnsi="Work Sans"/>
          <w:sz w:val="24"/>
          <w:szCs w:val="24"/>
        </w:rPr>
      </w:pPr>
      <w:r w:rsidRPr="00D923A7">
        <w:rPr>
          <w:rFonts w:ascii="Work Sans" w:hAnsi="Work Sans"/>
          <w:sz w:val="24"/>
          <w:szCs w:val="24"/>
        </w:rPr>
        <w:t>Partial equalisation reduces disincentives</w:t>
      </w:r>
    </w:p>
    <w:p w14:paraId="65667BF8" w14:textId="15441E70" w:rsidR="004D7F21" w:rsidRPr="00D923A7" w:rsidRDefault="004D7F21" w:rsidP="00D073A2">
      <w:pPr>
        <w:rPr>
          <w:rFonts w:ascii="Work Sans" w:hAnsi="Work Sans"/>
          <w:sz w:val="24"/>
          <w:szCs w:val="24"/>
        </w:rPr>
      </w:pPr>
      <w:r w:rsidRPr="00D923A7">
        <w:rPr>
          <w:rFonts w:ascii="Work Sans" w:hAnsi="Work Sans"/>
          <w:sz w:val="24"/>
          <w:szCs w:val="24"/>
        </w:rPr>
        <w:t>All countries examined in this paper are comprehensive in the sense that they consider all sources of revenue. However, Canada, German</w:t>
      </w:r>
      <w:r w:rsidR="00DB34F7" w:rsidRPr="00D923A7">
        <w:rPr>
          <w:rFonts w:ascii="Work Sans" w:hAnsi="Work Sans"/>
          <w:sz w:val="24"/>
          <w:szCs w:val="24"/>
        </w:rPr>
        <w:t>y</w:t>
      </w:r>
      <w:r w:rsidRPr="00D923A7">
        <w:rPr>
          <w:rFonts w:ascii="Work Sans" w:hAnsi="Work Sans"/>
          <w:sz w:val="24"/>
          <w:szCs w:val="24"/>
        </w:rPr>
        <w:t xml:space="preserve"> and Swi</w:t>
      </w:r>
      <w:r w:rsidR="00DB34F7" w:rsidRPr="00D923A7">
        <w:rPr>
          <w:rFonts w:ascii="Work Sans" w:hAnsi="Work Sans"/>
          <w:sz w:val="24"/>
          <w:szCs w:val="24"/>
        </w:rPr>
        <w:t>tzerland</w:t>
      </w:r>
      <w:r w:rsidRPr="00D923A7">
        <w:rPr>
          <w:rFonts w:ascii="Work Sans" w:hAnsi="Work Sans"/>
          <w:sz w:val="24"/>
          <w:szCs w:val="24"/>
        </w:rPr>
        <w:t xml:space="preserve"> do not fully equalise revenue raising capacity. This means that jurisdictions retain more than their population share of any revenue raised. Proponents say this provides fairness and an incentive for efficiency. When equalising among territories</w:t>
      </w:r>
      <w:r w:rsidR="00057353" w:rsidRPr="00D923A7">
        <w:rPr>
          <w:rFonts w:ascii="Work Sans" w:hAnsi="Work Sans"/>
          <w:sz w:val="24"/>
          <w:szCs w:val="24"/>
        </w:rPr>
        <w:t>,</w:t>
      </w:r>
      <w:r w:rsidRPr="00D923A7">
        <w:rPr>
          <w:rStyle w:val="FootnoteReference"/>
          <w:rFonts w:ascii="Work Sans" w:hAnsi="Work Sans"/>
          <w:sz w:val="24"/>
          <w:szCs w:val="24"/>
        </w:rPr>
        <w:footnoteReference w:id="19"/>
      </w:r>
      <w:r w:rsidRPr="00D923A7">
        <w:rPr>
          <w:rFonts w:ascii="Work Sans" w:hAnsi="Work Sans"/>
          <w:sz w:val="24"/>
          <w:szCs w:val="24"/>
        </w:rPr>
        <w:t xml:space="preserve"> the Canadian government excludes 30% of all measured revenue capacity to incentivise territories to increase their own revenues.</w:t>
      </w:r>
    </w:p>
    <w:p w14:paraId="27AEC870" w14:textId="1690395D" w:rsidR="004D7F21" w:rsidRPr="00D923A7" w:rsidRDefault="004D7F21" w:rsidP="00D073A2">
      <w:pPr>
        <w:rPr>
          <w:rFonts w:ascii="Work Sans" w:hAnsi="Work Sans"/>
          <w:sz w:val="24"/>
          <w:szCs w:val="24"/>
        </w:rPr>
      </w:pPr>
      <w:r w:rsidRPr="00D923A7">
        <w:rPr>
          <w:rFonts w:ascii="Work Sans" w:hAnsi="Work Sans"/>
          <w:sz w:val="24"/>
          <w:szCs w:val="24"/>
        </w:rPr>
        <w:t xml:space="preserve">All systems have moderate to high levels of equalisation among regions with below average capacity. However, regions with above average capacity are often less affected by equalisation. In Canada, the federal government makes payments only to provinces with below average fiscal capacity. Non-recipient provinces have no vested interest in the payments other than the total cost to the federal budget. This removes incentive effects on tax policy for the non-recipient provinces. In Switzerland, cantons with above average capacity face a marginal equalisation rate of only 20%. </w:t>
      </w:r>
    </w:p>
    <w:p w14:paraId="774C4760" w14:textId="77777777" w:rsidR="004D7F21" w:rsidRPr="00D923A7" w:rsidRDefault="004D7F21" w:rsidP="00D073A2">
      <w:pPr>
        <w:rPr>
          <w:rFonts w:ascii="Work Sans" w:hAnsi="Work Sans"/>
          <w:sz w:val="24"/>
          <w:szCs w:val="24"/>
        </w:rPr>
      </w:pPr>
      <w:r w:rsidRPr="00D923A7">
        <w:rPr>
          <w:rFonts w:ascii="Work Sans" w:hAnsi="Work Sans"/>
          <w:sz w:val="24"/>
          <w:szCs w:val="24"/>
        </w:rPr>
        <w:t xml:space="preserve">Germany reduces the incentive effects of policy changes without significantly reducing the level of fiscal equalisation. To encourage compliance effort, in the assessment of Länder’s fiscal capacity, any increase in a Länder’s revenue from the previous year is discounted by 12%. </w:t>
      </w:r>
    </w:p>
    <w:p w14:paraId="445B3426" w14:textId="54E3055F" w:rsidR="004D7F21" w:rsidRPr="002C5B2F" w:rsidRDefault="004D7F21" w:rsidP="00D073A2">
      <w:pPr>
        <w:rPr>
          <w:rFonts w:ascii="Work Sans" w:hAnsi="Work Sans"/>
        </w:rPr>
      </w:pPr>
      <w:r w:rsidRPr="00D923A7">
        <w:rPr>
          <w:rFonts w:ascii="Work Sans" w:hAnsi="Work Sans"/>
          <w:sz w:val="24"/>
          <w:szCs w:val="24"/>
        </w:rPr>
        <w:t xml:space="preserve">Australia does not currently make any adjustments to its approach to assessing revenue to mitigate disincentives created by equalisation. However, the Commission has noted that if the reform policies of an </w:t>
      </w:r>
      <w:r w:rsidRPr="00D923A7">
        <w:rPr>
          <w:rFonts w:ascii="Work Sans" w:hAnsi="Work Sans"/>
          <w:sz w:val="24"/>
          <w:szCs w:val="24"/>
        </w:rPr>
        <w:lastRenderedPageBreak/>
        <w:t xml:space="preserve">individual state were </w:t>
      </w:r>
      <w:r w:rsidR="009D5379" w:rsidRPr="00D923A7">
        <w:rPr>
          <w:rFonts w:ascii="Work Sans" w:hAnsi="Work Sans"/>
          <w:sz w:val="24"/>
          <w:szCs w:val="24"/>
        </w:rPr>
        <w:t xml:space="preserve">to </w:t>
      </w:r>
      <w:r w:rsidRPr="00D923A7">
        <w:rPr>
          <w:rFonts w:ascii="Work Sans" w:hAnsi="Work Sans"/>
          <w:sz w:val="24"/>
          <w:szCs w:val="24"/>
        </w:rPr>
        <w:t>hav</w:t>
      </w:r>
      <w:r w:rsidR="009D5379" w:rsidRPr="00D923A7">
        <w:rPr>
          <w:rFonts w:ascii="Work Sans" w:hAnsi="Work Sans"/>
          <w:sz w:val="24"/>
          <w:szCs w:val="24"/>
        </w:rPr>
        <w:t>e</w:t>
      </w:r>
      <w:r w:rsidRPr="00D923A7">
        <w:rPr>
          <w:rFonts w:ascii="Work Sans" w:hAnsi="Work Sans"/>
          <w:sz w:val="24"/>
          <w:szCs w:val="24"/>
        </w:rPr>
        <w:t xml:space="preserve"> a material effect on its GST share then, in keeping with the policy neutrality principle, it may be appropriate to consider mitigating such effects.</w:t>
      </w:r>
      <w:r w:rsidRPr="00D923A7">
        <w:rPr>
          <w:rStyle w:val="FootnoteReference"/>
          <w:rFonts w:ascii="Work Sans" w:hAnsi="Work Sans"/>
          <w:sz w:val="24"/>
          <w:szCs w:val="24"/>
        </w:rPr>
        <w:footnoteReference w:id="20"/>
      </w:r>
      <w:r w:rsidR="00BA6CD2" w:rsidRPr="00D923A7">
        <w:rPr>
          <w:rFonts w:ascii="Work Sans" w:hAnsi="Work Sans"/>
          <w:sz w:val="24"/>
          <w:szCs w:val="24"/>
        </w:rPr>
        <w:t xml:space="preserve"> </w:t>
      </w:r>
      <w:r w:rsidR="00CC6264" w:rsidRPr="00D923A7">
        <w:rPr>
          <w:rFonts w:ascii="Work Sans" w:hAnsi="Work Sans"/>
          <w:sz w:val="24"/>
          <w:szCs w:val="24"/>
        </w:rPr>
        <w:t xml:space="preserve">Under the 2018 legislated arrangements, </w:t>
      </w:r>
      <w:r w:rsidR="00A85356" w:rsidRPr="00D923A7">
        <w:rPr>
          <w:rFonts w:ascii="Work Sans" w:hAnsi="Work Sans"/>
          <w:sz w:val="24"/>
          <w:szCs w:val="24"/>
        </w:rPr>
        <w:t xml:space="preserve">payments to </w:t>
      </w:r>
      <w:r w:rsidR="00906308" w:rsidRPr="00D923A7">
        <w:rPr>
          <w:rFonts w:ascii="Work Sans" w:hAnsi="Work Sans"/>
          <w:sz w:val="24"/>
          <w:szCs w:val="24"/>
        </w:rPr>
        <w:t xml:space="preserve">Western Australia </w:t>
      </w:r>
      <w:r w:rsidR="003B6CF6" w:rsidRPr="00D923A7">
        <w:rPr>
          <w:rFonts w:ascii="Work Sans" w:hAnsi="Work Sans"/>
          <w:sz w:val="24"/>
          <w:szCs w:val="24"/>
        </w:rPr>
        <w:t>may</w:t>
      </w:r>
      <w:r w:rsidR="00A85356" w:rsidRPr="00D923A7">
        <w:rPr>
          <w:rFonts w:ascii="Work Sans" w:hAnsi="Work Sans"/>
          <w:sz w:val="24"/>
          <w:szCs w:val="24"/>
        </w:rPr>
        <w:t xml:space="preserve"> not </w:t>
      </w:r>
      <w:r w:rsidR="003B6CF6" w:rsidRPr="00D923A7">
        <w:rPr>
          <w:rFonts w:ascii="Work Sans" w:hAnsi="Work Sans"/>
          <w:sz w:val="24"/>
          <w:szCs w:val="24"/>
        </w:rPr>
        <w:t xml:space="preserve">be </w:t>
      </w:r>
      <w:r w:rsidR="008A3C5B" w:rsidRPr="00D923A7">
        <w:rPr>
          <w:rFonts w:ascii="Work Sans" w:hAnsi="Work Sans"/>
          <w:sz w:val="24"/>
          <w:szCs w:val="24"/>
        </w:rPr>
        <w:t xml:space="preserve">directly </w:t>
      </w:r>
      <w:r w:rsidR="00A85356" w:rsidRPr="00D923A7">
        <w:rPr>
          <w:rFonts w:ascii="Work Sans" w:hAnsi="Work Sans"/>
          <w:sz w:val="24"/>
          <w:szCs w:val="24"/>
        </w:rPr>
        <w:t xml:space="preserve">affected by </w:t>
      </w:r>
      <w:r w:rsidR="00C65028" w:rsidRPr="00D923A7">
        <w:rPr>
          <w:rFonts w:ascii="Work Sans" w:hAnsi="Work Sans"/>
          <w:sz w:val="24"/>
          <w:szCs w:val="24"/>
        </w:rPr>
        <w:t xml:space="preserve">its </w:t>
      </w:r>
      <w:r w:rsidR="00A85356" w:rsidRPr="00D923A7">
        <w:rPr>
          <w:rFonts w:ascii="Work Sans" w:hAnsi="Work Sans"/>
          <w:sz w:val="24"/>
          <w:szCs w:val="24"/>
        </w:rPr>
        <w:t>circumstances</w:t>
      </w:r>
      <w:r w:rsidR="003B6CF6" w:rsidRPr="00D923A7">
        <w:rPr>
          <w:rFonts w:ascii="Work Sans" w:hAnsi="Work Sans"/>
          <w:sz w:val="24"/>
          <w:szCs w:val="24"/>
        </w:rPr>
        <w:t>,</w:t>
      </w:r>
      <w:r w:rsidR="00A038AE" w:rsidRPr="00D923A7">
        <w:rPr>
          <w:rFonts w:ascii="Work Sans" w:hAnsi="Work Sans"/>
          <w:sz w:val="24"/>
          <w:szCs w:val="24"/>
        </w:rPr>
        <w:t xml:space="preserve"> </w:t>
      </w:r>
      <w:r w:rsidR="003B6CF6" w:rsidRPr="00D923A7">
        <w:rPr>
          <w:rFonts w:ascii="Work Sans" w:hAnsi="Work Sans"/>
          <w:sz w:val="24"/>
          <w:szCs w:val="24"/>
        </w:rPr>
        <w:t>in which case</w:t>
      </w:r>
      <w:r w:rsidR="00A038AE" w:rsidRPr="00D923A7">
        <w:rPr>
          <w:rFonts w:ascii="Work Sans" w:hAnsi="Work Sans"/>
          <w:sz w:val="24"/>
          <w:szCs w:val="24"/>
        </w:rPr>
        <w:t xml:space="preserve"> it faces no equalisation</w:t>
      </w:r>
      <w:r w:rsidR="002E61A9" w:rsidRPr="00D923A7">
        <w:rPr>
          <w:rFonts w:ascii="Work Sans" w:hAnsi="Work Sans"/>
          <w:sz w:val="24"/>
          <w:szCs w:val="24"/>
        </w:rPr>
        <w:t>-</w:t>
      </w:r>
      <w:r w:rsidR="00A038AE" w:rsidRPr="00D923A7">
        <w:rPr>
          <w:rFonts w:ascii="Work Sans" w:hAnsi="Work Sans"/>
          <w:sz w:val="24"/>
          <w:szCs w:val="24"/>
        </w:rPr>
        <w:t>related incentives.</w:t>
      </w:r>
    </w:p>
    <w:p w14:paraId="79EC5C75" w14:textId="77777777" w:rsidR="004D7F21" w:rsidRPr="00C32075" w:rsidRDefault="004D7F21" w:rsidP="004D7F21">
      <w:pPr>
        <w:pStyle w:val="Heading2"/>
      </w:pPr>
      <w:bookmarkStart w:id="15" w:name="_Toc79486933"/>
      <w:r w:rsidRPr="00C32075">
        <w:t>Volatil</w:t>
      </w:r>
      <w:r>
        <w:t>ity and lags can cause challenges</w:t>
      </w:r>
    </w:p>
    <w:p w14:paraId="7BA3FFB8" w14:textId="4200EC08" w:rsidR="004D7F21" w:rsidRPr="00D923A7" w:rsidRDefault="004D7F21" w:rsidP="00D073A2">
      <w:pPr>
        <w:rPr>
          <w:rFonts w:ascii="Work Sans" w:hAnsi="Work Sans"/>
          <w:sz w:val="24"/>
          <w:szCs w:val="24"/>
        </w:rPr>
      </w:pPr>
      <w:r w:rsidRPr="00D923A7">
        <w:rPr>
          <w:rFonts w:ascii="Work Sans" w:hAnsi="Work Sans"/>
          <w:sz w:val="24"/>
          <w:szCs w:val="24"/>
        </w:rPr>
        <w:t xml:space="preserve">Full and accurate data are generally not available in real time. It is therefore not possible to pay equalisation payments in a year based on the fiscal needs in that year. Instead, Switzerland, Canada and Australia </w:t>
      </w:r>
      <w:r w:rsidR="00315E9E" w:rsidRPr="00D923A7">
        <w:rPr>
          <w:rFonts w:ascii="Work Sans" w:hAnsi="Work Sans"/>
          <w:sz w:val="24"/>
          <w:szCs w:val="24"/>
        </w:rPr>
        <w:t xml:space="preserve">all </w:t>
      </w:r>
      <w:r w:rsidRPr="00D923A7">
        <w:rPr>
          <w:rFonts w:ascii="Work Sans" w:hAnsi="Work Sans"/>
          <w:sz w:val="24"/>
          <w:szCs w:val="24"/>
        </w:rPr>
        <w:t xml:space="preserve">estimate the fiscal </w:t>
      </w:r>
      <w:r w:rsidR="00682487" w:rsidRPr="00D923A7">
        <w:rPr>
          <w:rFonts w:ascii="Work Sans" w:hAnsi="Work Sans"/>
          <w:sz w:val="24"/>
          <w:szCs w:val="24"/>
        </w:rPr>
        <w:t>circumstances</w:t>
      </w:r>
      <w:r w:rsidRPr="00D923A7">
        <w:rPr>
          <w:rFonts w:ascii="Work Sans" w:hAnsi="Work Sans"/>
          <w:sz w:val="24"/>
          <w:szCs w:val="24"/>
        </w:rPr>
        <w:t xml:space="preserve"> </w:t>
      </w:r>
      <w:r w:rsidR="00682487" w:rsidRPr="00D923A7">
        <w:rPr>
          <w:rFonts w:ascii="Work Sans" w:hAnsi="Work Sans"/>
          <w:sz w:val="24"/>
          <w:szCs w:val="24"/>
        </w:rPr>
        <w:t xml:space="preserve">of </w:t>
      </w:r>
      <w:r w:rsidRPr="00D923A7">
        <w:rPr>
          <w:rFonts w:ascii="Work Sans" w:hAnsi="Work Sans"/>
          <w:sz w:val="24"/>
          <w:szCs w:val="24"/>
        </w:rPr>
        <w:t xml:space="preserve">each </w:t>
      </w:r>
      <w:r w:rsidR="00EC44FA">
        <w:rPr>
          <w:rFonts w:ascii="Work Sans" w:hAnsi="Work Sans"/>
          <w:sz w:val="24"/>
          <w:szCs w:val="24"/>
        </w:rPr>
        <w:t>s</w:t>
      </w:r>
      <w:r w:rsidRPr="00D923A7">
        <w:rPr>
          <w:rFonts w:ascii="Work Sans" w:hAnsi="Work Sans"/>
          <w:sz w:val="24"/>
          <w:szCs w:val="24"/>
        </w:rPr>
        <w:t xml:space="preserve">tate using data from </w:t>
      </w:r>
      <w:r w:rsidR="00315E9E" w:rsidRPr="00D923A7">
        <w:rPr>
          <w:rFonts w:ascii="Work Sans" w:hAnsi="Work Sans"/>
          <w:sz w:val="24"/>
          <w:szCs w:val="24"/>
        </w:rPr>
        <w:t xml:space="preserve">three </w:t>
      </w:r>
      <w:r w:rsidRPr="00D923A7">
        <w:rPr>
          <w:rFonts w:ascii="Work Sans" w:hAnsi="Work Sans"/>
          <w:sz w:val="24"/>
          <w:szCs w:val="24"/>
        </w:rPr>
        <w:t>previous years</w:t>
      </w:r>
      <w:r w:rsidR="00315E9E" w:rsidRPr="00D923A7">
        <w:rPr>
          <w:rFonts w:ascii="Work Sans" w:hAnsi="Work Sans"/>
          <w:sz w:val="24"/>
          <w:szCs w:val="24"/>
        </w:rPr>
        <w:t>, with varying lags</w:t>
      </w:r>
      <w:r w:rsidRPr="00D923A7">
        <w:rPr>
          <w:rFonts w:ascii="Work Sans" w:hAnsi="Work Sans"/>
          <w:sz w:val="24"/>
          <w:szCs w:val="24"/>
        </w:rPr>
        <w:t xml:space="preserve">. Germany operates under a different system, of advances and completions. It provides an allocation in a year for that year. In following years, as data become available, </w:t>
      </w:r>
      <w:r w:rsidR="00617637" w:rsidRPr="00D923A7">
        <w:rPr>
          <w:rFonts w:ascii="Work Sans" w:hAnsi="Work Sans"/>
          <w:sz w:val="24"/>
          <w:szCs w:val="24"/>
        </w:rPr>
        <w:t xml:space="preserve">payments are </w:t>
      </w:r>
      <w:r w:rsidR="00625104" w:rsidRPr="00D923A7">
        <w:rPr>
          <w:rFonts w:ascii="Work Sans" w:hAnsi="Work Sans"/>
          <w:sz w:val="24"/>
          <w:szCs w:val="24"/>
        </w:rPr>
        <w:t>subsequently adjusted.</w:t>
      </w:r>
    </w:p>
    <w:p w14:paraId="5D962290" w14:textId="35F56021" w:rsidR="004D7F21" w:rsidRPr="00D923A7" w:rsidRDefault="004D7F21" w:rsidP="00981474">
      <w:pPr>
        <w:pStyle w:val="BodyText"/>
        <w:spacing w:before="120" w:line="254" w:lineRule="auto"/>
        <w:jc w:val="left"/>
        <w:rPr>
          <w:rFonts w:ascii="Work Sans" w:eastAsiaTheme="minorHAnsi" w:hAnsi="Work Sans" w:cs="Open Sans Light"/>
          <w:szCs w:val="24"/>
          <w:lang w:eastAsia="en-US"/>
        </w:rPr>
      </w:pPr>
      <w:r w:rsidRPr="00D923A7">
        <w:rPr>
          <w:rFonts w:ascii="Work Sans" w:eastAsiaTheme="minorHAnsi" w:hAnsi="Work Sans" w:cs="Open Sans Light"/>
          <w:szCs w:val="24"/>
          <w:lang w:eastAsia="en-US"/>
        </w:rPr>
        <w:t xml:space="preserve">While the use of lagged and averaged data can provide regions with some certainty in revenue flows, the timing mismatch between economic circumstances and equalisation payments may have some </w:t>
      </w:r>
      <w:r w:rsidR="0075265A" w:rsidRPr="00D923A7">
        <w:rPr>
          <w:rFonts w:ascii="Work Sans" w:eastAsiaTheme="minorHAnsi" w:hAnsi="Work Sans" w:cs="Open Sans Light"/>
          <w:szCs w:val="24"/>
          <w:lang w:eastAsia="en-US"/>
        </w:rPr>
        <w:t xml:space="preserve">pro-cyclical </w:t>
      </w:r>
      <w:r w:rsidRPr="00D923A7">
        <w:rPr>
          <w:rFonts w:ascii="Work Sans" w:eastAsiaTheme="minorHAnsi" w:hAnsi="Work Sans" w:cs="Open Sans Light"/>
          <w:szCs w:val="24"/>
          <w:lang w:eastAsia="en-US"/>
        </w:rPr>
        <w:t xml:space="preserve">effects. When a region is experiencing a structural shift or an economic shock, its equalisation payment can vary significantly from its equalisation requirement. Effectively, this mismatch increases the risk that a contractionary fiscal phase coincides with declining equalisation payments. </w:t>
      </w:r>
    </w:p>
    <w:p w14:paraId="63B8DDBB" w14:textId="77777777" w:rsidR="004D7F21" w:rsidRPr="00D923A7" w:rsidRDefault="004D7F21" w:rsidP="00D073A2">
      <w:pPr>
        <w:rPr>
          <w:rFonts w:ascii="Work Sans" w:hAnsi="Work Sans"/>
          <w:sz w:val="24"/>
          <w:szCs w:val="24"/>
        </w:rPr>
      </w:pPr>
      <w:r w:rsidRPr="00D923A7">
        <w:rPr>
          <w:rFonts w:ascii="Work Sans" w:hAnsi="Work Sans"/>
          <w:sz w:val="24"/>
          <w:szCs w:val="24"/>
        </w:rPr>
        <w:t>If payments reflected (perfectly) contemporaneous data, the system would be more responsive to evolving regional inequalities. Equalisation payments would reduce volatility of total all-source revenue, at least for the region with the most volatile own-source revenues. However, in</w:t>
      </w:r>
      <w:r w:rsidRPr="00D923A7" w:rsidDel="00F97802">
        <w:rPr>
          <w:rFonts w:ascii="Work Sans" w:hAnsi="Work Sans"/>
          <w:sz w:val="24"/>
          <w:szCs w:val="24"/>
        </w:rPr>
        <w:t xml:space="preserve"> </w:t>
      </w:r>
      <w:r w:rsidRPr="00D923A7">
        <w:rPr>
          <w:rFonts w:ascii="Work Sans" w:hAnsi="Work Sans"/>
          <w:sz w:val="24"/>
          <w:szCs w:val="24"/>
        </w:rPr>
        <w:t xml:space="preserve">the case of a nationwide economic shock, equalisation payments would not shield regions from declining own-source revenues without the federal government bearing the fiscal cost. </w:t>
      </w:r>
    </w:p>
    <w:p w14:paraId="461F2C98" w14:textId="239B64DB" w:rsidR="004D7F21" w:rsidRPr="002C5B2F" w:rsidRDefault="004D7F21" w:rsidP="00D073A2">
      <w:pPr>
        <w:rPr>
          <w:rFonts w:ascii="Work Sans" w:hAnsi="Work Sans"/>
        </w:rPr>
      </w:pPr>
      <w:r w:rsidRPr="00D923A7">
        <w:rPr>
          <w:rFonts w:ascii="Work Sans" w:hAnsi="Work Sans"/>
          <w:sz w:val="24"/>
          <w:szCs w:val="24"/>
        </w:rPr>
        <w:t xml:space="preserve">Equalisation reduces differences in </w:t>
      </w:r>
      <w:r w:rsidR="00A862C8" w:rsidRPr="00D923A7">
        <w:rPr>
          <w:rFonts w:ascii="Work Sans" w:hAnsi="Work Sans"/>
          <w:sz w:val="24"/>
          <w:szCs w:val="24"/>
        </w:rPr>
        <w:t xml:space="preserve">post-equalisation </w:t>
      </w:r>
      <w:r w:rsidRPr="00D923A7">
        <w:rPr>
          <w:rFonts w:ascii="Work Sans" w:hAnsi="Work Sans"/>
          <w:sz w:val="24"/>
          <w:szCs w:val="24"/>
        </w:rPr>
        <w:t>fiscal capacities between regions</w:t>
      </w:r>
      <w:r w:rsidR="00FB3233" w:rsidRPr="00D923A7">
        <w:rPr>
          <w:rFonts w:ascii="Work Sans" w:hAnsi="Work Sans"/>
          <w:sz w:val="24"/>
          <w:szCs w:val="24"/>
        </w:rPr>
        <w:t xml:space="preserve"> </w:t>
      </w:r>
      <w:r w:rsidRPr="00D923A7">
        <w:rPr>
          <w:rFonts w:ascii="Work Sans" w:hAnsi="Work Sans"/>
          <w:sz w:val="24"/>
          <w:szCs w:val="24"/>
        </w:rPr>
        <w:t xml:space="preserve">over </w:t>
      </w:r>
      <w:r w:rsidR="00791A84" w:rsidRPr="00D923A7">
        <w:rPr>
          <w:rFonts w:ascii="Work Sans" w:hAnsi="Work Sans"/>
          <w:sz w:val="24"/>
          <w:szCs w:val="24"/>
        </w:rPr>
        <w:t>the medium term</w:t>
      </w:r>
      <w:r w:rsidRPr="00D923A7">
        <w:rPr>
          <w:rFonts w:ascii="Work Sans" w:hAnsi="Work Sans"/>
          <w:sz w:val="24"/>
          <w:szCs w:val="24"/>
        </w:rPr>
        <w:t>. However, under some circumstances, it can exacerbate differences in fiscal capacities in a particular year. Smoothing equalisation payments by calculating each region’s circumstances over a longer period can mitigate this. Ultimately, the choice of smoothing (the length of the moving average and/or the use of weighting) is a balanc</w:t>
      </w:r>
      <w:r w:rsidR="009D367C" w:rsidRPr="00D923A7">
        <w:rPr>
          <w:rFonts w:ascii="Work Sans" w:hAnsi="Work Sans"/>
          <w:sz w:val="24"/>
          <w:szCs w:val="24"/>
        </w:rPr>
        <w:t>e</w:t>
      </w:r>
      <w:r w:rsidRPr="00D923A7" w:rsidDel="009D367C">
        <w:rPr>
          <w:rFonts w:ascii="Work Sans" w:hAnsi="Work Sans"/>
          <w:sz w:val="24"/>
          <w:szCs w:val="24"/>
        </w:rPr>
        <w:t xml:space="preserve"> </w:t>
      </w:r>
      <w:r w:rsidRPr="00D923A7">
        <w:rPr>
          <w:rFonts w:ascii="Work Sans" w:hAnsi="Work Sans"/>
          <w:sz w:val="24"/>
          <w:szCs w:val="24"/>
        </w:rPr>
        <w:t xml:space="preserve">between predictability and </w:t>
      </w:r>
      <w:r w:rsidR="00821BA3" w:rsidRPr="00D923A7">
        <w:rPr>
          <w:rFonts w:ascii="Work Sans" w:hAnsi="Work Sans"/>
          <w:sz w:val="24"/>
          <w:szCs w:val="24"/>
        </w:rPr>
        <w:t>contemporaneity</w:t>
      </w:r>
      <w:r w:rsidR="004A1E3B" w:rsidRPr="00D923A7">
        <w:rPr>
          <w:rFonts w:ascii="Work Sans" w:hAnsi="Work Sans"/>
          <w:sz w:val="24"/>
          <w:szCs w:val="24"/>
        </w:rPr>
        <w:t xml:space="preserve"> with</w:t>
      </w:r>
      <w:r w:rsidR="007A7CC6" w:rsidRPr="00D923A7" w:rsidDel="006D71E0">
        <w:rPr>
          <w:rFonts w:ascii="Work Sans" w:hAnsi="Work Sans"/>
          <w:sz w:val="24"/>
          <w:szCs w:val="24"/>
        </w:rPr>
        <w:t xml:space="preserve"> </w:t>
      </w:r>
      <w:r w:rsidRPr="00D923A7">
        <w:rPr>
          <w:rFonts w:ascii="Work Sans" w:hAnsi="Work Sans"/>
          <w:sz w:val="24"/>
          <w:szCs w:val="24"/>
        </w:rPr>
        <w:t>economic developments.</w:t>
      </w:r>
    </w:p>
    <w:p w14:paraId="34FE9F02" w14:textId="626512D7" w:rsidR="004D7F21" w:rsidRDefault="00D923A7" w:rsidP="004D7F21">
      <w:pPr>
        <w:pStyle w:val="Heading2"/>
      </w:pPr>
      <w:r>
        <w:br w:type="column"/>
      </w:r>
      <w:r w:rsidR="004D7F21">
        <w:lastRenderedPageBreak/>
        <w:t>E</w:t>
      </w:r>
      <w:r w:rsidR="004D7F21" w:rsidRPr="00C32075">
        <w:t>xpense equalisation</w:t>
      </w:r>
      <w:r w:rsidR="004D7F21">
        <w:t xml:space="preserve"> can be approached in different ways</w:t>
      </w:r>
      <w:r w:rsidR="004D7F21" w:rsidRPr="00C32075">
        <w:t xml:space="preserve"> </w:t>
      </w:r>
      <w:bookmarkEnd w:id="15"/>
    </w:p>
    <w:p w14:paraId="2726D6C3" w14:textId="77777777" w:rsidR="004D7F21" w:rsidRPr="00D923A7" w:rsidRDefault="004D7F21" w:rsidP="00D073A2">
      <w:pPr>
        <w:rPr>
          <w:rFonts w:ascii="Work Sans" w:hAnsi="Work Sans"/>
          <w:sz w:val="24"/>
          <w:szCs w:val="24"/>
        </w:rPr>
      </w:pPr>
      <w:r w:rsidRPr="00D923A7">
        <w:rPr>
          <w:rFonts w:ascii="Work Sans" w:hAnsi="Work Sans"/>
          <w:sz w:val="24"/>
          <w:szCs w:val="24"/>
        </w:rPr>
        <w:t xml:space="preserve">Apart from Australia, the countries discussed in this paper tend to focus more on revenue rather than expense equalisation. Nonetheless, their approaches illustrate some of the issues regarding expense equalisation. </w:t>
      </w:r>
    </w:p>
    <w:p w14:paraId="1809B1D0" w14:textId="3DE91D2B" w:rsidR="004D7F21" w:rsidRPr="00D923A7" w:rsidRDefault="004D7F21" w:rsidP="00D073A2">
      <w:pPr>
        <w:rPr>
          <w:rFonts w:ascii="Work Sans" w:hAnsi="Work Sans"/>
          <w:sz w:val="24"/>
          <w:szCs w:val="24"/>
        </w:rPr>
      </w:pPr>
      <w:r w:rsidRPr="00D923A7">
        <w:rPr>
          <w:rFonts w:ascii="Work Sans" w:hAnsi="Work Sans"/>
          <w:sz w:val="24"/>
          <w:szCs w:val="24"/>
        </w:rPr>
        <w:t xml:space="preserve">Australia </w:t>
      </w:r>
      <w:r w:rsidRPr="00D923A7" w:rsidDel="002E2CF5">
        <w:rPr>
          <w:rFonts w:ascii="Work Sans" w:hAnsi="Work Sans"/>
          <w:sz w:val="24"/>
          <w:szCs w:val="24"/>
        </w:rPr>
        <w:t xml:space="preserve">has </w:t>
      </w:r>
      <w:r w:rsidRPr="00D923A7">
        <w:rPr>
          <w:rFonts w:ascii="Work Sans" w:hAnsi="Work Sans"/>
          <w:sz w:val="24"/>
          <w:szCs w:val="24"/>
        </w:rPr>
        <w:t>comprehensive expense equalisation. Germany and Switzerland have some expense equalisation, but with less detail.</w:t>
      </w:r>
      <w:r w:rsidR="00AE704B" w:rsidRPr="00D923A7">
        <w:rPr>
          <w:rStyle w:val="FootnoteReference"/>
          <w:rFonts w:ascii="Work Sans" w:hAnsi="Work Sans"/>
          <w:sz w:val="24"/>
          <w:szCs w:val="24"/>
        </w:rPr>
        <w:footnoteReference w:id="21"/>
      </w:r>
      <w:r w:rsidRPr="00D923A7">
        <w:rPr>
          <w:rFonts w:ascii="Work Sans" w:hAnsi="Work Sans"/>
          <w:sz w:val="24"/>
          <w:szCs w:val="24"/>
        </w:rPr>
        <w:t xml:space="preserve"> In part, this reflects that the Germans and Swiss negotiate their methods for calculating expense equalisation, rather than referring these calculations to an independent agency. </w:t>
      </w:r>
    </w:p>
    <w:p w14:paraId="46F72A2A" w14:textId="77777777" w:rsidR="004D7F21" w:rsidRPr="00D923A7" w:rsidRDefault="004D7F21" w:rsidP="00D073A2">
      <w:pPr>
        <w:rPr>
          <w:rFonts w:ascii="Work Sans" w:hAnsi="Work Sans"/>
          <w:sz w:val="24"/>
          <w:szCs w:val="24"/>
        </w:rPr>
      </w:pPr>
      <w:r w:rsidRPr="00D923A7">
        <w:rPr>
          <w:rFonts w:ascii="Work Sans" w:hAnsi="Work Sans"/>
          <w:sz w:val="24"/>
          <w:szCs w:val="24"/>
        </w:rPr>
        <w:t>In Canada, provincial autonomy has prevented the broad use of expense assessment in the equalisation system. Provinces have expressed concerns that expense equalisation may invite federal oversight of provincial affairs.</w:t>
      </w:r>
      <w:r w:rsidRPr="00D923A7">
        <w:rPr>
          <w:rFonts w:ascii="Work Sans" w:hAnsi="Work Sans"/>
          <w:sz w:val="24"/>
          <w:szCs w:val="24"/>
          <w:vertAlign w:val="superscript"/>
        </w:rPr>
        <w:footnoteReference w:id="22"/>
      </w:r>
      <w:r w:rsidRPr="00D923A7">
        <w:rPr>
          <w:rFonts w:ascii="Work Sans" w:hAnsi="Work Sans"/>
          <w:sz w:val="24"/>
          <w:szCs w:val="24"/>
        </w:rPr>
        <w:t xml:space="preserve"> Canada does, however, equalise expense needs for its three arctic territories. Expense needs in the territories, with their large Indigenous and remote populations, are generally higher than in the provinces.</w:t>
      </w:r>
    </w:p>
    <w:p w14:paraId="1319708A" w14:textId="77777777" w:rsidR="004D7F21" w:rsidRPr="00D923A7" w:rsidRDefault="004D7F21" w:rsidP="00D073A2">
      <w:pPr>
        <w:rPr>
          <w:rFonts w:ascii="Work Sans" w:hAnsi="Work Sans"/>
          <w:sz w:val="24"/>
          <w:szCs w:val="24"/>
        </w:rPr>
      </w:pPr>
      <w:r w:rsidRPr="00D923A7">
        <w:rPr>
          <w:rFonts w:ascii="Work Sans" w:hAnsi="Work Sans"/>
          <w:sz w:val="24"/>
          <w:szCs w:val="24"/>
        </w:rPr>
        <w:t xml:space="preserve">In Germany, special purpose transfers compensate the specific needs of different Länder (for example supporting the unemployed). </w:t>
      </w:r>
    </w:p>
    <w:p w14:paraId="51FF2B75" w14:textId="045C8AD6" w:rsidR="004D7F21" w:rsidRPr="00D923A7" w:rsidRDefault="004D7F21" w:rsidP="00D073A2">
      <w:pPr>
        <w:rPr>
          <w:rFonts w:ascii="Work Sans" w:hAnsi="Work Sans"/>
          <w:sz w:val="24"/>
          <w:szCs w:val="24"/>
        </w:rPr>
      </w:pPr>
      <w:r w:rsidRPr="00D923A7">
        <w:rPr>
          <w:rFonts w:ascii="Work Sans" w:hAnsi="Work Sans"/>
          <w:sz w:val="24"/>
          <w:szCs w:val="24"/>
        </w:rPr>
        <w:t>Australia has similar tied grant programs, most notably with education and health national partnerships, which are needs</w:t>
      </w:r>
      <w:r w:rsidR="007914B8">
        <w:rPr>
          <w:rFonts w:ascii="Work Sans" w:hAnsi="Work Sans"/>
          <w:sz w:val="24"/>
          <w:szCs w:val="24"/>
        </w:rPr>
        <w:noBreakHyphen/>
      </w:r>
      <w:r w:rsidRPr="00D923A7">
        <w:rPr>
          <w:rFonts w:ascii="Work Sans" w:hAnsi="Work Sans"/>
          <w:sz w:val="24"/>
          <w:szCs w:val="24"/>
        </w:rPr>
        <w:t xml:space="preserve">driven. However, because Australia equalises all expense needs, it also equalises the associated grants. Effectively, the equalisation system indirectly incorporates most of Australia’s tied grants. </w:t>
      </w:r>
    </w:p>
    <w:p w14:paraId="453312BA" w14:textId="2175A66F" w:rsidR="004D7F21" w:rsidRPr="00D923A7" w:rsidRDefault="004D7F21" w:rsidP="00D073A2">
      <w:pPr>
        <w:rPr>
          <w:rFonts w:ascii="Work Sans" w:hAnsi="Work Sans"/>
          <w:sz w:val="24"/>
          <w:szCs w:val="24"/>
        </w:rPr>
      </w:pPr>
      <w:r w:rsidRPr="00D923A7">
        <w:rPr>
          <w:rFonts w:ascii="Work Sans" w:hAnsi="Work Sans"/>
          <w:sz w:val="24"/>
          <w:szCs w:val="24"/>
        </w:rPr>
        <w:t>The Canadian federal government also support</w:t>
      </w:r>
      <w:r w:rsidR="009B4D47" w:rsidRPr="00D923A7">
        <w:rPr>
          <w:rFonts w:ascii="Work Sans" w:hAnsi="Work Sans"/>
          <w:sz w:val="24"/>
          <w:szCs w:val="24"/>
        </w:rPr>
        <w:t>s</w:t>
      </w:r>
      <w:r w:rsidRPr="00D923A7">
        <w:rPr>
          <w:rFonts w:ascii="Work Sans" w:hAnsi="Work Sans"/>
          <w:sz w:val="24"/>
          <w:szCs w:val="24"/>
        </w:rPr>
        <w:t xml:space="preserve"> provinces’ needs through the Canada Health Transfer and the Canada Social Transfer programs. However, while tied to programs, these payments are explicitly not equalising. They are allocated on an equal per capita basis across all provinces.</w:t>
      </w:r>
    </w:p>
    <w:p w14:paraId="536240A3" w14:textId="7E5EE48E" w:rsidR="004D7F21" w:rsidRPr="00D923A7" w:rsidRDefault="004D7F21" w:rsidP="00D073A2">
      <w:pPr>
        <w:rPr>
          <w:rFonts w:ascii="Work Sans" w:hAnsi="Work Sans"/>
          <w:sz w:val="24"/>
          <w:szCs w:val="24"/>
        </w:rPr>
      </w:pPr>
      <w:r w:rsidRPr="00D923A7">
        <w:rPr>
          <w:rFonts w:ascii="Work Sans" w:hAnsi="Work Sans"/>
          <w:sz w:val="24"/>
          <w:szCs w:val="24"/>
        </w:rPr>
        <w:t>Following reunification in 1990, the disparities between East and West Germany led to substantial changes in the system to address the needs of the ‘new’ Länder. The Eastern Länder</w:t>
      </w:r>
      <w:r w:rsidRPr="00D923A7" w:rsidDel="00486C4F">
        <w:rPr>
          <w:rFonts w:ascii="Work Sans" w:hAnsi="Work Sans"/>
          <w:sz w:val="24"/>
          <w:szCs w:val="24"/>
        </w:rPr>
        <w:t xml:space="preserve"> </w:t>
      </w:r>
      <w:r w:rsidRPr="00D923A7">
        <w:rPr>
          <w:rFonts w:ascii="Work Sans" w:hAnsi="Work Sans"/>
          <w:sz w:val="24"/>
          <w:szCs w:val="24"/>
        </w:rPr>
        <w:t>were economically less developed and had high emigration and hence declining tax revenues. The need for “uniformity of living standards throughout the federal territory” as mandated in the Basic Law, required “unimaginable needs for infrastructure improvements”.</w:t>
      </w:r>
      <w:r w:rsidRPr="00D923A7">
        <w:rPr>
          <w:rStyle w:val="FootnoteReference"/>
          <w:rFonts w:ascii="Work Sans" w:hAnsi="Work Sans"/>
          <w:sz w:val="24"/>
          <w:szCs w:val="24"/>
        </w:rPr>
        <w:footnoteReference w:id="23"/>
      </w:r>
      <w:r w:rsidRPr="00D923A7">
        <w:rPr>
          <w:rFonts w:ascii="Work Sans" w:hAnsi="Work Sans"/>
          <w:sz w:val="24"/>
          <w:szCs w:val="24"/>
        </w:rPr>
        <w:t xml:space="preserve"> Equalisation is usually focused on providing comparable services, or comparable new infrastructure, within the year the funding is made. Germany has an equalisation type program aimed at converging economic, not just fiscal, circumstances. Eastern </w:t>
      </w:r>
      <w:r w:rsidRPr="00D923A7">
        <w:rPr>
          <w:rFonts w:ascii="Work Sans" w:hAnsi="Work Sans"/>
          <w:sz w:val="24"/>
          <w:szCs w:val="24"/>
        </w:rPr>
        <w:lastRenderedPageBreak/>
        <w:t xml:space="preserve">Länder received funding to construct housing and infrastructure, provide business development, and pay old loans. </w:t>
      </w:r>
    </w:p>
    <w:p w14:paraId="7B568999" w14:textId="17D931E4" w:rsidR="004D7F21" w:rsidRPr="00D923A7" w:rsidRDefault="004D7F21" w:rsidP="00D073A2">
      <w:pPr>
        <w:rPr>
          <w:rFonts w:ascii="Work Sans" w:hAnsi="Work Sans"/>
          <w:sz w:val="24"/>
          <w:szCs w:val="24"/>
        </w:rPr>
      </w:pPr>
      <w:r w:rsidRPr="00D923A7">
        <w:rPr>
          <w:rFonts w:ascii="Work Sans" w:hAnsi="Work Sans"/>
          <w:sz w:val="24"/>
          <w:szCs w:val="24"/>
        </w:rPr>
        <w:t xml:space="preserve">The Australian government sometimes instructs the Commission to exclude payments from equalisation (referred to as ‘quarantining’). This may be where the national interest is served by some </w:t>
      </w:r>
      <w:r w:rsidR="00EC44FA">
        <w:rPr>
          <w:rFonts w:ascii="Work Sans" w:hAnsi="Work Sans"/>
          <w:sz w:val="24"/>
          <w:szCs w:val="24"/>
        </w:rPr>
        <w:t>s</w:t>
      </w:r>
      <w:r w:rsidRPr="00D923A7">
        <w:rPr>
          <w:rFonts w:ascii="Work Sans" w:hAnsi="Work Sans"/>
          <w:sz w:val="24"/>
          <w:szCs w:val="24"/>
        </w:rPr>
        <w:t xml:space="preserve">tates having a capacity to provide services above the national average. In the 2021 Update of GST Sharing Relativities, the federal treasurer quarantined a new payment for remote housing in Queensland from equalisation. This </w:t>
      </w:r>
      <w:r w:rsidR="00752223" w:rsidRPr="00D923A7">
        <w:rPr>
          <w:rFonts w:ascii="Work Sans" w:hAnsi="Work Sans"/>
          <w:sz w:val="24"/>
          <w:szCs w:val="24"/>
        </w:rPr>
        <w:t>gave</w:t>
      </w:r>
      <w:r w:rsidRPr="00D923A7">
        <w:rPr>
          <w:rFonts w:ascii="Work Sans" w:hAnsi="Work Sans"/>
          <w:sz w:val="24"/>
          <w:szCs w:val="24"/>
        </w:rPr>
        <w:t xml:space="preserve"> Queensland </w:t>
      </w:r>
      <w:r w:rsidR="00752223" w:rsidRPr="00D923A7">
        <w:rPr>
          <w:rFonts w:ascii="Work Sans" w:hAnsi="Work Sans"/>
          <w:sz w:val="24"/>
          <w:szCs w:val="24"/>
        </w:rPr>
        <w:t>the capacity</w:t>
      </w:r>
      <w:r w:rsidRPr="00D923A7">
        <w:rPr>
          <w:rFonts w:ascii="Work Sans" w:hAnsi="Work Sans"/>
          <w:sz w:val="24"/>
          <w:szCs w:val="24"/>
        </w:rPr>
        <w:t xml:space="preserve"> to provide above average standard remote housing, while still being able to provide other services at the national average standard. </w:t>
      </w:r>
    </w:p>
    <w:p w14:paraId="41E9B15C" w14:textId="7DCE8AE2" w:rsidR="004D7F21" w:rsidRPr="00D923A7" w:rsidRDefault="004D7F21" w:rsidP="00D073A2">
      <w:pPr>
        <w:rPr>
          <w:rFonts w:ascii="Work Sans" w:hAnsi="Work Sans"/>
          <w:sz w:val="24"/>
          <w:szCs w:val="24"/>
        </w:rPr>
      </w:pPr>
      <w:r w:rsidRPr="00D923A7">
        <w:rPr>
          <w:rFonts w:ascii="Work Sans" w:hAnsi="Work Sans"/>
          <w:sz w:val="24"/>
          <w:szCs w:val="24"/>
        </w:rPr>
        <w:t xml:space="preserve">In addition to providing support to regions, central governments also spend money in regions for their own purposes. The principle of universality drives much of this spending. For example, the federal government provides social security payments to all individuals who qualify, regardless of where they live. For economic and demographic reasons, some regions will have more people receiving these benefits than others and will attract a higher share of this central government expenditure. This distribution has the same effect as equalising expense needs. </w:t>
      </w:r>
    </w:p>
    <w:p w14:paraId="3D45FD26" w14:textId="77777777" w:rsidR="004D7F21" w:rsidRDefault="004D7F21" w:rsidP="004D7F21">
      <w:pPr>
        <w:pStyle w:val="Heading2"/>
      </w:pPr>
      <w:r>
        <w:t xml:space="preserve">Australian equalisation is similar but different </w:t>
      </w:r>
    </w:p>
    <w:p w14:paraId="410D75C5" w14:textId="777905DB" w:rsidR="004D7F21" w:rsidRPr="00D923A7" w:rsidRDefault="004D7F21" w:rsidP="00D073A2">
      <w:pPr>
        <w:rPr>
          <w:rFonts w:ascii="Work Sans" w:hAnsi="Work Sans"/>
          <w:sz w:val="24"/>
          <w:szCs w:val="24"/>
        </w:rPr>
      </w:pPr>
      <w:r w:rsidRPr="00D923A7">
        <w:rPr>
          <w:rFonts w:ascii="Work Sans" w:hAnsi="Work Sans"/>
          <w:sz w:val="24"/>
          <w:szCs w:val="24"/>
        </w:rPr>
        <w:fldChar w:fldCharType="begin"/>
      </w:r>
      <w:r w:rsidRPr="00D923A7">
        <w:rPr>
          <w:rFonts w:ascii="Work Sans" w:hAnsi="Work Sans"/>
          <w:sz w:val="24"/>
          <w:szCs w:val="24"/>
        </w:rPr>
        <w:instrText xml:space="preserve"> REF _Ref77180815 \h  \* MERGEFORMAT </w:instrText>
      </w:r>
      <w:r w:rsidRPr="00D923A7">
        <w:rPr>
          <w:rFonts w:ascii="Work Sans" w:hAnsi="Work Sans"/>
          <w:sz w:val="24"/>
          <w:szCs w:val="24"/>
        </w:rPr>
      </w:r>
      <w:r w:rsidRPr="00D923A7">
        <w:rPr>
          <w:rFonts w:ascii="Work Sans" w:hAnsi="Work Sans"/>
          <w:sz w:val="24"/>
          <w:szCs w:val="24"/>
        </w:rPr>
        <w:fldChar w:fldCharType="separate"/>
      </w:r>
      <w:r w:rsidR="00AB678F" w:rsidRPr="00AB678F">
        <w:rPr>
          <w:rFonts w:ascii="Work Sans" w:hAnsi="Work Sans"/>
          <w:sz w:val="24"/>
          <w:szCs w:val="24"/>
        </w:rPr>
        <w:t>Table 2</w:t>
      </w:r>
      <w:r w:rsidRPr="00D923A7">
        <w:rPr>
          <w:rFonts w:ascii="Work Sans" w:hAnsi="Work Sans"/>
          <w:sz w:val="24"/>
          <w:szCs w:val="24"/>
        </w:rPr>
        <w:fldChar w:fldCharType="end"/>
      </w:r>
      <w:r w:rsidRPr="00D923A7">
        <w:rPr>
          <w:rFonts w:ascii="Work Sans" w:hAnsi="Work Sans"/>
          <w:sz w:val="24"/>
          <w:szCs w:val="24"/>
        </w:rPr>
        <w:t xml:space="preserve"> summarises some of the key elements of equalisation in the countries discussed in this paper. The importance of regional governments in the national economy is generally similar across these countries, although in Canada regional governments are significantly larger. All follow a representative tax system approach in their revenue assessments.</w:t>
      </w:r>
      <w:r w:rsidRPr="00D923A7">
        <w:rPr>
          <w:rFonts w:ascii="Work Sans" w:hAnsi="Work Sans"/>
          <w:sz w:val="24"/>
          <w:szCs w:val="24"/>
          <w:vertAlign w:val="superscript"/>
        </w:rPr>
        <w:footnoteReference w:id="24"/>
      </w:r>
      <w:r w:rsidRPr="00D923A7">
        <w:rPr>
          <w:rFonts w:ascii="Work Sans" w:hAnsi="Work Sans"/>
          <w:sz w:val="24"/>
          <w:szCs w:val="24"/>
        </w:rPr>
        <w:t xml:space="preserve"> Finally, while the size and allocation of the equalisation pool vary between countries, all systems support regions’ fiscal autonomy through untied grants.</w:t>
      </w:r>
    </w:p>
    <w:p w14:paraId="3C6BCDAD" w14:textId="77777777" w:rsidR="004D7F21" w:rsidRPr="00D923A7" w:rsidRDefault="004D7F21" w:rsidP="00D073A2">
      <w:pPr>
        <w:rPr>
          <w:rFonts w:ascii="Work Sans" w:hAnsi="Work Sans"/>
          <w:sz w:val="24"/>
          <w:szCs w:val="24"/>
        </w:rPr>
      </w:pPr>
      <w:r w:rsidRPr="00D923A7">
        <w:rPr>
          <w:rFonts w:ascii="Work Sans" w:hAnsi="Work Sans"/>
          <w:sz w:val="24"/>
          <w:szCs w:val="24"/>
        </w:rPr>
        <w:t>Australia also shares some challenges with other federations, such as volatility, sensitivity about resource revenues, and potential policy incentives.</w:t>
      </w:r>
    </w:p>
    <w:p w14:paraId="0EBE27CA" w14:textId="397EBF00" w:rsidR="004D7F21" w:rsidRPr="002C5B2F" w:rsidRDefault="004D7F21" w:rsidP="00D073A2">
      <w:pPr>
        <w:rPr>
          <w:rFonts w:ascii="Work Sans" w:hAnsi="Work Sans"/>
        </w:rPr>
      </w:pPr>
      <w:r w:rsidRPr="00D923A7">
        <w:rPr>
          <w:rFonts w:ascii="Work Sans" w:hAnsi="Work Sans"/>
          <w:sz w:val="24"/>
          <w:szCs w:val="24"/>
        </w:rPr>
        <w:t xml:space="preserve">However, Australia stands apart from the other countries in three important ways. First, the degree of vertical fiscal imbalance is higher than in the other three countries. The federal government directly or indirectly funds almost half of state expenses in Australia. Second, Australia is the only country that equalises comprehensively and follows the same approach for both revenue and expense equalisation. Last, in Australia an independent agency assesses fiscal capacities and recommends </w:t>
      </w:r>
      <w:r w:rsidR="00835D52" w:rsidRPr="00D923A7">
        <w:rPr>
          <w:rFonts w:ascii="Work Sans" w:hAnsi="Work Sans"/>
          <w:sz w:val="24"/>
          <w:szCs w:val="24"/>
        </w:rPr>
        <w:t xml:space="preserve">to the Commonwealth Treasurer </w:t>
      </w:r>
      <w:r w:rsidRPr="00D923A7">
        <w:rPr>
          <w:rFonts w:ascii="Work Sans" w:hAnsi="Work Sans"/>
          <w:sz w:val="24"/>
          <w:szCs w:val="24"/>
        </w:rPr>
        <w:t xml:space="preserve">the distribution of equalisation payments. </w:t>
      </w:r>
    </w:p>
    <w:p w14:paraId="30091DDE" w14:textId="61706304" w:rsidR="004D7F21" w:rsidRPr="002C5B2F" w:rsidRDefault="004D7F21" w:rsidP="004D7F21">
      <w:pPr>
        <w:pStyle w:val="Caption"/>
        <w:rPr>
          <w:rFonts w:ascii="Work Sans" w:hAnsi="Work Sans"/>
        </w:rPr>
      </w:pPr>
      <w:bookmarkStart w:id="16" w:name="_Ref77180815"/>
      <w:r w:rsidRPr="002C5B2F">
        <w:rPr>
          <w:rFonts w:ascii="Work Sans" w:hAnsi="Work Sans"/>
        </w:rPr>
        <w:lastRenderedPageBreak/>
        <w:t xml:space="preserve">Table </w:t>
      </w:r>
      <w:r w:rsidRPr="002C5B2F">
        <w:rPr>
          <w:rFonts w:ascii="Work Sans" w:hAnsi="Work Sans"/>
        </w:rPr>
        <w:fldChar w:fldCharType="begin"/>
      </w:r>
      <w:r w:rsidRPr="002C5B2F">
        <w:rPr>
          <w:rFonts w:ascii="Work Sans" w:hAnsi="Work Sans"/>
        </w:rPr>
        <w:instrText>SEQ Table \* ARABIC</w:instrText>
      </w:r>
      <w:r w:rsidRPr="002C5B2F">
        <w:rPr>
          <w:rFonts w:ascii="Work Sans" w:hAnsi="Work Sans"/>
        </w:rPr>
        <w:fldChar w:fldCharType="separate"/>
      </w:r>
      <w:r w:rsidR="00AB678F">
        <w:rPr>
          <w:rFonts w:ascii="Work Sans" w:hAnsi="Work Sans"/>
          <w:noProof/>
        </w:rPr>
        <w:t>2</w:t>
      </w:r>
      <w:r w:rsidRPr="002C5B2F">
        <w:rPr>
          <w:rFonts w:ascii="Work Sans" w:hAnsi="Work Sans"/>
        </w:rPr>
        <w:fldChar w:fldCharType="end"/>
      </w:r>
      <w:bookmarkEnd w:id="16"/>
      <w:r w:rsidRPr="002C5B2F">
        <w:rPr>
          <w:rFonts w:ascii="Work Sans" w:hAnsi="Work Sans"/>
        </w:rPr>
        <w:tab/>
        <w:t>Features of equalisation in selected countries</w:t>
      </w:r>
    </w:p>
    <w:tbl>
      <w:tblPr>
        <w:tblW w:w="8789" w:type="dxa"/>
        <w:tblLook w:val="04A0" w:firstRow="1" w:lastRow="0" w:firstColumn="1" w:lastColumn="0" w:noHBand="0" w:noVBand="1"/>
      </w:tblPr>
      <w:tblGrid>
        <w:gridCol w:w="1856"/>
        <w:gridCol w:w="1682"/>
        <w:gridCol w:w="1518"/>
        <w:gridCol w:w="1964"/>
        <w:gridCol w:w="1769"/>
      </w:tblGrid>
      <w:tr w:rsidR="004D7F21" w:rsidRPr="00C32075" w14:paraId="44AA3C86" w14:textId="77777777" w:rsidTr="00480FA5">
        <w:trPr>
          <w:trHeight w:val="357"/>
        </w:trPr>
        <w:tc>
          <w:tcPr>
            <w:tcW w:w="1856" w:type="dxa"/>
            <w:tcBorders>
              <w:top w:val="single" w:sz="4" w:space="0" w:color="ADD6EA"/>
              <w:left w:val="nil"/>
              <w:bottom w:val="single" w:sz="4" w:space="0" w:color="ADD6EA"/>
              <w:right w:val="nil"/>
            </w:tcBorders>
            <w:shd w:val="clear" w:color="auto" w:fill="008069"/>
            <w:hideMark/>
          </w:tcPr>
          <w:p w14:paraId="68CB8AF0" w14:textId="77777777" w:rsidR="004D7F21" w:rsidRPr="002C5B2F" w:rsidRDefault="004D7F21" w:rsidP="00735160">
            <w:pPr>
              <w:pStyle w:val="CGCTablerow"/>
              <w:spacing w:before="80"/>
              <w:rPr>
                <w:rFonts w:ascii="Work Sans" w:hAnsi="Work Sans"/>
                <w:b/>
                <w:color w:val="FFFFFF" w:themeColor="background1"/>
                <w:lang w:eastAsia="en-AU"/>
              </w:rPr>
            </w:pPr>
            <w:r w:rsidRPr="002C5B2F">
              <w:rPr>
                <w:rFonts w:ascii="Work Sans" w:hAnsi="Work Sans"/>
                <w:b/>
                <w:color w:val="FFFFFF" w:themeColor="background1"/>
                <w:lang w:eastAsia="en-AU"/>
              </w:rPr>
              <w:t>Feature</w:t>
            </w:r>
          </w:p>
        </w:tc>
        <w:tc>
          <w:tcPr>
            <w:tcW w:w="1682" w:type="dxa"/>
            <w:tcBorders>
              <w:top w:val="single" w:sz="4" w:space="0" w:color="ADD6EA"/>
              <w:left w:val="nil"/>
              <w:bottom w:val="single" w:sz="4" w:space="0" w:color="ADD6EA"/>
              <w:right w:val="nil"/>
            </w:tcBorders>
            <w:shd w:val="clear" w:color="auto" w:fill="008069"/>
            <w:hideMark/>
          </w:tcPr>
          <w:p w14:paraId="639E095A" w14:textId="77777777" w:rsidR="004D7F21" w:rsidRPr="002C5B2F" w:rsidRDefault="004D7F21" w:rsidP="00735160">
            <w:pPr>
              <w:pStyle w:val="CGCTablerow"/>
              <w:spacing w:before="80"/>
              <w:rPr>
                <w:rFonts w:ascii="Work Sans" w:hAnsi="Work Sans"/>
                <w:b/>
                <w:color w:val="FFFFFF" w:themeColor="background1"/>
                <w:lang w:eastAsia="en-AU"/>
              </w:rPr>
            </w:pPr>
            <w:r w:rsidRPr="002C5B2F">
              <w:rPr>
                <w:rFonts w:ascii="Work Sans" w:hAnsi="Work Sans"/>
                <w:b/>
                <w:color w:val="FFFFFF" w:themeColor="background1"/>
                <w:lang w:eastAsia="en-AU"/>
              </w:rPr>
              <w:t>Australia</w:t>
            </w:r>
          </w:p>
        </w:tc>
        <w:tc>
          <w:tcPr>
            <w:tcW w:w="1518" w:type="dxa"/>
            <w:tcBorders>
              <w:top w:val="single" w:sz="4" w:space="0" w:color="ADD6EA"/>
              <w:left w:val="nil"/>
              <w:bottom w:val="single" w:sz="4" w:space="0" w:color="ADD6EA"/>
              <w:right w:val="nil"/>
            </w:tcBorders>
            <w:shd w:val="clear" w:color="auto" w:fill="008069"/>
            <w:hideMark/>
          </w:tcPr>
          <w:p w14:paraId="40D9BEAD" w14:textId="77777777" w:rsidR="004D7F21" w:rsidRPr="002C5B2F" w:rsidRDefault="004D7F21" w:rsidP="00735160">
            <w:pPr>
              <w:pStyle w:val="CGCTablerow"/>
              <w:spacing w:before="80"/>
              <w:rPr>
                <w:rFonts w:ascii="Work Sans" w:hAnsi="Work Sans"/>
                <w:b/>
                <w:color w:val="FFFFFF" w:themeColor="background1"/>
                <w:lang w:eastAsia="en-AU"/>
              </w:rPr>
            </w:pPr>
            <w:r w:rsidRPr="002C5B2F">
              <w:rPr>
                <w:rFonts w:ascii="Work Sans" w:hAnsi="Work Sans"/>
                <w:b/>
                <w:color w:val="FFFFFF" w:themeColor="background1"/>
                <w:lang w:eastAsia="en-AU"/>
              </w:rPr>
              <w:t>Canada</w:t>
            </w:r>
          </w:p>
        </w:tc>
        <w:tc>
          <w:tcPr>
            <w:tcW w:w="1964" w:type="dxa"/>
            <w:tcBorders>
              <w:top w:val="single" w:sz="4" w:space="0" w:color="ADD6EA"/>
              <w:left w:val="nil"/>
              <w:bottom w:val="single" w:sz="4" w:space="0" w:color="ADD6EA"/>
              <w:right w:val="nil"/>
            </w:tcBorders>
            <w:shd w:val="clear" w:color="auto" w:fill="008069"/>
            <w:hideMark/>
          </w:tcPr>
          <w:p w14:paraId="7C74CBC9" w14:textId="77777777" w:rsidR="004D7F21" w:rsidRPr="002C5B2F" w:rsidRDefault="004D7F21" w:rsidP="00735160">
            <w:pPr>
              <w:pStyle w:val="CGCTablerow"/>
              <w:spacing w:before="80"/>
              <w:rPr>
                <w:rFonts w:ascii="Work Sans" w:hAnsi="Work Sans"/>
                <w:b/>
                <w:color w:val="FFFFFF" w:themeColor="background1"/>
                <w:lang w:eastAsia="en-AU"/>
              </w:rPr>
            </w:pPr>
            <w:r w:rsidRPr="002C5B2F">
              <w:rPr>
                <w:rFonts w:ascii="Work Sans" w:hAnsi="Work Sans"/>
                <w:b/>
                <w:color w:val="FFFFFF" w:themeColor="background1"/>
                <w:lang w:eastAsia="en-AU"/>
              </w:rPr>
              <w:t>Germany</w:t>
            </w:r>
          </w:p>
        </w:tc>
        <w:tc>
          <w:tcPr>
            <w:tcW w:w="1769" w:type="dxa"/>
            <w:tcBorders>
              <w:top w:val="single" w:sz="4" w:space="0" w:color="ADD6EA"/>
              <w:left w:val="nil"/>
              <w:bottom w:val="single" w:sz="4" w:space="0" w:color="ADD6EA"/>
              <w:right w:val="nil"/>
            </w:tcBorders>
            <w:shd w:val="clear" w:color="auto" w:fill="008069"/>
            <w:hideMark/>
          </w:tcPr>
          <w:p w14:paraId="27BACF2A" w14:textId="77777777" w:rsidR="004D7F21" w:rsidRPr="002C5B2F" w:rsidRDefault="004D7F21" w:rsidP="00735160">
            <w:pPr>
              <w:pStyle w:val="CGCTablerow"/>
              <w:spacing w:before="80"/>
              <w:rPr>
                <w:rFonts w:ascii="Work Sans" w:hAnsi="Work Sans"/>
                <w:b/>
                <w:color w:val="FFFFFF" w:themeColor="background1"/>
                <w:lang w:eastAsia="en-AU"/>
              </w:rPr>
            </w:pPr>
            <w:r w:rsidRPr="002C5B2F">
              <w:rPr>
                <w:rFonts w:ascii="Work Sans" w:hAnsi="Work Sans"/>
                <w:b/>
                <w:color w:val="FFFFFF" w:themeColor="background1"/>
                <w:lang w:eastAsia="en-AU"/>
              </w:rPr>
              <w:t>Switzerland</w:t>
            </w:r>
          </w:p>
        </w:tc>
      </w:tr>
      <w:tr w:rsidR="00C1367E" w:rsidRPr="00C1367E" w14:paraId="0B32B9DA" w14:textId="77777777" w:rsidTr="00BF684D">
        <w:trPr>
          <w:trHeight w:val="405"/>
        </w:trPr>
        <w:tc>
          <w:tcPr>
            <w:tcW w:w="1856" w:type="dxa"/>
            <w:tcBorders>
              <w:top w:val="nil"/>
              <w:left w:val="nil"/>
              <w:bottom w:val="single" w:sz="4" w:space="0" w:color="ADD6EA"/>
              <w:right w:val="nil"/>
            </w:tcBorders>
            <w:shd w:val="clear" w:color="auto" w:fill="auto"/>
            <w:noWrap/>
            <w:hideMark/>
          </w:tcPr>
          <w:p w14:paraId="51E0B858" w14:textId="78C6BFFD" w:rsidR="004D7F21" w:rsidRPr="00C1367E" w:rsidRDefault="004D7F21" w:rsidP="00DA3AF1">
            <w:pPr>
              <w:pStyle w:val="CGCTablerow"/>
              <w:spacing w:after="80"/>
              <w:rPr>
                <w:rFonts w:ascii="Work Sans" w:hAnsi="Work Sans"/>
                <w:color w:val="000000" w:themeColor="text1"/>
                <w:lang w:eastAsia="en-AU"/>
              </w:rPr>
            </w:pPr>
            <w:r w:rsidRPr="00C1367E">
              <w:rPr>
                <w:rFonts w:ascii="Work Sans" w:hAnsi="Work Sans"/>
                <w:color w:val="000000" w:themeColor="text1"/>
                <w:lang w:eastAsia="en-AU"/>
              </w:rPr>
              <w:t>V</w:t>
            </w:r>
            <w:r w:rsidR="00ED0604" w:rsidRPr="00C1367E">
              <w:rPr>
                <w:rFonts w:ascii="Work Sans" w:hAnsi="Work Sans"/>
                <w:color w:val="000000" w:themeColor="text1"/>
                <w:lang w:eastAsia="en-AU"/>
              </w:rPr>
              <w:t>ertical fiscal imbalance</w:t>
            </w:r>
            <w:r w:rsidRPr="00C1367E">
              <w:rPr>
                <w:rFonts w:ascii="Work Sans" w:hAnsi="Work Sans"/>
                <w:color w:val="000000" w:themeColor="text1"/>
                <w:lang w:eastAsia="en-AU"/>
              </w:rPr>
              <w:t xml:space="preserve"> % (a)</w:t>
            </w:r>
          </w:p>
        </w:tc>
        <w:tc>
          <w:tcPr>
            <w:tcW w:w="1682" w:type="dxa"/>
            <w:tcBorders>
              <w:top w:val="nil"/>
              <w:left w:val="nil"/>
              <w:bottom w:val="single" w:sz="4" w:space="0" w:color="ADD6EA"/>
              <w:right w:val="nil"/>
            </w:tcBorders>
            <w:shd w:val="clear" w:color="auto" w:fill="auto"/>
            <w:noWrap/>
            <w:hideMark/>
          </w:tcPr>
          <w:p w14:paraId="350CF5BD" w14:textId="77777777" w:rsidR="004D7F21" w:rsidRPr="00C1367E" w:rsidRDefault="004D7F21" w:rsidP="00480FA5">
            <w:pPr>
              <w:pStyle w:val="CGCTablerow"/>
              <w:ind w:right="-114"/>
              <w:rPr>
                <w:rFonts w:ascii="Work Sans" w:hAnsi="Work Sans"/>
                <w:color w:val="000000" w:themeColor="text1"/>
                <w:lang w:eastAsia="en-AU"/>
              </w:rPr>
            </w:pPr>
            <w:r w:rsidRPr="00C1367E">
              <w:rPr>
                <w:rFonts w:ascii="Work Sans" w:hAnsi="Work Sans"/>
                <w:color w:val="000000" w:themeColor="text1"/>
                <w:lang w:eastAsia="en-AU"/>
              </w:rPr>
              <w:t>45</w:t>
            </w:r>
          </w:p>
        </w:tc>
        <w:tc>
          <w:tcPr>
            <w:tcW w:w="1518" w:type="dxa"/>
            <w:tcBorders>
              <w:top w:val="nil"/>
              <w:left w:val="nil"/>
              <w:bottom w:val="single" w:sz="4" w:space="0" w:color="ADD6EA"/>
              <w:right w:val="nil"/>
            </w:tcBorders>
            <w:shd w:val="clear" w:color="auto" w:fill="auto"/>
            <w:noWrap/>
            <w:hideMark/>
          </w:tcPr>
          <w:p w14:paraId="4D3C3178" w14:textId="77777777" w:rsidR="004D7F21" w:rsidRPr="00C1367E" w:rsidRDefault="004D7F21" w:rsidP="008F66B4">
            <w:pPr>
              <w:pStyle w:val="CGCTablerow"/>
              <w:rPr>
                <w:rFonts w:ascii="Work Sans" w:hAnsi="Work Sans"/>
                <w:color w:val="000000" w:themeColor="text1"/>
                <w:lang w:eastAsia="en-AU"/>
              </w:rPr>
            </w:pPr>
            <w:r w:rsidRPr="00C1367E">
              <w:rPr>
                <w:rFonts w:ascii="Work Sans" w:hAnsi="Work Sans"/>
                <w:color w:val="000000" w:themeColor="text1"/>
                <w:lang w:eastAsia="en-AU"/>
              </w:rPr>
              <w:t>20</w:t>
            </w:r>
          </w:p>
        </w:tc>
        <w:tc>
          <w:tcPr>
            <w:tcW w:w="1964" w:type="dxa"/>
            <w:tcBorders>
              <w:top w:val="nil"/>
              <w:left w:val="nil"/>
              <w:bottom w:val="single" w:sz="4" w:space="0" w:color="ADD6EA"/>
              <w:right w:val="nil"/>
            </w:tcBorders>
            <w:shd w:val="clear" w:color="auto" w:fill="auto"/>
            <w:noWrap/>
            <w:hideMark/>
          </w:tcPr>
          <w:p w14:paraId="1942B252" w14:textId="77777777" w:rsidR="004D7F21" w:rsidRPr="00C1367E" w:rsidRDefault="004D7F21" w:rsidP="008F66B4">
            <w:pPr>
              <w:pStyle w:val="CGCTablerow"/>
              <w:rPr>
                <w:rFonts w:ascii="Work Sans" w:hAnsi="Work Sans"/>
                <w:color w:val="000000" w:themeColor="text1"/>
                <w:lang w:eastAsia="en-AU"/>
              </w:rPr>
            </w:pPr>
            <w:r w:rsidRPr="00C1367E">
              <w:rPr>
                <w:rFonts w:ascii="Work Sans" w:hAnsi="Work Sans"/>
                <w:color w:val="000000" w:themeColor="text1"/>
                <w:lang w:eastAsia="en-AU"/>
              </w:rPr>
              <w:t>15</w:t>
            </w:r>
          </w:p>
        </w:tc>
        <w:tc>
          <w:tcPr>
            <w:tcW w:w="1769" w:type="dxa"/>
            <w:tcBorders>
              <w:top w:val="nil"/>
              <w:left w:val="nil"/>
              <w:bottom w:val="single" w:sz="4" w:space="0" w:color="ADD6EA"/>
              <w:right w:val="nil"/>
            </w:tcBorders>
            <w:shd w:val="clear" w:color="auto" w:fill="auto"/>
            <w:noWrap/>
            <w:hideMark/>
          </w:tcPr>
          <w:p w14:paraId="2EBFB295" w14:textId="77777777" w:rsidR="004D7F21" w:rsidRPr="00C1367E" w:rsidRDefault="004D7F21" w:rsidP="008F66B4">
            <w:pPr>
              <w:pStyle w:val="CGCTablerow"/>
              <w:rPr>
                <w:rFonts w:ascii="Work Sans" w:hAnsi="Work Sans"/>
                <w:color w:val="000000" w:themeColor="text1"/>
                <w:lang w:eastAsia="en-AU"/>
              </w:rPr>
            </w:pPr>
            <w:r w:rsidRPr="00C1367E">
              <w:rPr>
                <w:rFonts w:ascii="Work Sans" w:hAnsi="Work Sans"/>
                <w:color w:val="000000" w:themeColor="text1"/>
                <w:lang w:eastAsia="en-AU"/>
              </w:rPr>
              <w:t>25</w:t>
            </w:r>
          </w:p>
        </w:tc>
      </w:tr>
      <w:tr w:rsidR="00C1367E" w:rsidRPr="00C1367E" w14:paraId="7D12B527" w14:textId="77777777" w:rsidTr="00BF684D">
        <w:trPr>
          <w:trHeight w:val="412"/>
        </w:trPr>
        <w:tc>
          <w:tcPr>
            <w:tcW w:w="1856" w:type="dxa"/>
            <w:tcBorders>
              <w:top w:val="nil"/>
              <w:left w:val="nil"/>
              <w:bottom w:val="single" w:sz="4" w:space="0" w:color="ADD6EA"/>
              <w:right w:val="nil"/>
            </w:tcBorders>
            <w:shd w:val="clear" w:color="auto" w:fill="auto"/>
            <w:noWrap/>
            <w:hideMark/>
          </w:tcPr>
          <w:p w14:paraId="34108AC1" w14:textId="02681F54" w:rsidR="004D7F21" w:rsidRPr="00C1367E" w:rsidRDefault="004D7F21" w:rsidP="00DA3AF1">
            <w:pPr>
              <w:pStyle w:val="CGCTablerow"/>
              <w:spacing w:after="80"/>
              <w:rPr>
                <w:rFonts w:ascii="Work Sans" w:hAnsi="Work Sans"/>
                <w:color w:val="000000" w:themeColor="text1"/>
                <w:lang w:eastAsia="en-AU"/>
              </w:rPr>
            </w:pPr>
            <w:r w:rsidRPr="00C1367E">
              <w:rPr>
                <w:rFonts w:ascii="Work Sans" w:hAnsi="Work Sans"/>
                <w:color w:val="000000" w:themeColor="text1"/>
                <w:lang w:eastAsia="en-AU"/>
              </w:rPr>
              <w:t xml:space="preserve">State expenses % </w:t>
            </w:r>
            <w:r w:rsidR="008F66B4" w:rsidRPr="00C1367E">
              <w:rPr>
                <w:rFonts w:ascii="Work Sans" w:hAnsi="Work Sans"/>
                <w:color w:val="000000" w:themeColor="text1"/>
                <w:lang w:eastAsia="en-AU"/>
              </w:rPr>
              <w:br/>
            </w:r>
            <w:r w:rsidRPr="00C1367E">
              <w:rPr>
                <w:rFonts w:ascii="Work Sans" w:hAnsi="Work Sans"/>
                <w:color w:val="000000" w:themeColor="text1"/>
                <w:lang w:eastAsia="en-AU"/>
              </w:rPr>
              <w:t>GDP (2019)</w:t>
            </w:r>
          </w:p>
        </w:tc>
        <w:tc>
          <w:tcPr>
            <w:tcW w:w="1682" w:type="dxa"/>
            <w:tcBorders>
              <w:top w:val="nil"/>
              <w:left w:val="nil"/>
              <w:bottom w:val="single" w:sz="4" w:space="0" w:color="ADD6EA"/>
              <w:right w:val="nil"/>
            </w:tcBorders>
            <w:shd w:val="clear" w:color="auto" w:fill="auto"/>
            <w:noWrap/>
            <w:hideMark/>
          </w:tcPr>
          <w:p w14:paraId="79A7EE8B" w14:textId="77777777" w:rsidR="004D7F21" w:rsidRPr="00C1367E" w:rsidRDefault="004D7F21" w:rsidP="00480FA5">
            <w:pPr>
              <w:pStyle w:val="CGCTablerow"/>
              <w:ind w:right="-114"/>
              <w:rPr>
                <w:rFonts w:ascii="Work Sans" w:hAnsi="Work Sans"/>
                <w:color w:val="000000" w:themeColor="text1"/>
                <w:lang w:eastAsia="en-AU"/>
              </w:rPr>
            </w:pPr>
            <w:r w:rsidRPr="00C1367E">
              <w:rPr>
                <w:rFonts w:ascii="Work Sans" w:hAnsi="Work Sans"/>
                <w:color w:val="000000" w:themeColor="text1"/>
                <w:lang w:eastAsia="en-AU"/>
              </w:rPr>
              <w:t>14</w:t>
            </w:r>
          </w:p>
        </w:tc>
        <w:tc>
          <w:tcPr>
            <w:tcW w:w="1518" w:type="dxa"/>
            <w:tcBorders>
              <w:top w:val="nil"/>
              <w:left w:val="nil"/>
              <w:bottom w:val="single" w:sz="4" w:space="0" w:color="ADD6EA"/>
              <w:right w:val="nil"/>
            </w:tcBorders>
            <w:shd w:val="clear" w:color="auto" w:fill="auto"/>
            <w:noWrap/>
            <w:hideMark/>
          </w:tcPr>
          <w:p w14:paraId="3A7741EF" w14:textId="77777777" w:rsidR="004D7F21" w:rsidRPr="00C1367E" w:rsidRDefault="004D7F21" w:rsidP="008F66B4">
            <w:pPr>
              <w:pStyle w:val="CGCTablerow"/>
              <w:rPr>
                <w:rFonts w:ascii="Work Sans" w:hAnsi="Work Sans"/>
                <w:color w:val="000000" w:themeColor="text1"/>
                <w:lang w:eastAsia="en-AU"/>
              </w:rPr>
            </w:pPr>
            <w:r w:rsidRPr="00C1367E">
              <w:rPr>
                <w:rFonts w:ascii="Work Sans" w:hAnsi="Work Sans"/>
                <w:color w:val="000000" w:themeColor="text1"/>
                <w:lang w:eastAsia="en-AU"/>
              </w:rPr>
              <w:t>22</w:t>
            </w:r>
          </w:p>
        </w:tc>
        <w:tc>
          <w:tcPr>
            <w:tcW w:w="1964" w:type="dxa"/>
            <w:tcBorders>
              <w:top w:val="nil"/>
              <w:left w:val="nil"/>
              <w:bottom w:val="single" w:sz="4" w:space="0" w:color="ADD6EA"/>
              <w:right w:val="nil"/>
            </w:tcBorders>
            <w:shd w:val="clear" w:color="auto" w:fill="auto"/>
            <w:noWrap/>
            <w:hideMark/>
          </w:tcPr>
          <w:p w14:paraId="0C2935FC" w14:textId="77777777" w:rsidR="004D7F21" w:rsidRPr="00C1367E" w:rsidRDefault="004D7F21" w:rsidP="008F66B4">
            <w:pPr>
              <w:pStyle w:val="CGCTablerow"/>
              <w:rPr>
                <w:rFonts w:ascii="Work Sans" w:hAnsi="Work Sans"/>
                <w:color w:val="000000" w:themeColor="text1"/>
                <w:lang w:eastAsia="en-AU"/>
              </w:rPr>
            </w:pPr>
            <w:r w:rsidRPr="00C1367E">
              <w:rPr>
                <w:rFonts w:ascii="Work Sans" w:hAnsi="Work Sans"/>
                <w:color w:val="000000" w:themeColor="text1"/>
                <w:lang w:eastAsia="en-AU"/>
              </w:rPr>
              <w:t>13</w:t>
            </w:r>
          </w:p>
        </w:tc>
        <w:tc>
          <w:tcPr>
            <w:tcW w:w="1769" w:type="dxa"/>
            <w:tcBorders>
              <w:top w:val="nil"/>
              <w:left w:val="nil"/>
              <w:bottom w:val="single" w:sz="4" w:space="0" w:color="ADD6EA"/>
              <w:right w:val="nil"/>
            </w:tcBorders>
            <w:shd w:val="clear" w:color="auto" w:fill="auto"/>
            <w:noWrap/>
            <w:hideMark/>
          </w:tcPr>
          <w:p w14:paraId="2408B4F4" w14:textId="77777777" w:rsidR="004D7F21" w:rsidRPr="00C1367E" w:rsidRDefault="004D7F21" w:rsidP="008F66B4">
            <w:pPr>
              <w:pStyle w:val="CGCTablerow"/>
              <w:rPr>
                <w:rFonts w:ascii="Work Sans" w:hAnsi="Work Sans"/>
                <w:color w:val="000000" w:themeColor="text1"/>
                <w:lang w:eastAsia="en-AU"/>
              </w:rPr>
            </w:pPr>
            <w:r w:rsidRPr="00C1367E">
              <w:rPr>
                <w:rFonts w:ascii="Work Sans" w:hAnsi="Work Sans"/>
                <w:color w:val="000000" w:themeColor="text1"/>
                <w:lang w:eastAsia="en-AU"/>
              </w:rPr>
              <w:t>13</w:t>
            </w:r>
          </w:p>
        </w:tc>
      </w:tr>
      <w:tr w:rsidR="00C1367E" w:rsidRPr="00C1367E" w14:paraId="72EE6E0C" w14:textId="77777777" w:rsidTr="00E5383A">
        <w:trPr>
          <w:trHeight w:val="828"/>
        </w:trPr>
        <w:tc>
          <w:tcPr>
            <w:tcW w:w="1856" w:type="dxa"/>
            <w:tcBorders>
              <w:top w:val="nil"/>
              <w:left w:val="nil"/>
              <w:bottom w:val="single" w:sz="4" w:space="0" w:color="ADD6EA"/>
              <w:right w:val="nil"/>
            </w:tcBorders>
            <w:shd w:val="clear" w:color="auto" w:fill="auto"/>
            <w:noWrap/>
            <w:hideMark/>
          </w:tcPr>
          <w:p w14:paraId="51BC8211" w14:textId="77777777" w:rsidR="004D7F21" w:rsidRPr="00C1367E" w:rsidRDefault="004D7F21" w:rsidP="008F66B4">
            <w:pPr>
              <w:pStyle w:val="CGCTablerow"/>
              <w:rPr>
                <w:rFonts w:ascii="Work Sans" w:hAnsi="Work Sans"/>
                <w:color w:val="000000" w:themeColor="text1"/>
                <w:lang w:eastAsia="en-AU"/>
              </w:rPr>
            </w:pPr>
            <w:r w:rsidRPr="00C1367E">
              <w:rPr>
                <w:rFonts w:ascii="Work Sans" w:hAnsi="Work Sans"/>
                <w:color w:val="000000" w:themeColor="text1"/>
                <w:lang w:eastAsia="en-AU"/>
              </w:rPr>
              <w:t>Revenue equalisation</w:t>
            </w:r>
          </w:p>
        </w:tc>
        <w:tc>
          <w:tcPr>
            <w:tcW w:w="1682" w:type="dxa"/>
            <w:tcBorders>
              <w:top w:val="nil"/>
              <w:left w:val="nil"/>
              <w:bottom w:val="single" w:sz="4" w:space="0" w:color="ADD6EA"/>
              <w:right w:val="nil"/>
            </w:tcBorders>
            <w:shd w:val="clear" w:color="auto" w:fill="auto"/>
            <w:noWrap/>
            <w:hideMark/>
          </w:tcPr>
          <w:p w14:paraId="47D6AB67" w14:textId="065B44C2" w:rsidR="004D7F21" w:rsidRPr="00C1367E" w:rsidRDefault="004D7F21" w:rsidP="00480FA5">
            <w:pPr>
              <w:pStyle w:val="CGCTablerow"/>
              <w:ind w:right="-114"/>
              <w:rPr>
                <w:rFonts w:ascii="Work Sans" w:hAnsi="Work Sans"/>
                <w:color w:val="000000" w:themeColor="text1"/>
                <w:lang w:eastAsia="en-AU"/>
              </w:rPr>
            </w:pPr>
            <w:r w:rsidRPr="00C1367E">
              <w:rPr>
                <w:rFonts w:ascii="Work Sans" w:hAnsi="Work Sans"/>
                <w:color w:val="000000" w:themeColor="text1"/>
                <w:lang w:eastAsia="en-AU"/>
              </w:rPr>
              <w:t xml:space="preserve">Yes, </w:t>
            </w:r>
            <w:r w:rsidR="00585A20" w:rsidRPr="00C1367E">
              <w:rPr>
                <w:rFonts w:ascii="Work Sans" w:hAnsi="Work Sans"/>
                <w:color w:val="000000" w:themeColor="text1"/>
                <w:lang w:eastAsia="en-AU"/>
              </w:rPr>
              <w:t>representative tax system</w:t>
            </w:r>
          </w:p>
        </w:tc>
        <w:tc>
          <w:tcPr>
            <w:tcW w:w="1518" w:type="dxa"/>
            <w:tcBorders>
              <w:top w:val="nil"/>
              <w:left w:val="nil"/>
              <w:bottom w:val="single" w:sz="4" w:space="0" w:color="ADD6EA"/>
              <w:right w:val="nil"/>
            </w:tcBorders>
            <w:shd w:val="clear" w:color="auto" w:fill="auto"/>
            <w:noWrap/>
            <w:hideMark/>
          </w:tcPr>
          <w:p w14:paraId="117A7778" w14:textId="365F2AF1" w:rsidR="004D7F21" w:rsidRPr="00C1367E" w:rsidRDefault="004D7F21" w:rsidP="008F66B4">
            <w:pPr>
              <w:pStyle w:val="CGCTablerow"/>
              <w:rPr>
                <w:rFonts w:ascii="Work Sans" w:hAnsi="Work Sans"/>
                <w:color w:val="000000" w:themeColor="text1"/>
                <w:lang w:eastAsia="en-AU"/>
              </w:rPr>
            </w:pPr>
            <w:r w:rsidRPr="00C1367E">
              <w:rPr>
                <w:rFonts w:ascii="Work Sans" w:hAnsi="Work Sans"/>
                <w:color w:val="000000" w:themeColor="text1"/>
                <w:lang w:eastAsia="en-AU"/>
              </w:rPr>
              <w:t>Yes,</w:t>
            </w:r>
            <w:r w:rsidR="00585A20" w:rsidRPr="00C1367E">
              <w:rPr>
                <w:rFonts w:ascii="Work Sans" w:hAnsi="Work Sans"/>
                <w:color w:val="000000" w:themeColor="text1"/>
                <w:lang w:eastAsia="en-AU"/>
              </w:rPr>
              <w:t xml:space="preserve"> representative tax system</w:t>
            </w:r>
          </w:p>
        </w:tc>
        <w:tc>
          <w:tcPr>
            <w:tcW w:w="1964" w:type="dxa"/>
            <w:tcBorders>
              <w:top w:val="nil"/>
              <w:left w:val="nil"/>
              <w:bottom w:val="single" w:sz="4" w:space="0" w:color="ADD6EA"/>
              <w:right w:val="nil"/>
            </w:tcBorders>
            <w:shd w:val="clear" w:color="auto" w:fill="auto"/>
            <w:noWrap/>
            <w:hideMark/>
          </w:tcPr>
          <w:p w14:paraId="22460366" w14:textId="24E66A54" w:rsidR="004D7F21" w:rsidRPr="00C1367E" w:rsidRDefault="004D7F21" w:rsidP="008F66B4">
            <w:pPr>
              <w:pStyle w:val="CGCTablerow"/>
              <w:rPr>
                <w:rFonts w:ascii="Work Sans" w:hAnsi="Work Sans"/>
                <w:color w:val="000000" w:themeColor="text1"/>
                <w:lang w:eastAsia="en-AU"/>
              </w:rPr>
            </w:pPr>
            <w:r w:rsidRPr="00C1367E">
              <w:rPr>
                <w:rFonts w:ascii="Work Sans" w:hAnsi="Work Sans"/>
                <w:color w:val="000000" w:themeColor="text1"/>
                <w:lang w:eastAsia="en-AU"/>
              </w:rPr>
              <w:t xml:space="preserve">Yes, </w:t>
            </w:r>
            <w:r w:rsidR="00F57463" w:rsidRPr="00C1367E">
              <w:rPr>
                <w:rFonts w:ascii="Work Sans" w:hAnsi="Work Sans"/>
                <w:color w:val="000000" w:themeColor="text1"/>
                <w:lang w:eastAsia="en-AU"/>
              </w:rPr>
              <w:t>a</w:t>
            </w:r>
            <w:r w:rsidRPr="00C1367E">
              <w:rPr>
                <w:rFonts w:ascii="Work Sans" w:hAnsi="Work Sans"/>
                <w:color w:val="000000" w:themeColor="text1"/>
                <w:lang w:eastAsia="en-AU"/>
              </w:rPr>
              <w:t xml:space="preserve">ctual revenue, </w:t>
            </w:r>
            <w:r w:rsidR="003F0D20" w:rsidRPr="00C1367E">
              <w:rPr>
                <w:rFonts w:ascii="Work Sans" w:hAnsi="Work Sans"/>
                <w:color w:val="000000" w:themeColor="text1"/>
                <w:lang w:eastAsia="en-AU"/>
              </w:rPr>
              <w:br/>
            </w:r>
            <w:r w:rsidRPr="00C1367E">
              <w:rPr>
                <w:rFonts w:ascii="Work Sans" w:hAnsi="Work Sans"/>
                <w:color w:val="000000" w:themeColor="text1"/>
                <w:lang w:eastAsia="en-AU"/>
              </w:rPr>
              <w:t xml:space="preserve">but equivalent to </w:t>
            </w:r>
            <w:r w:rsidR="00585A20" w:rsidRPr="00C1367E">
              <w:rPr>
                <w:rFonts w:ascii="Work Sans" w:hAnsi="Work Sans"/>
                <w:color w:val="000000" w:themeColor="text1"/>
                <w:lang w:eastAsia="en-AU"/>
              </w:rPr>
              <w:t>representative tax system</w:t>
            </w:r>
            <w:r w:rsidRPr="00C1367E">
              <w:rPr>
                <w:rFonts w:ascii="Work Sans" w:hAnsi="Work Sans"/>
                <w:color w:val="000000" w:themeColor="text1"/>
                <w:lang w:eastAsia="en-AU"/>
              </w:rPr>
              <w:t>.</w:t>
            </w:r>
          </w:p>
        </w:tc>
        <w:tc>
          <w:tcPr>
            <w:tcW w:w="1769" w:type="dxa"/>
            <w:tcBorders>
              <w:top w:val="nil"/>
              <w:left w:val="nil"/>
              <w:bottom w:val="single" w:sz="4" w:space="0" w:color="ADD6EA"/>
              <w:right w:val="nil"/>
            </w:tcBorders>
            <w:shd w:val="clear" w:color="auto" w:fill="auto"/>
            <w:noWrap/>
            <w:hideMark/>
          </w:tcPr>
          <w:p w14:paraId="72FD1A7F" w14:textId="40AFA1B5" w:rsidR="004D7F21" w:rsidRPr="00C1367E" w:rsidRDefault="004D7F21" w:rsidP="008F66B4">
            <w:pPr>
              <w:pStyle w:val="CGCTablerow"/>
              <w:rPr>
                <w:rFonts w:ascii="Work Sans" w:hAnsi="Work Sans"/>
                <w:color w:val="000000" w:themeColor="text1"/>
                <w:lang w:eastAsia="en-AU"/>
              </w:rPr>
            </w:pPr>
            <w:r w:rsidRPr="00C1367E">
              <w:rPr>
                <w:rFonts w:ascii="Work Sans" w:hAnsi="Work Sans"/>
                <w:color w:val="000000" w:themeColor="text1"/>
                <w:lang w:eastAsia="en-AU"/>
              </w:rPr>
              <w:t xml:space="preserve">Yes, </w:t>
            </w:r>
            <w:r w:rsidR="00585A20" w:rsidRPr="00C1367E">
              <w:rPr>
                <w:rFonts w:ascii="Work Sans" w:hAnsi="Work Sans"/>
                <w:color w:val="000000" w:themeColor="text1"/>
                <w:lang w:eastAsia="en-AU"/>
              </w:rPr>
              <w:t>representative tax system</w:t>
            </w:r>
          </w:p>
        </w:tc>
      </w:tr>
      <w:tr w:rsidR="00C1367E" w:rsidRPr="00C1367E" w14:paraId="5DFF7F77" w14:textId="77777777" w:rsidTr="00BF684D">
        <w:trPr>
          <w:trHeight w:val="974"/>
        </w:trPr>
        <w:tc>
          <w:tcPr>
            <w:tcW w:w="1856" w:type="dxa"/>
            <w:tcBorders>
              <w:top w:val="nil"/>
              <w:left w:val="nil"/>
              <w:bottom w:val="single" w:sz="4" w:space="0" w:color="ADD6EA"/>
              <w:right w:val="nil"/>
            </w:tcBorders>
            <w:shd w:val="clear" w:color="auto" w:fill="auto"/>
            <w:noWrap/>
            <w:hideMark/>
          </w:tcPr>
          <w:p w14:paraId="4000C290" w14:textId="77777777" w:rsidR="004D7F21" w:rsidRPr="00C1367E" w:rsidRDefault="004D7F21" w:rsidP="008F66B4">
            <w:pPr>
              <w:pStyle w:val="CGCTablerow"/>
              <w:rPr>
                <w:rFonts w:ascii="Work Sans" w:hAnsi="Work Sans"/>
                <w:color w:val="000000" w:themeColor="text1"/>
                <w:lang w:eastAsia="en-AU"/>
              </w:rPr>
            </w:pPr>
            <w:r w:rsidRPr="00C1367E">
              <w:rPr>
                <w:rFonts w:ascii="Work Sans" w:hAnsi="Work Sans"/>
                <w:color w:val="000000" w:themeColor="text1"/>
                <w:lang w:eastAsia="en-AU"/>
              </w:rPr>
              <w:t>Expense equalisation</w:t>
            </w:r>
          </w:p>
        </w:tc>
        <w:tc>
          <w:tcPr>
            <w:tcW w:w="1682" w:type="dxa"/>
            <w:tcBorders>
              <w:top w:val="nil"/>
              <w:left w:val="nil"/>
              <w:bottom w:val="single" w:sz="4" w:space="0" w:color="ADD6EA"/>
              <w:right w:val="nil"/>
            </w:tcBorders>
            <w:shd w:val="clear" w:color="auto" w:fill="auto"/>
            <w:noWrap/>
            <w:hideMark/>
          </w:tcPr>
          <w:p w14:paraId="7834E00E" w14:textId="77777777" w:rsidR="004D7F21" w:rsidRPr="00C1367E" w:rsidRDefault="004D7F21" w:rsidP="00480FA5">
            <w:pPr>
              <w:pStyle w:val="CGCTablerow"/>
              <w:ind w:right="-114"/>
              <w:rPr>
                <w:rFonts w:ascii="Work Sans" w:hAnsi="Work Sans"/>
                <w:color w:val="000000" w:themeColor="text1"/>
                <w:lang w:eastAsia="en-AU"/>
              </w:rPr>
            </w:pPr>
            <w:r w:rsidRPr="00C1367E">
              <w:rPr>
                <w:rFonts w:ascii="Work Sans" w:hAnsi="Work Sans"/>
                <w:color w:val="000000" w:themeColor="text1"/>
                <w:lang w:eastAsia="en-AU"/>
              </w:rPr>
              <w:t>Full equalisation of expenses</w:t>
            </w:r>
          </w:p>
        </w:tc>
        <w:tc>
          <w:tcPr>
            <w:tcW w:w="1518" w:type="dxa"/>
            <w:tcBorders>
              <w:top w:val="nil"/>
              <w:left w:val="nil"/>
              <w:bottom w:val="single" w:sz="4" w:space="0" w:color="ADD6EA"/>
              <w:right w:val="nil"/>
            </w:tcBorders>
            <w:shd w:val="clear" w:color="auto" w:fill="auto"/>
            <w:noWrap/>
            <w:hideMark/>
          </w:tcPr>
          <w:p w14:paraId="1F847FCF" w14:textId="77777777" w:rsidR="004D7F21" w:rsidRPr="00C1367E" w:rsidRDefault="004D7F21" w:rsidP="00DA3AF1">
            <w:pPr>
              <w:pStyle w:val="CGCTablerow"/>
              <w:spacing w:after="80"/>
              <w:rPr>
                <w:rFonts w:ascii="Work Sans" w:hAnsi="Work Sans"/>
                <w:color w:val="000000" w:themeColor="text1"/>
                <w:lang w:eastAsia="en-AU"/>
              </w:rPr>
            </w:pPr>
            <w:r w:rsidRPr="00C1367E">
              <w:rPr>
                <w:rFonts w:ascii="Work Sans" w:hAnsi="Work Sans"/>
                <w:color w:val="000000" w:themeColor="text1"/>
                <w:lang w:eastAsia="en-AU"/>
              </w:rPr>
              <w:t>Not for provinces. Territory expenses equalised</w:t>
            </w:r>
          </w:p>
        </w:tc>
        <w:tc>
          <w:tcPr>
            <w:tcW w:w="1964" w:type="dxa"/>
            <w:tcBorders>
              <w:top w:val="nil"/>
              <w:left w:val="nil"/>
              <w:bottom w:val="single" w:sz="4" w:space="0" w:color="ADD6EA"/>
              <w:right w:val="nil"/>
            </w:tcBorders>
            <w:shd w:val="clear" w:color="auto" w:fill="auto"/>
            <w:noWrap/>
            <w:hideMark/>
          </w:tcPr>
          <w:p w14:paraId="3927F274" w14:textId="77777777" w:rsidR="004D7F21" w:rsidRPr="00C1367E" w:rsidRDefault="004D7F21" w:rsidP="008F66B4">
            <w:pPr>
              <w:pStyle w:val="CGCTablerow"/>
              <w:rPr>
                <w:rFonts w:ascii="Work Sans" w:hAnsi="Work Sans"/>
                <w:color w:val="000000" w:themeColor="text1"/>
                <w:lang w:eastAsia="en-AU"/>
              </w:rPr>
            </w:pPr>
            <w:r w:rsidRPr="00C1367E">
              <w:rPr>
                <w:rFonts w:ascii="Work Sans" w:hAnsi="Work Sans"/>
                <w:color w:val="000000" w:themeColor="text1"/>
                <w:lang w:eastAsia="en-AU"/>
              </w:rPr>
              <w:t>Simple adjustments for special circumstances</w:t>
            </w:r>
          </w:p>
        </w:tc>
        <w:tc>
          <w:tcPr>
            <w:tcW w:w="1769" w:type="dxa"/>
            <w:tcBorders>
              <w:top w:val="nil"/>
              <w:left w:val="nil"/>
              <w:bottom w:val="single" w:sz="4" w:space="0" w:color="ADD6EA"/>
              <w:right w:val="nil"/>
            </w:tcBorders>
            <w:shd w:val="clear" w:color="auto" w:fill="auto"/>
            <w:noWrap/>
            <w:hideMark/>
          </w:tcPr>
          <w:p w14:paraId="4C8D2634" w14:textId="77777777" w:rsidR="004D7F21" w:rsidRPr="00C1367E" w:rsidRDefault="004D7F21" w:rsidP="008F66B4">
            <w:pPr>
              <w:pStyle w:val="CGCTablerow"/>
              <w:rPr>
                <w:rFonts w:ascii="Work Sans" w:hAnsi="Work Sans"/>
                <w:color w:val="000000" w:themeColor="text1"/>
                <w:lang w:eastAsia="en-AU"/>
              </w:rPr>
            </w:pPr>
            <w:r w:rsidRPr="00C1367E">
              <w:rPr>
                <w:rFonts w:ascii="Work Sans" w:hAnsi="Work Sans"/>
                <w:color w:val="000000" w:themeColor="text1"/>
                <w:lang w:eastAsia="en-AU"/>
              </w:rPr>
              <w:t>Broad indicators of expense need</w:t>
            </w:r>
          </w:p>
        </w:tc>
      </w:tr>
      <w:tr w:rsidR="00C1367E" w:rsidRPr="00C1367E" w14:paraId="41EBC6C4" w14:textId="77777777" w:rsidTr="00BF684D">
        <w:trPr>
          <w:trHeight w:val="834"/>
        </w:trPr>
        <w:tc>
          <w:tcPr>
            <w:tcW w:w="1856" w:type="dxa"/>
            <w:tcBorders>
              <w:top w:val="single" w:sz="4" w:space="0" w:color="ADD6EA"/>
              <w:left w:val="nil"/>
              <w:bottom w:val="single" w:sz="4" w:space="0" w:color="ADD6EA"/>
              <w:right w:val="nil"/>
            </w:tcBorders>
            <w:shd w:val="clear" w:color="auto" w:fill="auto"/>
            <w:noWrap/>
            <w:hideMark/>
          </w:tcPr>
          <w:p w14:paraId="2DC9EB9F" w14:textId="77777777" w:rsidR="004D7F21" w:rsidRPr="00C1367E" w:rsidRDefault="004D7F21" w:rsidP="008F66B4">
            <w:pPr>
              <w:pStyle w:val="CGCTablerow"/>
              <w:rPr>
                <w:rFonts w:ascii="Work Sans" w:hAnsi="Work Sans"/>
                <w:color w:val="000000" w:themeColor="text1"/>
                <w:lang w:eastAsia="en-AU"/>
              </w:rPr>
            </w:pPr>
            <w:r w:rsidRPr="00C1367E">
              <w:rPr>
                <w:rFonts w:ascii="Work Sans" w:hAnsi="Work Sans"/>
                <w:color w:val="000000" w:themeColor="text1"/>
                <w:lang w:eastAsia="en-AU"/>
              </w:rPr>
              <w:t>Formula derivation</w:t>
            </w:r>
          </w:p>
        </w:tc>
        <w:tc>
          <w:tcPr>
            <w:tcW w:w="1682" w:type="dxa"/>
            <w:tcBorders>
              <w:top w:val="single" w:sz="4" w:space="0" w:color="ADD6EA"/>
              <w:left w:val="nil"/>
              <w:bottom w:val="single" w:sz="4" w:space="0" w:color="ADD6EA"/>
              <w:right w:val="nil"/>
            </w:tcBorders>
            <w:shd w:val="clear" w:color="auto" w:fill="auto"/>
            <w:noWrap/>
            <w:hideMark/>
          </w:tcPr>
          <w:p w14:paraId="3661021D" w14:textId="77777777" w:rsidR="004D7F21" w:rsidRPr="00C1367E" w:rsidRDefault="004D7F21" w:rsidP="00480FA5">
            <w:pPr>
              <w:pStyle w:val="CGCTablerow"/>
              <w:ind w:right="-114"/>
              <w:rPr>
                <w:rFonts w:ascii="Work Sans" w:hAnsi="Work Sans"/>
                <w:color w:val="000000" w:themeColor="text1"/>
                <w:lang w:eastAsia="en-AU"/>
              </w:rPr>
            </w:pPr>
            <w:r w:rsidRPr="00C1367E">
              <w:rPr>
                <w:rFonts w:ascii="Work Sans" w:hAnsi="Work Sans"/>
                <w:color w:val="000000" w:themeColor="text1"/>
                <w:lang w:eastAsia="en-AU"/>
              </w:rPr>
              <w:t>Independent agency within legislated framework</w:t>
            </w:r>
          </w:p>
        </w:tc>
        <w:tc>
          <w:tcPr>
            <w:tcW w:w="1518" w:type="dxa"/>
            <w:tcBorders>
              <w:top w:val="single" w:sz="4" w:space="0" w:color="ADD6EA"/>
              <w:left w:val="nil"/>
              <w:bottom w:val="single" w:sz="4" w:space="0" w:color="ADD6EA"/>
              <w:right w:val="nil"/>
            </w:tcBorders>
            <w:shd w:val="clear" w:color="auto" w:fill="auto"/>
            <w:noWrap/>
            <w:hideMark/>
          </w:tcPr>
          <w:p w14:paraId="429AD3B9" w14:textId="77777777" w:rsidR="004D7F21" w:rsidRPr="00C1367E" w:rsidRDefault="004D7F21" w:rsidP="008F66B4">
            <w:pPr>
              <w:pStyle w:val="CGCTablerow"/>
              <w:rPr>
                <w:rFonts w:ascii="Work Sans" w:hAnsi="Work Sans"/>
                <w:color w:val="000000" w:themeColor="text1"/>
                <w:lang w:eastAsia="en-AU"/>
              </w:rPr>
            </w:pPr>
            <w:r w:rsidRPr="00C1367E">
              <w:rPr>
                <w:rFonts w:ascii="Work Sans" w:hAnsi="Work Sans"/>
                <w:color w:val="000000" w:themeColor="text1"/>
                <w:lang w:eastAsia="en-AU"/>
              </w:rPr>
              <w:t xml:space="preserve">Federal legislation </w:t>
            </w:r>
          </w:p>
        </w:tc>
        <w:tc>
          <w:tcPr>
            <w:tcW w:w="1964" w:type="dxa"/>
            <w:tcBorders>
              <w:top w:val="single" w:sz="4" w:space="0" w:color="ADD6EA"/>
              <w:left w:val="nil"/>
              <w:bottom w:val="single" w:sz="4" w:space="0" w:color="ADD6EA"/>
              <w:right w:val="nil"/>
            </w:tcBorders>
            <w:shd w:val="clear" w:color="auto" w:fill="auto"/>
            <w:noWrap/>
            <w:hideMark/>
          </w:tcPr>
          <w:p w14:paraId="48B93B18" w14:textId="77777777" w:rsidR="004D7F21" w:rsidRPr="00C1367E" w:rsidRDefault="004D7F21" w:rsidP="008F66B4">
            <w:pPr>
              <w:pStyle w:val="CGCTablerow"/>
              <w:rPr>
                <w:rFonts w:ascii="Work Sans" w:hAnsi="Work Sans"/>
                <w:color w:val="000000" w:themeColor="text1"/>
                <w:lang w:eastAsia="en-AU"/>
              </w:rPr>
            </w:pPr>
            <w:r w:rsidRPr="00C1367E">
              <w:rPr>
                <w:rFonts w:ascii="Work Sans" w:hAnsi="Work Sans"/>
                <w:color w:val="000000" w:themeColor="text1"/>
                <w:lang w:eastAsia="en-AU"/>
              </w:rPr>
              <w:t>Solidarity Pact</w:t>
            </w:r>
          </w:p>
        </w:tc>
        <w:tc>
          <w:tcPr>
            <w:tcW w:w="1769" w:type="dxa"/>
            <w:tcBorders>
              <w:top w:val="single" w:sz="4" w:space="0" w:color="ADD6EA"/>
              <w:left w:val="nil"/>
              <w:bottom w:val="single" w:sz="4" w:space="0" w:color="ADD6EA"/>
              <w:right w:val="nil"/>
            </w:tcBorders>
            <w:shd w:val="clear" w:color="auto" w:fill="auto"/>
            <w:noWrap/>
            <w:hideMark/>
          </w:tcPr>
          <w:p w14:paraId="051CEE39" w14:textId="77777777" w:rsidR="004D7F21" w:rsidRPr="00C1367E" w:rsidRDefault="004D7F21" w:rsidP="008F66B4">
            <w:pPr>
              <w:pStyle w:val="CGCTablerow"/>
              <w:rPr>
                <w:rFonts w:ascii="Work Sans" w:hAnsi="Work Sans"/>
                <w:color w:val="000000" w:themeColor="text1"/>
                <w:lang w:eastAsia="en-AU"/>
              </w:rPr>
            </w:pPr>
            <w:r w:rsidRPr="00C1367E">
              <w:rPr>
                <w:rFonts w:ascii="Work Sans" w:hAnsi="Work Sans"/>
                <w:color w:val="000000" w:themeColor="text1"/>
                <w:lang w:eastAsia="en-AU"/>
              </w:rPr>
              <w:t>Federal government</w:t>
            </w:r>
          </w:p>
        </w:tc>
      </w:tr>
      <w:tr w:rsidR="00C1367E" w:rsidRPr="00C1367E" w14:paraId="6AC2F723" w14:textId="77777777" w:rsidTr="00BF684D">
        <w:trPr>
          <w:trHeight w:val="833"/>
        </w:trPr>
        <w:tc>
          <w:tcPr>
            <w:tcW w:w="1856" w:type="dxa"/>
            <w:tcBorders>
              <w:top w:val="single" w:sz="4" w:space="0" w:color="ADD6EA"/>
              <w:left w:val="nil"/>
              <w:bottom w:val="single" w:sz="4" w:space="0" w:color="ADD6EA"/>
              <w:right w:val="nil"/>
            </w:tcBorders>
            <w:shd w:val="clear" w:color="auto" w:fill="auto"/>
            <w:noWrap/>
          </w:tcPr>
          <w:p w14:paraId="0D3520AD" w14:textId="77777777" w:rsidR="004D7F21" w:rsidRPr="00C1367E" w:rsidRDefault="004D7F21" w:rsidP="008F66B4">
            <w:pPr>
              <w:pStyle w:val="CGCTablerow"/>
              <w:rPr>
                <w:rFonts w:ascii="Work Sans" w:hAnsi="Work Sans"/>
                <w:color w:val="000000" w:themeColor="text1"/>
                <w:lang w:eastAsia="en-AU"/>
              </w:rPr>
            </w:pPr>
            <w:r w:rsidRPr="00C1367E">
              <w:rPr>
                <w:rFonts w:ascii="Work Sans" w:hAnsi="Work Sans"/>
                <w:color w:val="000000" w:themeColor="text1"/>
                <w:lang w:eastAsia="en-AU"/>
              </w:rPr>
              <w:t>Pool determination</w:t>
            </w:r>
          </w:p>
        </w:tc>
        <w:tc>
          <w:tcPr>
            <w:tcW w:w="1682" w:type="dxa"/>
            <w:tcBorders>
              <w:top w:val="single" w:sz="4" w:space="0" w:color="ADD6EA"/>
              <w:left w:val="nil"/>
              <w:bottom w:val="single" w:sz="4" w:space="0" w:color="ADD6EA"/>
              <w:right w:val="nil"/>
            </w:tcBorders>
            <w:shd w:val="clear" w:color="auto" w:fill="auto"/>
            <w:noWrap/>
          </w:tcPr>
          <w:p w14:paraId="4A334DA9" w14:textId="77777777" w:rsidR="004D7F21" w:rsidRPr="00C1367E" w:rsidRDefault="004D7F21" w:rsidP="00480FA5">
            <w:pPr>
              <w:pStyle w:val="CGCTablerow"/>
              <w:ind w:right="-114"/>
              <w:rPr>
                <w:rFonts w:ascii="Work Sans" w:hAnsi="Work Sans"/>
                <w:color w:val="000000" w:themeColor="text1"/>
                <w:lang w:eastAsia="en-AU"/>
              </w:rPr>
            </w:pPr>
            <w:r w:rsidRPr="00C1367E">
              <w:rPr>
                <w:rFonts w:ascii="Work Sans" w:hAnsi="Work Sans"/>
                <w:color w:val="000000" w:themeColor="text1"/>
                <w:lang w:eastAsia="en-AU"/>
              </w:rPr>
              <w:t>Hypothecated tax stream</w:t>
            </w:r>
          </w:p>
        </w:tc>
        <w:tc>
          <w:tcPr>
            <w:tcW w:w="1518" w:type="dxa"/>
            <w:tcBorders>
              <w:top w:val="single" w:sz="4" w:space="0" w:color="ADD6EA"/>
              <w:left w:val="nil"/>
              <w:bottom w:val="single" w:sz="4" w:space="0" w:color="ADD6EA"/>
              <w:right w:val="nil"/>
            </w:tcBorders>
            <w:shd w:val="clear" w:color="auto" w:fill="auto"/>
            <w:noWrap/>
          </w:tcPr>
          <w:p w14:paraId="2D372ACE" w14:textId="440F9288" w:rsidR="004D7F21" w:rsidRPr="00C1367E" w:rsidRDefault="00887290" w:rsidP="008F66B4">
            <w:pPr>
              <w:pStyle w:val="CGCTablerow"/>
              <w:rPr>
                <w:rFonts w:ascii="Work Sans" w:hAnsi="Work Sans"/>
                <w:color w:val="000000" w:themeColor="text1"/>
                <w:lang w:eastAsia="en-AU"/>
              </w:rPr>
            </w:pPr>
            <w:r w:rsidRPr="00C1367E">
              <w:rPr>
                <w:rFonts w:ascii="Work Sans" w:hAnsi="Work Sans"/>
                <w:color w:val="000000" w:themeColor="text1"/>
                <w:lang w:eastAsia="en-AU"/>
              </w:rPr>
              <w:t>Indexed</w:t>
            </w:r>
            <w:r w:rsidR="004D7F21" w:rsidRPr="00C1367E">
              <w:rPr>
                <w:rFonts w:ascii="Work Sans" w:hAnsi="Work Sans"/>
                <w:color w:val="000000" w:themeColor="text1"/>
                <w:lang w:eastAsia="en-AU"/>
              </w:rPr>
              <w:t xml:space="preserve"> pool</w:t>
            </w:r>
          </w:p>
        </w:tc>
        <w:tc>
          <w:tcPr>
            <w:tcW w:w="1964" w:type="dxa"/>
            <w:tcBorders>
              <w:top w:val="single" w:sz="4" w:space="0" w:color="ADD6EA"/>
              <w:left w:val="nil"/>
              <w:bottom w:val="single" w:sz="4" w:space="0" w:color="ADD6EA"/>
              <w:right w:val="nil"/>
            </w:tcBorders>
            <w:shd w:val="clear" w:color="auto" w:fill="auto"/>
            <w:noWrap/>
          </w:tcPr>
          <w:p w14:paraId="3871F595" w14:textId="77777777" w:rsidR="004D7F21" w:rsidRPr="00C1367E" w:rsidRDefault="004D7F21" w:rsidP="008F66B4">
            <w:pPr>
              <w:pStyle w:val="CGCTablerow"/>
              <w:rPr>
                <w:rFonts w:ascii="Work Sans" w:hAnsi="Work Sans"/>
                <w:color w:val="000000" w:themeColor="text1"/>
                <w:lang w:eastAsia="en-AU"/>
              </w:rPr>
            </w:pPr>
            <w:r w:rsidRPr="00C1367E">
              <w:rPr>
                <w:rFonts w:ascii="Work Sans" w:hAnsi="Work Sans"/>
                <w:color w:val="000000" w:themeColor="text1"/>
                <w:lang w:eastAsia="en-AU"/>
              </w:rPr>
              <w:t>Fiscal gap filling</w:t>
            </w:r>
          </w:p>
        </w:tc>
        <w:tc>
          <w:tcPr>
            <w:tcW w:w="1769" w:type="dxa"/>
            <w:tcBorders>
              <w:top w:val="single" w:sz="4" w:space="0" w:color="ADD6EA"/>
              <w:left w:val="nil"/>
              <w:bottom w:val="single" w:sz="4" w:space="0" w:color="ADD6EA"/>
              <w:right w:val="nil"/>
            </w:tcBorders>
            <w:shd w:val="clear" w:color="auto" w:fill="auto"/>
            <w:noWrap/>
          </w:tcPr>
          <w:p w14:paraId="06E71951" w14:textId="77777777" w:rsidR="004D7F21" w:rsidRPr="00C1367E" w:rsidRDefault="004D7F21" w:rsidP="008F66B4">
            <w:pPr>
              <w:pStyle w:val="CGCTablerow"/>
              <w:rPr>
                <w:rFonts w:ascii="Work Sans" w:hAnsi="Work Sans"/>
                <w:color w:val="000000" w:themeColor="text1"/>
                <w:lang w:eastAsia="en-AU"/>
              </w:rPr>
            </w:pPr>
            <w:r w:rsidRPr="00C1367E">
              <w:rPr>
                <w:rFonts w:ascii="Work Sans" w:hAnsi="Work Sans"/>
                <w:color w:val="000000" w:themeColor="text1"/>
                <w:lang w:eastAsia="en-AU"/>
              </w:rPr>
              <w:t xml:space="preserve">Fiscal gap filling with a fixed pool for expense equalisation </w:t>
            </w:r>
          </w:p>
        </w:tc>
      </w:tr>
    </w:tbl>
    <w:p w14:paraId="548FFB31" w14:textId="152494AB" w:rsidR="004D7F21" w:rsidRPr="00C1367E" w:rsidRDefault="004D7F21" w:rsidP="00DA3AF1">
      <w:pPr>
        <w:pStyle w:val="FootnoteText"/>
        <w:numPr>
          <w:ilvl w:val="0"/>
          <w:numId w:val="30"/>
        </w:numPr>
        <w:ind w:hanging="720"/>
        <w:rPr>
          <w:color w:val="000000" w:themeColor="text1"/>
        </w:rPr>
      </w:pPr>
      <w:r w:rsidRPr="00C1367E">
        <w:rPr>
          <w:color w:val="000000" w:themeColor="text1"/>
        </w:rPr>
        <w:t xml:space="preserve">Federal transfers to </w:t>
      </w:r>
      <w:r w:rsidR="00397EC3" w:rsidRPr="00C1367E">
        <w:rPr>
          <w:color w:val="000000" w:themeColor="text1"/>
        </w:rPr>
        <w:t>s</w:t>
      </w:r>
      <w:r w:rsidRPr="00C1367E">
        <w:rPr>
          <w:color w:val="000000" w:themeColor="text1"/>
        </w:rPr>
        <w:t xml:space="preserve">tates as a proportion of </w:t>
      </w:r>
      <w:r w:rsidR="00397EC3" w:rsidRPr="00C1367E">
        <w:rPr>
          <w:color w:val="000000" w:themeColor="text1"/>
        </w:rPr>
        <w:t>s</w:t>
      </w:r>
      <w:r w:rsidRPr="00C1367E">
        <w:rPr>
          <w:color w:val="000000" w:themeColor="text1"/>
        </w:rPr>
        <w:t>tate expenditure.</w:t>
      </w:r>
    </w:p>
    <w:p w14:paraId="32A45BD8" w14:textId="1AE151D4" w:rsidR="004D7F21" w:rsidRPr="00C1367E" w:rsidRDefault="004D7F21" w:rsidP="008F4CCF">
      <w:pPr>
        <w:pStyle w:val="FootnoteText"/>
        <w:rPr>
          <w:color w:val="000000" w:themeColor="text1"/>
        </w:rPr>
      </w:pPr>
      <w:r w:rsidRPr="00C1367E">
        <w:rPr>
          <w:color w:val="000000" w:themeColor="text1"/>
        </w:rPr>
        <w:t xml:space="preserve">Source: </w:t>
      </w:r>
      <w:r w:rsidRPr="00C1367E">
        <w:rPr>
          <w:color w:val="000000" w:themeColor="text1"/>
        </w:rPr>
        <w:tab/>
      </w:r>
      <w:r w:rsidR="00F41930" w:rsidRPr="00C1367E">
        <w:rPr>
          <w:color w:val="000000" w:themeColor="text1"/>
        </w:rPr>
        <w:t xml:space="preserve">Commonwealth Grants </w:t>
      </w:r>
      <w:r w:rsidRPr="00C1367E">
        <w:rPr>
          <w:color w:val="000000" w:themeColor="text1"/>
        </w:rPr>
        <w:t>Commission.</w:t>
      </w:r>
    </w:p>
    <w:p w14:paraId="66644D86" w14:textId="77777777" w:rsidR="004D7F21" w:rsidRPr="00C1367E" w:rsidRDefault="004D7F21" w:rsidP="00D073A2">
      <w:pPr>
        <w:rPr>
          <w:rFonts w:ascii="Work Sans" w:eastAsiaTheme="majorEastAsia" w:hAnsi="Work Sans" w:cs="Open Sans"/>
          <w:color w:val="000000" w:themeColor="text1"/>
          <w:sz w:val="36"/>
          <w:szCs w:val="36"/>
        </w:rPr>
      </w:pPr>
      <w:r w:rsidRPr="00C1367E">
        <w:rPr>
          <w:rFonts w:ascii="Work Sans" w:hAnsi="Work Sans"/>
          <w:color w:val="000000" w:themeColor="text1"/>
        </w:rPr>
        <w:br w:type="page"/>
      </w:r>
    </w:p>
    <w:p w14:paraId="30FF08A3" w14:textId="30CB5036" w:rsidR="004D7F21" w:rsidRDefault="004D7F21" w:rsidP="004D7F21">
      <w:pPr>
        <w:pStyle w:val="Heading2"/>
      </w:pPr>
      <w:r>
        <w:lastRenderedPageBreak/>
        <w:t>Conclusion</w:t>
      </w:r>
    </w:p>
    <w:p w14:paraId="39B358F9" w14:textId="20BCE5FE" w:rsidR="004D7F21" w:rsidRPr="008842BD" w:rsidRDefault="004D7F21" w:rsidP="00D073A2">
      <w:pPr>
        <w:rPr>
          <w:rFonts w:ascii="Work Sans" w:hAnsi="Work Sans"/>
          <w:sz w:val="24"/>
          <w:szCs w:val="24"/>
        </w:rPr>
      </w:pPr>
      <w:r w:rsidRPr="008842BD">
        <w:rPr>
          <w:rFonts w:ascii="Work Sans" w:hAnsi="Work Sans"/>
          <w:sz w:val="24"/>
          <w:szCs w:val="24"/>
        </w:rPr>
        <w:t xml:space="preserve">A comparison of equalisation systems between different countries requires careful consideration of the broader context within which such systems take shape. A country's history, economics, politics, geography, and demography influence the architecture of each equalisation system. Despite the observed variation, all </w:t>
      </w:r>
      <w:r w:rsidR="008E332B" w:rsidRPr="008842BD">
        <w:rPr>
          <w:rFonts w:ascii="Work Sans" w:hAnsi="Work Sans"/>
          <w:sz w:val="24"/>
          <w:szCs w:val="24"/>
        </w:rPr>
        <w:t xml:space="preserve">the </w:t>
      </w:r>
      <w:r w:rsidRPr="008842BD">
        <w:rPr>
          <w:rFonts w:ascii="Work Sans" w:hAnsi="Work Sans"/>
          <w:sz w:val="24"/>
          <w:szCs w:val="24"/>
        </w:rPr>
        <w:t>systems</w:t>
      </w:r>
      <w:r w:rsidR="008E332B" w:rsidRPr="008842BD">
        <w:rPr>
          <w:rFonts w:ascii="Work Sans" w:hAnsi="Work Sans"/>
          <w:sz w:val="24"/>
          <w:szCs w:val="24"/>
        </w:rPr>
        <w:t xml:space="preserve"> examined in this pap</w:t>
      </w:r>
      <w:r w:rsidR="00A34AEE" w:rsidRPr="008842BD">
        <w:rPr>
          <w:rFonts w:ascii="Work Sans" w:hAnsi="Work Sans"/>
          <w:sz w:val="24"/>
          <w:szCs w:val="24"/>
        </w:rPr>
        <w:t>er</w:t>
      </w:r>
      <w:r w:rsidRPr="008842BD">
        <w:rPr>
          <w:rFonts w:ascii="Work Sans" w:hAnsi="Work Sans"/>
          <w:sz w:val="24"/>
          <w:szCs w:val="24"/>
        </w:rPr>
        <w:t xml:space="preserve">, with their respective strengths and weaknesses, attempt to follow a set of universal principles: equity, efficiency, and pragmatism. While no single ‘model’ can emerge from the </w:t>
      </w:r>
      <w:r w:rsidR="004E0003" w:rsidRPr="008842BD">
        <w:rPr>
          <w:rFonts w:ascii="Work Sans" w:hAnsi="Work Sans"/>
          <w:sz w:val="24"/>
          <w:szCs w:val="24"/>
        </w:rPr>
        <w:t xml:space="preserve">approaches </w:t>
      </w:r>
      <w:r w:rsidRPr="008842BD">
        <w:rPr>
          <w:rFonts w:ascii="Work Sans" w:hAnsi="Work Sans"/>
          <w:sz w:val="24"/>
          <w:szCs w:val="24"/>
        </w:rPr>
        <w:t>observed internationally, some informative insights can be drawn.</w:t>
      </w:r>
    </w:p>
    <w:p w14:paraId="306922D2" w14:textId="77777777" w:rsidR="004D7F21" w:rsidRPr="008842BD" w:rsidRDefault="004D7F21" w:rsidP="00D073A2">
      <w:pPr>
        <w:rPr>
          <w:rFonts w:ascii="Work Sans" w:hAnsi="Work Sans"/>
          <w:sz w:val="24"/>
          <w:szCs w:val="24"/>
        </w:rPr>
      </w:pPr>
      <w:r w:rsidRPr="008842BD">
        <w:rPr>
          <w:rFonts w:ascii="Work Sans" w:hAnsi="Work Sans"/>
          <w:sz w:val="24"/>
          <w:szCs w:val="24"/>
        </w:rPr>
        <w:t xml:space="preserve">Natural resources are a major source of income for some regions. Resource revenue can produce significant disparities between regions and increase the size and sensitivity of the equalisation task. </w:t>
      </w:r>
    </w:p>
    <w:p w14:paraId="4C69AE60" w14:textId="77777777" w:rsidR="004D7F21" w:rsidRPr="008842BD" w:rsidRDefault="004D7F21" w:rsidP="00D073A2">
      <w:pPr>
        <w:rPr>
          <w:rFonts w:ascii="Work Sans" w:hAnsi="Work Sans"/>
          <w:sz w:val="24"/>
          <w:szCs w:val="24"/>
        </w:rPr>
      </w:pPr>
      <w:r w:rsidRPr="008842BD">
        <w:rPr>
          <w:rFonts w:ascii="Work Sans" w:hAnsi="Work Sans"/>
          <w:sz w:val="24"/>
          <w:szCs w:val="24"/>
        </w:rPr>
        <w:t>Revenue equalisation needs to be designed carefully to avoid policy disincentives. International experience suggests that a representative tax system approach generally strikes a pragmatic balance between accuracy, transparency and policy neutrality.</w:t>
      </w:r>
    </w:p>
    <w:p w14:paraId="0D537BC9" w14:textId="13590902" w:rsidR="004D7F21" w:rsidRPr="008842BD" w:rsidRDefault="004D7F21" w:rsidP="00D073A2">
      <w:pPr>
        <w:rPr>
          <w:rFonts w:ascii="Work Sans" w:hAnsi="Work Sans"/>
          <w:sz w:val="24"/>
          <w:szCs w:val="24"/>
        </w:rPr>
      </w:pPr>
      <w:r w:rsidRPr="008842BD">
        <w:rPr>
          <w:rFonts w:ascii="Work Sans" w:hAnsi="Work Sans"/>
          <w:sz w:val="24"/>
          <w:szCs w:val="24"/>
        </w:rPr>
        <w:t xml:space="preserve">Equalisation systems need to manage volatility while not exacerbating data lags. A balance can be achieved by basing payments on an average of circumstances over </w:t>
      </w:r>
      <w:r w:rsidR="008842BD" w:rsidRPr="008842BD">
        <w:rPr>
          <w:rFonts w:ascii="Work Sans" w:hAnsi="Work Sans"/>
          <w:sz w:val="24"/>
          <w:szCs w:val="24"/>
        </w:rPr>
        <w:t>several</w:t>
      </w:r>
      <w:r w:rsidR="007C10CC" w:rsidRPr="008842BD">
        <w:rPr>
          <w:rFonts w:ascii="Work Sans" w:hAnsi="Work Sans"/>
          <w:sz w:val="24"/>
          <w:szCs w:val="24"/>
        </w:rPr>
        <w:t xml:space="preserve"> </w:t>
      </w:r>
      <w:r w:rsidRPr="008842BD">
        <w:rPr>
          <w:rFonts w:ascii="Work Sans" w:hAnsi="Work Sans"/>
          <w:sz w:val="24"/>
          <w:szCs w:val="24"/>
        </w:rPr>
        <w:t>years.</w:t>
      </w:r>
    </w:p>
    <w:p w14:paraId="56C07881" w14:textId="1616D5DF" w:rsidR="004D7F21" w:rsidRPr="008842BD" w:rsidRDefault="004D7F21" w:rsidP="00D073A2">
      <w:pPr>
        <w:rPr>
          <w:rFonts w:ascii="Work Sans" w:hAnsi="Work Sans"/>
          <w:sz w:val="24"/>
          <w:szCs w:val="24"/>
        </w:rPr>
      </w:pPr>
      <w:r w:rsidRPr="008842BD">
        <w:rPr>
          <w:rFonts w:ascii="Work Sans" w:hAnsi="Work Sans"/>
          <w:sz w:val="24"/>
          <w:szCs w:val="24"/>
        </w:rPr>
        <w:t xml:space="preserve">Of the countries considered, only Australia comprehensively addresses disparities in expense needs within the equalisation system. Australia is also unusual in its governance arrangements, with an independent body responsible for producing evidence-based recommendations. </w:t>
      </w:r>
    </w:p>
    <w:p w14:paraId="30DBC654" w14:textId="77777777" w:rsidR="004D7F21" w:rsidRPr="002C5B2F" w:rsidRDefault="004D7F21" w:rsidP="00D073A2">
      <w:pPr>
        <w:rPr>
          <w:rFonts w:ascii="Work Sans" w:hAnsi="Work Sans"/>
        </w:rPr>
      </w:pPr>
    </w:p>
    <w:sectPr w:rsidR="004D7F21" w:rsidRPr="002C5B2F" w:rsidSect="00EA147F">
      <w:footnotePr>
        <w:numRestart w:val="eachSect"/>
      </w:footnotePr>
      <w:pgSz w:w="11907" w:h="16840" w:code="9"/>
      <w:pgMar w:top="1418" w:right="1474" w:bottom="1418" w:left="1474" w:header="567" w:footer="283"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84A36B" w14:textId="77777777" w:rsidR="00A80B7E" w:rsidRDefault="00A80B7E">
      <w:r>
        <w:separator/>
      </w:r>
    </w:p>
  </w:endnote>
  <w:endnote w:type="continuationSeparator" w:id="0">
    <w:p w14:paraId="4A960250" w14:textId="77777777" w:rsidR="00A80B7E" w:rsidRDefault="00A80B7E">
      <w:r>
        <w:continuationSeparator/>
      </w:r>
    </w:p>
  </w:endnote>
  <w:endnote w:type="continuationNotice" w:id="1">
    <w:p w14:paraId="71E14C94" w14:textId="77777777" w:rsidR="00A80B7E" w:rsidRDefault="00A80B7E">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 Sans Light">
    <w:panose1 w:val="020B03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Work Sans">
    <w:altName w:val="Work Sans"/>
    <w:charset w:val="00"/>
    <w:family w:val="auto"/>
    <w:pitch w:val="variable"/>
    <w:sig w:usb0="A00000FF" w:usb1="5000E07B"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Montserrat Medium">
    <w:panose1 w:val="00000600000000000000"/>
    <w:charset w:val="00"/>
    <w:family w:val="auto"/>
    <w:pitch w:val="variable"/>
    <w:sig w:usb0="2000020F" w:usb1="00000003" w:usb2="00000000" w:usb3="00000000" w:csb0="00000197" w:csb1="00000000"/>
  </w:font>
  <w:font w:name="Montserrat Semi Bold">
    <w:panose1 w:val="00000700000000000000"/>
    <w:charset w:val="00"/>
    <w:family w:val="modern"/>
    <w:notTrueType/>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Open Sans">
    <w:panose1 w:val="020B0606030504020204"/>
    <w:charset w:val="00"/>
    <w:family w:val="swiss"/>
    <w:pitch w:val="variable"/>
    <w:sig w:usb0="E00002EF" w:usb1="4000205B" w:usb2="00000028" w:usb3="00000000" w:csb0="0000019F" w:csb1="00000000"/>
  </w:font>
  <w:font w:name="Montserrat Ultra Light">
    <w:panose1 w:val="000003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Open Sans Semibold">
    <w:panose1 w:val="020B0706030804020204"/>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0903994"/>
      <w:docPartObj>
        <w:docPartGallery w:val="Page Numbers (Bottom of Page)"/>
        <w:docPartUnique/>
      </w:docPartObj>
    </w:sdtPr>
    <w:sdtEndPr>
      <w:rPr>
        <w:noProof/>
      </w:rPr>
    </w:sdtEndPr>
    <w:sdtContent>
      <w:p w14:paraId="6E976F42" w14:textId="4AF8F2C0" w:rsidR="00146288" w:rsidRDefault="00146288">
        <w:pPr>
          <w:pStyle w:val="Footer"/>
        </w:pPr>
        <w:r>
          <w:fldChar w:fldCharType="begin"/>
        </w:r>
        <w:r>
          <w:instrText xml:space="preserve"> PAGE   \* MERGEFORMAT </w:instrText>
        </w:r>
        <w:r>
          <w:fldChar w:fldCharType="separate"/>
        </w:r>
        <w:r>
          <w:rPr>
            <w:noProof/>
          </w:rPr>
          <w:t>2</w:t>
        </w:r>
        <w:r>
          <w:rPr>
            <w:noProof/>
          </w:rPr>
          <w:fldChar w:fldCharType="end"/>
        </w:r>
      </w:p>
    </w:sdtContent>
  </w:sdt>
  <w:p w14:paraId="68666AAA" w14:textId="14C3A7E2" w:rsidR="009C18B8" w:rsidRPr="006E4853" w:rsidRDefault="001901C6" w:rsidP="006E4853">
    <w:pPr>
      <w:pStyle w:val="Footer"/>
      <w:spacing w:before="120" w:line="254" w:lineRule="auto"/>
      <w:ind w:left="0" w:right="357"/>
      <w:rPr>
        <w:rFonts w:ascii="Work Sans" w:hAnsi="Work Sans" w:cs="Open Sans"/>
        <w:b w:val="0"/>
        <w:bCs/>
      </w:rPr>
    </w:pPr>
    <w:hyperlink r:id="rId1" w:history="1">
      <w:r w:rsidR="00EA147F" w:rsidRPr="00BB628F">
        <w:rPr>
          <w:rStyle w:val="Hyperlink"/>
          <w:rFonts w:ascii="Work Sans" w:hAnsi="Work Sans" w:cs="Open Sans"/>
          <w:b w:val="0"/>
          <w:bCs/>
        </w:rPr>
        <w:t>www.cgc.gov.au</w:t>
      </w:r>
    </w:hyperlink>
    <w:r w:rsidR="00EA147F" w:rsidRPr="00BB628F">
      <w:rPr>
        <w:rFonts w:ascii="Work Sans" w:hAnsi="Work Sans" w:cs="Open Sans"/>
        <w:b w:val="0"/>
        <w:bCs/>
      </w:rPr>
      <w:tab/>
      <w:t>Research Paper Series</w:t>
    </w:r>
    <w:r w:rsidR="00EA147F" w:rsidRPr="00BB628F">
      <w:rPr>
        <w:rFonts w:ascii="Work Sans" w:hAnsi="Work Sans" w:cs="Open Sans"/>
        <w:b w:val="0"/>
        <w:bCs/>
      </w:rPr>
      <w:tab/>
    </w:r>
    <w:r w:rsidR="00EA147F">
      <w:rPr>
        <w:rFonts w:ascii="Work Sans" w:hAnsi="Work Sans" w:cs="Open Sans"/>
        <w:b w:val="0"/>
        <w:bCs/>
      </w:rPr>
      <w:t>April</w:t>
    </w:r>
    <w:r w:rsidR="00EA147F" w:rsidRPr="00BB628F">
      <w:rPr>
        <w:rFonts w:ascii="Work Sans" w:hAnsi="Work Sans" w:cs="Open Sans"/>
        <w:b w:val="0"/>
        <w:bCs/>
      </w:rPr>
      <w:t xml:space="preserve"> 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7FB2C" w14:textId="2EFEA32F" w:rsidR="00DA64A1" w:rsidRDefault="00AB1A13" w:rsidP="00DA64A1">
    <w:pPr>
      <w:pStyle w:val="Footer"/>
      <w:tabs>
        <w:tab w:val="right" w:pos="8931"/>
      </w:tabs>
      <w:rPr>
        <w:noProof/>
      </w:rPr>
    </w:pPr>
    <w:r>
      <w:rPr>
        <w:szCs w:val="20"/>
      </w:rPr>
      <w:tab/>
    </w:r>
    <w:r w:rsidR="00DC0F02">
      <w:rPr>
        <w:szCs w:val="20"/>
      </w:rPr>
      <w:tab/>
    </w:r>
    <w:r w:rsidR="00F56813">
      <w:fldChar w:fldCharType="begin"/>
    </w:r>
    <w:r w:rsidR="00F56813">
      <w:instrText xml:space="preserve"> PAGE   \* MERGEFORMAT </w:instrText>
    </w:r>
    <w:r w:rsidR="00F56813">
      <w:fldChar w:fldCharType="separate"/>
    </w:r>
    <w:r w:rsidR="00485F13">
      <w:rPr>
        <w:noProof/>
      </w:rPr>
      <w:t>4</w:t>
    </w:r>
    <w:r w:rsidR="00F56813">
      <w:rPr>
        <w:noProof/>
      </w:rPr>
      <w:fldChar w:fldCharType="end"/>
    </w:r>
  </w:p>
  <w:p w14:paraId="02209574" w14:textId="6CE4B4E8" w:rsidR="004A52DF" w:rsidRPr="00BB628F" w:rsidRDefault="001901C6" w:rsidP="002F1753">
    <w:pPr>
      <w:pStyle w:val="Footer"/>
      <w:spacing w:before="120" w:line="254" w:lineRule="auto"/>
      <w:ind w:left="0" w:right="357"/>
      <w:rPr>
        <w:rFonts w:ascii="Work Sans" w:hAnsi="Work Sans" w:cs="Open Sans"/>
        <w:b w:val="0"/>
        <w:bCs/>
      </w:rPr>
    </w:pPr>
    <w:hyperlink r:id="rId1" w:history="1">
      <w:r w:rsidR="004A52DF" w:rsidRPr="00BB628F">
        <w:rPr>
          <w:rStyle w:val="Hyperlink"/>
          <w:rFonts w:ascii="Work Sans" w:hAnsi="Work Sans" w:cs="Open Sans"/>
          <w:b w:val="0"/>
          <w:bCs/>
        </w:rPr>
        <w:t>www.cgc.gov.au</w:t>
      </w:r>
    </w:hyperlink>
    <w:r w:rsidR="004A52DF" w:rsidRPr="00BB628F">
      <w:rPr>
        <w:rFonts w:ascii="Work Sans" w:hAnsi="Work Sans" w:cs="Open Sans"/>
        <w:b w:val="0"/>
        <w:bCs/>
      </w:rPr>
      <w:tab/>
    </w:r>
    <w:r w:rsidR="00BB628F" w:rsidRPr="00BB628F">
      <w:rPr>
        <w:rFonts w:ascii="Work Sans" w:hAnsi="Work Sans" w:cs="Open Sans"/>
        <w:b w:val="0"/>
        <w:bCs/>
      </w:rPr>
      <w:t>Research</w:t>
    </w:r>
    <w:r w:rsidR="004A52DF" w:rsidRPr="00BB628F">
      <w:rPr>
        <w:rFonts w:ascii="Work Sans" w:hAnsi="Work Sans" w:cs="Open Sans"/>
        <w:b w:val="0"/>
        <w:bCs/>
      </w:rPr>
      <w:t xml:space="preserve"> Paper Series</w:t>
    </w:r>
    <w:r w:rsidR="004A52DF" w:rsidRPr="00BB628F">
      <w:rPr>
        <w:rFonts w:ascii="Work Sans" w:hAnsi="Work Sans" w:cs="Open Sans"/>
        <w:b w:val="0"/>
        <w:bCs/>
      </w:rPr>
      <w:tab/>
    </w:r>
    <w:r w:rsidR="00BB628F">
      <w:rPr>
        <w:rFonts w:ascii="Work Sans" w:hAnsi="Work Sans" w:cs="Open Sans"/>
        <w:b w:val="0"/>
        <w:bCs/>
      </w:rPr>
      <w:t>April</w:t>
    </w:r>
    <w:r w:rsidR="004A52DF" w:rsidRPr="00BB628F">
      <w:rPr>
        <w:rFonts w:ascii="Work Sans" w:hAnsi="Work Sans" w:cs="Open Sans"/>
        <w:b w:val="0"/>
        <w:bCs/>
      </w:rPr>
      <w:t xml:space="preserve">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CFC3A9" w14:textId="77777777" w:rsidR="00A80B7E" w:rsidRPr="001C1AC5" w:rsidRDefault="00A80B7E">
      <w:pPr>
        <w:rPr>
          <w:color w:val="ADD6EA"/>
        </w:rPr>
      </w:pPr>
      <w:r w:rsidRPr="001C1AC5">
        <w:rPr>
          <w:color w:val="ADD6EA"/>
        </w:rPr>
        <w:separator/>
      </w:r>
    </w:p>
  </w:footnote>
  <w:footnote w:type="continuationSeparator" w:id="0">
    <w:p w14:paraId="51BD2866" w14:textId="77777777" w:rsidR="00A80B7E" w:rsidRDefault="00A80B7E">
      <w:r>
        <w:continuationSeparator/>
      </w:r>
    </w:p>
  </w:footnote>
  <w:footnote w:type="continuationNotice" w:id="1">
    <w:p w14:paraId="4EE734B2" w14:textId="77777777" w:rsidR="00A80B7E" w:rsidRDefault="00A80B7E">
      <w:pPr>
        <w:spacing w:before="0" w:line="240" w:lineRule="auto"/>
      </w:pPr>
    </w:p>
  </w:footnote>
  <w:footnote w:id="2">
    <w:p w14:paraId="4CF8DAC8" w14:textId="77777777" w:rsidR="004D7F21" w:rsidRDefault="004D7F21" w:rsidP="004D7F21">
      <w:pPr>
        <w:pStyle w:val="FootnoteText"/>
      </w:pPr>
      <w:r>
        <w:rPr>
          <w:rStyle w:val="FootnoteReference"/>
        </w:rPr>
        <w:footnoteRef/>
      </w:r>
      <w:r>
        <w:t xml:space="preserve"> </w:t>
      </w:r>
      <w:r>
        <w:tab/>
      </w:r>
      <w:r w:rsidRPr="00E7017B">
        <w:t xml:space="preserve">Throughout this paper, we use the term </w:t>
      </w:r>
      <w:r>
        <w:t>‘</w:t>
      </w:r>
      <w:r w:rsidRPr="00E7017B">
        <w:t>regions</w:t>
      </w:r>
      <w:r>
        <w:t>’</w:t>
      </w:r>
      <w:r w:rsidRPr="00E7017B">
        <w:t xml:space="preserve"> as the generic term for subnational governments, and states (Australia), cantons (Switzerland), </w:t>
      </w:r>
      <w:r>
        <w:t>L</w:t>
      </w:r>
      <w:r w:rsidRPr="00E7017B">
        <w:t>änder (Germany), provinces (Canada) or territories for the specific forms in the case study countries</w:t>
      </w:r>
      <w:r>
        <w:t>.</w:t>
      </w:r>
    </w:p>
  </w:footnote>
  <w:footnote w:id="3">
    <w:p w14:paraId="6959D528" w14:textId="3042357C" w:rsidR="00284B7E" w:rsidRPr="00284B7E" w:rsidRDefault="00284B7E">
      <w:pPr>
        <w:pStyle w:val="FootnoteText"/>
        <w:rPr>
          <w:lang w:val="en-US"/>
        </w:rPr>
      </w:pPr>
      <w:r w:rsidRPr="00527BAD">
        <w:rPr>
          <w:rStyle w:val="FootnoteReference"/>
        </w:rPr>
        <w:footnoteRef/>
      </w:r>
      <w:r w:rsidRPr="00527BAD">
        <w:t xml:space="preserve"> </w:t>
      </w:r>
      <w:r w:rsidR="00B35FA8" w:rsidRPr="00527BAD">
        <w:tab/>
        <w:t>N</w:t>
      </w:r>
      <w:r w:rsidRPr="00527BAD">
        <w:t>ations with multiple levels of government in which subnational governments h</w:t>
      </w:r>
      <w:r w:rsidR="009D30A8" w:rsidRPr="00527BAD">
        <w:t>old</w:t>
      </w:r>
      <w:r w:rsidRPr="00527BAD">
        <w:t xml:space="preserve"> constitutionally enshrined powers</w:t>
      </w:r>
      <w:r w:rsidR="00B361AC" w:rsidRPr="00527BAD">
        <w:t>.</w:t>
      </w:r>
    </w:p>
  </w:footnote>
  <w:footnote w:id="4">
    <w:p w14:paraId="01EE162F" w14:textId="77777777" w:rsidR="004D7F21" w:rsidRPr="00D40549" w:rsidRDefault="004D7F21" w:rsidP="004D7F21">
      <w:pPr>
        <w:pStyle w:val="FootnoteText"/>
        <w:rPr>
          <w:lang w:val="en-US"/>
        </w:rPr>
      </w:pPr>
      <w:r w:rsidRPr="00FC130B">
        <w:rPr>
          <w:vertAlign w:val="superscript"/>
        </w:rPr>
        <w:footnoteRef/>
      </w:r>
      <w:r w:rsidRPr="00FC130B">
        <w:rPr>
          <w:vertAlign w:val="superscript"/>
        </w:rPr>
        <w:t xml:space="preserve"> </w:t>
      </w:r>
      <w:r>
        <w:rPr>
          <w:vertAlign w:val="superscript"/>
        </w:rPr>
        <w:tab/>
      </w:r>
      <w:r>
        <w:rPr>
          <w:lang w:val="en-US"/>
        </w:rPr>
        <w:t xml:space="preserve">Canada has two types of subnational government: provinces and territories. They are broadly comparable with Australia’s states and territories. </w:t>
      </w:r>
    </w:p>
  </w:footnote>
  <w:footnote w:id="5">
    <w:p w14:paraId="25D5AF4A" w14:textId="77777777" w:rsidR="004D7F21" w:rsidRPr="005B1CE3" w:rsidRDefault="004D7F21" w:rsidP="004D7F21">
      <w:pPr>
        <w:pStyle w:val="FootnoteText"/>
        <w:rPr>
          <w:lang w:val="en-CA"/>
        </w:rPr>
      </w:pPr>
      <w:r>
        <w:rPr>
          <w:rStyle w:val="FootnoteReference"/>
        </w:rPr>
        <w:footnoteRef/>
      </w:r>
      <w:r>
        <w:t xml:space="preserve"> </w:t>
      </w:r>
      <w:r>
        <w:tab/>
        <w:t>Subsection 36(2) of the</w:t>
      </w:r>
      <w:r w:rsidRPr="00712D1A">
        <w:t xml:space="preserve"> Constitution Act, 1982</w:t>
      </w:r>
      <w:r>
        <w:t>.</w:t>
      </w:r>
    </w:p>
  </w:footnote>
  <w:footnote w:id="6">
    <w:p w14:paraId="11B275CA" w14:textId="77777777" w:rsidR="004D7F21" w:rsidRDefault="004D7F21" w:rsidP="004D7F21">
      <w:pPr>
        <w:pStyle w:val="FootnoteText"/>
      </w:pPr>
      <w:r w:rsidRPr="00481FD9">
        <w:rPr>
          <w:vertAlign w:val="superscript"/>
        </w:rPr>
        <w:footnoteRef/>
      </w:r>
      <w:r>
        <w:t xml:space="preserve"> </w:t>
      </w:r>
      <w:r w:rsidRPr="00E40C68">
        <w:t>Dafflon, B. (2020). Revenue and expenditure needs equali</w:t>
      </w:r>
      <w:r>
        <w:t>s</w:t>
      </w:r>
      <w:r w:rsidRPr="00E40C68">
        <w:t xml:space="preserve">ation: the Swiss answer. In S. Yilmaz, &amp; F. Zahir (Eds.), </w:t>
      </w:r>
      <w:r w:rsidRPr="001F7793">
        <w:rPr>
          <w:i/>
        </w:rPr>
        <w:t>Intergovernmental transfers in federations</w:t>
      </w:r>
      <w:r w:rsidRPr="00E40C68">
        <w:t>. Cheltenham, UK: Edward Eldar Publishing</w:t>
      </w:r>
      <w:r>
        <w:t>, p. 136.</w:t>
      </w:r>
    </w:p>
  </w:footnote>
  <w:footnote w:id="7">
    <w:p w14:paraId="065D90F1" w14:textId="77777777" w:rsidR="004D7F21" w:rsidRDefault="004D7F21" w:rsidP="004D7F21">
      <w:pPr>
        <w:pStyle w:val="FootnoteText"/>
      </w:pPr>
      <w:r w:rsidRPr="009E4325">
        <w:rPr>
          <w:rStyle w:val="FootnoteReference"/>
        </w:rPr>
        <w:footnoteRef/>
      </w:r>
      <w:r w:rsidRPr="009E4325">
        <w:t xml:space="preserve"> This average includes federal equalisation transfers in addition to assessed revenue capacity. 84% of the post-equalisation average equates to 87% of the pre-equalisation average revenue raising capacity. The Swiss revenue equalisation system guarantees each canton a minimum of 86.5% of the pre-equalisation average capacity.</w:t>
      </w:r>
    </w:p>
  </w:footnote>
  <w:footnote w:id="8">
    <w:p w14:paraId="4E8E16C3" w14:textId="659DE1D2" w:rsidR="004D7F21" w:rsidRDefault="004D7F21" w:rsidP="004D7F21">
      <w:pPr>
        <w:pStyle w:val="FootnoteText"/>
      </w:pPr>
      <w:r>
        <w:rPr>
          <w:rStyle w:val="FootnoteReference"/>
        </w:rPr>
        <w:footnoteRef/>
      </w:r>
      <w:r>
        <w:t xml:space="preserve"> </w:t>
      </w:r>
      <w:r>
        <w:tab/>
        <w:t>Dafflon, op. cit.</w:t>
      </w:r>
    </w:p>
  </w:footnote>
  <w:footnote w:id="9">
    <w:p w14:paraId="3C0C0CEF" w14:textId="65616CF5" w:rsidR="004D7F21" w:rsidRDefault="004D7F21" w:rsidP="004D7F21">
      <w:pPr>
        <w:pStyle w:val="FootnoteText"/>
      </w:pPr>
      <w:r w:rsidRPr="008E33A2">
        <w:rPr>
          <w:rStyle w:val="FootnoteReference"/>
        </w:rPr>
        <w:footnoteRef/>
      </w:r>
      <w:r w:rsidRPr="008E33A2">
        <w:t xml:space="preserve"> </w:t>
      </w:r>
      <w:r w:rsidR="0006737D">
        <w:tab/>
      </w:r>
      <w:r w:rsidRPr="008E33A2">
        <w:t>Besides constraints in the availability of exploitable natural resources, legislation and regulations are also important.</w:t>
      </w:r>
    </w:p>
  </w:footnote>
  <w:footnote w:id="10">
    <w:p w14:paraId="3558FB5A" w14:textId="71DD17F9" w:rsidR="004D7F21" w:rsidRPr="00D625C6" w:rsidRDefault="004D7F21" w:rsidP="004D7F21">
      <w:pPr>
        <w:pStyle w:val="FootnoteText"/>
        <w:rPr>
          <w:lang w:val="en-US"/>
        </w:rPr>
      </w:pPr>
      <w:r w:rsidRPr="00D625C6">
        <w:rPr>
          <w:rStyle w:val="FootnoteReference"/>
        </w:rPr>
        <w:footnoteRef/>
      </w:r>
      <w:r w:rsidRPr="00D625C6">
        <w:t xml:space="preserve"> </w:t>
      </w:r>
      <w:r w:rsidR="00E96A01">
        <w:tab/>
      </w:r>
      <w:r w:rsidRPr="00D625C6">
        <w:t>The extent of this is known as the marginal rate of equalisation. This is measured as the dollar value of the decrease in equalisation payment associated with a dollar increase in revenue raised.</w:t>
      </w:r>
    </w:p>
  </w:footnote>
  <w:footnote w:id="11">
    <w:p w14:paraId="2CDA8221" w14:textId="295E4815" w:rsidR="004B24D1" w:rsidRPr="004B24D1" w:rsidRDefault="004B24D1">
      <w:pPr>
        <w:pStyle w:val="FootnoteText"/>
        <w:rPr>
          <w:lang w:val="en-US"/>
        </w:rPr>
      </w:pPr>
      <w:r w:rsidRPr="00E2734C">
        <w:rPr>
          <w:rStyle w:val="FootnoteReference"/>
        </w:rPr>
        <w:footnoteRef/>
      </w:r>
      <w:r w:rsidRPr="00E2734C">
        <w:t xml:space="preserve"> </w:t>
      </w:r>
      <w:r w:rsidR="00443EC6" w:rsidRPr="00E2734C">
        <w:rPr>
          <w:lang w:val="en-US"/>
        </w:rPr>
        <w:t xml:space="preserve">Productivity Commission (2018). </w:t>
      </w:r>
      <w:r w:rsidR="00443EC6" w:rsidRPr="00E2734C">
        <w:rPr>
          <w:i/>
          <w:iCs/>
          <w:lang w:val="en-US"/>
        </w:rPr>
        <w:t>Horizontal Fiscal Eq</w:t>
      </w:r>
      <w:r w:rsidR="00CB4BF4" w:rsidRPr="00E2734C">
        <w:rPr>
          <w:i/>
          <w:iCs/>
          <w:lang w:val="en-US"/>
        </w:rPr>
        <w:t>ualisation, Report no. 88</w:t>
      </w:r>
      <w:r w:rsidR="00CB4BF4" w:rsidRPr="00E2734C">
        <w:rPr>
          <w:lang w:val="en-US"/>
        </w:rPr>
        <w:t>, Canberra.</w:t>
      </w:r>
    </w:p>
  </w:footnote>
  <w:footnote w:id="12">
    <w:p w14:paraId="31AF6CF6" w14:textId="77777777" w:rsidR="004D7F21" w:rsidRDefault="004D7F21" w:rsidP="004D7F21">
      <w:pPr>
        <w:pStyle w:val="FootnoteText"/>
      </w:pPr>
      <w:r w:rsidRPr="00B54393">
        <w:rPr>
          <w:vertAlign w:val="superscript"/>
        </w:rPr>
        <w:footnoteRef/>
      </w:r>
      <w:r w:rsidRPr="0062677A">
        <w:rPr>
          <w:lang w:val="de-CH"/>
        </w:rPr>
        <w:t xml:space="preserve"> Frenzel Baudisch, C. &amp; Dresslhaus, C. (2019). </w:t>
      </w:r>
      <w:r w:rsidRPr="00171D01">
        <w:t>Impact of the German Real Estate Transfer Tax on the Commercial Real Estate Market. Hamburg: Leibniz Information Centre for Economics.</w:t>
      </w:r>
    </w:p>
  </w:footnote>
  <w:footnote w:id="13">
    <w:p w14:paraId="31F3D4DD" w14:textId="77777777" w:rsidR="004D7F21" w:rsidRPr="00B400CD" w:rsidRDefault="004D7F21" w:rsidP="004D7F21">
      <w:pPr>
        <w:pStyle w:val="FootnoteText"/>
      </w:pPr>
      <w:r w:rsidRPr="00B54393">
        <w:rPr>
          <w:vertAlign w:val="superscript"/>
        </w:rPr>
        <w:footnoteRef/>
      </w:r>
      <w:r>
        <w:t xml:space="preserve"> </w:t>
      </w:r>
      <w:r w:rsidRPr="003D5B8C">
        <w:t>Buettner, T. &amp; Krause, M. (2021). Fiscal equali</w:t>
      </w:r>
      <w:r>
        <w:t>s</w:t>
      </w:r>
      <w:r w:rsidRPr="003D5B8C">
        <w:t xml:space="preserve">ation as a driver of tax increases: empirical evidence from Germany. </w:t>
      </w:r>
      <w:r w:rsidRPr="00C67226">
        <w:rPr>
          <w:i/>
        </w:rPr>
        <w:t>International Tax and Public Finance</w:t>
      </w:r>
      <w:r w:rsidRPr="00B400CD">
        <w:t>, 28, pp. 90-112</w:t>
      </w:r>
      <w:r>
        <w:t>.</w:t>
      </w:r>
    </w:p>
  </w:footnote>
  <w:footnote w:id="14">
    <w:p w14:paraId="7239DE4D" w14:textId="77777777" w:rsidR="004D7F21" w:rsidRPr="007B791F" w:rsidRDefault="004D7F21" w:rsidP="004D7F21">
      <w:pPr>
        <w:pStyle w:val="FootnoteText"/>
        <w:rPr>
          <w:lang w:val="de-CH"/>
        </w:rPr>
      </w:pPr>
      <w:r w:rsidRPr="00B400CD">
        <w:rPr>
          <w:rStyle w:val="FootnoteReference"/>
        </w:rPr>
        <w:footnoteRef/>
      </w:r>
      <w:r w:rsidRPr="00B400CD">
        <w:t xml:space="preserve"> </w:t>
      </w:r>
      <w:r w:rsidRPr="007B791F">
        <w:rPr>
          <w:lang w:val="de-CH"/>
        </w:rPr>
        <w:t xml:space="preserve">Conceptually, an increased tax rate may result in a shrinking taxable base which in turn can have a negative effect on tax revenues (and economic outcomes) and a positive effect on equalisation payments. </w:t>
      </w:r>
    </w:p>
  </w:footnote>
  <w:footnote w:id="15">
    <w:p w14:paraId="31121CC5" w14:textId="77777777" w:rsidR="004D7F21" w:rsidRPr="0062677A" w:rsidRDefault="004D7F21" w:rsidP="004D7F21">
      <w:pPr>
        <w:pStyle w:val="FootnoteText"/>
        <w:rPr>
          <w:lang w:val="de-CH"/>
        </w:rPr>
      </w:pPr>
      <w:r w:rsidRPr="00B76901">
        <w:rPr>
          <w:rStyle w:val="FootnoteReference"/>
        </w:rPr>
        <w:footnoteRef/>
      </w:r>
      <w:r w:rsidRPr="0062677A">
        <w:rPr>
          <w:vertAlign w:val="superscript"/>
          <w:lang w:val="de-CH"/>
        </w:rPr>
        <w:t xml:space="preserve"> </w:t>
      </w:r>
      <w:r w:rsidRPr="0062677A">
        <w:rPr>
          <w:lang w:val="de-CH"/>
        </w:rPr>
        <w:t xml:space="preserve">Ferede, E. (2017). The Incentive Effects of Equalization Grants on Tax Policy: Evidence from Canadian Provinces. </w:t>
      </w:r>
      <w:r w:rsidRPr="00A71488">
        <w:rPr>
          <w:i/>
          <w:lang w:val="de-CH"/>
        </w:rPr>
        <w:t>Public Finance Review</w:t>
      </w:r>
      <w:r w:rsidRPr="0062677A">
        <w:rPr>
          <w:lang w:val="de-CH"/>
        </w:rPr>
        <w:t>, 45(6), pp. 723-747.</w:t>
      </w:r>
    </w:p>
  </w:footnote>
  <w:footnote w:id="16">
    <w:p w14:paraId="1EE68184" w14:textId="77777777" w:rsidR="004D7F21" w:rsidRDefault="004D7F21" w:rsidP="004D7F21">
      <w:pPr>
        <w:pStyle w:val="FootnoteText"/>
      </w:pPr>
      <w:r w:rsidRPr="00B76901">
        <w:rPr>
          <w:rStyle w:val="FootnoteReference"/>
        </w:rPr>
        <w:footnoteRef/>
      </w:r>
      <w:r w:rsidRPr="0062677A">
        <w:rPr>
          <w:lang w:val="de-CH"/>
        </w:rPr>
        <w:t xml:space="preserve"> Smart, M. (2007</w:t>
      </w:r>
      <w:r w:rsidRPr="00B400CD">
        <w:t>). Raising taxes</w:t>
      </w:r>
      <w:r>
        <w:t xml:space="preserve"> through equalisation. </w:t>
      </w:r>
      <w:r w:rsidRPr="00C67226">
        <w:rPr>
          <w:i/>
        </w:rPr>
        <w:t>Canadian Journal of Economics</w:t>
      </w:r>
      <w:r>
        <w:t>, 40(4), pp. 1188-1212.</w:t>
      </w:r>
    </w:p>
  </w:footnote>
  <w:footnote w:id="17">
    <w:p w14:paraId="0C037787" w14:textId="77777777" w:rsidR="004D7F21" w:rsidRDefault="004D7F21" w:rsidP="004D7F21">
      <w:pPr>
        <w:pStyle w:val="FootnoteText"/>
      </w:pPr>
      <w:r w:rsidRPr="007609BB">
        <w:rPr>
          <w:vertAlign w:val="superscript"/>
        </w:rPr>
        <w:footnoteRef/>
      </w:r>
      <w:r w:rsidRPr="0062677A">
        <w:rPr>
          <w:lang w:val="de-CH"/>
        </w:rPr>
        <w:t xml:space="preserve"> Bönke, T., Schröder, C. &amp; Jochimsen, B. (2017). </w:t>
      </w:r>
      <w:r w:rsidRPr="00802038">
        <w:t>Fiscal Equali</w:t>
      </w:r>
      <w:r>
        <w:t>s</w:t>
      </w:r>
      <w:r w:rsidRPr="00802038">
        <w:t xml:space="preserve">ation and Tax Enforcement. </w:t>
      </w:r>
      <w:r w:rsidRPr="00C67226">
        <w:rPr>
          <w:i/>
        </w:rPr>
        <w:t>German Economic Review</w:t>
      </w:r>
      <w:r w:rsidRPr="00802038">
        <w:t xml:space="preserve">, 18(3), </w:t>
      </w:r>
      <w:r>
        <w:t>pp. </w:t>
      </w:r>
      <w:r w:rsidRPr="00802038">
        <w:t>377-409.</w:t>
      </w:r>
    </w:p>
  </w:footnote>
  <w:footnote w:id="18">
    <w:p w14:paraId="7C0D2FF6" w14:textId="77777777" w:rsidR="004D7F21" w:rsidRPr="00AB1CAC" w:rsidRDefault="004D7F21" w:rsidP="004D7F21">
      <w:pPr>
        <w:pStyle w:val="FootnoteText"/>
        <w:rPr>
          <w:lang w:val="en-US"/>
        </w:rPr>
      </w:pPr>
      <w:r>
        <w:rPr>
          <w:rStyle w:val="FootnoteReference"/>
        </w:rPr>
        <w:footnoteRef/>
      </w:r>
      <w:r>
        <w:t xml:space="preserve"> </w:t>
      </w:r>
      <w:r w:rsidRPr="00950D42">
        <w:t xml:space="preserve">Troost, A. (2016). Does Fiscal Equalisation Among Germany’s Federal States Remove Their Incentive for Tax Enforcement? </w:t>
      </w:r>
      <w:r w:rsidRPr="00C67226">
        <w:rPr>
          <w:i/>
        </w:rPr>
        <w:t>Wirtschaftsdienst</w:t>
      </w:r>
      <w:r w:rsidRPr="00950D42">
        <w:t xml:space="preserve">, 96(9), </w:t>
      </w:r>
      <w:r>
        <w:t xml:space="preserve">pp. </w:t>
      </w:r>
      <w:r w:rsidRPr="00950D42">
        <w:t>660-666.</w:t>
      </w:r>
    </w:p>
  </w:footnote>
  <w:footnote w:id="19">
    <w:p w14:paraId="20F5D9DE" w14:textId="77777777" w:rsidR="004D7F21" w:rsidRPr="0068755F" w:rsidRDefault="004D7F21" w:rsidP="004D7F21">
      <w:pPr>
        <w:pStyle w:val="FootnoteText"/>
        <w:rPr>
          <w:lang w:val="en-US"/>
        </w:rPr>
      </w:pPr>
      <w:r>
        <w:rPr>
          <w:rStyle w:val="FootnoteReference"/>
        </w:rPr>
        <w:footnoteRef/>
      </w:r>
      <w:r>
        <w:t xml:space="preserve"> </w:t>
      </w:r>
      <w:r>
        <w:rPr>
          <w:lang w:val="en-US"/>
        </w:rPr>
        <w:t xml:space="preserve">Canada has separate equalisation systems for its provinces and its territories. </w:t>
      </w:r>
    </w:p>
  </w:footnote>
  <w:footnote w:id="20">
    <w:p w14:paraId="12B3E9E6" w14:textId="77777777" w:rsidR="004D7F21" w:rsidRPr="00DC287D" w:rsidRDefault="004D7F21" w:rsidP="004D7F21">
      <w:pPr>
        <w:pStyle w:val="FootnoteText"/>
        <w:rPr>
          <w:lang w:val="en-US"/>
        </w:rPr>
      </w:pPr>
      <w:r>
        <w:rPr>
          <w:rStyle w:val="FootnoteReference"/>
        </w:rPr>
        <w:footnoteRef/>
      </w:r>
      <w:r>
        <w:t xml:space="preserve"> </w:t>
      </w:r>
      <w:r>
        <w:rPr>
          <w:lang w:val="en-US"/>
        </w:rPr>
        <w:t xml:space="preserve">Commonwealth Grants Commission (2021), Occasional </w:t>
      </w:r>
      <w:r w:rsidRPr="00563A77">
        <w:rPr>
          <w:lang w:val="en-US"/>
        </w:rPr>
        <w:t xml:space="preserve">Paper no. </w:t>
      </w:r>
      <w:r>
        <w:rPr>
          <w:lang w:val="en-US"/>
        </w:rPr>
        <w:t>3</w:t>
      </w:r>
      <w:r w:rsidRPr="00563A77">
        <w:rPr>
          <w:lang w:val="en-US"/>
        </w:rPr>
        <w:t xml:space="preserve">: </w:t>
      </w:r>
      <w:r>
        <w:rPr>
          <w:lang w:val="en-US"/>
        </w:rPr>
        <w:t>Mining revenue and the GST distribution.</w:t>
      </w:r>
    </w:p>
  </w:footnote>
  <w:footnote w:id="21">
    <w:p w14:paraId="0252888C" w14:textId="51E7CCF8" w:rsidR="00AE704B" w:rsidRDefault="00AE704B" w:rsidP="00AE704B">
      <w:pPr>
        <w:pStyle w:val="FootnoteText"/>
      </w:pPr>
      <w:r>
        <w:rPr>
          <w:rStyle w:val="FootnoteReference"/>
        </w:rPr>
        <w:footnoteRef/>
      </w:r>
      <w:r>
        <w:t xml:space="preserve"> </w:t>
      </w:r>
      <w:r w:rsidRPr="00DC2934">
        <w:t>Dougherty, S. &amp; Forman, K. (2021). Evaluating fiscal equ</w:t>
      </w:r>
      <w:r>
        <w:t>a</w:t>
      </w:r>
      <w:r w:rsidRPr="00DC2934">
        <w:t xml:space="preserve">lisation: finding the right balance. </w:t>
      </w:r>
      <w:r w:rsidR="00AD528F" w:rsidRPr="00D73208">
        <w:rPr>
          <w:i/>
          <w:iCs/>
        </w:rPr>
        <w:t>OECD Working Papers on Fisc</w:t>
      </w:r>
      <w:r w:rsidR="00D73208" w:rsidRPr="00D73208">
        <w:rPr>
          <w:i/>
          <w:iCs/>
        </w:rPr>
        <w:t>a</w:t>
      </w:r>
      <w:r w:rsidR="00AD528F" w:rsidRPr="00D73208">
        <w:rPr>
          <w:i/>
          <w:iCs/>
        </w:rPr>
        <w:t>l Feder</w:t>
      </w:r>
      <w:r w:rsidR="00D73208" w:rsidRPr="00D73208">
        <w:rPr>
          <w:i/>
          <w:iCs/>
        </w:rPr>
        <w:t>a</w:t>
      </w:r>
      <w:r w:rsidR="00AD528F" w:rsidRPr="00D73208">
        <w:rPr>
          <w:i/>
          <w:iCs/>
        </w:rPr>
        <w:t>li</w:t>
      </w:r>
      <w:r w:rsidR="00D73208" w:rsidRPr="00D73208">
        <w:rPr>
          <w:i/>
          <w:iCs/>
        </w:rPr>
        <w:t>sm, no. 36</w:t>
      </w:r>
      <w:r w:rsidR="004930BA">
        <w:t>,</w:t>
      </w:r>
      <w:r w:rsidR="00D73208">
        <w:t xml:space="preserve"> </w:t>
      </w:r>
      <w:r w:rsidRPr="00DC2934">
        <w:t>Paris: OECD</w:t>
      </w:r>
      <w:r>
        <w:t xml:space="preserve"> </w:t>
      </w:r>
      <w:r w:rsidRPr="00DC2934">
        <w:t>publishing.</w:t>
      </w:r>
      <w:r>
        <w:t xml:space="preserve"> pp. 11, 26.</w:t>
      </w:r>
    </w:p>
  </w:footnote>
  <w:footnote w:id="22">
    <w:p w14:paraId="57F01103" w14:textId="77777777" w:rsidR="004D7F21" w:rsidRDefault="004D7F21" w:rsidP="004D7F21">
      <w:pPr>
        <w:pStyle w:val="FootnoteText"/>
      </w:pPr>
      <w:r w:rsidRPr="00C95B12">
        <w:rPr>
          <w:vertAlign w:val="superscript"/>
        </w:rPr>
        <w:footnoteRef/>
      </w:r>
      <w:r>
        <w:t xml:space="preserve"> </w:t>
      </w:r>
      <w:r w:rsidRPr="00062A4B">
        <w:t xml:space="preserve">Expert Panel on Equalization and Territorial Formula Financing </w:t>
      </w:r>
      <w:r>
        <w:t>(</w:t>
      </w:r>
      <w:r w:rsidRPr="00062A4B">
        <w:t>2006)</w:t>
      </w:r>
      <w:r>
        <w:t>.</w:t>
      </w:r>
      <w:r w:rsidRPr="00062A4B">
        <w:t xml:space="preserve"> </w:t>
      </w:r>
      <w:r>
        <w:rPr>
          <w:i/>
          <w:iCs/>
          <w:noProof/>
        </w:rPr>
        <w:t>Achieving a National Purpose: Putting Equalization Back on Track.</w:t>
      </w:r>
      <w:r>
        <w:rPr>
          <w:noProof/>
        </w:rPr>
        <w:t xml:space="preserve"> Ottawa, Ontario: Department of Finance Canada,</w:t>
      </w:r>
      <w:r w:rsidRPr="00062A4B">
        <w:t xml:space="preserve"> p</w:t>
      </w:r>
      <w:r>
        <w:t xml:space="preserve">p. </w:t>
      </w:r>
      <w:r w:rsidRPr="00062A4B">
        <w:t>65-66.</w:t>
      </w:r>
    </w:p>
  </w:footnote>
  <w:footnote w:id="23">
    <w:p w14:paraId="2FC98B17" w14:textId="77777777" w:rsidR="004D7F21" w:rsidRDefault="004D7F21" w:rsidP="004D7F21">
      <w:pPr>
        <w:pStyle w:val="FootnoteText"/>
      </w:pPr>
      <w:r>
        <w:rPr>
          <w:rStyle w:val="FootnoteReference"/>
        </w:rPr>
        <w:footnoteRef/>
      </w:r>
      <w:r>
        <w:rPr>
          <w:noProof/>
        </w:rPr>
        <w:t xml:space="preserve"> Gunlicks, A. (2002). The impact of unification on German Federalism. </w:t>
      </w:r>
      <w:r>
        <w:rPr>
          <w:i/>
          <w:iCs/>
          <w:noProof/>
        </w:rPr>
        <w:t>German Politics, 11</w:t>
      </w:r>
      <w:r>
        <w:rPr>
          <w:noProof/>
        </w:rPr>
        <w:t>(3), p. 139.</w:t>
      </w:r>
    </w:p>
  </w:footnote>
  <w:footnote w:id="24">
    <w:p w14:paraId="61E9B384" w14:textId="77777777" w:rsidR="004D7F21" w:rsidRDefault="004D7F21" w:rsidP="004D7F21">
      <w:pPr>
        <w:pStyle w:val="FootnoteText"/>
      </w:pPr>
      <w:r w:rsidRPr="00DB0006">
        <w:rPr>
          <w:rStyle w:val="FootnoteReference"/>
        </w:rPr>
        <w:footnoteRef/>
      </w:r>
      <w:r w:rsidRPr="00DB0006">
        <w:t xml:space="preserve"> While in Germany taxes are set at the federal level and are therefore the same across </w:t>
      </w:r>
      <w:r w:rsidRPr="006B7120">
        <w:rPr>
          <w:i/>
        </w:rPr>
        <w:t>Länder</w:t>
      </w:r>
      <w:r w:rsidRPr="00DB0006">
        <w:t xml:space="preserve">, for equalisation purposes this can be treated as a </w:t>
      </w:r>
      <w:r>
        <w:t>‘</w:t>
      </w:r>
      <w:r w:rsidRPr="00DB0006">
        <w:t>fixed</w:t>
      </w:r>
      <w:r>
        <w:t>’</w:t>
      </w:r>
      <w:r w:rsidRPr="00DB0006">
        <w:t xml:space="preserve"> RTS system where average and actual tax rates are the same.</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AE96D" w14:textId="5F4AE9D0" w:rsidR="00723956" w:rsidRDefault="00723956">
    <w:pPr>
      <w:pStyle w:val="Header"/>
    </w:pPr>
    <w:r w:rsidRPr="00B06E8C">
      <w:rPr>
        <w:noProof/>
        <w:lang w:val="de-CH" w:eastAsia="de-CH"/>
      </w:rPr>
      <w:drawing>
        <wp:anchor distT="0" distB="0" distL="114300" distR="114300" simplePos="0" relativeHeight="251658240" behindDoc="1" locked="1" layoutInCell="1" allowOverlap="1" wp14:anchorId="57F8BB69" wp14:editId="33CE7841">
          <wp:simplePos x="0" y="0"/>
          <wp:positionH relativeFrom="page">
            <wp:posOffset>-8255</wp:posOffset>
          </wp:positionH>
          <wp:positionV relativeFrom="page">
            <wp:posOffset>3175</wp:posOffset>
          </wp:positionV>
          <wp:extent cx="7563485" cy="10737850"/>
          <wp:effectExtent l="0" t="0" r="0" b="6350"/>
          <wp:wrapNone/>
          <wp:docPr id="27" name="Picture 27"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3485" cy="1073785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4BC43" w14:textId="0C87349A" w:rsidR="00C5751B" w:rsidRDefault="00C5751B">
    <w:pPr>
      <w:pStyle w:val="Header"/>
    </w:pPr>
    <w:r w:rsidRPr="00B06E8C">
      <w:rPr>
        <w:noProof/>
        <w:lang w:val="de-CH" w:eastAsia="de-CH"/>
      </w:rPr>
      <w:drawing>
        <wp:anchor distT="0" distB="0" distL="114300" distR="114300" simplePos="0" relativeHeight="251658241" behindDoc="1" locked="1" layoutInCell="1" allowOverlap="1" wp14:anchorId="39F9BEC1" wp14:editId="6C0DED1B">
          <wp:simplePos x="0" y="0"/>
          <wp:positionH relativeFrom="page">
            <wp:align>left</wp:align>
          </wp:positionH>
          <wp:positionV relativeFrom="page">
            <wp:posOffset>3175</wp:posOffset>
          </wp:positionV>
          <wp:extent cx="7563485" cy="10737850"/>
          <wp:effectExtent l="0" t="0" r="0" b="6350"/>
          <wp:wrapNone/>
          <wp:docPr id="19" name="Picture 1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3485" cy="107378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5161D"/>
    <w:multiLevelType w:val="hybridMultilevel"/>
    <w:tmpl w:val="D9CAB28C"/>
    <w:lvl w:ilvl="0" w:tplc="2B7CBD9E">
      <w:start w:val="1"/>
      <w:numFmt w:val="lowerRoman"/>
      <w:pStyle w:val="CGCBullet3"/>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DD3110D"/>
    <w:multiLevelType w:val="hybridMultilevel"/>
    <w:tmpl w:val="9D14754A"/>
    <w:lvl w:ilvl="0" w:tplc="BB94D04E">
      <w:start w:val="1"/>
      <w:numFmt w:val="bullet"/>
      <w:lvlText w:val=""/>
      <w:lvlJc w:val="left"/>
      <w:pPr>
        <w:ind w:left="927" w:hanging="360"/>
      </w:pPr>
      <w:rPr>
        <w:rFonts w:ascii="Symbol" w:hAnsi="Symbol" w:hint="default"/>
        <w:color w:val="636466"/>
      </w:rPr>
    </w:lvl>
    <w:lvl w:ilvl="1" w:tplc="945E73F8">
      <w:start w:val="8"/>
      <w:numFmt w:val="bullet"/>
      <w:lvlText w:val="-"/>
      <w:lvlJc w:val="left"/>
      <w:pPr>
        <w:ind w:left="1440" w:hanging="360"/>
      </w:pPr>
      <w:rPr>
        <w:rFonts w:ascii="Calibri" w:eastAsia="Times New Roman"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D639C2"/>
    <w:multiLevelType w:val="hybridMultilevel"/>
    <w:tmpl w:val="32DEDA92"/>
    <w:lvl w:ilvl="0" w:tplc="BB94D04E">
      <w:start w:val="1"/>
      <w:numFmt w:val="bullet"/>
      <w:lvlText w:val=""/>
      <w:lvlJc w:val="left"/>
      <w:pPr>
        <w:ind w:left="927" w:hanging="360"/>
      </w:pPr>
      <w:rPr>
        <w:rFonts w:ascii="Symbol" w:hAnsi="Symbol" w:hint="default"/>
        <w:color w:val="636466"/>
      </w:rPr>
    </w:lvl>
    <w:lvl w:ilvl="1" w:tplc="945E73F8">
      <w:start w:val="8"/>
      <w:numFmt w:val="bullet"/>
      <w:lvlText w:val="-"/>
      <w:lvlJc w:val="left"/>
      <w:pPr>
        <w:ind w:left="1440" w:hanging="360"/>
      </w:pPr>
      <w:rPr>
        <w:rFonts w:ascii="Calibri" w:eastAsia="Times New Roman"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3A2F8B"/>
    <w:multiLevelType w:val="hybridMultilevel"/>
    <w:tmpl w:val="545A91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4C4C05"/>
    <w:multiLevelType w:val="hybridMultilevel"/>
    <w:tmpl w:val="5BAEB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BF05D3"/>
    <w:multiLevelType w:val="hybridMultilevel"/>
    <w:tmpl w:val="970C0F1A"/>
    <w:lvl w:ilvl="0" w:tplc="034498D4">
      <w:start w:val="1"/>
      <w:numFmt w:val="bullet"/>
      <w:pStyle w:val="CGCBullet2"/>
      <w:lvlText w:val=""/>
      <w:lvlJc w:val="left"/>
      <w:pPr>
        <w:ind w:left="1211" w:hanging="360"/>
      </w:pPr>
      <w:rPr>
        <w:rFonts w:ascii="Symbol" w:hAnsi="Symbol" w:hint="default"/>
        <w:b/>
        <w:color w:val="63646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B96AF5"/>
    <w:multiLevelType w:val="hybridMultilevel"/>
    <w:tmpl w:val="00EA78B8"/>
    <w:lvl w:ilvl="0" w:tplc="BB94D04E">
      <w:start w:val="1"/>
      <w:numFmt w:val="bullet"/>
      <w:lvlText w:val=""/>
      <w:lvlJc w:val="left"/>
      <w:pPr>
        <w:ind w:left="927" w:hanging="360"/>
      </w:pPr>
      <w:rPr>
        <w:rFonts w:ascii="Symbol" w:hAnsi="Symbol" w:hint="default"/>
        <w:color w:val="636466"/>
      </w:rPr>
    </w:lvl>
    <w:lvl w:ilvl="1" w:tplc="945E73F8">
      <w:start w:val="8"/>
      <w:numFmt w:val="bullet"/>
      <w:lvlText w:val="-"/>
      <w:lvlJc w:val="left"/>
      <w:pPr>
        <w:ind w:left="1440" w:hanging="360"/>
      </w:pPr>
      <w:rPr>
        <w:rFonts w:ascii="Calibri" w:eastAsia="Times New Roman"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E71B9C"/>
    <w:multiLevelType w:val="hybridMultilevel"/>
    <w:tmpl w:val="C9DED85E"/>
    <w:lvl w:ilvl="0" w:tplc="BB94D04E">
      <w:start w:val="1"/>
      <w:numFmt w:val="bullet"/>
      <w:pStyle w:val="CGCBullet1"/>
      <w:lvlText w:val=""/>
      <w:lvlJc w:val="left"/>
      <w:pPr>
        <w:ind w:left="927" w:hanging="360"/>
      </w:pPr>
      <w:rPr>
        <w:rFonts w:ascii="Symbol" w:hAnsi="Symbol" w:hint="default"/>
        <w:color w:val="63646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A93303"/>
    <w:multiLevelType w:val="hybridMultilevel"/>
    <w:tmpl w:val="48E4CD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046F0A"/>
    <w:multiLevelType w:val="hybridMultilevel"/>
    <w:tmpl w:val="FD6808C2"/>
    <w:lvl w:ilvl="0" w:tplc="10726234">
      <w:start w:val="1"/>
      <w:numFmt w:val="lowerLetter"/>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0" w15:restartNumberingAfterBreak="0">
    <w:nsid w:val="1C051827"/>
    <w:multiLevelType w:val="hybridMultilevel"/>
    <w:tmpl w:val="6B9CC1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AF6435"/>
    <w:multiLevelType w:val="hybridMultilevel"/>
    <w:tmpl w:val="3F7CC700"/>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2" w15:restartNumberingAfterBreak="0">
    <w:nsid w:val="22AF3A2E"/>
    <w:multiLevelType w:val="multilevel"/>
    <w:tmpl w:val="CA8C0118"/>
    <w:lvl w:ilvl="0">
      <w:start w:val="1"/>
      <w:numFmt w:val="none"/>
      <w:lvlText w:val="%1."/>
      <w:lvlJc w:val="left"/>
      <w:pPr>
        <w:tabs>
          <w:tab w:val="num" w:pos="0"/>
        </w:tabs>
        <w:ind w:left="0" w:firstLine="0"/>
      </w:pPr>
      <w:rPr>
        <w:rFonts w:hint="default"/>
      </w:rPr>
    </w:lvl>
    <w:lvl w:ilvl="1">
      <w:start w:val="1"/>
      <w:numFmt w:val="none"/>
      <w:lvlText w:val="%2"/>
      <w:lvlJc w:val="left"/>
      <w:pPr>
        <w:tabs>
          <w:tab w:val="num" w:pos="720"/>
        </w:tabs>
        <w:ind w:left="720" w:firstLine="0"/>
      </w:pPr>
      <w:rPr>
        <w:rFonts w:hint="default"/>
      </w:rPr>
    </w:lvl>
    <w:lvl w:ilvl="2">
      <w:start w:val="1"/>
      <w:numFmt w:val="none"/>
      <w:lvlText w:val="%3"/>
      <w:lvlJc w:val="left"/>
      <w:pPr>
        <w:tabs>
          <w:tab w:val="num" w:pos="0"/>
        </w:tabs>
        <w:ind w:left="0" w:firstLine="0"/>
      </w:pPr>
      <w:rPr>
        <w:rFonts w:hint="default"/>
      </w:rPr>
    </w:lvl>
    <w:lvl w:ilvl="3">
      <w:start w:val="1"/>
      <w:numFmt w:val="none"/>
      <w:lvlText w:val="%4)"/>
      <w:lvlJc w:val="left"/>
      <w:pPr>
        <w:tabs>
          <w:tab w:val="num" w:pos="2160"/>
        </w:tabs>
        <w:ind w:left="2160" w:firstLine="0"/>
      </w:pPr>
      <w:rPr>
        <w:rFonts w:hint="default"/>
      </w:rPr>
    </w:lvl>
    <w:lvl w:ilvl="4">
      <w:start w:val="1"/>
      <w:numFmt w:val="none"/>
      <w:lvlText w:val="(%5)"/>
      <w:lvlJc w:val="left"/>
      <w:pPr>
        <w:tabs>
          <w:tab w:val="num" w:pos="288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13" w15:restartNumberingAfterBreak="0">
    <w:nsid w:val="305A2F29"/>
    <w:multiLevelType w:val="hybridMultilevel"/>
    <w:tmpl w:val="3EEC2F80"/>
    <w:lvl w:ilvl="0" w:tplc="41DC0858">
      <w:start w:val="1"/>
      <w:numFmt w:val="decimal"/>
      <w:lvlText w:val="%1"/>
      <w:lvlJc w:val="left"/>
      <w:pPr>
        <w:ind w:left="720" w:hanging="360"/>
      </w:pPr>
      <w:rPr>
        <w:rFonts w:ascii="Open Sans Light" w:hAnsi="Open Sans Light" w:hint="default"/>
        <w:b w:val="0"/>
        <w:i w:val="0"/>
        <w:caps w:val="0"/>
        <w:strike w:val="0"/>
        <w:dstrike w:val="0"/>
        <w:vanish w:val="0"/>
        <w:color w:val="000000" w:themeColor="text1"/>
        <w:sz w:val="20"/>
        <w:vertAlign w:val="baseline"/>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17A6023"/>
    <w:multiLevelType w:val="hybridMultilevel"/>
    <w:tmpl w:val="1262912E"/>
    <w:lvl w:ilvl="0" w:tplc="9B9083DC">
      <w:start w:val="1"/>
      <w:numFmt w:val="lowerRoman"/>
      <w:lvlText w:val="%1"/>
      <w:lvlJc w:val="left"/>
      <w:pPr>
        <w:ind w:left="2061"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BC66598"/>
    <w:multiLevelType w:val="hybridMultilevel"/>
    <w:tmpl w:val="679C6A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0C933A3"/>
    <w:multiLevelType w:val="hybridMultilevel"/>
    <w:tmpl w:val="EF4280FC"/>
    <w:lvl w:ilvl="0" w:tplc="B03A0C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511CFA"/>
    <w:multiLevelType w:val="hybridMultilevel"/>
    <w:tmpl w:val="BCC2CE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6B56961"/>
    <w:multiLevelType w:val="hybridMultilevel"/>
    <w:tmpl w:val="4BB6122E"/>
    <w:lvl w:ilvl="0" w:tplc="8A0205E8">
      <w:start w:val="1"/>
      <w:numFmt w:val="bullet"/>
      <w:pStyle w:val="CGCQuoteBullet"/>
      <w:lvlText w:val=""/>
      <w:lvlJc w:val="left"/>
      <w:pPr>
        <w:ind w:left="1741" w:hanging="360"/>
      </w:pPr>
      <w:rPr>
        <w:rFonts w:ascii="Symbol" w:hAnsi="Symbol" w:hint="default"/>
        <w:color w:val="5CA5C2"/>
      </w:rPr>
    </w:lvl>
    <w:lvl w:ilvl="1" w:tplc="0C090003" w:tentative="1">
      <w:start w:val="1"/>
      <w:numFmt w:val="bullet"/>
      <w:lvlText w:val="o"/>
      <w:lvlJc w:val="left"/>
      <w:pPr>
        <w:ind w:left="2461" w:hanging="360"/>
      </w:pPr>
      <w:rPr>
        <w:rFonts w:ascii="Courier New" w:hAnsi="Courier New" w:cs="Courier New" w:hint="default"/>
      </w:rPr>
    </w:lvl>
    <w:lvl w:ilvl="2" w:tplc="0C090005" w:tentative="1">
      <w:start w:val="1"/>
      <w:numFmt w:val="bullet"/>
      <w:lvlText w:val=""/>
      <w:lvlJc w:val="left"/>
      <w:pPr>
        <w:ind w:left="3181" w:hanging="360"/>
      </w:pPr>
      <w:rPr>
        <w:rFonts w:ascii="Wingdings" w:hAnsi="Wingdings" w:hint="default"/>
      </w:rPr>
    </w:lvl>
    <w:lvl w:ilvl="3" w:tplc="0C090001" w:tentative="1">
      <w:start w:val="1"/>
      <w:numFmt w:val="bullet"/>
      <w:lvlText w:val=""/>
      <w:lvlJc w:val="left"/>
      <w:pPr>
        <w:ind w:left="3901" w:hanging="360"/>
      </w:pPr>
      <w:rPr>
        <w:rFonts w:ascii="Symbol" w:hAnsi="Symbol" w:hint="default"/>
      </w:rPr>
    </w:lvl>
    <w:lvl w:ilvl="4" w:tplc="0C090003" w:tentative="1">
      <w:start w:val="1"/>
      <w:numFmt w:val="bullet"/>
      <w:lvlText w:val="o"/>
      <w:lvlJc w:val="left"/>
      <w:pPr>
        <w:ind w:left="4621" w:hanging="360"/>
      </w:pPr>
      <w:rPr>
        <w:rFonts w:ascii="Courier New" w:hAnsi="Courier New" w:cs="Courier New" w:hint="default"/>
      </w:rPr>
    </w:lvl>
    <w:lvl w:ilvl="5" w:tplc="0C090005" w:tentative="1">
      <w:start w:val="1"/>
      <w:numFmt w:val="bullet"/>
      <w:lvlText w:val=""/>
      <w:lvlJc w:val="left"/>
      <w:pPr>
        <w:ind w:left="5341" w:hanging="360"/>
      </w:pPr>
      <w:rPr>
        <w:rFonts w:ascii="Wingdings" w:hAnsi="Wingdings" w:hint="default"/>
      </w:rPr>
    </w:lvl>
    <w:lvl w:ilvl="6" w:tplc="0C090001" w:tentative="1">
      <w:start w:val="1"/>
      <w:numFmt w:val="bullet"/>
      <w:lvlText w:val=""/>
      <w:lvlJc w:val="left"/>
      <w:pPr>
        <w:ind w:left="6061" w:hanging="360"/>
      </w:pPr>
      <w:rPr>
        <w:rFonts w:ascii="Symbol" w:hAnsi="Symbol" w:hint="default"/>
      </w:rPr>
    </w:lvl>
    <w:lvl w:ilvl="7" w:tplc="0C090003" w:tentative="1">
      <w:start w:val="1"/>
      <w:numFmt w:val="bullet"/>
      <w:lvlText w:val="o"/>
      <w:lvlJc w:val="left"/>
      <w:pPr>
        <w:ind w:left="6781" w:hanging="360"/>
      </w:pPr>
      <w:rPr>
        <w:rFonts w:ascii="Courier New" w:hAnsi="Courier New" w:cs="Courier New" w:hint="default"/>
      </w:rPr>
    </w:lvl>
    <w:lvl w:ilvl="8" w:tplc="0C090005" w:tentative="1">
      <w:start w:val="1"/>
      <w:numFmt w:val="bullet"/>
      <w:lvlText w:val=""/>
      <w:lvlJc w:val="left"/>
      <w:pPr>
        <w:ind w:left="7501" w:hanging="360"/>
      </w:pPr>
      <w:rPr>
        <w:rFonts w:ascii="Wingdings" w:hAnsi="Wingdings" w:hint="default"/>
      </w:rPr>
    </w:lvl>
  </w:abstractNum>
  <w:abstractNum w:abstractNumId="19" w15:restartNumberingAfterBreak="0">
    <w:nsid w:val="68901C6C"/>
    <w:multiLevelType w:val="hybridMultilevel"/>
    <w:tmpl w:val="8244F4BA"/>
    <w:lvl w:ilvl="0" w:tplc="4F221A7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9AE757B"/>
    <w:multiLevelType w:val="hybridMultilevel"/>
    <w:tmpl w:val="37C297E0"/>
    <w:lvl w:ilvl="0" w:tplc="FA02E2F4">
      <w:start w:val="1"/>
      <w:numFmt w:val="lowerLetter"/>
      <w:lvlText w:val="(%1)"/>
      <w:lvlJc w:val="left"/>
      <w:pPr>
        <w:ind w:left="689" w:hanging="576"/>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21" w15:restartNumberingAfterBreak="0">
    <w:nsid w:val="6BCA7445"/>
    <w:multiLevelType w:val="hybridMultilevel"/>
    <w:tmpl w:val="DB4A4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DDE22CF"/>
    <w:multiLevelType w:val="hybridMultilevel"/>
    <w:tmpl w:val="E9366C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73432DF3"/>
    <w:multiLevelType w:val="hybridMultilevel"/>
    <w:tmpl w:val="E916AC22"/>
    <w:lvl w:ilvl="0" w:tplc="0E52CE76">
      <w:start w:val="1"/>
      <w:numFmt w:val="bullet"/>
      <w:lvlText w:val="•"/>
      <w:lvlJc w:val="left"/>
      <w:pPr>
        <w:tabs>
          <w:tab w:val="num" w:pos="720"/>
        </w:tabs>
        <w:ind w:left="720" w:hanging="360"/>
      </w:pPr>
      <w:rPr>
        <w:rFonts w:ascii="Arial" w:hAnsi="Arial" w:hint="default"/>
      </w:rPr>
    </w:lvl>
    <w:lvl w:ilvl="1" w:tplc="10CE280C" w:tentative="1">
      <w:start w:val="1"/>
      <w:numFmt w:val="bullet"/>
      <w:lvlText w:val="•"/>
      <w:lvlJc w:val="left"/>
      <w:pPr>
        <w:tabs>
          <w:tab w:val="num" w:pos="1440"/>
        </w:tabs>
        <w:ind w:left="1440" w:hanging="360"/>
      </w:pPr>
      <w:rPr>
        <w:rFonts w:ascii="Arial" w:hAnsi="Arial" w:hint="default"/>
      </w:rPr>
    </w:lvl>
    <w:lvl w:ilvl="2" w:tplc="CB1812DA" w:tentative="1">
      <w:start w:val="1"/>
      <w:numFmt w:val="bullet"/>
      <w:lvlText w:val="•"/>
      <w:lvlJc w:val="left"/>
      <w:pPr>
        <w:tabs>
          <w:tab w:val="num" w:pos="2160"/>
        </w:tabs>
        <w:ind w:left="2160" w:hanging="360"/>
      </w:pPr>
      <w:rPr>
        <w:rFonts w:ascii="Arial" w:hAnsi="Arial" w:hint="default"/>
      </w:rPr>
    </w:lvl>
    <w:lvl w:ilvl="3" w:tplc="8EA854BE" w:tentative="1">
      <w:start w:val="1"/>
      <w:numFmt w:val="bullet"/>
      <w:lvlText w:val="•"/>
      <w:lvlJc w:val="left"/>
      <w:pPr>
        <w:tabs>
          <w:tab w:val="num" w:pos="2880"/>
        </w:tabs>
        <w:ind w:left="2880" w:hanging="360"/>
      </w:pPr>
      <w:rPr>
        <w:rFonts w:ascii="Arial" w:hAnsi="Arial" w:hint="default"/>
      </w:rPr>
    </w:lvl>
    <w:lvl w:ilvl="4" w:tplc="556EEEBC" w:tentative="1">
      <w:start w:val="1"/>
      <w:numFmt w:val="bullet"/>
      <w:lvlText w:val="•"/>
      <w:lvlJc w:val="left"/>
      <w:pPr>
        <w:tabs>
          <w:tab w:val="num" w:pos="3600"/>
        </w:tabs>
        <w:ind w:left="3600" w:hanging="360"/>
      </w:pPr>
      <w:rPr>
        <w:rFonts w:ascii="Arial" w:hAnsi="Arial" w:hint="default"/>
      </w:rPr>
    </w:lvl>
    <w:lvl w:ilvl="5" w:tplc="34DA04E4" w:tentative="1">
      <w:start w:val="1"/>
      <w:numFmt w:val="bullet"/>
      <w:lvlText w:val="•"/>
      <w:lvlJc w:val="left"/>
      <w:pPr>
        <w:tabs>
          <w:tab w:val="num" w:pos="4320"/>
        </w:tabs>
        <w:ind w:left="4320" w:hanging="360"/>
      </w:pPr>
      <w:rPr>
        <w:rFonts w:ascii="Arial" w:hAnsi="Arial" w:hint="default"/>
      </w:rPr>
    </w:lvl>
    <w:lvl w:ilvl="6" w:tplc="21F2C5E8" w:tentative="1">
      <w:start w:val="1"/>
      <w:numFmt w:val="bullet"/>
      <w:lvlText w:val="•"/>
      <w:lvlJc w:val="left"/>
      <w:pPr>
        <w:tabs>
          <w:tab w:val="num" w:pos="5040"/>
        </w:tabs>
        <w:ind w:left="5040" w:hanging="360"/>
      </w:pPr>
      <w:rPr>
        <w:rFonts w:ascii="Arial" w:hAnsi="Arial" w:hint="default"/>
      </w:rPr>
    </w:lvl>
    <w:lvl w:ilvl="7" w:tplc="F30A8488" w:tentative="1">
      <w:start w:val="1"/>
      <w:numFmt w:val="bullet"/>
      <w:lvlText w:val="•"/>
      <w:lvlJc w:val="left"/>
      <w:pPr>
        <w:tabs>
          <w:tab w:val="num" w:pos="5760"/>
        </w:tabs>
        <w:ind w:left="5760" w:hanging="360"/>
      </w:pPr>
      <w:rPr>
        <w:rFonts w:ascii="Arial" w:hAnsi="Arial" w:hint="default"/>
      </w:rPr>
    </w:lvl>
    <w:lvl w:ilvl="8" w:tplc="C90A228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39B4DA2"/>
    <w:multiLevelType w:val="hybridMultilevel"/>
    <w:tmpl w:val="A4EA1CA4"/>
    <w:lvl w:ilvl="0" w:tplc="FFFFFFFF">
      <w:start w:val="1"/>
      <w:numFmt w:val="lowerLetter"/>
      <w:lvlText w:val="(%1)"/>
      <w:lvlJc w:val="left"/>
      <w:pPr>
        <w:ind w:left="1353" w:hanging="360"/>
      </w:pPr>
      <w:rPr>
        <w:rFonts w:hint="default"/>
      </w:rPr>
    </w:lvl>
    <w:lvl w:ilvl="1" w:tplc="FFFFFFFF" w:tentative="1">
      <w:start w:val="1"/>
      <w:numFmt w:val="lowerLetter"/>
      <w:lvlText w:val="%2."/>
      <w:lvlJc w:val="left"/>
      <w:pPr>
        <w:ind w:left="2073" w:hanging="360"/>
      </w:pPr>
    </w:lvl>
    <w:lvl w:ilvl="2" w:tplc="FFFFFFFF" w:tentative="1">
      <w:start w:val="1"/>
      <w:numFmt w:val="lowerRoman"/>
      <w:lvlText w:val="%3."/>
      <w:lvlJc w:val="right"/>
      <w:pPr>
        <w:ind w:left="2793" w:hanging="180"/>
      </w:pPr>
    </w:lvl>
    <w:lvl w:ilvl="3" w:tplc="FFFFFFFF" w:tentative="1">
      <w:start w:val="1"/>
      <w:numFmt w:val="decimal"/>
      <w:lvlText w:val="%4."/>
      <w:lvlJc w:val="left"/>
      <w:pPr>
        <w:ind w:left="3513" w:hanging="360"/>
      </w:p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25" w15:restartNumberingAfterBreak="0">
    <w:nsid w:val="743147B2"/>
    <w:multiLevelType w:val="hybridMultilevel"/>
    <w:tmpl w:val="A4EA1CA4"/>
    <w:lvl w:ilvl="0" w:tplc="063A52FA">
      <w:start w:val="1"/>
      <w:numFmt w:val="lowerLetter"/>
      <w:lvlText w:val="(%1)"/>
      <w:lvlJc w:val="left"/>
      <w:pPr>
        <w:ind w:left="1353" w:hanging="360"/>
      </w:pPr>
      <w:rPr>
        <w:rFonts w:hint="default"/>
      </w:rPr>
    </w:lvl>
    <w:lvl w:ilvl="1" w:tplc="0C090019" w:tentative="1">
      <w:start w:val="1"/>
      <w:numFmt w:val="lowerLetter"/>
      <w:lvlText w:val="%2."/>
      <w:lvlJc w:val="left"/>
      <w:pPr>
        <w:ind w:left="2073" w:hanging="360"/>
      </w:pPr>
    </w:lvl>
    <w:lvl w:ilvl="2" w:tplc="0C09001B" w:tentative="1">
      <w:start w:val="1"/>
      <w:numFmt w:val="lowerRoman"/>
      <w:lvlText w:val="%3."/>
      <w:lvlJc w:val="right"/>
      <w:pPr>
        <w:ind w:left="2793" w:hanging="180"/>
      </w:pPr>
    </w:lvl>
    <w:lvl w:ilvl="3" w:tplc="0C09000F" w:tentative="1">
      <w:start w:val="1"/>
      <w:numFmt w:val="decimal"/>
      <w:lvlText w:val="%4."/>
      <w:lvlJc w:val="left"/>
      <w:pPr>
        <w:ind w:left="3513" w:hanging="360"/>
      </w:pPr>
    </w:lvl>
    <w:lvl w:ilvl="4" w:tplc="0C090019" w:tentative="1">
      <w:start w:val="1"/>
      <w:numFmt w:val="lowerLetter"/>
      <w:lvlText w:val="%5."/>
      <w:lvlJc w:val="left"/>
      <w:pPr>
        <w:ind w:left="4233" w:hanging="360"/>
      </w:pPr>
    </w:lvl>
    <w:lvl w:ilvl="5" w:tplc="0C09001B" w:tentative="1">
      <w:start w:val="1"/>
      <w:numFmt w:val="lowerRoman"/>
      <w:lvlText w:val="%6."/>
      <w:lvlJc w:val="right"/>
      <w:pPr>
        <w:ind w:left="4953" w:hanging="180"/>
      </w:pPr>
    </w:lvl>
    <w:lvl w:ilvl="6" w:tplc="0C09000F" w:tentative="1">
      <w:start w:val="1"/>
      <w:numFmt w:val="decimal"/>
      <w:lvlText w:val="%7."/>
      <w:lvlJc w:val="left"/>
      <w:pPr>
        <w:ind w:left="5673" w:hanging="360"/>
      </w:pPr>
    </w:lvl>
    <w:lvl w:ilvl="7" w:tplc="0C090019" w:tentative="1">
      <w:start w:val="1"/>
      <w:numFmt w:val="lowerLetter"/>
      <w:lvlText w:val="%8."/>
      <w:lvlJc w:val="left"/>
      <w:pPr>
        <w:ind w:left="6393" w:hanging="360"/>
      </w:pPr>
    </w:lvl>
    <w:lvl w:ilvl="8" w:tplc="0C09001B" w:tentative="1">
      <w:start w:val="1"/>
      <w:numFmt w:val="lowerRoman"/>
      <w:lvlText w:val="%9."/>
      <w:lvlJc w:val="right"/>
      <w:pPr>
        <w:ind w:left="7113" w:hanging="180"/>
      </w:pPr>
    </w:lvl>
  </w:abstractNum>
  <w:abstractNum w:abstractNumId="26" w15:restartNumberingAfterBreak="0">
    <w:nsid w:val="77D62F87"/>
    <w:multiLevelType w:val="hybridMultilevel"/>
    <w:tmpl w:val="E332B1EE"/>
    <w:lvl w:ilvl="0" w:tplc="7898E74C">
      <w:start w:val="1"/>
      <w:numFmt w:val="bullet"/>
      <w:pStyle w:val="CGCSubbulletlist"/>
      <w:lvlText w:val=""/>
      <w:lvlJc w:val="left"/>
      <w:pPr>
        <w:tabs>
          <w:tab w:val="num" w:pos="927"/>
        </w:tabs>
        <w:ind w:left="1134" w:firstLine="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8A05193"/>
    <w:multiLevelType w:val="hybridMultilevel"/>
    <w:tmpl w:val="D2E0602E"/>
    <w:lvl w:ilvl="0" w:tplc="607AA950">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28" w15:restartNumberingAfterBreak="0">
    <w:nsid w:val="7DC83356"/>
    <w:multiLevelType w:val="hybridMultilevel"/>
    <w:tmpl w:val="2BA4B63C"/>
    <w:lvl w:ilvl="0" w:tplc="656C61B8">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4"/>
  </w:num>
  <w:num w:numId="2">
    <w:abstractNumId w:val="12"/>
  </w:num>
  <w:num w:numId="3">
    <w:abstractNumId w:val="26"/>
  </w:num>
  <w:num w:numId="4">
    <w:abstractNumId w:val="13"/>
  </w:num>
  <w:num w:numId="5">
    <w:abstractNumId w:val="7"/>
  </w:num>
  <w:num w:numId="6">
    <w:abstractNumId w:val="5"/>
  </w:num>
  <w:num w:numId="7">
    <w:abstractNumId w:val="0"/>
  </w:num>
  <w:num w:numId="8">
    <w:abstractNumId w:val="18"/>
  </w:num>
  <w:num w:numId="9">
    <w:abstractNumId w:val="0"/>
    <w:lvlOverride w:ilvl="0">
      <w:startOverride w:val="1"/>
    </w:lvlOverride>
  </w:num>
  <w:num w:numId="10">
    <w:abstractNumId w:val="13"/>
  </w:num>
  <w:num w:numId="11">
    <w:abstractNumId w:val="13"/>
    <w:lvlOverride w:ilvl="0">
      <w:startOverride w:val="1"/>
    </w:lvlOverride>
  </w:num>
  <w:num w:numId="12">
    <w:abstractNumId w:val="13"/>
  </w:num>
  <w:num w:numId="13">
    <w:abstractNumId w:val="7"/>
  </w:num>
  <w:num w:numId="14">
    <w:abstractNumId w:val="22"/>
  </w:num>
  <w:num w:numId="15">
    <w:abstractNumId w:val="15"/>
  </w:num>
  <w:num w:numId="16">
    <w:abstractNumId w:val="10"/>
  </w:num>
  <w:num w:numId="17">
    <w:abstractNumId w:val="4"/>
  </w:num>
  <w:num w:numId="18">
    <w:abstractNumId w:val="8"/>
  </w:num>
  <w:num w:numId="19">
    <w:abstractNumId w:val="6"/>
  </w:num>
  <w:num w:numId="20">
    <w:abstractNumId w:val="20"/>
  </w:num>
  <w:num w:numId="21">
    <w:abstractNumId w:val="13"/>
    <w:lvlOverride w:ilvl="0">
      <w:startOverride w:val="1"/>
    </w:lvlOverride>
  </w:num>
  <w:num w:numId="22">
    <w:abstractNumId w:val="1"/>
  </w:num>
  <w:num w:numId="23">
    <w:abstractNumId w:val="2"/>
  </w:num>
  <w:num w:numId="24">
    <w:abstractNumId w:val="7"/>
  </w:num>
  <w:num w:numId="25">
    <w:abstractNumId w:val="7"/>
  </w:num>
  <w:num w:numId="26">
    <w:abstractNumId w:val="7"/>
  </w:num>
  <w:num w:numId="27">
    <w:abstractNumId w:val="7"/>
  </w:num>
  <w:num w:numId="28">
    <w:abstractNumId w:val="7"/>
  </w:num>
  <w:num w:numId="29">
    <w:abstractNumId w:val="17"/>
  </w:num>
  <w:num w:numId="30">
    <w:abstractNumId w:val="19"/>
  </w:num>
  <w:num w:numId="31">
    <w:abstractNumId w:val="3"/>
  </w:num>
  <w:num w:numId="32">
    <w:abstractNumId w:val="11"/>
  </w:num>
  <w:num w:numId="33">
    <w:abstractNumId w:val="21"/>
  </w:num>
  <w:num w:numId="34">
    <w:abstractNumId w:val="23"/>
  </w:num>
  <w:num w:numId="35">
    <w:abstractNumId w:val="16"/>
  </w:num>
  <w:num w:numId="36">
    <w:abstractNumId w:val="9"/>
  </w:num>
  <w:num w:numId="37">
    <w:abstractNumId w:val="25"/>
  </w:num>
  <w:num w:numId="38">
    <w:abstractNumId w:val="24"/>
  </w:num>
  <w:num w:numId="39">
    <w:abstractNumId w:val="28"/>
  </w:num>
  <w:num w:numId="40">
    <w:abstractNumId w:val="2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57"/>
  <w:drawingGridVerticalSpacing w:val="57"/>
  <w:displayHorizontalDrawingGridEvery w:val="2"/>
  <w:displayVerticalDrawingGridEvery w:val="2"/>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904"/>
    <w:rsid w:val="0000059F"/>
    <w:rsid w:val="00000C9F"/>
    <w:rsid w:val="00001DA2"/>
    <w:rsid w:val="00001F5B"/>
    <w:rsid w:val="00002356"/>
    <w:rsid w:val="000025E6"/>
    <w:rsid w:val="000036D8"/>
    <w:rsid w:val="000042F1"/>
    <w:rsid w:val="000043F9"/>
    <w:rsid w:val="00004C67"/>
    <w:rsid w:val="0000602F"/>
    <w:rsid w:val="0000648D"/>
    <w:rsid w:val="00006E30"/>
    <w:rsid w:val="00006F3D"/>
    <w:rsid w:val="00007914"/>
    <w:rsid w:val="00007FD5"/>
    <w:rsid w:val="00010F5B"/>
    <w:rsid w:val="00011C73"/>
    <w:rsid w:val="00012B38"/>
    <w:rsid w:val="00012B67"/>
    <w:rsid w:val="00012C4D"/>
    <w:rsid w:val="00012C74"/>
    <w:rsid w:val="0001310E"/>
    <w:rsid w:val="0001351E"/>
    <w:rsid w:val="000138FC"/>
    <w:rsid w:val="000148C5"/>
    <w:rsid w:val="00014CB0"/>
    <w:rsid w:val="000150BF"/>
    <w:rsid w:val="00015455"/>
    <w:rsid w:val="000156B2"/>
    <w:rsid w:val="00015A97"/>
    <w:rsid w:val="00016C62"/>
    <w:rsid w:val="00016E0D"/>
    <w:rsid w:val="00016FE0"/>
    <w:rsid w:val="0001770B"/>
    <w:rsid w:val="00017CD8"/>
    <w:rsid w:val="00017E5B"/>
    <w:rsid w:val="00017EB6"/>
    <w:rsid w:val="000204C9"/>
    <w:rsid w:val="0002052A"/>
    <w:rsid w:val="00020698"/>
    <w:rsid w:val="00020D21"/>
    <w:rsid w:val="00020EA3"/>
    <w:rsid w:val="00021318"/>
    <w:rsid w:val="00021727"/>
    <w:rsid w:val="00021EAF"/>
    <w:rsid w:val="00022C1B"/>
    <w:rsid w:val="00022CE0"/>
    <w:rsid w:val="00022EA9"/>
    <w:rsid w:val="00023068"/>
    <w:rsid w:val="00023137"/>
    <w:rsid w:val="00023BDB"/>
    <w:rsid w:val="00024069"/>
    <w:rsid w:val="00024745"/>
    <w:rsid w:val="000249F8"/>
    <w:rsid w:val="00025242"/>
    <w:rsid w:val="00025CB3"/>
    <w:rsid w:val="00026896"/>
    <w:rsid w:val="00026A1A"/>
    <w:rsid w:val="00026E7B"/>
    <w:rsid w:val="000273C6"/>
    <w:rsid w:val="000274F7"/>
    <w:rsid w:val="00027557"/>
    <w:rsid w:val="00030629"/>
    <w:rsid w:val="00030E66"/>
    <w:rsid w:val="0003115F"/>
    <w:rsid w:val="00031648"/>
    <w:rsid w:val="00031CF4"/>
    <w:rsid w:val="000326F5"/>
    <w:rsid w:val="00032856"/>
    <w:rsid w:val="000328A8"/>
    <w:rsid w:val="00032C9C"/>
    <w:rsid w:val="00032F41"/>
    <w:rsid w:val="00033A71"/>
    <w:rsid w:val="00034DBB"/>
    <w:rsid w:val="000363C5"/>
    <w:rsid w:val="000370C8"/>
    <w:rsid w:val="000372BA"/>
    <w:rsid w:val="00040135"/>
    <w:rsid w:val="00040571"/>
    <w:rsid w:val="00040580"/>
    <w:rsid w:val="00040601"/>
    <w:rsid w:val="0004123E"/>
    <w:rsid w:val="00041748"/>
    <w:rsid w:val="00041E84"/>
    <w:rsid w:val="000424EA"/>
    <w:rsid w:val="0004258C"/>
    <w:rsid w:val="00044479"/>
    <w:rsid w:val="0004456B"/>
    <w:rsid w:val="00045C11"/>
    <w:rsid w:val="00045F47"/>
    <w:rsid w:val="00047856"/>
    <w:rsid w:val="00047AB0"/>
    <w:rsid w:val="000509D7"/>
    <w:rsid w:val="000510FD"/>
    <w:rsid w:val="00051114"/>
    <w:rsid w:val="00051F3C"/>
    <w:rsid w:val="000524FE"/>
    <w:rsid w:val="00052DA0"/>
    <w:rsid w:val="00053512"/>
    <w:rsid w:val="0005377C"/>
    <w:rsid w:val="00053B3A"/>
    <w:rsid w:val="00053F80"/>
    <w:rsid w:val="00054311"/>
    <w:rsid w:val="0005450F"/>
    <w:rsid w:val="0005451C"/>
    <w:rsid w:val="000554BF"/>
    <w:rsid w:val="00056371"/>
    <w:rsid w:val="00056373"/>
    <w:rsid w:val="000569CD"/>
    <w:rsid w:val="00056BDD"/>
    <w:rsid w:val="00056E89"/>
    <w:rsid w:val="00057353"/>
    <w:rsid w:val="00057D13"/>
    <w:rsid w:val="000604A3"/>
    <w:rsid w:val="00061111"/>
    <w:rsid w:val="0006177C"/>
    <w:rsid w:val="00061933"/>
    <w:rsid w:val="00062330"/>
    <w:rsid w:val="000624BB"/>
    <w:rsid w:val="00062C57"/>
    <w:rsid w:val="0006366E"/>
    <w:rsid w:val="000641EB"/>
    <w:rsid w:val="00064557"/>
    <w:rsid w:val="000648E8"/>
    <w:rsid w:val="000653F5"/>
    <w:rsid w:val="00065BF3"/>
    <w:rsid w:val="000665AB"/>
    <w:rsid w:val="00066A81"/>
    <w:rsid w:val="00066E63"/>
    <w:rsid w:val="00066FC9"/>
    <w:rsid w:val="0006737D"/>
    <w:rsid w:val="0006740E"/>
    <w:rsid w:val="00067EA5"/>
    <w:rsid w:val="000702C3"/>
    <w:rsid w:val="000708D8"/>
    <w:rsid w:val="00070EA5"/>
    <w:rsid w:val="0007176E"/>
    <w:rsid w:val="00071EF7"/>
    <w:rsid w:val="00072373"/>
    <w:rsid w:val="00072CBE"/>
    <w:rsid w:val="00072E41"/>
    <w:rsid w:val="000731C5"/>
    <w:rsid w:val="0007335C"/>
    <w:rsid w:val="0007360C"/>
    <w:rsid w:val="00073B82"/>
    <w:rsid w:val="00073E85"/>
    <w:rsid w:val="00075593"/>
    <w:rsid w:val="0007582F"/>
    <w:rsid w:val="00076DA5"/>
    <w:rsid w:val="00077AAF"/>
    <w:rsid w:val="00077ADE"/>
    <w:rsid w:val="00080895"/>
    <w:rsid w:val="000812ED"/>
    <w:rsid w:val="000816E0"/>
    <w:rsid w:val="000819A8"/>
    <w:rsid w:val="00081FAD"/>
    <w:rsid w:val="00082255"/>
    <w:rsid w:val="00082DEF"/>
    <w:rsid w:val="000836D5"/>
    <w:rsid w:val="00083837"/>
    <w:rsid w:val="000847BF"/>
    <w:rsid w:val="00085EA1"/>
    <w:rsid w:val="00086A5C"/>
    <w:rsid w:val="00086B04"/>
    <w:rsid w:val="00086C42"/>
    <w:rsid w:val="00086EBC"/>
    <w:rsid w:val="0008779D"/>
    <w:rsid w:val="00087F7D"/>
    <w:rsid w:val="00091C4F"/>
    <w:rsid w:val="00093610"/>
    <w:rsid w:val="00093796"/>
    <w:rsid w:val="000939CA"/>
    <w:rsid w:val="000943A8"/>
    <w:rsid w:val="0009650F"/>
    <w:rsid w:val="00096896"/>
    <w:rsid w:val="00096A17"/>
    <w:rsid w:val="00096C06"/>
    <w:rsid w:val="00097192"/>
    <w:rsid w:val="00097790"/>
    <w:rsid w:val="00097CF0"/>
    <w:rsid w:val="000A11CE"/>
    <w:rsid w:val="000A17F1"/>
    <w:rsid w:val="000A18A6"/>
    <w:rsid w:val="000A1B09"/>
    <w:rsid w:val="000A1BC7"/>
    <w:rsid w:val="000A2395"/>
    <w:rsid w:val="000A29AC"/>
    <w:rsid w:val="000A3130"/>
    <w:rsid w:val="000A336C"/>
    <w:rsid w:val="000A3898"/>
    <w:rsid w:val="000A3C2F"/>
    <w:rsid w:val="000A52A1"/>
    <w:rsid w:val="000A633D"/>
    <w:rsid w:val="000A6392"/>
    <w:rsid w:val="000A756F"/>
    <w:rsid w:val="000A7C5E"/>
    <w:rsid w:val="000B0BA1"/>
    <w:rsid w:val="000B16C3"/>
    <w:rsid w:val="000B1B5F"/>
    <w:rsid w:val="000B2042"/>
    <w:rsid w:val="000B286B"/>
    <w:rsid w:val="000B2942"/>
    <w:rsid w:val="000B2AF2"/>
    <w:rsid w:val="000B2CFB"/>
    <w:rsid w:val="000B2F0F"/>
    <w:rsid w:val="000B3097"/>
    <w:rsid w:val="000B3557"/>
    <w:rsid w:val="000B3DC4"/>
    <w:rsid w:val="000B5227"/>
    <w:rsid w:val="000B531C"/>
    <w:rsid w:val="000B53C0"/>
    <w:rsid w:val="000B5744"/>
    <w:rsid w:val="000B5C2F"/>
    <w:rsid w:val="000B64E3"/>
    <w:rsid w:val="000B689B"/>
    <w:rsid w:val="000B713E"/>
    <w:rsid w:val="000B73C6"/>
    <w:rsid w:val="000B73D2"/>
    <w:rsid w:val="000B7685"/>
    <w:rsid w:val="000B7CB8"/>
    <w:rsid w:val="000B7DC3"/>
    <w:rsid w:val="000B7F93"/>
    <w:rsid w:val="000C0082"/>
    <w:rsid w:val="000C00CF"/>
    <w:rsid w:val="000C06A4"/>
    <w:rsid w:val="000C0F3A"/>
    <w:rsid w:val="000C0FAC"/>
    <w:rsid w:val="000C13EB"/>
    <w:rsid w:val="000C1C6D"/>
    <w:rsid w:val="000C1F18"/>
    <w:rsid w:val="000C2987"/>
    <w:rsid w:val="000C2EA9"/>
    <w:rsid w:val="000C3B22"/>
    <w:rsid w:val="000C4BB7"/>
    <w:rsid w:val="000C5486"/>
    <w:rsid w:val="000C5897"/>
    <w:rsid w:val="000C6741"/>
    <w:rsid w:val="000C7662"/>
    <w:rsid w:val="000C782D"/>
    <w:rsid w:val="000D0A89"/>
    <w:rsid w:val="000D0ACF"/>
    <w:rsid w:val="000D0BB6"/>
    <w:rsid w:val="000D0C8D"/>
    <w:rsid w:val="000D1354"/>
    <w:rsid w:val="000D149C"/>
    <w:rsid w:val="000D191F"/>
    <w:rsid w:val="000D1EA8"/>
    <w:rsid w:val="000D2088"/>
    <w:rsid w:val="000D27F5"/>
    <w:rsid w:val="000D280A"/>
    <w:rsid w:val="000D2879"/>
    <w:rsid w:val="000D3BC1"/>
    <w:rsid w:val="000D4342"/>
    <w:rsid w:val="000D56E3"/>
    <w:rsid w:val="000D6C93"/>
    <w:rsid w:val="000D70D7"/>
    <w:rsid w:val="000D763B"/>
    <w:rsid w:val="000D7C54"/>
    <w:rsid w:val="000E0210"/>
    <w:rsid w:val="000E1007"/>
    <w:rsid w:val="000E103E"/>
    <w:rsid w:val="000E1767"/>
    <w:rsid w:val="000E17A7"/>
    <w:rsid w:val="000E20EE"/>
    <w:rsid w:val="000E3592"/>
    <w:rsid w:val="000E3BE1"/>
    <w:rsid w:val="000E423E"/>
    <w:rsid w:val="000E5404"/>
    <w:rsid w:val="000E5C21"/>
    <w:rsid w:val="000E6774"/>
    <w:rsid w:val="000E6AA5"/>
    <w:rsid w:val="000E798E"/>
    <w:rsid w:val="000E7BAB"/>
    <w:rsid w:val="000E7F56"/>
    <w:rsid w:val="000F03DA"/>
    <w:rsid w:val="000F0674"/>
    <w:rsid w:val="000F09EF"/>
    <w:rsid w:val="000F0AC1"/>
    <w:rsid w:val="000F1981"/>
    <w:rsid w:val="000F19C5"/>
    <w:rsid w:val="000F1CDA"/>
    <w:rsid w:val="000F1EE5"/>
    <w:rsid w:val="000F232B"/>
    <w:rsid w:val="000F2F0E"/>
    <w:rsid w:val="000F2F8D"/>
    <w:rsid w:val="000F3314"/>
    <w:rsid w:val="000F3CBF"/>
    <w:rsid w:val="000F414B"/>
    <w:rsid w:val="000F5C67"/>
    <w:rsid w:val="000F5F7F"/>
    <w:rsid w:val="000F649F"/>
    <w:rsid w:val="000F6700"/>
    <w:rsid w:val="000F7631"/>
    <w:rsid w:val="000F7694"/>
    <w:rsid w:val="000F7F5B"/>
    <w:rsid w:val="00100409"/>
    <w:rsid w:val="00101B12"/>
    <w:rsid w:val="00101B2B"/>
    <w:rsid w:val="00101C90"/>
    <w:rsid w:val="00102BE0"/>
    <w:rsid w:val="00102F76"/>
    <w:rsid w:val="00103339"/>
    <w:rsid w:val="001033A9"/>
    <w:rsid w:val="001034B6"/>
    <w:rsid w:val="001034E3"/>
    <w:rsid w:val="001039C2"/>
    <w:rsid w:val="00103C7F"/>
    <w:rsid w:val="00103CBC"/>
    <w:rsid w:val="00103F1C"/>
    <w:rsid w:val="001040AD"/>
    <w:rsid w:val="0010422B"/>
    <w:rsid w:val="00104EDD"/>
    <w:rsid w:val="00106182"/>
    <w:rsid w:val="001064A4"/>
    <w:rsid w:val="00106CEE"/>
    <w:rsid w:val="00110417"/>
    <w:rsid w:val="0011178C"/>
    <w:rsid w:val="00111AE7"/>
    <w:rsid w:val="001125AB"/>
    <w:rsid w:val="00112988"/>
    <w:rsid w:val="00112A57"/>
    <w:rsid w:val="00112CF0"/>
    <w:rsid w:val="00112E1E"/>
    <w:rsid w:val="001136C6"/>
    <w:rsid w:val="001137C4"/>
    <w:rsid w:val="001140F2"/>
    <w:rsid w:val="0011428D"/>
    <w:rsid w:val="00114DA1"/>
    <w:rsid w:val="001151F6"/>
    <w:rsid w:val="0011699D"/>
    <w:rsid w:val="00116EE4"/>
    <w:rsid w:val="001172BD"/>
    <w:rsid w:val="001178E4"/>
    <w:rsid w:val="00120560"/>
    <w:rsid w:val="001211AB"/>
    <w:rsid w:val="001214BE"/>
    <w:rsid w:val="001218B8"/>
    <w:rsid w:val="00121A72"/>
    <w:rsid w:val="00121F79"/>
    <w:rsid w:val="001220C9"/>
    <w:rsid w:val="00122457"/>
    <w:rsid w:val="00122774"/>
    <w:rsid w:val="00123325"/>
    <w:rsid w:val="00123BC6"/>
    <w:rsid w:val="00123DA3"/>
    <w:rsid w:val="00124B73"/>
    <w:rsid w:val="00124BF8"/>
    <w:rsid w:val="00124ED1"/>
    <w:rsid w:val="001258EF"/>
    <w:rsid w:val="00125B33"/>
    <w:rsid w:val="001260B6"/>
    <w:rsid w:val="00126201"/>
    <w:rsid w:val="00126935"/>
    <w:rsid w:val="00126AD1"/>
    <w:rsid w:val="00126FB4"/>
    <w:rsid w:val="001277C7"/>
    <w:rsid w:val="001304BF"/>
    <w:rsid w:val="00130DCA"/>
    <w:rsid w:val="00131D5F"/>
    <w:rsid w:val="001322D2"/>
    <w:rsid w:val="00132503"/>
    <w:rsid w:val="00132E0B"/>
    <w:rsid w:val="001333F9"/>
    <w:rsid w:val="00133F08"/>
    <w:rsid w:val="00134146"/>
    <w:rsid w:val="001347F4"/>
    <w:rsid w:val="00135080"/>
    <w:rsid w:val="00136307"/>
    <w:rsid w:val="00136497"/>
    <w:rsid w:val="00136F29"/>
    <w:rsid w:val="00137D90"/>
    <w:rsid w:val="00140D09"/>
    <w:rsid w:val="00141BD1"/>
    <w:rsid w:val="00142B86"/>
    <w:rsid w:val="00143F85"/>
    <w:rsid w:val="001441DA"/>
    <w:rsid w:val="00144A22"/>
    <w:rsid w:val="00144AA0"/>
    <w:rsid w:val="00144C8A"/>
    <w:rsid w:val="0014616B"/>
    <w:rsid w:val="00146288"/>
    <w:rsid w:val="00147115"/>
    <w:rsid w:val="001477CE"/>
    <w:rsid w:val="001512C4"/>
    <w:rsid w:val="00151316"/>
    <w:rsid w:val="001519C7"/>
    <w:rsid w:val="00151DFB"/>
    <w:rsid w:val="0015233A"/>
    <w:rsid w:val="00152BE0"/>
    <w:rsid w:val="00153AA7"/>
    <w:rsid w:val="00153D48"/>
    <w:rsid w:val="00153FD7"/>
    <w:rsid w:val="001544C4"/>
    <w:rsid w:val="001547E0"/>
    <w:rsid w:val="00154A9A"/>
    <w:rsid w:val="001550A3"/>
    <w:rsid w:val="00155746"/>
    <w:rsid w:val="00155EAF"/>
    <w:rsid w:val="0015686A"/>
    <w:rsid w:val="00156900"/>
    <w:rsid w:val="0015699B"/>
    <w:rsid w:val="00156C80"/>
    <w:rsid w:val="0015742B"/>
    <w:rsid w:val="00160346"/>
    <w:rsid w:val="00161DCE"/>
    <w:rsid w:val="00162A10"/>
    <w:rsid w:val="00162FEB"/>
    <w:rsid w:val="00162FF6"/>
    <w:rsid w:val="00163BA0"/>
    <w:rsid w:val="00164202"/>
    <w:rsid w:val="0016534B"/>
    <w:rsid w:val="001654B0"/>
    <w:rsid w:val="00165907"/>
    <w:rsid w:val="00165FF0"/>
    <w:rsid w:val="0016688E"/>
    <w:rsid w:val="00166E24"/>
    <w:rsid w:val="00166F83"/>
    <w:rsid w:val="0016723A"/>
    <w:rsid w:val="00167335"/>
    <w:rsid w:val="001704CF"/>
    <w:rsid w:val="00170DC9"/>
    <w:rsid w:val="0017176A"/>
    <w:rsid w:val="0017181D"/>
    <w:rsid w:val="00171A05"/>
    <w:rsid w:val="00171D48"/>
    <w:rsid w:val="00172C50"/>
    <w:rsid w:val="00172E17"/>
    <w:rsid w:val="00172EC4"/>
    <w:rsid w:val="00172F3A"/>
    <w:rsid w:val="001730FD"/>
    <w:rsid w:val="001735B1"/>
    <w:rsid w:val="00173798"/>
    <w:rsid w:val="00173BE6"/>
    <w:rsid w:val="00173DA5"/>
    <w:rsid w:val="00173E72"/>
    <w:rsid w:val="0017425F"/>
    <w:rsid w:val="00175209"/>
    <w:rsid w:val="001756E0"/>
    <w:rsid w:val="0017572D"/>
    <w:rsid w:val="00175AA2"/>
    <w:rsid w:val="00175ACB"/>
    <w:rsid w:val="0017645D"/>
    <w:rsid w:val="001769B4"/>
    <w:rsid w:val="00176E9A"/>
    <w:rsid w:val="00176FAB"/>
    <w:rsid w:val="001778D0"/>
    <w:rsid w:val="00177D12"/>
    <w:rsid w:val="001803F7"/>
    <w:rsid w:val="001807C0"/>
    <w:rsid w:val="00180935"/>
    <w:rsid w:val="00180A24"/>
    <w:rsid w:val="001811DE"/>
    <w:rsid w:val="001818CC"/>
    <w:rsid w:val="00181B43"/>
    <w:rsid w:val="0018246B"/>
    <w:rsid w:val="00182487"/>
    <w:rsid w:val="001826CB"/>
    <w:rsid w:val="00182899"/>
    <w:rsid w:val="001831E8"/>
    <w:rsid w:val="00183562"/>
    <w:rsid w:val="00183649"/>
    <w:rsid w:val="00183970"/>
    <w:rsid w:val="001843C4"/>
    <w:rsid w:val="0018537D"/>
    <w:rsid w:val="001853A5"/>
    <w:rsid w:val="00185A8A"/>
    <w:rsid w:val="001866D1"/>
    <w:rsid w:val="001868A3"/>
    <w:rsid w:val="00187145"/>
    <w:rsid w:val="001874F4"/>
    <w:rsid w:val="00187613"/>
    <w:rsid w:val="001901C6"/>
    <w:rsid w:val="0019024F"/>
    <w:rsid w:val="0019104D"/>
    <w:rsid w:val="00191778"/>
    <w:rsid w:val="00191A77"/>
    <w:rsid w:val="00191DB3"/>
    <w:rsid w:val="00191FD5"/>
    <w:rsid w:val="00192D0D"/>
    <w:rsid w:val="00193260"/>
    <w:rsid w:val="0019374B"/>
    <w:rsid w:val="00193A90"/>
    <w:rsid w:val="00193B10"/>
    <w:rsid w:val="00193EE3"/>
    <w:rsid w:val="00194173"/>
    <w:rsid w:val="00194995"/>
    <w:rsid w:val="00195408"/>
    <w:rsid w:val="00195CD2"/>
    <w:rsid w:val="00196BA3"/>
    <w:rsid w:val="001970F9"/>
    <w:rsid w:val="001A0968"/>
    <w:rsid w:val="001A14CC"/>
    <w:rsid w:val="001A27E6"/>
    <w:rsid w:val="001A2F36"/>
    <w:rsid w:val="001A370B"/>
    <w:rsid w:val="001A3771"/>
    <w:rsid w:val="001A4336"/>
    <w:rsid w:val="001A4EB6"/>
    <w:rsid w:val="001A543B"/>
    <w:rsid w:val="001A5705"/>
    <w:rsid w:val="001A592C"/>
    <w:rsid w:val="001A5D64"/>
    <w:rsid w:val="001A63F2"/>
    <w:rsid w:val="001A6496"/>
    <w:rsid w:val="001A7346"/>
    <w:rsid w:val="001A751B"/>
    <w:rsid w:val="001A7CE5"/>
    <w:rsid w:val="001A7FFD"/>
    <w:rsid w:val="001B0110"/>
    <w:rsid w:val="001B0511"/>
    <w:rsid w:val="001B090D"/>
    <w:rsid w:val="001B1729"/>
    <w:rsid w:val="001B1FAD"/>
    <w:rsid w:val="001B3048"/>
    <w:rsid w:val="001B3961"/>
    <w:rsid w:val="001B4147"/>
    <w:rsid w:val="001B41F0"/>
    <w:rsid w:val="001B436F"/>
    <w:rsid w:val="001B4E90"/>
    <w:rsid w:val="001B5291"/>
    <w:rsid w:val="001B563F"/>
    <w:rsid w:val="001B5A8F"/>
    <w:rsid w:val="001B5D3A"/>
    <w:rsid w:val="001B5D41"/>
    <w:rsid w:val="001B5E23"/>
    <w:rsid w:val="001B5EB0"/>
    <w:rsid w:val="001B696E"/>
    <w:rsid w:val="001B6A56"/>
    <w:rsid w:val="001B7243"/>
    <w:rsid w:val="001B7FC0"/>
    <w:rsid w:val="001C00F2"/>
    <w:rsid w:val="001C1121"/>
    <w:rsid w:val="001C14EA"/>
    <w:rsid w:val="001C1AC5"/>
    <w:rsid w:val="001C202D"/>
    <w:rsid w:val="001C22BD"/>
    <w:rsid w:val="001C22F8"/>
    <w:rsid w:val="001C23C3"/>
    <w:rsid w:val="001C2A03"/>
    <w:rsid w:val="001C3069"/>
    <w:rsid w:val="001C308D"/>
    <w:rsid w:val="001C30D2"/>
    <w:rsid w:val="001C3BC6"/>
    <w:rsid w:val="001C469B"/>
    <w:rsid w:val="001C504B"/>
    <w:rsid w:val="001C532B"/>
    <w:rsid w:val="001C6A71"/>
    <w:rsid w:val="001C776C"/>
    <w:rsid w:val="001C77E1"/>
    <w:rsid w:val="001D0099"/>
    <w:rsid w:val="001D0774"/>
    <w:rsid w:val="001D19A8"/>
    <w:rsid w:val="001D1FBC"/>
    <w:rsid w:val="001D28B3"/>
    <w:rsid w:val="001D5257"/>
    <w:rsid w:val="001D6360"/>
    <w:rsid w:val="001D638B"/>
    <w:rsid w:val="001D6CCE"/>
    <w:rsid w:val="001D6DFA"/>
    <w:rsid w:val="001D7159"/>
    <w:rsid w:val="001E0163"/>
    <w:rsid w:val="001E0957"/>
    <w:rsid w:val="001E1C45"/>
    <w:rsid w:val="001E1F5A"/>
    <w:rsid w:val="001E1F97"/>
    <w:rsid w:val="001E252F"/>
    <w:rsid w:val="001E2A8E"/>
    <w:rsid w:val="001E38A8"/>
    <w:rsid w:val="001E3969"/>
    <w:rsid w:val="001E3982"/>
    <w:rsid w:val="001E5203"/>
    <w:rsid w:val="001E5F64"/>
    <w:rsid w:val="001E6180"/>
    <w:rsid w:val="001E674B"/>
    <w:rsid w:val="001E68FC"/>
    <w:rsid w:val="001E6C2D"/>
    <w:rsid w:val="001E72B6"/>
    <w:rsid w:val="001E7569"/>
    <w:rsid w:val="001E7F25"/>
    <w:rsid w:val="001F0766"/>
    <w:rsid w:val="001F0EE5"/>
    <w:rsid w:val="001F16FB"/>
    <w:rsid w:val="001F1844"/>
    <w:rsid w:val="001F1A09"/>
    <w:rsid w:val="001F2178"/>
    <w:rsid w:val="001F22CC"/>
    <w:rsid w:val="001F2DF7"/>
    <w:rsid w:val="001F33CB"/>
    <w:rsid w:val="001F3672"/>
    <w:rsid w:val="001F4BB1"/>
    <w:rsid w:val="001F4F5A"/>
    <w:rsid w:val="001F66DE"/>
    <w:rsid w:val="001F6C87"/>
    <w:rsid w:val="001F6EC5"/>
    <w:rsid w:val="001F7793"/>
    <w:rsid w:val="001F7971"/>
    <w:rsid w:val="001F7ACA"/>
    <w:rsid w:val="001F7D00"/>
    <w:rsid w:val="00200CAC"/>
    <w:rsid w:val="00200D92"/>
    <w:rsid w:val="002014E7"/>
    <w:rsid w:val="002020D0"/>
    <w:rsid w:val="00202576"/>
    <w:rsid w:val="00202966"/>
    <w:rsid w:val="00202A9E"/>
    <w:rsid w:val="00202D81"/>
    <w:rsid w:val="0020396A"/>
    <w:rsid w:val="00204026"/>
    <w:rsid w:val="00205644"/>
    <w:rsid w:val="00205B0E"/>
    <w:rsid w:val="00205B1F"/>
    <w:rsid w:val="00205F68"/>
    <w:rsid w:val="00205FEA"/>
    <w:rsid w:val="002069BC"/>
    <w:rsid w:val="00207169"/>
    <w:rsid w:val="0020718C"/>
    <w:rsid w:val="00207408"/>
    <w:rsid w:val="0021000D"/>
    <w:rsid w:val="0021033E"/>
    <w:rsid w:val="00210679"/>
    <w:rsid w:val="00210901"/>
    <w:rsid w:val="00210954"/>
    <w:rsid w:val="00210DCC"/>
    <w:rsid w:val="00210DCD"/>
    <w:rsid w:val="002119BF"/>
    <w:rsid w:val="00211D3D"/>
    <w:rsid w:val="00211F63"/>
    <w:rsid w:val="002120EF"/>
    <w:rsid w:val="002126B2"/>
    <w:rsid w:val="00212948"/>
    <w:rsid w:val="00212BFF"/>
    <w:rsid w:val="00214036"/>
    <w:rsid w:val="00214DDE"/>
    <w:rsid w:val="00215101"/>
    <w:rsid w:val="0021562A"/>
    <w:rsid w:val="002162A5"/>
    <w:rsid w:val="00216AAA"/>
    <w:rsid w:val="00217839"/>
    <w:rsid w:val="00217BBD"/>
    <w:rsid w:val="002205AD"/>
    <w:rsid w:val="0022067E"/>
    <w:rsid w:val="0022192D"/>
    <w:rsid w:val="002223C1"/>
    <w:rsid w:val="002224C1"/>
    <w:rsid w:val="0022389B"/>
    <w:rsid w:val="002240C5"/>
    <w:rsid w:val="00225A3B"/>
    <w:rsid w:val="00225A8C"/>
    <w:rsid w:val="00225BD8"/>
    <w:rsid w:val="00226081"/>
    <w:rsid w:val="00226AF7"/>
    <w:rsid w:val="00226CF3"/>
    <w:rsid w:val="00230817"/>
    <w:rsid w:val="0023081D"/>
    <w:rsid w:val="00230CDB"/>
    <w:rsid w:val="00230DCC"/>
    <w:rsid w:val="00231DD2"/>
    <w:rsid w:val="002326C4"/>
    <w:rsid w:val="00232FEC"/>
    <w:rsid w:val="0023329C"/>
    <w:rsid w:val="00233BC0"/>
    <w:rsid w:val="00234B4F"/>
    <w:rsid w:val="00235412"/>
    <w:rsid w:val="00236656"/>
    <w:rsid w:val="00236DC0"/>
    <w:rsid w:val="00236F4C"/>
    <w:rsid w:val="002373A2"/>
    <w:rsid w:val="00237A0A"/>
    <w:rsid w:val="00237A77"/>
    <w:rsid w:val="00240461"/>
    <w:rsid w:val="002407CC"/>
    <w:rsid w:val="002409E3"/>
    <w:rsid w:val="00241394"/>
    <w:rsid w:val="002415CE"/>
    <w:rsid w:val="00242517"/>
    <w:rsid w:val="0024260B"/>
    <w:rsid w:val="00243D63"/>
    <w:rsid w:val="0024401F"/>
    <w:rsid w:val="00244EE7"/>
    <w:rsid w:val="00245380"/>
    <w:rsid w:val="0024569B"/>
    <w:rsid w:val="00246EA0"/>
    <w:rsid w:val="0024723C"/>
    <w:rsid w:val="002472C5"/>
    <w:rsid w:val="0024750C"/>
    <w:rsid w:val="002500EF"/>
    <w:rsid w:val="002513AE"/>
    <w:rsid w:val="002521E1"/>
    <w:rsid w:val="00252438"/>
    <w:rsid w:val="00253724"/>
    <w:rsid w:val="0025435E"/>
    <w:rsid w:val="0025447C"/>
    <w:rsid w:val="00255399"/>
    <w:rsid w:val="002553BA"/>
    <w:rsid w:val="002559B3"/>
    <w:rsid w:val="00255A84"/>
    <w:rsid w:val="00255B5A"/>
    <w:rsid w:val="002560A9"/>
    <w:rsid w:val="00256801"/>
    <w:rsid w:val="0025698E"/>
    <w:rsid w:val="00260448"/>
    <w:rsid w:val="00260C35"/>
    <w:rsid w:val="0026114B"/>
    <w:rsid w:val="0026123A"/>
    <w:rsid w:val="0026169D"/>
    <w:rsid w:val="002618BA"/>
    <w:rsid w:val="00261972"/>
    <w:rsid w:val="00261CF1"/>
    <w:rsid w:val="00261F12"/>
    <w:rsid w:val="00263A12"/>
    <w:rsid w:val="002646FE"/>
    <w:rsid w:val="00264C1F"/>
    <w:rsid w:val="002659A7"/>
    <w:rsid w:val="00265AC3"/>
    <w:rsid w:val="00265BFC"/>
    <w:rsid w:val="00266199"/>
    <w:rsid w:val="002671A2"/>
    <w:rsid w:val="0026722A"/>
    <w:rsid w:val="00267496"/>
    <w:rsid w:val="00267A7C"/>
    <w:rsid w:val="002702D2"/>
    <w:rsid w:val="00270AB2"/>
    <w:rsid w:val="0027170E"/>
    <w:rsid w:val="0027304D"/>
    <w:rsid w:val="00273A8A"/>
    <w:rsid w:val="002759C0"/>
    <w:rsid w:val="00275B68"/>
    <w:rsid w:val="00275D7A"/>
    <w:rsid w:val="00275F9E"/>
    <w:rsid w:val="002761BD"/>
    <w:rsid w:val="0027652E"/>
    <w:rsid w:val="002774CE"/>
    <w:rsid w:val="00280EA4"/>
    <w:rsid w:val="002811B7"/>
    <w:rsid w:val="00281823"/>
    <w:rsid w:val="002827EA"/>
    <w:rsid w:val="00282BAE"/>
    <w:rsid w:val="00282EE5"/>
    <w:rsid w:val="002834C9"/>
    <w:rsid w:val="002835FA"/>
    <w:rsid w:val="002837C2"/>
    <w:rsid w:val="0028399A"/>
    <w:rsid w:val="00284036"/>
    <w:rsid w:val="002845EA"/>
    <w:rsid w:val="00284B7E"/>
    <w:rsid w:val="0028523A"/>
    <w:rsid w:val="00285309"/>
    <w:rsid w:val="00285905"/>
    <w:rsid w:val="00285DF6"/>
    <w:rsid w:val="0028670B"/>
    <w:rsid w:val="00286894"/>
    <w:rsid w:val="00286B1C"/>
    <w:rsid w:val="00286CE6"/>
    <w:rsid w:val="00286EBE"/>
    <w:rsid w:val="0028718B"/>
    <w:rsid w:val="0028783E"/>
    <w:rsid w:val="0029066C"/>
    <w:rsid w:val="00290708"/>
    <w:rsid w:val="002907BC"/>
    <w:rsid w:val="002920C7"/>
    <w:rsid w:val="00292228"/>
    <w:rsid w:val="00292EF6"/>
    <w:rsid w:val="00293C63"/>
    <w:rsid w:val="00294A58"/>
    <w:rsid w:val="00295B70"/>
    <w:rsid w:val="00295EEF"/>
    <w:rsid w:val="00296232"/>
    <w:rsid w:val="0029648D"/>
    <w:rsid w:val="002A042D"/>
    <w:rsid w:val="002A04E2"/>
    <w:rsid w:val="002A06A3"/>
    <w:rsid w:val="002A06E7"/>
    <w:rsid w:val="002A0E02"/>
    <w:rsid w:val="002A0E94"/>
    <w:rsid w:val="002A2364"/>
    <w:rsid w:val="002A283D"/>
    <w:rsid w:val="002A2A08"/>
    <w:rsid w:val="002A2D93"/>
    <w:rsid w:val="002A339E"/>
    <w:rsid w:val="002A33FC"/>
    <w:rsid w:val="002A35A5"/>
    <w:rsid w:val="002A4113"/>
    <w:rsid w:val="002A4266"/>
    <w:rsid w:val="002A46C8"/>
    <w:rsid w:val="002A4E42"/>
    <w:rsid w:val="002A556F"/>
    <w:rsid w:val="002A598E"/>
    <w:rsid w:val="002A61A5"/>
    <w:rsid w:val="002A61B1"/>
    <w:rsid w:val="002A648D"/>
    <w:rsid w:val="002A7199"/>
    <w:rsid w:val="002A77C3"/>
    <w:rsid w:val="002A7BBD"/>
    <w:rsid w:val="002B0160"/>
    <w:rsid w:val="002B0D6E"/>
    <w:rsid w:val="002B10B0"/>
    <w:rsid w:val="002B11DC"/>
    <w:rsid w:val="002B14DB"/>
    <w:rsid w:val="002B169C"/>
    <w:rsid w:val="002B208B"/>
    <w:rsid w:val="002B3596"/>
    <w:rsid w:val="002B6031"/>
    <w:rsid w:val="002B658E"/>
    <w:rsid w:val="002B6716"/>
    <w:rsid w:val="002B6EFD"/>
    <w:rsid w:val="002B6F33"/>
    <w:rsid w:val="002B79F0"/>
    <w:rsid w:val="002B7B8A"/>
    <w:rsid w:val="002B7F3E"/>
    <w:rsid w:val="002C059A"/>
    <w:rsid w:val="002C05D9"/>
    <w:rsid w:val="002C0CCC"/>
    <w:rsid w:val="002C0CD7"/>
    <w:rsid w:val="002C0D7B"/>
    <w:rsid w:val="002C1CBF"/>
    <w:rsid w:val="002C1D9C"/>
    <w:rsid w:val="002C22C5"/>
    <w:rsid w:val="002C2BEB"/>
    <w:rsid w:val="002C34B2"/>
    <w:rsid w:val="002C366F"/>
    <w:rsid w:val="002C3D9B"/>
    <w:rsid w:val="002C4B93"/>
    <w:rsid w:val="002C4CA9"/>
    <w:rsid w:val="002C53E2"/>
    <w:rsid w:val="002C5453"/>
    <w:rsid w:val="002C5B2F"/>
    <w:rsid w:val="002C64F8"/>
    <w:rsid w:val="002C7301"/>
    <w:rsid w:val="002C7FF4"/>
    <w:rsid w:val="002D100C"/>
    <w:rsid w:val="002D2270"/>
    <w:rsid w:val="002D2EC4"/>
    <w:rsid w:val="002D3306"/>
    <w:rsid w:val="002D4074"/>
    <w:rsid w:val="002D4125"/>
    <w:rsid w:val="002D4243"/>
    <w:rsid w:val="002D4830"/>
    <w:rsid w:val="002D4A0A"/>
    <w:rsid w:val="002D4A13"/>
    <w:rsid w:val="002D4A2B"/>
    <w:rsid w:val="002D4A43"/>
    <w:rsid w:val="002D51A3"/>
    <w:rsid w:val="002D607F"/>
    <w:rsid w:val="002D6D06"/>
    <w:rsid w:val="002E024A"/>
    <w:rsid w:val="002E0D26"/>
    <w:rsid w:val="002E229D"/>
    <w:rsid w:val="002E25A8"/>
    <w:rsid w:val="002E279A"/>
    <w:rsid w:val="002E2BE7"/>
    <w:rsid w:val="002E2CF5"/>
    <w:rsid w:val="002E323E"/>
    <w:rsid w:val="002E34CF"/>
    <w:rsid w:val="002E4118"/>
    <w:rsid w:val="002E41F3"/>
    <w:rsid w:val="002E4519"/>
    <w:rsid w:val="002E533C"/>
    <w:rsid w:val="002E557C"/>
    <w:rsid w:val="002E61A9"/>
    <w:rsid w:val="002E6BFB"/>
    <w:rsid w:val="002E6E7C"/>
    <w:rsid w:val="002E6F72"/>
    <w:rsid w:val="002E7E26"/>
    <w:rsid w:val="002F04DE"/>
    <w:rsid w:val="002F1524"/>
    <w:rsid w:val="002F1753"/>
    <w:rsid w:val="002F1CD3"/>
    <w:rsid w:val="002F1D51"/>
    <w:rsid w:val="002F1D76"/>
    <w:rsid w:val="002F1E43"/>
    <w:rsid w:val="002F20C1"/>
    <w:rsid w:val="002F2BB2"/>
    <w:rsid w:val="002F3A93"/>
    <w:rsid w:val="002F3AFA"/>
    <w:rsid w:val="002F4355"/>
    <w:rsid w:val="002F4444"/>
    <w:rsid w:val="002F4777"/>
    <w:rsid w:val="002F4BEA"/>
    <w:rsid w:val="002F6B24"/>
    <w:rsid w:val="002F6E28"/>
    <w:rsid w:val="002F725F"/>
    <w:rsid w:val="002F7A88"/>
    <w:rsid w:val="002F7E68"/>
    <w:rsid w:val="003007DE"/>
    <w:rsid w:val="00300C9E"/>
    <w:rsid w:val="00300E39"/>
    <w:rsid w:val="003011A6"/>
    <w:rsid w:val="00302306"/>
    <w:rsid w:val="00302E5E"/>
    <w:rsid w:val="00302EA1"/>
    <w:rsid w:val="003038DB"/>
    <w:rsid w:val="00303BC0"/>
    <w:rsid w:val="00303BC3"/>
    <w:rsid w:val="00303D58"/>
    <w:rsid w:val="0030415A"/>
    <w:rsid w:val="00304433"/>
    <w:rsid w:val="00304C8F"/>
    <w:rsid w:val="00304FF8"/>
    <w:rsid w:val="00307187"/>
    <w:rsid w:val="00307448"/>
    <w:rsid w:val="00307502"/>
    <w:rsid w:val="00307C55"/>
    <w:rsid w:val="00307DEF"/>
    <w:rsid w:val="003107E5"/>
    <w:rsid w:val="0031115B"/>
    <w:rsid w:val="003115AC"/>
    <w:rsid w:val="00311D33"/>
    <w:rsid w:val="00311EE1"/>
    <w:rsid w:val="0031200F"/>
    <w:rsid w:val="0031208A"/>
    <w:rsid w:val="00313664"/>
    <w:rsid w:val="003139FD"/>
    <w:rsid w:val="00314475"/>
    <w:rsid w:val="00314F90"/>
    <w:rsid w:val="00315247"/>
    <w:rsid w:val="00315731"/>
    <w:rsid w:val="00315D4B"/>
    <w:rsid w:val="00315E9E"/>
    <w:rsid w:val="0031617F"/>
    <w:rsid w:val="0031632E"/>
    <w:rsid w:val="00316860"/>
    <w:rsid w:val="00316DF7"/>
    <w:rsid w:val="00317D18"/>
    <w:rsid w:val="0032006F"/>
    <w:rsid w:val="003201A1"/>
    <w:rsid w:val="00320747"/>
    <w:rsid w:val="0032124F"/>
    <w:rsid w:val="00321560"/>
    <w:rsid w:val="00321758"/>
    <w:rsid w:val="00321823"/>
    <w:rsid w:val="00321EA4"/>
    <w:rsid w:val="003227B3"/>
    <w:rsid w:val="00322E12"/>
    <w:rsid w:val="00322E9B"/>
    <w:rsid w:val="003243D1"/>
    <w:rsid w:val="003257A7"/>
    <w:rsid w:val="003259D7"/>
    <w:rsid w:val="00325ECC"/>
    <w:rsid w:val="00326451"/>
    <w:rsid w:val="0032688B"/>
    <w:rsid w:val="003268C7"/>
    <w:rsid w:val="00326B3B"/>
    <w:rsid w:val="003272CE"/>
    <w:rsid w:val="003275DC"/>
    <w:rsid w:val="00330385"/>
    <w:rsid w:val="0033102E"/>
    <w:rsid w:val="00331401"/>
    <w:rsid w:val="003316B2"/>
    <w:rsid w:val="00332344"/>
    <w:rsid w:val="00333234"/>
    <w:rsid w:val="003339F7"/>
    <w:rsid w:val="00333CC8"/>
    <w:rsid w:val="003340BC"/>
    <w:rsid w:val="003343B5"/>
    <w:rsid w:val="003345F8"/>
    <w:rsid w:val="00334DCD"/>
    <w:rsid w:val="0033572C"/>
    <w:rsid w:val="00335ED1"/>
    <w:rsid w:val="00336C06"/>
    <w:rsid w:val="00337808"/>
    <w:rsid w:val="00337EF8"/>
    <w:rsid w:val="00341296"/>
    <w:rsid w:val="003416A9"/>
    <w:rsid w:val="003419FD"/>
    <w:rsid w:val="003428BA"/>
    <w:rsid w:val="00342A60"/>
    <w:rsid w:val="00342C50"/>
    <w:rsid w:val="00342CBB"/>
    <w:rsid w:val="00342FBC"/>
    <w:rsid w:val="003434BC"/>
    <w:rsid w:val="0034375A"/>
    <w:rsid w:val="0034379D"/>
    <w:rsid w:val="003439F6"/>
    <w:rsid w:val="0034410F"/>
    <w:rsid w:val="00344A29"/>
    <w:rsid w:val="00346192"/>
    <w:rsid w:val="0034646D"/>
    <w:rsid w:val="0034714F"/>
    <w:rsid w:val="003477AD"/>
    <w:rsid w:val="0034797B"/>
    <w:rsid w:val="00347BE5"/>
    <w:rsid w:val="003507DD"/>
    <w:rsid w:val="00350B03"/>
    <w:rsid w:val="003522E0"/>
    <w:rsid w:val="0035267F"/>
    <w:rsid w:val="0035284A"/>
    <w:rsid w:val="00352B55"/>
    <w:rsid w:val="0035326F"/>
    <w:rsid w:val="00354193"/>
    <w:rsid w:val="003547FA"/>
    <w:rsid w:val="003550BA"/>
    <w:rsid w:val="003554CD"/>
    <w:rsid w:val="003554D2"/>
    <w:rsid w:val="0035580D"/>
    <w:rsid w:val="00355985"/>
    <w:rsid w:val="00355D0B"/>
    <w:rsid w:val="00356887"/>
    <w:rsid w:val="00356915"/>
    <w:rsid w:val="00356F02"/>
    <w:rsid w:val="00357B64"/>
    <w:rsid w:val="00357CB5"/>
    <w:rsid w:val="003600B2"/>
    <w:rsid w:val="003602DC"/>
    <w:rsid w:val="00360517"/>
    <w:rsid w:val="00360532"/>
    <w:rsid w:val="00361082"/>
    <w:rsid w:val="00361A94"/>
    <w:rsid w:val="00362FD3"/>
    <w:rsid w:val="003639FB"/>
    <w:rsid w:val="00363BF7"/>
    <w:rsid w:val="003652B9"/>
    <w:rsid w:val="0036681D"/>
    <w:rsid w:val="00366F90"/>
    <w:rsid w:val="0036742C"/>
    <w:rsid w:val="003678EB"/>
    <w:rsid w:val="00367B88"/>
    <w:rsid w:val="00370307"/>
    <w:rsid w:val="00370AA1"/>
    <w:rsid w:val="0037133A"/>
    <w:rsid w:val="00371446"/>
    <w:rsid w:val="0037257C"/>
    <w:rsid w:val="003725AA"/>
    <w:rsid w:val="00372A5B"/>
    <w:rsid w:val="00373491"/>
    <w:rsid w:val="00373766"/>
    <w:rsid w:val="003739DD"/>
    <w:rsid w:val="00373A9E"/>
    <w:rsid w:val="003741A2"/>
    <w:rsid w:val="00374419"/>
    <w:rsid w:val="00374C44"/>
    <w:rsid w:val="00374EAA"/>
    <w:rsid w:val="0037526B"/>
    <w:rsid w:val="003756C4"/>
    <w:rsid w:val="00375E08"/>
    <w:rsid w:val="00375EE7"/>
    <w:rsid w:val="00376A9D"/>
    <w:rsid w:val="00376F2E"/>
    <w:rsid w:val="00377CAD"/>
    <w:rsid w:val="00377E4F"/>
    <w:rsid w:val="00380265"/>
    <w:rsid w:val="00380364"/>
    <w:rsid w:val="00380B0B"/>
    <w:rsid w:val="00381071"/>
    <w:rsid w:val="00381256"/>
    <w:rsid w:val="003813B0"/>
    <w:rsid w:val="003814BB"/>
    <w:rsid w:val="00381DEF"/>
    <w:rsid w:val="00382266"/>
    <w:rsid w:val="0038235E"/>
    <w:rsid w:val="00382AE5"/>
    <w:rsid w:val="00382FE3"/>
    <w:rsid w:val="0038306E"/>
    <w:rsid w:val="0038352D"/>
    <w:rsid w:val="00383BF4"/>
    <w:rsid w:val="00384584"/>
    <w:rsid w:val="0038476F"/>
    <w:rsid w:val="00384D22"/>
    <w:rsid w:val="003851E9"/>
    <w:rsid w:val="003863AB"/>
    <w:rsid w:val="00387553"/>
    <w:rsid w:val="003921CD"/>
    <w:rsid w:val="003925B3"/>
    <w:rsid w:val="003929D2"/>
    <w:rsid w:val="00392D6B"/>
    <w:rsid w:val="00393029"/>
    <w:rsid w:val="00393E3E"/>
    <w:rsid w:val="00393F81"/>
    <w:rsid w:val="00393FA5"/>
    <w:rsid w:val="0039413F"/>
    <w:rsid w:val="00394B51"/>
    <w:rsid w:val="003953BE"/>
    <w:rsid w:val="00395E61"/>
    <w:rsid w:val="003965C0"/>
    <w:rsid w:val="00397EC3"/>
    <w:rsid w:val="003A0D0B"/>
    <w:rsid w:val="003A0FA9"/>
    <w:rsid w:val="003A1301"/>
    <w:rsid w:val="003A27BB"/>
    <w:rsid w:val="003A2FE5"/>
    <w:rsid w:val="003A35D6"/>
    <w:rsid w:val="003A3801"/>
    <w:rsid w:val="003A3C3B"/>
    <w:rsid w:val="003A48FF"/>
    <w:rsid w:val="003A4CE2"/>
    <w:rsid w:val="003A5077"/>
    <w:rsid w:val="003A5614"/>
    <w:rsid w:val="003A5BC5"/>
    <w:rsid w:val="003A5C82"/>
    <w:rsid w:val="003A5D19"/>
    <w:rsid w:val="003A5E4A"/>
    <w:rsid w:val="003A5F4E"/>
    <w:rsid w:val="003A6A4E"/>
    <w:rsid w:val="003A6DDA"/>
    <w:rsid w:val="003A72FF"/>
    <w:rsid w:val="003B1620"/>
    <w:rsid w:val="003B1661"/>
    <w:rsid w:val="003B1DEB"/>
    <w:rsid w:val="003B1F1C"/>
    <w:rsid w:val="003B1FB5"/>
    <w:rsid w:val="003B2FD0"/>
    <w:rsid w:val="003B317B"/>
    <w:rsid w:val="003B4059"/>
    <w:rsid w:val="003B453B"/>
    <w:rsid w:val="003B5254"/>
    <w:rsid w:val="003B533E"/>
    <w:rsid w:val="003B5350"/>
    <w:rsid w:val="003B5389"/>
    <w:rsid w:val="003B580F"/>
    <w:rsid w:val="003B673D"/>
    <w:rsid w:val="003B6BD5"/>
    <w:rsid w:val="003B6CF6"/>
    <w:rsid w:val="003B7840"/>
    <w:rsid w:val="003B7B90"/>
    <w:rsid w:val="003B7F41"/>
    <w:rsid w:val="003C0FE7"/>
    <w:rsid w:val="003C1054"/>
    <w:rsid w:val="003C175D"/>
    <w:rsid w:val="003C1FFA"/>
    <w:rsid w:val="003C2577"/>
    <w:rsid w:val="003C2F98"/>
    <w:rsid w:val="003C3379"/>
    <w:rsid w:val="003C3AE8"/>
    <w:rsid w:val="003C3BB5"/>
    <w:rsid w:val="003C3E86"/>
    <w:rsid w:val="003C4448"/>
    <w:rsid w:val="003C4C29"/>
    <w:rsid w:val="003C4D1E"/>
    <w:rsid w:val="003C529F"/>
    <w:rsid w:val="003C6350"/>
    <w:rsid w:val="003C7157"/>
    <w:rsid w:val="003C7449"/>
    <w:rsid w:val="003C7D13"/>
    <w:rsid w:val="003D0022"/>
    <w:rsid w:val="003D0B52"/>
    <w:rsid w:val="003D1BB5"/>
    <w:rsid w:val="003D1D95"/>
    <w:rsid w:val="003D22D2"/>
    <w:rsid w:val="003D33E2"/>
    <w:rsid w:val="003D3537"/>
    <w:rsid w:val="003D35E6"/>
    <w:rsid w:val="003D3A06"/>
    <w:rsid w:val="003D3CB2"/>
    <w:rsid w:val="003D3D91"/>
    <w:rsid w:val="003D4461"/>
    <w:rsid w:val="003D4708"/>
    <w:rsid w:val="003D472C"/>
    <w:rsid w:val="003D477A"/>
    <w:rsid w:val="003D4D86"/>
    <w:rsid w:val="003D516A"/>
    <w:rsid w:val="003D54AC"/>
    <w:rsid w:val="003D614C"/>
    <w:rsid w:val="003D619A"/>
    <w:rsid w:val="003D6556"/>
    <w:rsid w:val="003D6F28"/>
    <w:rsid w:val="003D7078"/>
    <w:rsid w:val="003D7C86"/>
    <w:rsid w:val="003D7CF9"/>
    <w:rsid w:val="003E0147"/>
    <w:rsid w:val="003E0C71"/>
    <w:rsid w:val="003E0C99"/>
    <w:rsid w:val="003E0EDE"/>
    <w:rsid w:val="003E153C"/>
    <w:rsid w:val="003E213F"/>
    <w:rsid w:val="003E292F"/>
    <w:rsid w:val="003E3046"/>
    <w:rsid w:val="003E32FE"/>
    <w:rsid w:val="003E4794"/>
    <w:rsid w:val="003E569A"/>
    <w:rsid w:val="003E6615"/>
    <w:rsid w:val="003E6CD0"/>
    <w:rsid w:val="003E74C3"/>
    <w:rsid w:val="003E79F9"/>
    <w:rsid w:val="003F076E"/>
    <w:rsid w:val="003F08C4"/>
    <w:rsid w:val="003F0D20"/>
    <w:rsid w:val="003F12E9"/>
    <w:rsid w:val="003F1AB9"/>
    <w:rsid w:val="003F1C13"/>
    <w:rsid w:val="003F2ABB"/>
    <w:rsid w:val="003F31FD"/>
    <w:rsid w:val="003F33B7"/>
    <w:rsid w:val="003F3728"/>
    <w:rsid w:val="003F37FD"/>
    <w:rsid w:val="003F3854"/>
    <w:rsid w:val="003F4B62"/>
    <w:rsid w:val="003F59F4"/>
    <w:rsid w:val="003F5BDA"/>
    <w:rsid w:val="003F60E1"/>
    <w:rsid w:val="003F672A"/>
    <w:rsid w:val="003F757E"/>
    <w:rsid w:val="003F79D0"/>
    <w:rsid w:val="003F7A05"/>
    <w:rsid w:val="00400494"/>
    <w:rsid w:val="004004F6"/>
    <w:rsid w:val="004017DF"/>
    <w:rsid w:val="0040214B"/>
    <w:rsid w:val="00402280"/>
    <w:rsid w:val="00402B37"/>
    <w:rsid w:val="00402BA1"/>
    <w:rsid w:val="0040313C"/>
    <w:rsid w:val="00403A03"/>
    <w:rsid w:val="00404D94"/>
    <w:rsid w:val="00404DCD"/>
    <w:rsid w:val="00405398"/>
    <w:rsid w:val="00405AE6"/>
    <w:rsid w:val="00405D1A"/>
    <w:rsid w:val="00406500"/>
    <w:rsid w:val="0040667E"/>
    <w:rsid w:val="00406A86"/>
    <w:rsid w:val="00406AC1"/>
    <w:rsid w:val="00406FFC"/>
    <w:rsid w:val="00407441"/>
    <w:rsid w:val="004077D6"/>
    <w:rsid w:val="0040780E"/>
    <w:rsid w:val="00410883"/>
    <w:rsid w:val="00411033"/>
    <w:rsid w:val="004115E1"/>
    <w:rsid w:val="00411A53"/>
    <w:rsid w:val="00411E11"/>
    <w:rsid w:val="00411F5D"/>
    <w:rsid w:val="004121E7"/>
    <w:rsid w:val="0041478B"/>
    <w:rsid w:val="00414C1E"/>
    <w:rsid w:val="00414C6B"/>
    <w:rsid w:val="00414E51"/>
    <w:rsid w:val="00414E5C"/>
    <w:rsid w:val="00416117"/>
    <w:rsid w:val="00416512"/>
    <w:rsid w:val="004167C7"/>
    <w:rsid w:val="00416BE0"/>
    <w:rsid w:val="00416CA7"/>
    <w:rsid w:val="00417347"/>
    <w:rsid w:val="0041747D"/>
    <w:rsid w:val="0041760B"/>
    <w:rsid w:val="00420F04"/>
    <w:rsid w:val="004213A6"/>
    <w:rsid w:val="00421870"/>
    <w:rsid w:val="00422710"/>
    <w:rsid w:val="00423099"/>
    <w:rsid w:val="004240A9"/>
    <w:rsid w:val="00424200"/>
    <w:rsid w:val="00424D0A"/>
    <w:rsid w:val="00424E79"/>
    <w:rsid w:val="00424FA9"/>
    <w:rsid w:val="0042558E"/>
    <w:rsid w:val="0042661C"/>
    <w:rsid w:val="00427271"/>
    <w:rsid w:val="004274B3"/>
    <w:rsid w:val="00427F27"/>
    <w:rsid w:val="0043009C"/>
    <w:rsid w:val="004303AB"/>
    <w:rsid w:val="00430734"/>
    <w:rsid w:val="00430C65"/>
    <w:rsid w:val="004317EB"/>
    <w:rsid w:val="00432048"/>
    <w:rsid w:val="004328F3"/>
    <w:rsid w:val="00432E48"/>
    <w:rsid w:val="00432ED2"/>
    <w:rsid w:val="0043322A"/>
    <w:rsid w:val="004332B3"/>
    <w:rsid w:val="00433469"/>
    <w:rsid w:val="00433529"/>
    <w:rsid w:val="0043362C"/>
    <w:rsid w:val="00433C2A"/>
    <w:rsid w:val="00433F36"/>
    <w:rsid w:val="004342CE"/>
    <w:rsid w:val="0043450C"/>
    <w:rsid w:val="0043452F"/>
    <w:rsid w:val="00435D42"/>
    <w:rsid w:val="0043608F"/>
    <w:rsid w:val="00436968"/>
    <w:rsid w:val="004375B3"/>
    <w:rsid w:val="00437852"/>
    <w:rsid w:val="00437A53"/>
    <w:rsid w:val="00437B4A"/>
    <w:rsid w:val="00437B99"/>
    <w:rsid w:val="004401E1"/>
    <w:rsid w:val="004403F7"/>
    <w:rsid w:val="004412FA"/>
    <w:rsid w:val="00441AF4"/>
    <w:rsid w:val="00441CBC"/>
    <w:rsid w:val="00441FFC"/>
    <w:rsid w:val="0044207C"/>
    <w:rsid w:val="00442128"/>
    <w:rsid w:val="00443E1F"/>
    <w:rsid w:val="00443EC1"/>
    <w:rsid w:val="00443EC6"/>
    <w:rsid w:val="004441D6"/>
    <w:rsid w:val="00444240"/>
    <w:rsid w:val="004443E1"/>
    <w:rsid w:val="004469F5"/>
    <w:rsid w:val="00446A96"/>
    <w:rsid w:val="00446B32"/>
    <w:rsid w:val="00447666"/>
    <w:rsid w:val="00447AC9"/>
    <w:rsid w:val="00451433"/>
    <w:rsid w:val="00451471"/>
    <w:rsid w:val="00451E80"/>
    <w:rsid w:val="00452EAE"/>
    <w:rsid w:val="00452FEC"/>
    <w:rsid w:val="00453264"/>
    <w:rsid w:val="00453B7B"/>
    <w:rsid w:val="00453EDB"/>
    <w:rsid w:val="00454613"/>
    <w:rsid w:val="004551F2"/>
    <w:rsid w:val="0045521A"/>
    <w:rsid w:val="0045650E"/>
    <w:rsid w:val="00457981"/>
    <w:rsid w:val="00457990"/>
    <w:rsid w:val="00457EE5"/>
    <w:rsid w:val="0046174C"/>
    <w:rsid w:val="00461CDE"/>
    <w:rsid w:val="00462036"/>
    <w:rsid w:val="0046222A"/>
    <w:rsid w:val="00462B54"/>
    <w:rsid w:val="00463064"/>
    <w:rsid w:val="004631B1"/>
    <w:rsid w:val="0046334D"/>
    <w:rsid w:val="00464118"/>
    <w:rsid w:val="0046484D"/>
    <w:rsid w:val="004649CD"/>
    <w:rsid w:val="00464C37"/>
    <w:rsid w:val="004653EE"/>
    <w:rsid w:val="0046558A"/>
    <w:rsid w:val="004656CF"/>
    <w:rsid w:val="0046685B"/>
    <w:rsid w:val="00467E2B"/>
    <w:rsid w:val="00471411"/>
    <w:rsid w:val="00471A98"/>
    <w:rsid w:val="00471DEC"/>
    <w:rsid w:val="00471F62"/>
    <w:rsid w:val="00472461"/>
    <w:rsid w:val="004724BE"/>
    <w:rsid w:val="004732CA"/>
    <w:rsid w:val="00473C3D"/>
    <w:rsid w:val="00474445"/>
    <w:rsid w:val="0047451E"/>
    <w:rsid w:val="00475C50"/>
    <w:rsid w:val="0047711B"/>
    <w:rsid w:val="00480065"/>
    <w:rsid w:val="00480562"/>
    <w:rsid w:val="00480564"/>
    <w:rsid w:val="004809B8"/>
    <w:rsid w:val="00480FA5"/>
    <w:rsid w:val="00481708"/>
    <w:rsid w:val="004817E9"/>
    <w:rsid w:val="00481CFE"/>
    <w:rsid w:val="004821B9"/>
    <w:rsid w:val="00482758"/>
    <w:rsid w:val="00482DAF"/>
    <w:rsid w:val="00483217"/>
    <w:rsid w:val="0048347E"/>
    <w:rsid w:val="00483A69"/>
    <w:rsid w:val="00484050"/>
    <w:rsid w:val="00484B9B"/>
    <w:rsid w:val="00484D05"/>
    <w:rsid w:val="0048557F"/>
    <w:rsid w:val="00485612"/>
    <w:rsid w:val="00485DD4"/>
    <w:rsid w:val="00485F13"/>
    <w:rsid w:val="00486E2E"/>
    <w:rsid w:val="00487BFA"/>
    <w:rsid w:val="00487D40"/>
    <w:rsid w:val="004902A7"/>
    <w:rsid w:val="004910A6"/>
    <w:rsid w:val="00491CA0"/>
    <w:rsid w:val="00491D88"/>
    <w:rsid w:val="004927D8"/>
    <w:rsid w:val="00492C6D"/>
    <w:rsid w:val="00492D26"/>
    <w:rsid w:val="004930BA"/>
    <w:rsid w:val="0049508D"/>
    <w:rsid w:val="004958AC"/>
    <w:rsid w:val="0049605C"/>
    <w:rsid w:val="004965F7"/>
    <w:rsid w:val="00496605"/>
    <w:rsid w:val="00497552"/>
    <w:rsid w:val="004975AD"/>
    <w:rsid w:val="004A1635"/>
    <w:rsid w:val="004A1D47"/>
    <w:rsid w:val="004A1E3B"/>
    <w:rsid w:val="004A1ED8"/>
    <w:rsid w:val="004A267A"/>
    <w:rsid w:val="004A29BD"/>
    <w:rsid w:val="004A325C"/>
    <w:rsid w:val="004A4236"/>
    <w:rsid w:val="004A4A56"/>
    <w:rsid w:val="004A52DF"/>
    <w:rsid w:val="004A5553"/>
    <w:rsid w:val="004A5F9D"/>
    <w:rsid w:val="004A6101"/>
    <w:rsid w:val="004A687D"/>
    <w:rsid w:val="004A6896"/>
    <w:rsid w:val="004A6B13"/>
    <w:rsid w:val="004A7048"/>
    <w:rsid w:val="004A7EFC"/>
    <w:rsid w:val="004B0A0A"/>
    <w:rsid w:val="004B0B7E"/>
    <w:rsid w:val="004B1125"/>
    <w:rsid w:val="004B12F1"/>
    <w:rsid w:val="004B1C4B"/>
    <w:rsid w:val="004B1DA3"/>
    <w:rsid w:val="004B24D1"/>
    <w:rsid w:val="004B2722"/>
    <w:rsid w:val="004B2D30"/>
    <w:rsid w:val="004B2E78"/>
    <w:rsid w:val="004B3B67"/>
    <w:rsid w:val="004B3BF2"/>
    <w:rsid w:val="004B4507"/>
    <w:rsid w:val="004B4668"/>
    <w:rsid w:val="004B5480"/>
    <w:rsid w:val="004B60CB"/>
    <w:rsid w:val="004B6784"/>
    <w:rsid w:val="004B6883"/>
    <w:rsid w:val="004B6A9B"/>
    <w:rsid w:val="004B6E89"/>
    <w:rsid w:val="004B715E"/>
    <w:rsid w:val="004B7591"/>
    <w:rsid w:val="004B7652"/>
    <w:rsid w:val="004C0650"/>
    <w:rsid w:val="004C1CB5"/>
    <w:rsid w:val="004C2410"/>
    <w:rsid w:val="004C30EF"/>
    <w:rsid w:val="004C3B79"/>
    <w:rsid w:val="004C3E0D"/>
    <w:rsid w:val="004C3E72"/>
    <w:rsid w:val="004C4C26"/>
    <w:rsid w:val="004C5141"/>
    <w:rsid w:val="004C5B26"/>
    <w:rsid w:val="004C5C5F"/>
    <w:rsid w:val="004C5E6F"/>
    <w:rsid w:val="004C641C"/>
    <w:rsid w:val="004C6573"/>
    <w:rsid w:val="004C7105"/>
    <w:rsid w:val="004C776D"/>
    <w:rsid w:val="004C7D58"/>
    <w:rsid w:val="004D07EB"/>
    <w:rsid w:val="004D0A0C"/>
    <w:rsid w:val="004D0A31"/>
    <w:rsid w:val="004D1AB3"/>
    <w:rsid w:val="004D210D"/>
    <w:rsid w:val="004D228F"/>
    <w:rsid w:val="004D263F"/>
    <w:rsid w:val="004D27FF"/>
    <w:rsid w:val="004D2819"/>
    <w:rsid w:val="004D281A"/>
    <w:rsid w:val="004D2F55"/>
    <w:rsid w:val="004D3191"/>
    <w:rsid w:val="004D34A9"/>
    <w:rsid w:val="004D3571"/>
    <w:rsid w:val="004D3F61"/>
    <w:rsid w:val="004D479B"/>
    <w:rsid w:val="004D48C7"/>
    <w:rsid w:val="004D48FD"/>
    <w:rsid w:val="004D4CF4"/>
    <w:rsid w:val="004D4E8E"/>
    <w:rsid w:val="004D55D1"/>
    <w:rsid w:val="004D56AB"/>
    <w:rsid w:val="004D57CC"/>
    <w:rsid w:val="004D6797"/>
    <w:rsid w:val="004D6921"/>
    <w:rsid w:val="004D76E1"/>
    <w:rsid w:val="004D7BA5"/>
    <w:rsid w:val="004D7E42"/>
    <w:rsid w:val="004D7E4C"/>
    <w:rsid w:val="004D7F21"/>
    <w:rsid w:val="004E0003"/>
    <w:rsid w:val="004E094F"/>
    <w:rsid w:val="004E0B48"/>
    <w:rsid w:val="004E1E78"/>
    <w:rsid w:val="004E21C9"/>
    <w:rsid w:val="004E269F"/>
    <w:rsid w:val="004E420A"/>
    <w:rsid w:val="004E4CD9"/>
    <w:rsid w:val="004E4E74"/>
    <w:rsid w:val="004E513E"/>
    <w:rsid w:val="004E55D2"/>
    <w:rsid w:val="004E59E1"/>
    <w:rsid w:val="004E6073"/>
    <w:rsid w:val="004E6719"/>
    <w:rsid w:val="004E6DD8"/>
    <w:rsid w:val="004E7104"/>
    <w:rsid w:val="004E7519"/>
    <w:rsid w:val="004E769A"/>
    <w:rsid w:val="004E7C01"/>
    <w:rsid w:val="004F1BA7"/>
    <w:rsid w:val="004F2222"/>
    <w:rsid w:val="004F2CEA"/>
    <w:rsid w:val="004F2F39"/>
    <w:rsid w:val="004F2F52"/>
    <w:rsid w:val="004F2F59"/>
    <w:rsid w:val="004F31AE"/>
    <w:rsid w:val="004F383C"/>
    <w:rsid w:val="004F3A8E"/>
    <w:rsid w:val="004F3B60"/>
    <w:rsid w:val="004F491F"/>
    <w:rsid w:val="004F4A13"/>
    <w:rsid w:val="004F50DB"/>
    <w:rsid w:val="004F53E2"/>
    <w:rsid w:val="004F58D3"/>
    <w:rsid w:val="004F5CEF"/>
    <w:rsid w:val="004F5F48"/>
    <w:rsid w:val="004F6230"/>
    <w:rsid w:val="004F628E"/>
    <w:rsid w:val="004F6794"/>
    <w:rsid w:val="004F6B3D"/>
    <w:rsid w:val="004F6B5C"/>
    <w:rsid w:val="004F7458"/>
    <w:rsid w:val="004F7531"/>
    <w:rsid w:val="004F7CB3"/>
    <w:rsid w:val="005007BA"/>
    <w:rsid w:val="00500ACD"/>
    <w:rsid w:val="00500D49"/>
    <w:rsid w:val="00501138"/>
    <w:rsid w:val="00501181"/>
    <w:rsid w:val="005012C0"/>
    <w:rsid w:val="005017F8"/>
    <w:rsid w:val="00501F68"/>
    <w:rsid w:val="00501FFE"/>
    <w:rsid w:val="005025AE"/>
    <w:rsid w:val="00503994"/>
    <w:rsid w:val="00503A82"/>
    <w:rsid w:val="00504061"/>
    <w:rsid w:val="0050462E"/>
    <w:rsid w:val="00504A3E"/>
    <w:rsid w:val="00505210"/>
    <w:rsid w:val="00505BAE"/>
    <w:rsid w:val="00505E22"/>
    <w:rsid w:val="005062FE"/>
    <w:rsid w:val="00506956"/>
    <w:rsid w:val="00506973"/>
    <w:rsid w:val="00506993"/>
    <w:rsid w:val="0050707B"/>
    <w:rsid w:val="005074E8"/>
    <w:rsid w:val="00510A00"/>
    <w:rsid w:val="00511267"/>
    <w:rsid w:val="00511662"/>
    <w:rsid w:val="00511CE8"/>
    <w:rsid w:val="00512025"/>
    <w:rsid w:val="00512CC3"/>
    <w:rsid w:val="0051339F"/>
    <w:rsid w:val="005138B1"/>
    <w:rsid w:val="00513E6D"/>
    <w:rsid w:val="00513F21"/>
    <w:rsid w:val="0051407F"/>
    <w:rsid w:val="00514161"/>
    <w:rsid w:val="00514A33"/>
    <w:rsid w:val="00515380"/>
    <w:rsid w:val="0051549E"/>
    <w:rsid w:val="00515802"/>
    <w:rsid w:val="00515B14"/>
    <w:rsid w:val="00515B60"/>
    <w:rsid w:val="0051639F"/>
    <w:rsid w:val="005171F2"/>
    <w:rsid w:val="00517367"/>
    <w:rsid w:val="005176CA"/>
    <w:rsid w:val="0051783F"/>
    <w:rsid w:val="00517B22"/>
    <w:rsid w:val="00520D09"/>
    <w:rsid w:val="0052116B"/>
    <w:rsid w:val="005213EB"/>
    <w:rsid w:val="00521758"/>
    <w:rsid w:val="00522660"/>
    <w:rsid w:val="005236C0"/>
    <w:rsid w:val="00523DCF"/>
    <w:rsid w:val="00524A7D"/>
    <w:rsid w:val="005253CA"/>
    <w:rsid w:val="005259C4"/>
    <w:rsid w:val="005260FD"/>
    <w:rsid w:val="00527084"/>
    <w:rsid w:val="00527486"/>
    <w:rsid w:val="00527BAD"/>
    <w:rsid w:val="00530736"/>
    <w:rsid w:val="005324CF"/>
    <w:rsid w:val="00532CB2"/>
    <w:rsid w:val="00532D10"/>
    <w:rsid w:val="005333D0"/>
    <w:rsid w:val="0053371D"/>
    <w:rsid w:val="0053539E"/>
    <w:rsid w:val="00535C83"/>
    <w:rsid w:val="00536010"/>
    <w:rsid w:val="00536198"/>
    <w:rsid w:val="00537146"/>
    <w:rsid w:val="00537904"/>
    <w:rsid w:val="00537A77"/>
    <w:rsid w:val="00537C83"/>
    <w:rsid w:val="0054081B"/>
    <w:rsid w:val="00540C8C"/>
    <w:rsid w:val="0054154D"/>
    <w:rsid w:val="00541A14"/>
    <w:rsid w:val="00543462"/>
    <w:rsid w:val="00543F9C"/>
    <w:rsid w:val="00544774"/>
    <w:rsid w:val="00544BF1"/>
    <w:rsid w:val="00545D06"/>
    <w:rsid w:val="005461AA"/>
    <w:rsid w:val="005462D0"/>
    <w:rsid w:val="00546D39"/>
    <w:rsid w:val="00546F85"/>
    <w:rsid w:val="005472F3"/>
    <w:rsid w:val="00547A88"/>
    <w:rsid w:val="00547AED"/>
    <w:rsid w:val="0055047F"/>
    <w:rsid w:val="0055087D"/>
    <w:rsid w:val="00550E84"/>
    <w:rsid w:val="0055131D"/>
    <w:rsid w:val="00551368"/>
    <w:rsid w:val="0055141A"/>
    <w:rsid w:val="00552809"/>
    <w:rsid w:val="00552C50"/>
    <w:rsid w:val="00552CD2"/>
    <w:rsid w:val="00552F7C"/>
    <w:rsid w:val="00553355"/>
    <w:rsid w:val="00553D16"/>
    <w:rsid w:val="00554894"/>
    <w:rsid w:val="00554F08"/>
    <w:rsid w:val="0055587F"/>
    <w:rsid w:val="00555AE0"/>
    <w:rsid w:val="00555BB8"/>
    <w:rsid w:val="00556028"/>
    <w:rsid w:val="005569AA"/>
    <w:rsid w:val="00557296"/>
    <w:rsid w:val="005577B0"/>
    <w:rsid w:val="00560192"/>
    <w:rsid w:val="005608D4"/>
    <w:rsid w:val="00561241"/>
    <w:rsid w:val="00561DF7"/>
    <w:rsid w:val="00562084"/>
    <w:rsid w:val="00562C88"/>
    <w:rsid w:val="005630A9"/>
    <w:rsid w:val="005632E4"/>
    <w:rsid w:val="00563A0D"/>
    <w:rsid w:val="00563DF2"/>
    <w:rsid w:val="00564B82"/>
    <w:rsid w:val="00564C58"/>
    <w:rsid w:val="00564E6A"/>
    <w:rsid w:val="00565DB9"/>
    <w:rsid w:val="0056656D"/>
    <w:rsid w:val="00566CD6"/>
    <w:rsid w:val="0056745F"/>
    <w:rsid w:val="00567562"/>
    <w:rsid w:val="00567DE1"/>
    <w:rsid w:val="00570EED"/>
    <w:rsid w:val="00570F18"/>
    <w:rsid w:val="005716FC"/>
    <w:rsid w:val="0057198F"/>
    <w:rsid w:val="00571D2A"/>
    <w:rsid w:val="00571FE8"/>
    <w:rsid w:val="005723C9"/>
    <w:rsid w:val="00572EF2"/>
    <w:rsid w:val="00574CA3"/>
    <w:rsid w:val="005754ED"/>
    <w:rsid w:val="00575AE0"/>
    <w:rsid w:val="00575B53"/>
    <w:rsid w:val="00575DEF"/>
    <w:rsid w:val="00577004"/>
    <w:rsid w:val="005771AB"/>
    <w:rsid w:val="005771F0"/>
    <w:rsid w:val="005778C8"/>
    <w:rsid w:val="005778EF"/>
    <w:rsid w:val="00577A25"/>
    <w:rsid w:val="00577A7F"/>
    <w:rsid w:val="0058013F"/>
    <w:rsid w:val="00580238"/>
    <w:rsid w:val="0058131B"/>
    <w:rsid w:val="00581569"/>
    <w:rsid w:val="005816FA"/>
    <w:rsid w:val="0058248A"/>
    <w:rsid w:val="005826EA"/>
    <w:rsid w:val="00582EEF"/>
    <w:rsid w:val="00583A33"/>
    <w:rsid w:val="00583BED"/>
    <w:rsid w:val="00583DAA"/>
    <w:rsid w:val="00584619"/>
    <w:rsid w:val="00584B3C"/>
    <w:rsid w:val="005852F7"/>
    <w:rsid w:val="0058546C"/>
    <w:rsid w:val="005854C4"/>
    <w:rsid w:val="00585A20"/>
    <w:rsid w:val="005867D2"/>
    <w:rsid w:val="00587E4E"/>
    <w:rsid w:val="0059013D"/>
    <w:rsid w:val="005909A8"/>
    <w:rsid w:val="00590D4E"/>
    <w:rsid w:val="00591C16"/>
    <w:rsid w:val="00592808"/>
    <w:rsid w:val="00592A8E"/>
    <w:rsid w:val="00592B45"/>
    <w:rsid w:val="0059339B"/>
    <w:rsid w:val="00593FA4"/>
    <w:rsid w:val="00594376"/>
    <w:rsid w:val="00594F6F"/>
    <w:rsid w:val="005956B6"/>
    <w:rsid w:val="00596154"/>
    <w:rsid w:val="005963CC"/>
    <w:rsid w:val="00596C9B"/>
    <w:rsid w:val="00596DD8"/>
    <w:rsid w:val="00596E19"/>
    <w:rsid w:val="005978AA"/>
    <w:rsid w:val="0059794D"/>
    <w:rsid w:val="005979AF"/>
    <w:rsid w:val="00597AA8"/>
    <w:rsid w:val="005A0E45"/>
    <w:rsid w:val="005A1C71"/>
    <w:rsid w:val="005A1E2E"/>
    <w:rsid w:val="005A2049"/>
    <w:rsid w:val="005A206F"/>
    <w:rsid w:val="005A241E"/>
    <w:rsid w:val="005A27FB"/>
    <w:rsid w:val="005A28B4"/>
    <w:rsid w:val="005A359E"/>
    <w:rsid w:val="005A3C9B"/>
    <w:rsid w:val="005A4060"/>
    <w:rsid w:val="005A4A43"/>
    <w:rsid w:val="005A512A"/>
    <w:rsid w:val="005A61A7"/>
    <w:rsid w:val="005A627D"/>
    <w:rsid w:val="005A6C33"/>
    <w:rsid w:val="005A6FED"/>
    <w:rsid w:val="005A70E5"/>
    <w:rsid w:val="005B05E7"/>
    <w:rsid w:val="005B0AE8"/>
    <w:rsid w:val="005B0F5B"/>
    <w:rsid w:val="005B166A"/>
    <w:rsid w:val="005B1A25"/>
    <w:rsid w:val="005B1B3E"/>
    <w:rsid w:val="005B1BC4"/>
    <w:rsid w:val="005B2836"/>
    <w:rsid w:val="005B36F3"/>
    <w:rsid w:val="005B3C66"/>
    <w:rsid w:val="005B544F"/>
    <w:rsid w:val="005B5CD0"/>
    <w:rsid w:val="005B63CD"/>
    <w:rsid w:val="005B6661"/>
    <w:rsid w:val="005B668D"/>
    <w:rsid w:val="005B6894"/>
    <w:rsid w:val="005B6ED8"/>
    <w:rsid w:val="005B6FEC"/>
    <w:rsid w:val="005B7121"/>
    <w:rsid w:val="005B779C"/>
    <w:rsid w:val="005B7B47"/>
    <w:rsid w:val="005C01A8"/>
    <w:rsid w:val="005C072C"/>
    <w:rsid w:val="005C0CBB"/>
    <w:rsid w:val="005C0E15"/>
    <w:rsid w:val="005C1384"/>
    <w:rsid w:val="005C13B2"/>
    <w:rsid w:val="005C17A1"/>
    <w:rsid w:val="005C27E3"/>
    <w:rsid w:val="005C33AA"/>
    <w:rsid w:val="005C37CB"/>
    <w:rsid w:val="005C3BE8"/>
    <w:rsid w:val="005C3FE3"/>
    <w:rsid w:val="005C459C"/>
    <w:rsid w:val="005C45B5"/>
    <w:rsid w:val="005C6A5C"/>
    <w:rsid w:val="005C71FB"/>
    <w:rsid w:val="005D14B9"/>
    <w:rsid w:val="005D1A9F"/>
    <w:rsid w:val="005D292F"/>
    <w:rsid w:val="005D2A87"/>
    <w:rsid w:val="005D34EA"/>
    <w:rsid w:val="005D40A9"/>
    <w:rsid w:val="005D42BD"/>
    <w:rsid w:val="005D4661"/>
    <w:rsid w:val="005D4FE1"/>
    <w:rsid w:val="005D5075"/>
    <w:rsid w:val="005D50C0"/>
    <w:rsid w:val="005D5295"/>
    <w:rsid w:val="005D52FA"/>
    <w:rsid w:val="005D5A5A"/>
    <w:rsid w:val="005D600F"/>
    <w:rsid w:val="005D63BA"/>
    <w:rsid w:val="005D6612"/>
    <w:rsid w:val="005D66F5"/>
    <w:rsid w:val="005D6BAB"/>
    <w:rsid w:val="005D706A"/>
    <w:rsid w:val="005D7368"/>
    <w:rsid w:val="005D777B"/>
    <w:rsid w:val="005D7EBF"/>
    <w:rsid w:val="005E05A1"/>
    <w:rsid w:val="005E0665"/>
    <w:rsid w:val="005E0B82"/>
    <w:rsid w:val="005E0D78"/>
    <w:rsid w:val="005E1726"/>
    <w:rsid w:val="005E266F"/>
    <w:rsid w:val="005E2DB2"/>
    <w:rsid w:val="005E38DE"/>
    <w:rsid w:val="005E3F34"/>
    <w:rsid w:val="005E5734"/>
    <w:rsid w:val="005E5741"/>
    <w:rsid w:val="005E5EC3"/>
    <w:rsid w:val="005E61B6"/>
    <w:rsid w:val="005E7016"/>
    <w:rsid w:val="005E73CE"/>
    <w:rsid w:val="005E77E3"/>
    <w:rsid w:val="005F04B1"/>
    <w:rsid w:val="005F0616"/>
    <w:rsid w:val="005F07DC"/>
    <w:rsid w:val="005F0C34"/>
    <w:rsid w:val="005F0FB4"/>
    <w:rsid w:val="005F1575"/>
    <w:rsid w:val="005F1794"/>
    <w:rsid w:val="005F21FB"/>
    <w:rsid w:val="005F257C"/>
    <w:rsid w:val="005F25BE"/>
    <w:rsid w:val="005F3DAA"/>
    <w:rsid w:val="005F4421"/>
    <w:rsid w:val="005F4927"/>
    <w:rsid w:val="005F49F4"/>
    <w:rsid w:val="005F4D34"/>
    <w:rsid w:val="005F4E65"/>
    <w:rsid w:val="005F59E5"/>
    <w:rsid w:val="005F5A0F"/>
    <w:rsid w:val="005F5EDF"/>
    <w:rsid w:val="005F64FB"/>
    <w:rsid w:val="005F6BBB"/>
    <w:rsid w:val="005F6C45"/>
    <w:rsid w:val="005F71EC"/>
    <w:rsid w:val="005F789F"/>
    <w:rsid w:val="006000CD"/>
    <w:rsid w:val="00600265"/>
    <w:rsid w:val="00601EB9"/>
    <w:rsid w:val="006022D0"/>
    <w:rsid w:val="006023C4"/>
    <w:rsid w:val="0060251E"/>
    <w:rsid w:val="00602DDE"/>
    <w:rsid w:val="0060339B"/>
    <w:rsid w:val="00603552"/>
    <w:rsid w:val="00603B05"/>
    <w:rsid w:val="00604539"/>
    <w:rsid w:val="006046E4"/>
    <w:rsid w:val="00604BC5"/>
    <w:rsid w:val="00605037"/>
    <w:rsid w:val="00605E0D"/>
    <w:rsid w:val="00606B37"/>
    <w:rsid w:val="00607376"/>
    <w:rsid w:val="00607CC3"/>
    <w:rsid w:val="006102AC"/>
    <w:rsid w:val="0061038C"/>
    <w:rsid w:val="006106C1"/>
    <w:rsid w:val="00610B28"/>
    <w:rsid w:val="00610ED5"/>
    <w:rsid w:val="0061169D"/>
    <w:rsid w:val="00611737"/>
    <w:rsid w:val="00611C0D"/>
    <w:rsid w:val="00611C1D"/>
    <w:rsid w:val="00612822"/>
    <w:rsid w:val="00612904"/>
    <w:rsid w:val="00612C40"/>
    <w:rsid w:val="00612E32"/>
    <w:rsid w:val="00612FDD"/>
    <w:rsid w:val="006136FB"/>
    <w:rsid w:val="00613ECE"/>
    <w:rsid w:val="006148C3"/>
    <w:rsid w:val="00614B35"/>
    <w:rsid w:val="00614DE8"/>
    <w:rsid w:val="00617108"/>
    <w:rsid w:val="00617211"/>
    <w:rsid w:val="0061750E"/>
    <w:rsid w:val="00617637"/>
    <w:rsid w:val="0061784D"/>
    <w:rsid w:val="00617B8B"/>
    <w:rsid w:val="00617C86"/>
    <w:rsid w:val="00617F79"/>
    <w:rsid w:val="00620231"/>
    <w:rsid w:val="006207B2"/>
    <w:rsid w:val="00620AFF"/>
    <w:rsid w:val="00622206"/>
    <w:rsid w:val="00622388"/>
    <w:rsid w:val="00622669"/>
    <w:rsid w:val="00622B1A"/>
    <w:rsid w:val="00622E0B"/>
    <w:rsid w:val="00622FE1"/>
    <w:rsid w:val="00623438"/>
    <w:rsid w:val="006237DE"/>
    <w:rsid w:val="00623960"/>
    <w:rsid w:val="0062416C"/>
    <w:rsid w:val="006241BC"/>
    <w:rsid w:val="00624F7C"/>
    <w:rsid w:val="00625104"/>
    <w:rsid w:val="006253B7"/>
    <w:rsid w:val="00625C77"/>
    <w:rsid w:val="00625CE5"/>
    <w:rsid w:val="00625EE9"/>
    <w:rsid w:val="00626216"/>
    <w:rsid w:val="006267E9"/>
    <w:rsid w:val="00626F07"/>
    <w:rsid w:val="0062707D"/>
    <w:rsid w:val="0062756D"/>
    <w:rsid w:val="00630256"/>
    <w:rsid w:val="00630C5E"/>
    <w:rsid w:val="00630CFB"/>
    <w:rsid w:val="00631873"/>
    <w:rsid w:val="00631BCE"/>
    <w:rsid w:val="00631E00"/>
    <w:rsid w:val="00632459"/>
    <w:rsid w:val="00632E50"/>
    <w:rsid w:val="0063440B"/>
    <w:rsid w:val="00634826"/>
    <w:rsid w:val="00634B42"/>
    <w:rsid w:val="00635027"/>
    <w:rsid w:val="006355C4"/>
    <w:rsid w:val="00636694"/>
    <w:rsid w:val="00636CE2"/>
    <w:rsid w:val="00637170"/>
    <w:rsid w:val="00637208"/>
    <w:rsid w:val="00637CBA"/>
    <w:rsid w:val="00640962"/>
    <w:rsid w:val="00641AAE"/>
    <w:rsid w:val="00641CDC"/>
    <w:rsid w:val="00641D96"/>
    <w:rsid w:val="006423AA"/>
    <w:rsid w:val="0064319B"/>
    <w:rsid w:val="00643787"/>
    <w:rsid w:val="00643AF4"/>
    <w:rsid w:val="00643E35"/>
    <w:rsid w:val="0064422A"/>
    <w:rsid w:val="00644251"/>
    <w:rsid w:val="00644A7B"/>
    <w:rsid w:val="00644D3A"/>
    <w:rsid w:val="00644FC4"/>
    <w:rsid w:val="00644FE1"/>
    <w:rsid w:val="006470C4"/>
    <w:rsid w:val="00647163"/>
    <w:rsid w:val="0064722E"/>
    <w:rsid w:val="006507D7"/>
    <w:rsid w:val="00650E6D"/>
    <w:rsid w:val="006512D6"/>
    <w:rsid w:val="00652880"/>
    <w:rsid w:val="00652C3A"/>
    <w:rsid w:val="00652DB7"/>
    <w:rsid w:val="00653268"/>
    <w:rsid w:val="0065394F"/>
    <w:rsid w:val="00653B1B"/>
    <w:rsid w:val="006541F5"/>
    <w:rsid w:val="0065435B"/>
    <w:rsid w:val="006543BA"/>
    <w:rsid w:val="00654B70"/>
    <w:rsid w:val="006553F3"/>
    <w:rsid w:val="006556D1"/>
    <w:rsid w:val="006556D9"/>
    <w:rsid w:val="006564CB"/>
    <w:rsid w:val="00657123"/>
    <w:rsid w:val="00657189"/>
    <w:rsid w:val="0065724E"/>
    <w:rsid w:val="00657634"/>
    <w:rsid w:val="00657F90"/>
    <w:rsid w:val="006613C0"/>
    <w:rsid w:val="0066194E"/>
    <w:rsid w:val="00661C46"/>
    <w:rsid w:val="0066202F"/>
    <w:rsid w:val="00663DFB"/>
    <w:rsid w:val="006644E1"/>
    <w:rsid w:val="00664597"/>
    <w:rsid w:val="006645EC"/>
    <w:rsid w:val="00664642"/>
    <w:rsid w:val="00665196"/>
    <w:rsid w:val="006652D3"/>
    <w:rsid w:val="00665888"/>
    <w:rsid w:val="00665D9C"/>
    <w:rsid w:val="00666CBE"/>
    <w:rsid w:val="00667BC6"/>
    <w:rsid w:val="00667CF3"/>
    <w:rsid w:val="00667F94"/>
    <w:rsid w:val="00670380"/>
    <w:rsid w:val="006706C5"/>
    <w:rsid w:val="00670C07"/>
    <w:rsid w:val="00670F81"/>
    <w:rsid w:val="00671047"/>
    <w:rsid w:val="006719B2"/>
    <w:rsid w:val="00672C45"/>
    <w:rsid w:val="0067319C"/>
    <w:rsid w:val="00673DC1"/>
    <w:rsid w:val="00675370"/>
    <w:rsid w:val="006758C9"/>
    <w:rsid w:val="00675A5F"/>
    <w:rsid w:val="0067642B"/>
    <w:rsid w:val="006769C4"/>
    <w:rsid w:val="00676C6F"/>
    <w:rsid w:val="00676EE2"/>
    <w:rsid w:val="0067720A"/>
    <w:rsid w:val="00677627"/>
    <w:rsid w:val="00677BD5"/>
    <w:rsid w:val="00677E3C"/>
    <w:rsid w:val="0068025E"/>
    <w:rsid w:val="0068051B"/>
    <w:rsid w:val="00680CB5"/>
    <w:rsid w:val="00680EC8"/>
    <w:rsid w:val="0068150F"/>
    <w:rsid w:val="00681E2F"/>
    <w:rsid w:val="0068202D"/>
    <w:rsid w:val="00682487"/>
    <w:rsid w:val="00682689"/>
    <w:rsid w:val="00682777"/>
    <w:rsid w:val="00682E55"/>
    <w:rsid w:val="00683722"/>
    <w:rsid w:val="00684044"/>
    <w:rsid w:val="006843F6"/>
    <w:rsid w:val="006851A2"/>
    <w:rsid w:val="00686118"/>
    <w:rsid w:val="006861C0"/>
    <w:rsid w:val="00686596"/>
    <w:rsid w:val="00686CC2"/>
    <w:rsid w:val="00687C97"/>
    <w:rsid w:val="00687F4B"/>
    <w:rsid w:val="00690265"/>
    <w:rsid w:val="00690324"/>
    <w:rsid w:val="00690E71"/>
    <w:rsid w:val="00690F98"/>
    <w:rsid w:val="00691459"/>
    <w:rsid w:val="00692CED"/>
    <w:rsid w:val="00692E46"/>
    <w:rsid w:val="00693784"/>
    <w:rsid w:val="00693C87"/>
    <w:rsid w:val="00693D3E"/>
    <w:rsid w:val="00694516"/>
    <w:rsid w:val="0069457A"/>
    <w:rsid w:val="00694D53"/>
    <w:rsid w:val="00694FD4"/>
    <w:rsid w:val="00695FCA"/>
    <w:rsid w:val="00696335"/>
    <w:rsid w:val="0069642A"/>
    <w:rsid w:val="006976BB"/>
    <w:rsid w:val="00697AC9"/>
    <w:rsid w:val="00697D19"/>
    <w:rsid w:val="006A05C7"/>
    <w:rsid w:val="006A08CA"/>
    <w:rsid w:val="006A102D"/>
    <w:rsid w:val="006A11E4"/>
    <w:rsid w:val="006A16F0"/>
    <w:rsid w:val="006A2AB9"/>
    <w:rsid w:val="006A2DB4"/>
    <w:rsid w:val="006A4C2D"/>
    <w:rsid w:val="006A4E52"/>
    <w:rsid w:val="006A4FC8"/>
    <w:rsid w:val="006A55E1"/>
    <w:rsid w:val="006A607B"/>
    <w:rsid w:val="006A6E27"/>
    <w:rsid w:val="006A6EAD"/>
    <w:rsid w:val="006A72B0"/>
    <w:rsid w:val="006A74E5"/>
    <w:rsid w:val="006B02C4"/>
    <w:rsid w:val="006B075C"/>
    <w:rsid w:val="006B0B45"/>
    <w:rsid w:val="006B2EC0"/>
    <w:rsid w:val="006B363D"/>
    <w:rsid w:val="006B36AE"/>
    <w:rsid w:val="006B3980"/>
    <w:rsid w:val="006B3E4D"/>
    <w:rsid w:val="006B417B"/>
    <w:rsid w:val="006B5091"/>
    <w:rsid w:val="006B50B8"/>
    <w:rsid w:val="006B5D79"/>
    <w:rsid w:val="006B5FBC"/>
    <w:rsid w:val="006B654C"/>
    <w:rsid w:val="006B6AEF"/>
    <w:rsid w:val="006C13A3"/>
    <w:rsid w:val="006C2C86"/>
    <w:rsid w:val="006C2D1A"/>
    <w:rsid w:val="006C302E"/>
    <w:rsid w:val="006C34A1"/>
    <w:rsid w:val="006C4043"/>
    <w:rsid w:val="006C41ED"/>
    <w:rsid w:val="006C4950"/>
    <w:rsid w:val="006C52B9"/>
    <w:rsid w:val="006C559A"/>
    <w:rsid w:val="006C58E3"/>
    <w:rsid w:val="006C5CDD"/>
    <w:rsid w:val="006C5D0C"/>
    <w:rsid w:val="006C7FB8"/>
    <w:rsid w:val="006D1A50"/>
    <w:rsid w:val="006D1DFE"/>
    <w:rsid w:val="006D20A4"/>
    <w:rsid w:val="006D2560"/>
    <w:rsid w:val="006D328B"/>
    <w:rsid w:val="006D41CE"/>
    <w:rsid w:val="006D460E"/>
    <w:rsid w:val="006D472A"/>
    <w:rsid w:val="006D4861"/>
    <w:rsid w:val="006D5201"/>
    <w:rsid w:val="006D5313"/>
    <w:rsid w:val="006D5510"/>
    <w:rsid w:val="006D55C0"/>
    <w:rsid w:val="006D5886"/>
    <w:rsid w:val="006D661F"/>
    <w:rsid w:val="006D6989"/>
    <w:rsid w:val="006D6F24"/>
    <w:rsid w:val="006D71E0"/>
    <w:rsid w:val="006E058C"/>
    <w:rsid w:val="006E0922"/>
    <w:rsid w:val="006E0F5D"/>
    <w:rsid w:val="006E0FA4"/>
    <w:rsid w:val="006E1629"/>
    <w:rsid w:val="006E2429"/>
    <w:rsid w:val="006E2656"/>
    <w:rsid w:val="006E2BB3"/>
    <w:rsid w:val="006E335E"/>
    <w:rsid w:val="006E4021"/>
    <w:rsid w:val="006E41AC"/>
    <w:rsid w:val="006E4654"/>
    <w:rsid w:val="006E4657"/>
    <w:rsid w:val="006E4853"/>
    <w:rsid w:val="006E48EE"/>
    <w:rsid w:val="006E50E1"/>
    <w:rsid w:val="006E5147"/>
    <w:rsid w:val="006E5934"/>
    <w:rsid w:val="006E6779"/>
    <w:rsid w:val="006E6BC2"/>
    <w:rsid w:val="006E77A5"/>
    <w:rsid w:val="006E77BB"/>
    <w:rsid w:val="006F061C"/>
    <w:rsid w:val="006F07C4"/>
    <w:rsid w:val="006F0800"/>
    <w:rsid w:val="006F08FA"/>
    <w:rsid w:val="006F1024"/>
    <w:rsid w:val="006F13E0"/>
    <w:rsid w:val="006F23B7"/>
    <w:rsid w:val="006F2A0D"/>
    <w:rsid w:val="006F3ABE"/>
    <w:rsid w:val="006F3C1F"/>
    <w:rsid w:val="006F53AE"/>
    <w:rsid w:val="006F6303"/>
    <w:rsid w:val="006F6316"/>
    <w:rsid w:val="006F6602"/>
    <w:rsid w:val="006F6885"/>
    <w:rsid w:val="006F7DEF"/>
    <w:rsid w:val="00700194"/>
    <w:rsid w:val="007011CC"/>
    <w:rsid w:val="0070150E"/>
    <w:rsid w:val="007016DD"/>
    <w:rsid w:val="00701CC3"/>
    <w:rsid w:val="00703238"/>
    <w:rsid w:val="00703402"/>
    <w:rsid w:val="00703C27"/>
    <w:rsid w:val="00703F05"/>
    <w:rsid w:val="007043D6"/>
    <w:rsid w:val="00705DB8"/>
    <w:rsid w:val="0070625C"/>
    <w:rsid w:val="00706EF4"/>
    <w:rsid w:val="007070CC"/>
    <w:rsid w:val="00707BBA"/>
    <w:rsid w:val="00707FE1"/>
    <w:rsid w:val="00710349"/>
    <w:rsid w:val="0071054F"/>
    <w:rsid w:val="0071079B"/>
    <w:rsid w:val="00711412"/>
    <w:rsid w:val="00711738"/>
    <w:rsid w:val="00711C71"/>
    <w:rsid w:val="00713225"/>
    <w:rsid w:val="00713BB3"/>
    <w:rsid w:val="007140E8"/>
    <w:rsid w:val="00714F97"/>
    <w:rsid w:val="0071717E"/>
    <w:rsid w:val="00717B1C"/>
    <w:rsid w:val="007205E1"/>
    <w:rsid w:val="00721826"/>
    <w:rsid w:val="00721C77"/>
    <w:rsid w:val="00721D8C"/>
    <w:rsid w:val="00721EDC"/>
    <w:rsid w:val="00722B70"/>
    <w:rsid w:val="00722B7A"/>
    <w:rsid w:val="00722D6F"/>
    <w:rsid w:val="00723770"/>
    <w:rsid w:val="00723956"/>
    <w:rsid w:val="00723A08"/>
    <w:rsid w:val="0072512A"/>
    <w:rsid w:val="007264B1"/>
    <w:rsid w:val="00726C80"/>
    <w:rsid w:val="00726F11"/>
    <w:rsid w:val="00727517"/>
    <w:rsid w:val="00727529"/>
    <w:rsid w:val="00727930"/>
    <w:rsid w:val="00731EE6"/>
    <w:rsid w:val="00731FD0"/>
    <w:rsid w:val="007326B4"/>
    <w:rsid w:val="00732D7D"/>
    <w:rsid w:val="0073347A"/>
    <w:rsid w:val="0073356D"/>
    <w:rsid w:val="007338C2"/>
    <w:rsid w:val="00733C7B"/>
    <w:rsid w:val="007343D5"/>
    <w:rsid w:val="00734521"/>
    <w:rsid w:val="00734D16"/>
    <w:rsid w:val="00734F40"/>
    <w:rsid w:val="00735025"/>
    <w:rsid w:val="00735160"/>
    <w:rsid w:val="007355A6"/>
    <w:rsid w:val="00735F56"/>
    <w:rsid w:val="007368D0"/>
    <w:rsid w:val="00736915"/>
    <w:rsid w:val="007378CA"/>
    <w:rsid w:val="00737E19"/>
    <w:rsid w:val="00737F87"/>
    <w:rsid w:val="00740A71"/>
    <w:rsid w:val="00741167"/>
    <w:rsid w:val="0074146C"/>
    <w:rsid w:val="007425D3"/>
    <w:rsid w:val="00743047"/>
    <w:rsid w:val="00743E88"/>
    <w:rsid w:val="00743F25"/>
    <w:rsid w:val="00744015"/>
    <w:rsid w:val="00744041"/>
    <w:rsid w:val="0074436B"/>
    <w:rsid w:val="00744691"/>
    <w:rsid w:val="00744CC6"/>
    <w:rsid w:val="007460DA"/>
    <w:rsid w:val="00747126"/>
    <w:rsid w:val="007477C5"/>
    <w:rsid w:val="0074792C"/>
    <w:rsid w:val="00747938"/>
    <w:rsid w:val="007500E2"/>
    <w:rsid w:val="007511C2"/>
    <w:rsid w:val="00751551"/>
    <w:rsid w:val="00752223"/>
    <w:rsid w:val="0075265A"/>
    <w:rsid w:val="00752DD8"/>
    <w:rsid w:val="007532FA"/>
    <w:rsid w:val="00753607"/>
    <w:rsid w:val="0075377A"/>
    <w:rsid w:val="00755467"/>
    <w:rsid w:val="00755817"/>
    <w:rsid w:val="00755E5C"/>
    <w:rsid w:val="00757CF3"/>
    <w:rsid w:val="00760148"/>
    <w:rsid w:val="00760768"/>
    <w:rsid w:val="00760E55"/>
    <w:rsid w:val="0076106B"/>
    <w:rsid w:val="00761A7B"/>
    <w:rsid w:val="00761B62"/>
    <w:rsid w:val="00762AFB"/>
    <w:rsid w:val="00763388"/>
    <w:rsid w:val="007633D4"/>
    <w:rsid w:val="007637BC"/>
    <w:rsid w:val="00763970"/>
    <w:rsid w:val="007639D9"/>
    <w:rsid w:val="007640AF"/>
    <w:rsid w:val="00764B31"/>
    <w:rsid w:val="00764B5D"/>
    <w:rsid w:val="00764FD5"/>
    <w:rsid w:val="007656CA"/>
    <w:rsid w:val="00765ADD"/>
    <w:rsid w:val="00765BA8"/>
    <w:rsid w:val="00766007"/>
    <w:rsid w:val="00767768"/>
    <w:rsid w:val="00767FFC"/>
    <w:rsid w:val="0077018F"/>
    <w:rsid w:val="00770239"/>
    <w:rsid w:val="00770A26"/>
    <w:rsid w:val="0077163A"/>
    <w:rsid w:val="007719F4"/>
    <w:rsid w:val="00771FB5"/>
    <w:rsid w:val="007726FA"/>
    <w:rsid w:val="00772945"/>
    <w:rsid w:val="00773481"/>
    <w:rsid w:val="007741E7"/>
    <w:rsid w:val="00774814"/>
    <w:rsid w:val="00775C59"/>
    <w:rsid w:val="00776542"/>
    <w:rsid w:val="00777ADC"/>
    <w:rsid w:val="00780EAF"/>
    <w:rsid w:val="00781315"/>
    <w:rsid w:val="0078159F"/>
    <w:rsid w:val="00781E7D"/>
    <w:rsid w:val="00781FA6"/>
    <w:rsid w:val="00782B07"/>
    <w:rsid w:val="00782DFC"/>
    <w:rsid w:val="00782EC4"/>
    <w:rsid w:val="00783153"/>
    <w:rsid w:val="00784B98"/>
    <w:rsid w:val="00786A77"/>
    <w:rsid w:val="00786BCE"/>
    <w:rsid w:val="007874B3"/>
    <w:rsid w:val="00787807"/>
    <w:rsid w:val="00787A15"/>
    <w:rsid w:val="0079001F"/>
    <w:rsid w:val="007904EA"/>
    <w:rsid w:val="00790767"/>
    <w:rsid w:val="0079091E"/>
    <w:rsid w:val="007914B8"/>
    <w:rsid w:val="00791A84"/>
    <w:rsid w:val="00792431"/>
    <w:rsid w:val="0079353C"/>
    <w:rsid w:val="00793541"/>
    <w:rsid w:val="00794E6A"/>
    <w:rsid w:val="007954CF"/>
    <w:rsid w:val="00795730"/>
    <w:rsid w:val="00795E77"/>
    <w:rsid w:val="0079691E"/>
    <w:rsid w:val="00796CD0"/>
    <w:rsid w:val="00796E5B"/>
    <w:rsid w:val="00796E96"/>
    <w:rsid w:val="007A04E1"/>
    <w:rsid w:val="007A06CB"/>
    <w:rsid w:val="007A092C"/>
    <w:rsid w:val="007A1364"/>
    <w:rsid w:val="007A1785"/>
    <w:rsid w:val="007A1889"/>
    <w:rsid w:val="007A1939"/>
    <w:rsid w:val="007A209E"/>
    <w:rsid w:val="007A2485"/>
    <w:rsid w:val="007A24A0"/>
    <w:rsid w:val="007A265A"/>
    <w:rsid w:val="007A2720"/>
    <w:rsid w:val="007A2938"/>
    <w:rsid w:val="007A2E83"/>
    <w:rsid w:val="007A332C"/>
    <w:rsid w:val="007A3573"/>
    <w:rsid w:val="007A35AC"/>
    <w:rsid w:val="007A36DB"/>
    <w:rsid w:val="007A3E19"/>
    <w:rsid w:val="007A3FC1"/>
    <w:rsid w:val="007A41A1"/>
    <w:rsid w:val="007A4377"/>
    <w:rsid w:val="007A4637"/>
    <w:rsid w:val="007A48CA"/>
    <w:rsid w:val="007A48FE"/>
    <w:rsid w:val="007A4AB2"/>
    <w:rsid w:val="007A4E13"/>
    <w:rsid w:val="007A58DD"/>
    <w:rsid w:val="007A5E68"/>
    <w:rsid w:val="007A7825"/>
    <w:rsid w:val="007A7CC6"/>
    <w:rsid w:val="007A7E8C"/>
    <w:rsid w:val="007B08C9"/>
    <w:rsid w:val="007B0E20"/>
    <w:rsid w:val="007B14FD"/>
    <w:rsid w:val="007B18D5"/>
    <w:rsid w:val="007B1BF7"/>
    <w:rsid w:val="007B25E9"/>
    <w:rsid w:val="007B2892"/>
    <w:rsid w:val="007B295A"/>
    <w:rsid w:val="007B33E5"/>
    <w:rsid w:val="007B3C14"/>
    <w:rsid w:val="007B46A6"/>
    <w:rsid w:val="007B46CC"/>
    <w:rsid w:val="007B4A59"/>
    <w:rsid w:val="007B5B32"/>
    <w:rsid w:val="007B629E"/>
    <w:rsid w:val="007B63CF"/>
    <w:rsid w:val="007B6ADE"/>
    <w:rsid w:val="007B6AEE"/>
    <w:rsid w:val="007C06B2"/>
    <w:rsid w:val="007C10CC"/>
    <w:rsid w:val="007C11C1"/>
    <w:rsid w:val="007C38B5"/>
    <w:rsid w:val="007C3C56"/>
    <w:rsid w:val="007C404B"/>
    <w:rsid w:val="007C4187"/>
    <w:rsid w:val="007C41A0"/>
    <w:rsid w:val="007C4254"/>
    <w:rsid w:val="007C4BAE"/>
    <w:rsid w:val="007C667A"/>
    <w:rsid w:val="007C6F2E"/>
    <w:rsid w:val="007C764E"/>
    <w:rsid w:val="007C7BC6"/>
    <w:rsid w:val="007D044C"/>
    <w:rsid w:val="007D1D3B"/>
    <w:rsid w:val="007D2278"/>
    <w:rsid w:val="007D3165"/>
    <w:rsid w:val="007D4068"/>
    <w:rsid w:val="007D5787"/>
    <w:rsid w:val="007D5960"/>
    <w:rsid w:val="007D6002"/>
    <w:rsid w:val="007D6C0C"/>
    <w:rsid w:val="007E023F"/>
    <w:rsid w:val="007E08BD"/>
    <w:rsid w:val="007E0FD5"/>
    <w:rsid w:val="007E114E"/>
    <w:rsid w:val="007E36ED"/>
    <w:rsid w:val="007E3E5A"/>
    <w:rsid w:val="007E42E6"/>
    <w:rsid w:val="007E487F"/>
    <w:rsid w:val="007E4A0D"/>
    <w:rsid w:val="007E4B2D"/>
    <w:rsid w:val="007E4EF1"/>
    <w:rsid w:val="007E5388"/>
    <w:rsid w:val="007E5689"/>
    <w:rsid w:val="007E587D"/>
    <w:rsid w:val="007E6447"/>
    <w:rsid w:val="007E6757"/>
    <w:rsid w:val="007E68C0"/>
    <w:rsid w:val="007E6D75"/>
    <w:rsid w:val="007E7124"/>
    <w:rsid w:val="007E71E9"/>
    <w:rsid w:val="007E73D0"/>
    <w:rsid w:val="007E7B1C"/>
    <w:rsid w:val="007E7C5C"/>
    <w:rsid w:val="007E7C6D"/>
    <w:rsid w:val="007E7CB2"/>
    <w:rsid w:val="007E7CF2"/>
    <w:rsid w:val="007F10CC"/>
    <w:rsid w:val="007F1873"/>
    <w:rsid w:val="007F188E"/>
    <w:rsid w:val="007F1D06"/>
    <w:rsid w:val="007F2C44"/>
    <w:rsid w:val="007F2C72"/>
    <w:rsid w:val="007F3034"/>
    <w:rsid w:val="007F344C"/>
    <w:rsid w:val="007F39B2"/>
    <w:rsid w:val="007F5799"/>
    <w:rsid w:val="007F5A11"/>
    <w:rsid w:val="007F5BF1"/>
    <w:rsid w:val="007F62F3"/>
    <w:rsid w:val="007F70B9"/>
    <w:rsid w:val="007F7339"/>
    <w:rsid w:val="007F7A75"/>
    <w:rsid w:val="007F7C48"/>
    <w:rsid w:val="007F7ECC"/>
    <w:rsid w:val="00800E62"/>
    <w:rsid w:val="00800F35"/>
    <w:rsid w:val="008010D7"/>
    <w:rsid w:val="0080128D"/>
    <w:rsid w:val="008017B6"/>
    <w:rsid w:val="008026E8"/>
    <w:rsid w:val="00802A65"/>
    <w:rsid w:val="00802DF1"/>
    <w:rsid w:val="00803159"/>
    <w:rsid w:val="0080340E"/>
    <w:rsid w:val="00803443"/>
    <w:rsid w:val="00804144"/>
    <w:rsid w:val="0080450E"/>
    <w:rsid w:val="00804524"/>
    <w:rsid w:val="00804530"/>
    <w:rsid w:val="008048F5"/>
    <w:rsid w:val="00805159"/>
    <w:rsid w:val="0080516A"/>
    <w:rsid w:val="0080680D"/>
    <w:rsid w:val="00806C36"/>
    <w:rsid w:val="00807138"/>
    <w:rsid w:val="0080786A"/>
    <w:rsid w:val="00810DBA"/>
    <w:rsid w:val="00811D79"/>
    <w:rsid w:val="008127F9"/>
    <w:rsid w:val="00812953"/>
    <w:rsid w:val="00812C05"/>
    <w:rsid w:val="00812DF0"/>
    <w:rsid w:val="0081322A"/>
    <w:rsid w:val="0081367C"/>
    <w:rsid w:val="00813C26"/>
    <w:rsid w:val="00813DC9"/>
    <w:rsid w:val="00814746"/>
    <w:rsid w:val="0081526C"/>
    <w:rsid w:val="008153C9"/>
    <w:rsid w:val="00815617"/>
    <w:rsid w:val="008157DA"/>
    <w:rsid w:val="008162AB"/>
    <w:rsid w:val="008169E7"/>
    <w:rsid w:val="00816E7C"/>
    <w:rsid w:val="00820281"/>
    <w:rsid w:val="0082130E"/>
    <w:rsid w:val="00821747"/>
    <w:rsid w:val="00821BA3"/>
    <w:rsid w:val="00821C6A"/>
    <w:rsid w:val="00822048"/>
    <w:rsid w:val="00822D96"/>
    <w:rsid w:val="00823060"/>
    <w:rsid w:val="00823079"/>
    <w:rsid w:val="00823928"/>
    <w:rsid w:val="00823F22"/>
    <w:rsid w:val="008249A1"/>
    <w:rsid w:val="00824E21"/>
    <w:rsid w:val="00824F50"/>
    <w:rsid w:val="00825277"/>
    <w:rsid w:val="008253BF"/>
    <w:rsid w:val="00826220"/>
    <w:rsid w:val="008264F4"/>
    <w:rsid w:val="00827DC0"/>
    <w:rsid w:val="00827F65"/>
    <w:rsid w:val="008302B7"/>
    <w:rsid w:val="00832B42"/>
    <w:rsid w:val="008337D2"/>
    <w:rsid w:val="0083438F"/>
    <w:rsid w:val="00834608"/>
    <w:rsid w:val="0083508E"/>
    <w:rsid w:val="008353A9"/>
    <w:rsid w:val="0083582D"/>
    <w:rsid w:val="00835D52"/>
    <w:rsid w:val="00837AA4"/>
    <w:rsid w:val="0084142D"/>
    <w:rsid w:val="0084299A"/>
    <w:rsid w:val="00842E09"/>
    <w:rsid w:val="00843C2B"/>
    <w:rsid w:val="00843E6F"/>
    <w:rsid w:val="00844890"/>
    <w:rsid w:val="0084493F"/>
    <w:rsid w:val="00844F83"/>
    <w:rsid w:val="0084524A"/>
    <w:rsid w:val="00845499"/>
    <w:rsid w:val="008460D6"/>
    <w:rsid w:val="00846919"/>
    <w:rsid w:val="00846C00"/>
    <w:rsid w:val="00846E4A"/>
    <w:rsid w:val="008473D8"/>
    <w:rsid w:val="00847C2B"/>
    <w:rsid w:val="00850581"/>
    <w:rsid w:val="00851100"/>
    <w:rsid w:val="0085127C"/>
    <w:rsid w:val="00851AF5"/>
    <w:rsid w:val="00851CA1"/>
    <w:rsid w:val="00851EA9"/>
    <w:rsid w:val="00851FB5"/>
    <w:rsid w:val="008523B5"/>
    <w:rsid w:val="00852DB9"/>
    <w:rsid w:val="00852EC6"/>
    <w:rsid w:val="0085386A"/>
    <w:rsid w:val="0085474A"/>
    <w:rsid w:val="00854804"/>
    <w:rsid w:val="00854DAA"/>
    <w:rsid w:val="0085533D"/>
    <w:rsid w:val="00855513"/>
    <w:rsid w:val="00855B60"/>
    <w:rsid w:val="008560B9"/>
    <w:rsid w:val="008561E8"/>
    <w:rsid w:val="008569C8"/>
    <w:rsid w:val="00857AD3"/>
    <w:rsid w:val="008603CB"/>
    <w:rsid w:val="0086092E"/>
    <w:rsid w:val="008612B7"/>
    <w:rsid w:val="008614C5"/>
    <w:rsid w:val="008615CD"/>
    <w:rsid w:val="008618F4"/>
    <w:rsid w:val="00862196"/>
    <w:rsid w:val="0086242C"/>
    <w:rsid w:val="0086243B"/>
    <w:rsid w:val="00862721"/>
    <w:rsid w:val="0086447F"/>
    <w:rsid w:val="008647DE"/>
    <w:rsid w:val="00864B95"/>
    <w:rsid w:val="008656A2"/>
    <w:rsid w:val="00865737"/>
    <w:rsid w:val="00866142"/>
    <w:rsid w:val="00866788"/>
    <w:rsid w:val="008668F6"/>
    <w:rsid w:val="00866EFA"/>
    <w:rsid w:val="00867003"/>
    <w:rsid w:val="00867DA2"/>
    <w:rsid w:val="008705D6"/>
    <w:rsid w:val="00870BFB"/>
    <w:rsid w:val="00870FB3"/>
    <w:rsid w:val="008712E0"/>
    <w:rsid w:val="008738CD"/>
    <w:rsid w:val="008738CE"/>
    <w:rsid w:val="00873C67"/>
    <w:rsid w:val="00873EFF"/>
    <w:rsid w:val="00874159"/>
    <w:rsid w:val="00874E64"/>
    <w:rsid w:val="00875398"/>
    <w:rsid w:val="00875A50"/>
    <w:rsid w:val="00875A72"/>
    <w:rsid w:val="00876567"/>
    <w:rsid w:val="008771EA"/>
    <w:rsid w:val="0087735F"/>
    <w:rsid w:val="00877E7E"/>
    <w:rsid w:val="00877E9C"/>
    <w:rsid w:val="008800D3"/>
    <w:rsid w:val="008809B5"/>
    <w:rsid w:val="0088139F"/>
    <w:rsid w:val="0088141F"/>
    <w:rsid w:val="008816A8"/>
    <w:rsid w:val="00881B11"/>
    <w:rsid w:val="00881B16"/>
    <w:rsid w:val="00881C85"/>
    <w:rsid w:val="0088236F"/>
    <w:rsid w:val="00882748"/>
    <w:rsid w:val="00882D12"/>
    <w:rsid w:val="008831D1"/>
    <w:rsid w:val="008841C5"/>
    <w:rsid w:val="008842BD"/>
    <w:rsid w:val="008846FD"/>
    <w:rsid w:val="00884EA2"/>
    <w:rsid w:val="00885825"/>
    <w:rsid w:val="008859BC"/>
    <w:rsid w:val="00885B9B"/>
    <w:rsid w:val="00886501"/>
    <w:rsid w:val="00886CDD"/>
    <w:rsid w:val="00886F38"/>
    <w:rsid w:val="00887290"/>
    <w:rsid w:val="00887A37"/>
    <w:rsid w:val="00887AFB"/>
    <w:rsid w:val="008914FB"/>
    <w:rsid w:val="0089214D"/>
    <w:rsid w:val="00893C0D"/>
    <w:rsid w:val="00893D72"/>
    <w:rsid w:val="0089435A"/>
    <w:rsid w:val="00894781"/>
    <w:rsid w:val="0089485F"/>
    <w:rsid w:val="008957DD"/>
    <w:rsid w:val="008959D8"/>
    <w:rsid w:val="00896449"/>
    <w:rsid w:val="0089724F"/>
    <w:rsid w:val="00897BC6"/>
    <w:rsid w:val="008A0E11"/>
    <w:rsid w:val="008A1B0F"/>
    <w:rsid w:val="008A20DA"/>
    <w:rsid w:val="008A21C0"/>
    <w:rsid w:val="008A2D0B"/>
    <w:rsid w:val="008A3C5B"/>
    <w:rsid w:val="008A3CC4"/>
    <w:rsid w:val="008A4019"/>
    <w:rsid w:val="008A4424"/>
    <w:rsid w:val="008A4B13"/>
    <w:rsid w:val="008A4CCF"/>
    <w:rsid w:val="008A51EE"/>
    <w:rsid w:val="008A6395"/>
    <w:rsid w:val="008A7878"/>
    <w:rsid w:val="008B0254"/>
    <w:rsid w:val="008B044E"/>
    <w:rsid w:val="008B0526"/>
    <w:rsid w:val="008B0F41"/>
    <w:rsid w:val="008B14DC"/>
    <w:rsid w:val="008B1F63"/>
    <w:rsid w:val="008B20E3"/>
    <w:rsid w:val="008B261F"/>
    <w:rsid w:val="008B2D28"/>
    <w:rsid w:val="008B2DEC"/>
    <w:rsid w:val="008B3114"/>
    <w:rsid w:val="008B3612"/>
    <w:rsid w:val="008B3745"/>
    <w:rsid w:val="008B406E"/>
    <w:rsid w:val="008B4093"/>
    <w:rsid w:val="008B5C8F"/>
    <w:rsid w:val="008B5F16"/>
    <w:rsid w:val="008B60BF"/>
    <w:rsid w:val="008B7451"/>
    <w:rsid w:val="008B74CA"/>
    <w:rsid w:val="008B7722"/>
    <w:rsid w:val="008B786F"/>
    <w:rsid w:val="008B7F9A"/>
    <w:rsid w:val="008C02BE"/>
    <w:rsid w:val="008C07DA"/>
    <w:rsid w:val="008C0E5C"/>
    <w:rsid w:val="008C1ADE"/>
    <w:rsid w:val="008C1B45"/>
    <w:rsid w:val="008C28D0"/>
    <w:rsid w:val="008C2BB5"/>
    <w:rsid w:val="008C3C63"/>
    <w:rsid w:val="008C3DAB"/>
    <w:rsid w:val="008C43E2"/>
    <w:rsid w:val="008C4581"/>
    <w:rsid w:val="008C489E"/>
    <w:rsid w:val="008C535E"/>
    <w:rsid w:val="008C5BF7"/>
    <w:rsid w:val="008C5D76"/>
    <w:rsid w:val="008C5EE3"/>
    <w:rsid w:val="008C68B3"/>
    <w:rsid w:val="008C6B32"/>
    <w:rsid w:val="008C6E40"/>
    <w:rsid w:val="008C7C57"/>
    <w:rsid w:val="008D0EA5"/>
    <w:rsid w:val="008D2099"/>
    <w:rsid w:val="008D348B"/>
    <w:rsid w:val="008D4269"/>
    <w:rsid w:val="008D46EE"/>
    <w:rsid w:val="008D4E5B"/>
    <w:rsid w:val="008D5705"/>
    <w:rsid w:val="008D6600"/>
    <w:rsid w:val="008D6782"/>
    <w:rsid w:val="008D6D34"/>
    <w:rsid w:val="008D7CD8"/>
    <w:rsid w:val="008E027A"/>
    <w:rsid w:val="008E0629"/>
    <w:rsid w:val="008E097D"/>
    <w:rsid w:val="008E14F9"/>
    <w:rsid w:val="008E1BF5"/>
    <w:rsid w:val="008E1FC2"/>
    <w:rsid w:val="008E2136"/>
    <w:rsid w:val="008E2BE4"/>
    <w:rsid w:val="008E2D39"/>
    <w:rsid w:val="008E3013"/>
    <w:rsid w:val="008E3191"/>
    <w:rsid w:val="008E332B"/>
    <w:rsid w:val="008E345C"/>
    <w:rsid w:val="008E3E21"/>
    <w:rsid w:val="008E3ED5"/>
    <w:rsid w:val="008E4254"/>
    <w:rsid w:val="008E49F3"/>
    <w:rsid w:val="008E5175"/>
    <w:rsid w:val="008E53A2"/>
    <w:rsid w:val="008E5786"/>
    <w:rsid w:val="008E62D2"/>
    <w:rsid w:val="008E6B4E"/>
    <w:rsid w:val="008E6DC0"/>
    <w:rsid w:val="008E7455"/>
    <w:rsid w:val="008E7970"/>
    <w:rsid w:val="008E7C34"/>
    <w:rsid w:val="008E7F4A"/>
    <w:rsid w:val="008F0155"/>
    <w:rsid w:val="008F018E"/>
    <w:rsid w:val="008F0B57"/>
    <w:rsid w:val="008F0C36"/>
    <w:rsid w:val="008F107F"/>
    <w:rsid w:val="008F10B3"/>
    <w:rsid w:val="008F10D9"/>
    <w:rsid w:val="008F10DD"/>
    <w:rsid w:val="008F1959"/>
    <w:rsid w:val="008F1BDA"/>
    <w:rsid w:val="008F1C38"/>
    <w:rsid w:val="008F21B8"/>
    <w:rsid w:val="008F2847"/>
    <w:rsid w:val="008F2F7D"/>
    <w:rsid w:val="008F328D"/>
    <w:rsid w:val="008F344E"/>
    <w:rsid w:val="008F36E2"/>
    <w:rsid w:val="008F377B"/>
    <w:rsid w:val="008F43F5"/>
    <w:rsid w:val="008F4823"/>
    <w:rsid w:val="008F4835"/>
    <w:rsid w:val="008F48F6"/>
    <w:rsid w:val="008F4951"/>
    <w:rsid w:val="008F4CCF"/>
    <w:rsid w:val="008F4FC9"/>
    <w:rsid w:val="008F56DE"/>
    <w:rsid w:val="008F5711"/>
    <w:rsid w:val="008F57B4"/>
    <w:rsid w:val="008F61A0"/>
    <w:rsid w:val="008F66B4"/>
    <w:rsid w:val="008F67CC"/>
    <w:rsid w:val="008F67FF"/>
    <w:rsid w:val="008F6AD6"/>
    <w:rsid w:val="00900519"/>
    <w:rsid w:val="00901012"/>
    <w:rsid w:val="009011CE"/>
    <w:rsid w:val="0090252A"/>
    <w:rsid w:val="0090258C"/>
    <w:rsid w:val="009025AB"/>
    <w:rsid w:val="00902C00"/>
    <w:rsid w:val="00902D4F"/>
    <w:rsid w:val="009034B9"/>
    <w:rsid w:val="009037A5"/>
    <w:rsid w:val="00903B6B"/>
    <w:rsid w:val="00905061"/>
    <w:rsid w:val="00905336"/>
    <w:rsid w:val="00906308"/>
    <w:rsid w:val="00906711"/>
    <w:rsid w:val="00906E22"/>
    <w:rsid w:val="009071CB"/>
    <w:rsid w:val="00907441"/>
    <w:rsid w:val="0091061A"/>
    <w:rsid w:val="00911F7E"/>
    <w:rsid w:val="009122DB"/>
    <w:rsid w:val="00912E6B"/>
    <w:rsid w:val="009136D9"/>
    <w:rsid w:val="0091383E"/>
    <w:rsid w:val="00914A5F"/>
    <w:rsid w:val="00914D48"/>
    <w:rsid w:val="00915512"/>
    <w:rsid w:val="009163A0"/>
    <w:rsid w:val="0091696F"/>
    <w:rsid w:val="00916C99"/>
    <w:rsid w:val="00916EE6"/>
    <w:rsid w:val="00916EE9"/>
    <w:rsid w:val="00917159"/>
    <w:rsid w:val="00917C84"/>
    <w:rsid w:val="009206F4"/>
    <w:rsid w:val="00920D21"/>
    <w:rsid w:val="00920E6A"/>
    <w:rsid w:val="00920FCF"/>
    <w:rsid w:val="009218A2"/>
    <w:rsid w:val="0092261B"/>
    <w:rsid w:val="00922E3B"/>
    <w:rsid w:val="009233CC"/>
    <w:rsid w:val="00923509"/>
    <w:rsid w:val="00923551"/>
    <w:rsid w:val="009240D8"/>
    <w:rsid w:val="009240FF"/>
    <w:rsid w:val="00924EC9"/>
    <w:rsid w:val="0092523D"/>
    <w:rsid w:val="0092571D"/>
    <w:rsid w:val="009259B7"/>
    <w:rsid w:val="00925F7F"/>
    <w:rsid w:val="009262E1"/>
    <w:rsid w:val="009264CA"/>
    <w:rsid w:val="00926F34"/>
    <w:rsid w:val="00927038"/>
    <w:rsid w:val="00927A08"/>
    <w:rsid w:val="00927F26"/>
    <w:rsid w:val="00930948"/>
    <w:rsid w:val="00930A39"/>
    <w:rsid w:val="00930A74"/>
    <w:rsid w:val="00931338"/>
    <w:rsid w:val="00931632"/>
    <w:rsid w:val="00931A6C"/>
    <w:rsid w:val="00931B5E"/>
    <w:rsid w:val="00932100"/>
    <w:rsid w:val="00932509"/>
    <w:rsid w:val="00932929"/>
    <w:rsid w:val="009329B0"/>
    <w:rsid w:val="009329B2"/>
    <w:rsid w:val="009332E9"/>
    <w:rsid w:val="00933A35"/>
    <w:rsid w:val="00933FE3"/>
    <w:rsid w:val="009354E5"/>
    <w:rsid w:val="0093603E"/>
    <w:rsid w:val="009360D7"/>
    <w:rsid w:val="009362C9"/>
    <w:rsid w:val="00937509"/>
    <w:rsid w:val="00937663"/>
    <w:rsid w:val="00937935"/>
    <w:rsid w:val="00937E54"/>
    <w:rsid w:val="009404D7"/>
    <w:rsid w:val="009407AA"/>
    <w:rsid w:val="0094080C"/>
    <w:rsid w:val="00940AD1"/>
    <w:rsid w:val="00942387"/>
    <w:rsid w:val="0094380C"/>
    <w:rsid w:val="009438FE"/>
    <w:rsid w:val="0094418C"/>
    <w:rsid w:val="00944959"/>
    <w:rsid w:val="0094517F"/>
    <w:rsid w:val="00945197"/>
    <w:rsid w:val="009457B0"/>
    <w:rsid w:val="00945D86"/>
    <w:rsid w:val="00945EF3"/>
    <w:rsid w:val="00946019"/>
    <w:rsid w:val="0094626F"/>
    <w:rsid w:val="009462D2"/>
    <w:rsid w:val="009475DF"/>
    <w:rsid w:val="009476AB"/>
    <w:rsid w:val="009479A6"/>
    <w:rsid w:val="00950A20"/>
    <w:rsid w:val="00950D16"/>
    <w:rsid w:val="0095118D"/>
    <w:rsid w:val="0095144C"/>
    <w:rsid w:val="00951486"/>
    <w:rsid w:val="0095165B"/>
    <w:rsid w:val="00951BD0"/>
    <w:rsid w:val="00952363"/>
    <w:rsid w:val="00952548"/>
    <w:rsid w:val="00952EEA"/>
    <w:rsid w:val="00953D79"/>
    <w:rsid w:val="00953D91"/>
    <w:rsid w:val="00954148"/>
    <w:rsid w:val="009542ED"/>
    <w:rsid w:val="0095480C"/>
    <w:rsid w:val="009556F4"/>
    <w:rsid w:val="00955965"/>
    <w:rsid w:val="00955A3F"/>
    <w:rsid w:val="00955DF3"/>
    <w:rsid w:val="0095654C"/>
    <w:rsid w:val="0095686C"/>
    <w:rsid w:val="009569B6"/>
    <w:rsid w:val="00956F21"/>
    <w:rsid w:val="0095751D"/>
    <w:rsid w:val="00957D5D"/>
    <w:rsid w:val="009619B3"/>
    <w:rsid w:val="009626AC"/>
    <w:rsid w:val="00962AE9"/>
    <w:rsid w:val="00963B85"/>
    <w:rsid w:val="009643EE"/>
    <w:rsid w:val="00964A1C"/>
    <w:rsid w:val="00964C14"/>
    <w:rsid w:val="00964CF1"/>
    <w:rsid w:val="009650AB"/>
    <w:rsid w:val="009652D5"/>
    <w:rsid w:val="009671FF"/>
    <w:rsid w:val="009677F8"/>
    <w:rsid w:val="00967FF5"/>
    <w:rsid w:val="00970BE4"/>
    <w:rsid w:val="00970C46"/>
    <w:rsid w:val="00970EF1"/>
    <w:rsid w:val="009710D9"/>
    <w:rsid w:val="00971146"/>
    <w:rsid w:val="009717F0"/>
    <w:rsid w:val="00971AA1"/>
    <w:rsid w:val="00971DC0"/>
    <w:rsid w:val="00972278"/>
    <w:rsid w:val="009723EC"/>
    <w:rsid w:val="00972916"/>
    <w:rsid w:val="00972A9A"/>
    <w:rsid w:val="00972B99"/>
    <w:rsid w:val="00973240"/>
    <w:rsid w:val="00973C85"/>
    <w:rsid w:val="00974252"/>
    <w:rsid w:val="00975B8C"/>
    <w:rsid w:val="0097600B"/>
    <w:rsid w:val="0097691F"/>
    <w:rsid w:val="009769C3"/>
    <w:rsid w:val="00976C02"/>
    <w:rsid w:val="009809DC"/>
    <w:rsid w:val="00981474"/>
    <w:rsid w:val="0098193C"/>
    <w:rsid w:val="00981E75"/>
    <w:rsid w:val="00982719"/>
    <w:rsid w:val="0098290A"/>
    <w:rsid w:val="0098338D"/>
    <w:rsid w:val="0098401C"/>
    <w:rsid w:val="009841C1"/>
    <w:rsid w:val="00984A1E"/>
    <w:rsid w:val="00984E8C"/>
    <w:rsid w:val="00985121"/>
    <w:rsid w:val="009851FA"/>
    <w:rsid w:val="00985E04"/>
    <w:rsid w:val="0098765E"/>
    <w:rsid w:val="00987A64"/>
    <w:rsid w:val="00987C50"/>
    <w:rsid w:val="00990169"/>
    <w:rsid w:val="00991675"/>
    <w:rsid w:val="00991894"/>
    <w:rsid w:val="00992008"/>
    <w:rsid w:val="009928FE"/>
    <w:rsid w:val="00992B05"/>
    <w:rsid w:val="00993595"/>
    <w:rsid w:val="00993864"/>
    <w:rsid w:val="0099499F"/>
    <w:rsid w:val="0099513F"/>
    <w:rsid w:val="0099566F"/>
    <w:rsid w:val="0099606C"/>
    <w:rsid w:val="00996409"/>
    <w:rsid w:val="00996538"/>
    <w:rsid w:val="00996750"/>
    <w:rsid w:val="0099676E"/>
    <w:rsid w:val="00996ACD"/>
    <w:rsid w:val="00996BB0"/>
    <w:rsid w:val="00996D00"/>
    <w:rsid w:val="0099752F"/>
    <w:rsid w:val="00997F03"/>
    <w:rsid w:val="009A03DC"/>
    <w:rsid w:val="009A058D"/>
    <w:rsid w:val="009A2217"/>
    <w:rsid w:val="009A228E"/>
    <w:rsid w:val="009A33DA"/>
    <w:rsid w:val="009A35F7"/>
    <w:rsid w:val="009A41A1"/>
    <w:rsid w:val="009A567A"/>
    <w:rsid w:val="009A5833"/>
    <w:rsid w:val="009A663B"/>
    <w:rsid w:val="009A6A52"/>
    <w:rsid w:val="009A6CEF"/>
    <w:rsid w:val="009A6CF3"/>
    <w:rsid w:val="009B0134"/>
    <w:rsid w:val="009B0655"/>
    <w:rsid w:val="009B1A42"/>
    <w:rsid w:val="009B1A57"/>
    <w:rsid w:val="009B1EE8"/>
    <w:rsid w:val="009B2DBA"/>
    <w:rsid w:val="009B3008"/>
    <w:rsid w:val="009B3316"/>
    <w:rsid w:val="009B366F"/>
    <w:rsid w:val="009B38BC"/>
    <w:rsid w:val="009B43BF"/>
    <w:rsid w:val="009B449D"/>
    <w:rsid w:val="009B4693"/>
    <w:rsid w:val="009B4A2D"/>
    <w:rsid w:val="009B4D47"/>
    <w:rsid w:val="009B54E0"/>
    <w:rsid w:val="009B56F9"/>
    <w:rsid w:val="009B5A07"/>
    <w:rsid w:val="009B64D1"/>
    <w:rsid w:val="009B7BAC"/>
    <w:rsid w:val="009C03FB"/>
    <w:rsid w:val="009C09C4"/>
    <w:rsid w:val="009C0D78"/>
    <w:rsid w:val="009C14A4"/>
    <w:rsid w:val="009C14FA"/>
    <w:rsid w:val="009C18B8"/>
    <w:rsid w:val="009C1B3C"/>
    <w:rsid w:val="009C1E0B"/>
    <w:rsid w:val="009C2871"/>
    <w:rsid w:val="009C2EC7"/>
    <w:rsid w:val="009C4851"/>
    <w:rsid w:val="009C52A7"/>
    <w:rsid w:val="009C5AFF"/>
    <w:rsid w:val="009C5F90"/>
    <w:rsid w:val="009C601F"/>
    <w:rsid w:val="009C73CB"/>
    <w:rsid w:val="009C7951"/>
    <w:rsid w:val="009D03E1"/>
    <w:rsid w:val="009D07C3"/>
    <w:rsid w:val="009D0946"/>
    <w:rsid w:val="009D0D3A"/>
    <w:rsid w:val="009D11BB"/>
    <w:rsid w:val="009D15C6"/>
    <w:rsid w:val="009D1F69"/>
    <w:rsid w:val="009D2324"/>
    <w:rsid w:val="009D30A8"/>
    <w:rsid w:val="009D367C"/>
    <w:rsid w:val="009D38F7"/>
    <w:rsid w:val="009D406F"/>
    <w:rsid w:val="009D5379"/>
    <w:rsid w:val="009D545A"/>
    <w:rsid w:val="009D5BCD"/>
    <w:rsid w:val="009D5BF0"/>
    <w:rsid w:val="009D669A"/>
    <w:rsid w:val="009D6D44"/>
    <w:rsid w:val="009D7225"/>
    <w:rsid w:val="009E02E3"/>
    <w:rsid w:val="009E0593"/>
    <w:rsid w:val="009E05AB"/>
    <w:rsid w:val="009E0F4D"/>
    <w:rsid w:val="009E11F6"/>
    <w:rsid w:val="009E165F"/>
    <w:rsid w:val="009E1CCF"/>
    <w:rsid w:val="009E1F4C"/>
    <w:rsid w:val="009E22FA"/>
    <w:rsid w:val="009E29A4"/>
    <w:rsid w:val="009E2E6B"/>
    <w:rsid w:val="009E3F46"/>
    <w:rsid w:val="009E3FA9"/>
    <w:rsid w:val="009E4325"/>
    <w:rsid w:val="009E44DA"/>
    <w:rsid w:val="009E4744"/>
    <w:rsid w:val="009E47E0"/>
    <w:rsid w:val="009E4C9C"/>
    <w:rsid w:val="009E4CBA"/>
    <w:rsid w:val="009E4EC9"/>
    <w:rsid w:val="009E4FA3"/>
    <w:rsid w:val="009E58B0"/>
    <w:rsid w:val="009E5B32"/>
    <w:rsid w:val="009E5D00"/>
    <w:rsid w:val="009E5D5A"/>
    <w:rsid w:val="009E67F6"/>
    <w:rsid w:val="009E6D30"/>
    <w:rsid w:val="009E7907"/>
    <w:rsid w:val="009F0630"/>
    <w:rsid w:val="009F0984"/>
    <w:rsid w:val="009F1180"/>
    <w:rsid w:val="009F1758"/>
    <w:rsid w:val="009F1C84"/>
    <w:rsid w:val="009F2262"/>
    <w:rsid w:val="009F299F"/>
    <w:rsid w:val="009F3377"/>
    <w:rsid w:val="009F3970"/>
    <w:rsid w:val="009F4171"/>
    <w:rsid w:val="009F441E"/>
    <w:rsid w:val="009F48A9"/>
    <w:rsid w:val="009F4ADA"/>
    <w:rsid w:val="009F604E"/>
    <w:rsid w:val="009F6137"/>
    <w:rsid w:val="009F6A0D"/>
    <w:rsid w:val="009F6C05"/>
    <w:rsid w:val="009F746A"/>
    <w:rsid w:val="00A01A85"/>
    <w:rsid w:val="00A01AAD"/>
    <w:rsid w:val="00A01BA3"/>
    <w:rsid w:val="00A01EAA"/>
    <w:rsid w:val="00A02FD1"/>
    <w:rsid w:val="00A038AE"/>
    <w:rsid w:val="00A03952"/>
    <w:rsid w:val="00A03F67"/>
    <w:rsid w:val="00A042B9"/>
    <w:rsid w:val="00A05069"/>
    <w:rsid w:val="00A050D7"/>
    <w:rsid w:val="00A0638A"/>
    <w:rsid w:val="00A074B7"/>
    <w:rsid w:val="00A07991"/>
    <w:rsid w:val="00A079A5"/>
    <w:rsid w:val="00A106AC"/>
    <w:rsid w:val="00A1092B"/>
    <w:rsid w:val="00A10CDE"/>
    <w:rsid w:val="00A11545"/>
    <w:rsid w:val="00A11EAA"/>
    <w:rsid w:val="00A12EEE"/>
    <w:rsid w:val="00A13E76"/>
    <w:rsid w:val="00A143E1"/>
    <w:rsid w:val="00A143F0"/>
    <w:rsid w:val="00A14598"/>
    <w:rsid w:val="00A15128"/>
    <w:rsid w:val="00A15F04"/>
    <w:rsid w:val="00A15F6E"/>
    <w:rsid w:val="00A1624A"/>
    <w:rsid w:val="00A1680D"/>
    <w:rsid w:val="00A168D9"/>
    <w:rsid w:val="00A16CA1"/>
    <w:rsid w:val="00A16EA7"/>
    <w:rsid w:val="00A17CC1"/>
    <w:rsid w:val="00A21962"/>
    <w:rsid w:val="00A21B20"/>
    <w:rsid w:val="00A21DA9"/>
    <w:rsid w:val="00A222CC"/>
    <w:rsid w:val="00A22959"/>
    <w:rsid w:val="00A22BA1"/>
    <w:rsid w:val="00A22D2B"/>
    <w:rsid w:val="00A23AB0"/>
    <w:rsid w:val="00A241A2"/>
    <w:rsid w:val="00A25D3B"/>
    <w:rsid w:val="00A266C5"/>
    <w:rsid w:val="00A26B02"/>
    <w:rsid w:val="00A26E70"/>
    <w:rsid w:val="00A2712F"/>
    <w:rsid w:val="00A278DB"/>
    <w:rsid w:val="00A3052D"/>
    <w:rsid w:val="00A309C6"/>
    <w:rsid w:val="00A30BC0"/>
    <w:rsid w:val="00A3115A"/>
    <w:rsid w:val="00A31734"/>
    <w:rsid w:val="00A317A3"/>
    <w:rsid w:val="00A32DCD"/>
    <w:rsid w:val="00A32E4E"/>
    <w:rsid w:val="00A32E7B"/>
    <w:rsid w:val="00A33019"/>
    <w:rsid w:val="00A3430F"/>
    <w:rsid w:val="00A3443F"/>
    <w:rsid w:val="00A34AEE"/>
    <w:rsid w:val="00A34D12"/>
    <w:rsid w:val="00A3520A"/>
    <w:rsid w:val="00A3553E"/>
    <w:rsid w:val="00A35ACA"/>
    <w:rsid w:val="00A36400"/>
    <w:rsid w:val="00A3647F"/>
    <w:rsid w:val="00A36842"/>
    <w:rsid w:val="00A4089E"/>
    <w:rsid w:val="00A4103C"/>
    <w:rsid w:val="00A4109C"/>
    <w:rsid w:val="00A41D03"/>
    <w:rsid w:val="00A427D6"/>
    <w:rsid w:val="00A4327B"/>
    <w:rsid w:val="00A43709"/>
    <w:rsid w:val="00A44C91"/>
    <w:rsid w:val="00A44EA7"/>
    <w:rsid w:val="00A451A0"/>
    <w:rsid w:val="00A4542B"/>
    <w:rsid w:val="00A457DB"/>
    <w:rsid w:val="00A45FF3"/>
    <w:rsid w:val="00A47D63"/>
    <w:rsid w:val="00A47ECE"/>
    <w:rsid w:val="00A505DE"/>
    <w:rsid w:val="00A509CA"/>
    <w:rsid w:val="00A50D3F"/>
    <w:rsid w:val="00A50D81"/>
    <w:rsid w:val="00A50DBB"/>
    <w:rsid w:val="00A51164"/>
    <w:rsid w:val="00A51818"/>
    <w:rsid w:val="00A51AB8"/>
    <w:rsid w:val="00A523B2"/>
    <w:rsid w:val="00A525F4"/>
    <w:rsid w:val="00A529E8"/>
    <w:rsid w:val="00A53088"/>
    <w:rsid w:val="00A531BB"/>
    <w:rsid w:val="00A5327C"/>
    <w:rsid w:val="00A5362C"/>
    <w:rsid w:val="00A53A7F"/>
    <w:rsid w:val="00A54439"/>
    <w:rsid w:val="00A54517"/>
    <w:rsid w:val="00A558F9"/>
    <w:rsid w:val="00A56C71"/>
    <w:rsid w:val="00A56CFD"/>
    <w:rsid w:val="00A5721C"/>
    <w:rsid w:val="00A60BB9"/>
    <w:rsid w:val="00A6146C"/>
    <w:rsid w:val="00A614EB"/>
    <w:rsid w:val="00A61F47"/>
    <w:rsid w:val="00A61FB1"/>
    <w:rsid w:val="00A62031"/>
    <w:rsid w:val="00A63687"/>
    <w:rsid w:val="00A63D22"/>
    <w:rsid w:val="00A63E6E"/>
    <w:rsid w:val="00A63F85"/>
    <w:rsid w:val="00A65106"/>
    <w:rsid w:val="00A6608F"/>
    <w:rsid w:val="00A66D34"/>
    <w:rsid w:val="00A66DE4"/>
    <w:rsid w:val="00A67913"/>
    <w:rsid w:val="00A67969"/>
    <w:rsid w:val="00A67B22"/>
    <w:rsid w:val="00A67D44"/>
    <w:rsid w:val="00A7113E"/>
    <w:rsid w:val="00A713F0"/>
    <w:rsid w:val="00A71488"/>
    <w:rsid w:val="00A72432"/>
    <w:rsid w:val="00A72B1F"/>
    <w:rsid w:val="00A74064"/>
    <w:rsid w:val="00A74599"/>
    <w:rsid w:val="00A7483E"/>
    <w:rsid w:val="00A74934"/>
    <w:rsid w:val="00A750EE"/>
    <w:rsid w:val="00A75C14"/>
    <w:rsid w:val="00A77B05"/>
    <w:rsid w:val="00A80B7E"/>
    <w:rsid w:val="00A813B1"/>
    <w:rsid w:val="00A81A94"/>
    <w:rsid w:val="00A81D45"/>
    <w:rsid w:val="00A82534"/>
    <w:rsid w:val="00A82BA1"/>
    <w:rsid w:val="00A82C5B"/>
    <w:rsid w:val="00A82E51"/>
    <w:rsid w:val="00A8364E"/>
    <w:rsid w:val="00A843C4"/>
    <w:rsid w:val="00A8443D"/>
    <w:rsid w:val="00A84E12"/>
    <w:rsid w:val="00A85356"/>
    <w:rsid w:val="00A8542B"/>
    <w:rsid w:val="00A855CA"/>
    <w:rsid w:val="00A85D0F"/>
    <w:rsid w:val="00A85EDA"/>
    <w:rsid w:val="00A860BF"/>
    <w:rsid w:val="00A862C8"/>
    <w:rsid w:val="00A86E2E"/>
    <w:rsid w:val="00A86F80"/>
    <w:rsid w:val="00A87332"/>
    <w:rsid w:val="00A87FF6"/>
    <w:rsid w:val="00A90B83"/>
    <w:rsid w:val="00A91068"/>
    <w:rsid w:val="00A9119A"/>
    <w:rsid w:val="00A91587"/>
    <w:rsid w:val="00A9289F"/>
    <w:rsid w:val="00A92A30"/>
    <w:rsid w:val="00A93636"/>
    <w:rsid w:val="00A9470E"/>
    <w:rsid w:val="00A94F3E"/>
    <w:rsid w:val="00A9501B"/>
    <w:rsid w:val="00A9522D"/>
    <w:rsid w:val="00A956B1"/>
    <w:rsid w:val="00A9592A"/>
    <w:rsid w:val="00A95A19"/>
    <w:rsid w:val="00A9681E"/>
    <w:rsid w:val="00A96896"/>
    <w:rsid w:val="00A96A38"/>
    <w:rsid w:val="00A975E2"/>
    <w:rsid w:val="00A97948"/>
    <w:rsid w:val="00AA007A"/>
    <w:rsid w:val="00AA050A"/>
    <w:rsid w:val="00AA0D6A"/>
    <w:rsid w:val="00AA0E8A"/>
    <w:rsid w:val="00AA12B3"/>
    <w:rsid w:val="00AA255D"/>
    <w:rsid w:val="00AA3276"/>
    <w:rsid w:val="00AA353F"/>
    <w:rsid w:val="00AA35B4"/>
    <w:rsid w:val="00AA3B49"/>
    <w:rsid w:val="00AA3B57"/>
    <w:rsid w:val="00AA4DB7"/>
    <w:rsid w:val="00AA4DD2"/>
    <w:rsid w:val="00AA5069"/>
    <w:rsid w:val="00AA5607"/>
    <w:rsid w:val="00AA5CF6"/>
    <w:rsid w:val="00AA6586"/>
    <w:rsid w:val="00AA756E"/>
    <w:rsid w:val="00AA75F7"/>
    <w:rsid w:val="00AA7DB5"/>
    <w:rsid w:val="00AB073E"/>
    <w:rsid w:val="00AB0989"/>
    <w:rsid w:val="00AB14AE"/>
    <w:rsid w:val="00AB164D"/>
    <w:rsid w:val="00AB1A13"/>
    <w:rsid w:val="00AB24C5"/>
    <w:rsid w:val="00AB25BF"/>
    <w:rsid w:val="00AB31BC"/>
    <w:rsid w:val="00AB3D7C"/>
    <w:rsid w:val="00AB4E79"/>
    <w:rsid w:val="00AB4E9F"/>
    <w:rsid w:val="00AB506E"/>
    <w:rsid w:val="00AB5666"/>
    <w:rsid w:val="00AB60E2"/>
    <w:rsid w:val="00AB63B3"/>
    <w:rsid w:val="00AB678F"/>
    <w:rsid w:val="00AB74B5"/>
    <w:rsid w:val="00AB7A2F"/>
    <w:rsid w:val="00AC07DD"/>
    <w:rsid w:val="00AC0B0B"/>
    <w:rsid w:val="00AC1274"/>
    <w:rsid w:val="00AC1C55"/>
    <w:rsid w:val="00AC1D2B"/>
    <w:rsid w:val="00AC210F"/>
    <w:rsid w:val="00AC2530"/>
    <w:rsid w:val="00AC27FF"/>
    <w:rsid w:val="00AC2AD1"/>
    <w:rsid w:val="00AC3010"/>
    <w:rsid w:val="00AC319E"/>
    <w:rsid w:val="00AC35FD"/>
    <w:rsid w:val="00AC42D6"/>
    <w:rsid w:val="00AC42E8"/>
    <w:rsid w:val="00AC42ED"/>
    <w:rsid w:val="00AC624F"/>
    <w:rsid w:val="00AC6BCD"/>
    <w:rsid w:val="00AC6F7A"/>
    <w:rsid w:val="00AC7812"/>
    <w:rsid w:val="00AC79CC"/>
    <w:rsid w:val="00AC7D5E"/>
    <w:rsid w:val="00AC7D89"/>
    <w:rsid w:val="00AD06BC"/>
    <w:rsid w:val="00AD09B3"/>
    <w:rsid w:val="00AD0CF7"/>
    <w:rsid w:val="00AD129A"/>
    <w:rsid w:val="00AD1674"/>
    <w:rsid w:val="00AD21A1"/>
    <w:rsid w:val="00AD27FF"/>
    <w:rsid w:val="00AD28AE"/>
    <w:rsid w:val="00AD386C"/>
    <w:rsid w:val="00AD3F5E"/>
    <w:rsid w:val="00AD4828"/>
    <w:rsid w:val="00AD494E"/>
    <w:rsid w:val="00AD4CC3"/>
    <w:rsid w:val="00AD51EE"/>
    <w:rsid w:val="00AD528F"/>
    <w:rsid w:val="00AD54A3"/>
    <w:rsid w:val="00AD5F24"/>
    <w:rsid w:val="00AD5FAE"/>
    <w:rsid w:val="00AD5FE2"/>
    <w:rsid w:val="00AD66BE"/>
    <w:rsid w:val="00AD6AD3"/>
    <w:rsid w:val="00AD79A9"/>
    <w:rsid w:val="00AE0356"/>
    <w:rsid w:val="00AE0B90"/>
    <w:rsid w:val="00AE1529"/>
    <w:rsid w:val="00AE17A9"/>
    <w:rsid w:val="00AE1B20"/>
    <w:rsid w:val="00AE28E4"/>
    <w:rsid w:val="00AE2B5B"/>
    <w:rsid w:val="00AE2C10"/>
    <w:rsid w:val="00AE3170"/>
    <w:rsid w:val="00AE3A1E"/>
    <w:rsid w:val="00AE3AA3"/>
    <w:rsid w:val="00AE3D37"/>
    <w:rsid w:val="00AE4AC3"/>
    <w:rsid w:val="00AE5767"/>
    <w:rsid w:val="00AE578C"/>
    <w:rsid w:val="00AE5EDF"/>
    <w:rsid w:val="00AE5F32"/>
    <w:rsid w:val="00AE6CD0"/>
    <w:rsid w:val="00AE704B"/>
    <w:rsid w:val="00AE705E"/>
    <w:rsid w:val="00AE734F"/>
    <w:rsid w:val="00AF0308"/>
    <w:rsid w:val="00AF067A"/>
    <w:rsid w:val="00AF1217"/>
    <w:rsid w:val="00AF18AB"/>
    <w:rsid w:val="00AF2656"/>
    <w:rsid w:val="00AF294A"/>
    <w:rsid w:val="00AF2DBC"/>
    <w:rsid w:val="00AF32B7"/>
    <w:rsid w:val="00AF3E8F"/>
    <w:rsid w:val="00AF4170"/>
    <w:rsid w:val="00AF4FD5"/>
    <w:rsid w:val="00AF5ACD"/>
    <w:rsid w:val="00AF6110"/>
    <w:rsid w:val="00AF63E9"/>
    <w:rsid w:val="00AF6425"/>
    <w:rsid w:val="00AF685D"/>
    <w:rsid w:val="00AF6AC6"/>
    <w:rsid w:val="00AF70D8"/>
    <w:rsid w:val="00AF7D99"/>
    <w:rsid w:val="00B00234"/>
    <w:rsid w:val="00B00611"/>
    <w:rsid w:val="00B0085F"/>
    <w:rsid w:val="00B013E3"/>
    <w:rsid w:val="00B02141"/>
    <w:rsid w:val="00B03037"/>
    <w:rsid w:val="00B03484"/>
    <w:rsid w:val="00B03719"/>
    <w:rsid w:val="00B03788"/>
    <w:rsid w:val="00B04071"/>
    <w:rsid w:val="00B041FD"/>
    <w:rsid w:val="00B04253"/>
    <w:rsid w:val="00B04354"/>
    <w:rsid w:val="00B0461C"/>
    <w:rsid w:val="00B04663"/>
    <w:rsid w:val="00B04DE7"/>
    <w:rsid w:val="00B04FD7"/>
    <w:rsid w:val="00B05686"/>
    <w:rsid w:val="00B065B9"/>
    <w:rsid w:val="00B0684A"/>
    <w:rsid w:val="00B06BDC"/>
    <w:rsid w:val="00B06E8C"/>
    <w:rsid w:val="00B07DB8"/>
    <w:rsid w:val="00B101C7"/>
    <w:rsid w:val="00B101E6"/>
    <w:rsid w:val="00B11706"/>
    <w:rsid w:val="00B1199D"/>
    <w:rsid w:val="00B12114"/>
    <w:rsid w:val="00B1232A"/>
    <w:rsid w:val="00B13013"/>
    <w:rsid w:val="00B130FC"/>
    <w:rsid w:val="00B13FD8"/>
    <w:rsid w:val="00B14BB1"/>
    <w:rsid w:val="00B154F0"/>
    <w:rsid w:val="00B157A5"/>
    <w:rsid w:val="00B157B6"/>
    <w:rsid w:val="00B1590A"/>
    <w:rsid w:val="00B15BAF"/>
    <w:rsid w:val="00B15DFC"/>
    <w:rsid w:val="00B1671F"/>
    <w:rsid w:val="00B1677F"/>
    <w:rsid w:val="00B16954"/>
    <w:rsid w:val="00B16D7F"/>
    <w:rsid w:val="00B20CCB"/>
    <w:rsid w:val="00B20E1B"/>
    <w:rsid w:val="00B22173"/>
    <w:rsid w:val="00B2234B"/>
    <w:rsid w:val="00B2283A"/>
    <w:rsid w:val="00B22972"/>
    <w:rsid w:val="00B23000"/>
    <w:rsid w:val="00B238E4"/>
    <w:rsid w:val="00B23A6B"/>
    <w:rsid w:val="00B23C92"/>
    <w:rsid w:val="00B23F8C"/>
    <w:rsid w:val="00B243B0"/>
    <w:rsid w:val="00B2462E"/>
    <w:rsid w:val="00B249FC"/>
    <w:rsid w:val="00B24CE9"/>
    <w:rsid w:val="00B259DE"/>
    <w:rsid w:val="00B25C8C"/>
    <w:rsid w:val="00B26324"/>
    <w:rsid w:val="00B2655C"/>
    <w:rsid w:val="00B2665F"/>
    <w:rsid w:val="00B268A9"/>
    <w:rsid w:val="00B31035"/>
    <w:rsid w:val="00B31552"/>
    <w:rsid w:val="00B317E7"/>
    <w:rsid w:val="00B31A96"/>
    <w:rsid w:val="00B31C0F"/>
    <w:rsid w:val="00B320C5"/>
    <w:rsid w:val="00B32BE9"/>
    <w:rsid w:val="00B32FB1"/>
    <w:rsid w:val="00B338FB"/>
    <w:rsid w:val="00B33A0F"/>
    <w:rsid w:val="00B33A57"/>
    <w:rsid w:val="00B34083"/>
    <w:rsid w:val="00B346DC"/>
    <w:rsid w:val="00B34744"/>
    <w:rsid w:val="00B34C57"/>
    <w:rsid w:val="00B34F90"/>
    <w:rsid w:val="00B34FFF"/>
    <w:rsid w:val="00B35392"/>
    <w:rsid w:val="00B354AD"/>
    <w:rsid w:val="00B35FA8"/>
    <w:rsid w:val="00B361AC"/>
    <w:rsid w:val="00B36704"/>
    <w:rsid w:val="00B3678D"/>
    <w:rsid w:val="00B3693B"/>
    <w:rsid w:val="00B37728"/>
    <w:rsid w:val="00B4020A"/>
    <w:rsid w:val="00B40949"/>
    <w:rsid w:val="00B41B52"/>
    <w:rsid w:val="00B424B3"/>
    <w:rsid w:val="00B432C6"/>
    <w:rsid w:val="00B43A15"/>
    <w:rsid w:val="00B43C39"/>
    <w:rsid w:val="00B43C7F"/>
    <w:rsid w:val="00B43D27"/>
    <w:rsid w:val="00B44F50"/>
    <w:rsid w:val="00B44F9C"/>
    <w:rsid w:val="00B4541C"/>
    <w:rsid w:val="00B45578"/>
    <w:rsid w:val="00B45C64"/>
    <w:rsid w:val="00B46278"/>
    <w:rsid w:val="00B46A32"/>
    <w:rsid w:val="00B46B29"/>
    <w:rsid w:val="00B46FE3"/>
    <w:rsid w:val="00B47954"/>
    <w:rsid w:val="00B47C01"/>
    <w:rsid w:val="00B50765"/>
    <w:rsid w:val="00B508B2"/>
    <w:rsid w:val="00B50A40"/>
    <w:rsid w:val="00B51B18"/>
    <w:rsid w:val="00B51D59"/>
    <w:rsid w:val="00B52BE4"/>
    <w:rsid w:val="00B52E18"/>
    <w:rsid w:val="00B53547"/>
    <w:rsid w:val="00B53597"/>
    <w:rsid w:val="00B5494B"/>
    <w:rsid w:val="00B54A2D"/>
    <w:rsid w:val="00B54B62"/>
    <w:rsid w:val="00B550D8"/>
    <w:rsid w:val="00B5524F"/>
    <w:rsid w:val="00B55D3E"/>
    <w:rsid w:val="00B610F4"/>
    <w:rsid w:val="00B61A01"/>
    <w:rsid w:val="00B61F4E"/>
    <w:rsid w:val="00B62590"/>
    <w:rsid w:val="00B62A4A"/>
    <w:rsid w:val="00B62F20"/>
    <w:rsid w:val="00B63226"/>
    <w:rsid w:val="00B6395C"/>
    <w:rsid w:val="00B63CB7"/>
    <w:rsid w:val="00B646A9"/>
    <w:rsid w:val="00B65AF3"/>
    <w:rsid w:val="00B66173"/>
    <w:rsid w:val="00B6634B"/>
    <w:rsid w:val="00B66D42"/>
    <w:rsid w:val="00B6729F"/>
    <w:rsid w:val="00B676E1"/>
    <w:rsid w:val="00B67EEA"/>
    <w:rsid w:val="00B706E2"/>
    <w:rsid w:val="00B707A9"/>
    <w:rsid w:val="00B70A8C"/>
    <w:rsid w:val="00B720D4"/>
    <w:rsid w:val="00B721B4"/>
    <w:rsid w:val="00B7222D"/>
    <w:rsid w:val="00B7267A"/>
    <w:rsid w:val="00B73788"/>
    <w:rsid w:val="00B7389C"/>
    <w:rsid w:val="00B738A3"/>
    <w:rsid w:val="00B742DF"/>
    <w:rsid w:val="00B7499A"/>
    <w:rsid w:val="00B754A4"/>
    <w:rsid w:val="00B755ED"/>
    <w:rsid w:val="00B75682"/>
    <w:rsid w:val="00B757F1"/>
    <w:rsid w:val="00B75DB8"/>
    <w:rsid w:val="00B768C2"/>
    <w:rsid w:val="00B77BBF"/>
    <w:rsid w:val="00B77D2C"/>
    <w:rsid w:val="00B80108"/>
    <w:rsid w:val="00B80772"/>
    <w:rsid w:val="00B81333"/>
    <w:rsid w:val="00B81389"/>
    <w:rsid w:val="00B81AA6"/>
    <w:rsid w:val="00B82627"/>
    <w:rsid w:val="00B82645"/>
    <w:rsid w:val="00B82942"/>
    <w:rsid w:val="00B83291"/>
    <w:rsid w:val="00B83298"/>
    <w:rsid w:val="00B8358F"/>
    <w:rsid w:val="00B83DFB"/>
    <w:rsid w:val="00B84331"/>
    <w:rsid w:val="00B84B6C"/>
    <w:rsid w:val="00B8507F"/>
    <w:rsid w:val="00B85271"/>
    <w:rsid w:val="00B858CA"/>
    <w:rsid w:val="00B8624B"/>
    <w:rsid w:val="00B86804"/>
    <w:rsid w:val="00B8693B"/>
    <w:rsid w:val="00B86978"/>
    <w:rsid w:val="00B86AF9"/>
    <w:rsid w:val="00B8751C"/>
    <w:rsid w:val="00B878BC"/>
    <w:rsid w:val="00B90413"/>
    <w:rsid w:val="00B90A0B"/>
    <w:rsid w:val="00B90AA7"/>
    <w:rsid w:val="00B90D03"/>
    <w:rsid w:val="00B9137B"/>
    <w:rsid w:val="00B91453"/>
    <w:rsid w:val="00B9230F"/>
    <w:rsid w:val="00B93311"/>
    <w:rsid w:val="00B93809"/>
    <w:rsid w:val="00B938DC"/>
    <w:rsid w:val="00B94335"/>
    <w:rsid w:val="00B94879"/>
    <w:rsid w:val="00B94887"/>
    <w:rsid w:val="00B95273"/>
    <w:rsid w:val="00B9655A"/>
    <w:rsid w:val="00B965C8"/>
    <w:rsid w:val="00B96777"/>
    <w:rsid w:val="00B9678B"/>
    <w:rsid w:val="00BA0002"/>
    <w:rsid w:val="00BA0033"/>
    <w:rsid w:val="00BA012A"/>
    <w:rsid w:val="00BA0B59"/>
    <w:rsid w:val="00BA0FC7"/>
    <w:rsid w:val="00BA1018"/>
    <w:rsid w:val="00BA17DE"/>
    <w:rsid w:val="00BA1E91"/>
    <w:rsid w:val="00BA23CC"/>
    <w:rsid w:val="00BA24E0"/>
    <w:rsid w:val="00BA24EC"/>
    <w:rsid w:val="00BA2E79"/>
    <w:rsid w:val="00BA3359"/>
    <w:rsid w:val="00BA35C7"/>
    <w:rsid w:val="00BA3717"/>
    <w:rsid w:val="00BA38F6"/>
    <w:rsid w:val="00BA40EA"/>
    <w:rsid w:val="00BA48EB"/>
    <w:rsid w:val="00BA51BD"/>
    <w:rsid w:val="00BA56C3"/>
    <w:rsid w:val="00BA5C9C"/>
    <w:rsid w:val="00BA659D"/>
    <w:rsid w:val="00BA65E5"/>
    <w:rsid w:val="00BA660D"/>
    <w:rsid w:val="00BA6CD2"/>
    <w:rsid w:val="00BA7903"/>
    <w:rsid w:val="00BA7DB3"/>
    <w:rsid w:val="00BB093C"/>
    <w:rsid w:val="00BB09DF"/>
    <w:rsid w:val="00BB0D58"/>
    <w:rsid w:val="00BB0F75"/>
    <w:rsid w:val="00BB112C"/>
    <w:rsid w:val="00BB13D3"/>
    <w:rsid w:val="00BB2162"/>
    <w:rsid w:val="00BB2BBC"/>
    <w:rsid w:val="00BB3FC5"/>
    <w:rsid w:val="00BB3FF0"/>
    <w:rsid w:val="00BB48D2"/>
    <w:rsid w:val="00BB4BCA"/>
    <w:rsid w:val="00BB551D"/>
    <w:rsid w:val="00BB59A8"/>
    <w:rsid w:val="00BB60A2"/>
    <w:rsid w:val="00BB6250"/>
    <w:rsid w:val="00BB628F"/>
    <w:rsid w:val="00BB64D6"/>
    <w:rsid w:val="00BB6B54"/>
    <w:rsid w:val="00BB702E"/>
    <w:rsid w:val="00BB7751"/>
    <w:rsid w:val="00BC0857"/>
    <w:rsid w:val="00BC0A2C"/>
    <w:rsid w:val="00BC174D"/>
    <w:rsid w:val="00BC1E27"/>
    <w:rsid w:val="00BC24D8"/>
    <w:rsid w:val="00BC2605"/>
    <w:rsid w:val="00BC2790"/>
    <w:rsid w:val="00BC2B3B"/>
    <w:rsid w:val="00BC35E0"/>
    <w:rsid w:val="00BC4008"/>
    <w:rsid w:val="00BC4198"/>
    <w:rsid w:val="00BC4579"/>
    <w:rsid w:val="00BC49B1"/>
    <w:rsid w:val="00BC4ACA"/>
    <w:rsid w:val="00BC4F8B"/>
    <w:rsid w:val="00BC53EF"/>
    <w:rsid w:val="00BC5402"/>
    <w:rsid w:val="00BC695E"/>
    <w:rsid w:val="00BC6E8B"/>
    <w:rsid w:val="00BC6EBC"/>
    <w:rsid w:val="00BC7606"/>
    <w:rsid w:val="00BC7D96"/>
    <w:rsid w:val="00BD0BB6"/>
    <w:rsid w:val="00BD11D4"/>
    <w:rsid w:val="00BD13E7"/>
    <w:rsid w:val="00BD165F"/>
    <w:rsid w:val="00BD1940"/>
    <w:rsid w:val="00BD1E3E"/>
    <w:rsid w:val="00BD2853"/>
    <w:rsid w:val="00BD2E79"/>
    <w:rsid w:val="00BD3D24"/>
    <w:rsid w:val="00BD3DAE"/>
    <w:rsid w:val="00BD49FD"/>
    <w:rsid w:val="00BD4BE3"/>
    <w:rsid w:val="00BD67FF"/>
    <w:rsid w:val="00BD69E4"/>
    <w:rsid w:val="00BD7C26"/>
    <w:rsid w:val="00BE02F1"/>
    <w:rsid w:val="00BE0854"/>
    <w:rsid w:val="00BE1650"/>
    <w:rsid w:val="00BE24E5"/>
    <w:rsid w:val="00BE27F2"/>
    <w:rsid w:val="00BE2ACF"/>
    <w:rsid w:val="00BE2FE9"/>
    <w:rsid w:val="00BE36E0"/>
    <w:rsid w:val="00BE3CCE"/>
    <w:rsid w:val="00BE3D38"/>
    <w:rsid w:val="00BE48AD"/>
    <w:rsid w:val="00BE491C"/>
    <w:rsid w:val="00BE4D48"/>
    <w:rsid w:val="00BE55AE"/>
    <w:rsid w:val="00BE59A1"/>
    <w:rsid w:val="00BE6EC8"/>
    <w:rsid w:val="00BE6FA7"/>
    <w:rsid w:val="00BE71AE"/>
    <w:rsid w:val="00BE7465"/>
    <w:rsid w:val="00BF02A3"/>
    <w:rsid w:val="00BF0BA7"/>
    <w:rsid w:val="00BF0BD7"/>
    <w:rsid w:val="00BF0C46"/>
    <w:rsid w:val="00BF1BC8"/>
    <w:rsid w:val="00BF1CBD"/>
    <w:rsid w:val="00BF20E8"/>
    <w:rsid w:val="00BF2733"/>
    <w:rsid w:val="00BF2ED3"/>
    <w:rsid w:val="00BF38CD"/>
    <w:rsid w:val="00BF38DC"/>
    <w:rsid w:val="00BF3F2A"/>
    <w:rsid w:val="00BF5BDD"/>
    <w:rsid w:val="00BF5C35"/>
    <w:rsid w:val="00BF5C7E"/>
    <w:rsid w:val="00BF684D"/>
    <w:rsid w:val="00BF71A3"/>
    <w:rsid w:val="00BF7A2E"/>
    <w:rsid w:val="00BF7A78"/>
    <w:rsid w:val="00BF7AF2"/>
    <w:rsid w:val="00BF7E8C"/>
    <w:rsid w:val="00C0018A"/>
    <w:rsid w:val="00C0037D"/>
    <w:rsid w:val="00C003B9"/>
    <w:rsid w:val="00C00905"/>
    <w:rsid w:val="00C01892"/>
    <w:rsid w:val="00C01BBB"/>
    <w:rsid w:val="00C01FD1"/>
    <w:rsid w:val="00C0331F"/>
    <w:rsid w:val="00C035B5"/>
    <w:rsid w:val="00C03865"/>
    <w:rsid w:val="00C05276"/>
    <w:rsid w:val="00C05622"/>
    <w:rsid w:val="00C064F1"/>
    <w:rsid w:val="00C07940"/>
    <w:rsid w:val="00C07AB6"/>
    <w:rsid w:val="00C07ACB"/>
    <w:rsid w:val="00C106B8"/>
    <w:rsid w:val="00C10C52"/>
    <w:rsid w:val="00C10FFC"/>
    <w:rsid w:val="00C111BC"/>
    <w:rsid w:val="00C1172F"/>
    <w:rsid w:val="00C119A0"/>
    <w:rsid w:val="00C11A92"/>
    <w:rsid w:val="00C11ABD"/>
    <w:rsid w:val="00C12AA8"/>
    <w:rsid w:val="00C13089"/>
    <w:rsid w:val="00C1367E"/>
    <w:rsid w:val="00C13C90"/>
    <w:rsid w:val="00C14A06"/>
    <w:rsid w:val="00C14FB2"/>
    <w:rsid w:val="00C151DF"/>
    <w:rsid w:val="00C16092"/>
    <w:rsid w:val="00C16805"/>
    <w:rsid w:val="00C16912"/>
    <w:rsid w:val="00C17007"/>
    <w:rsid w:val="00C17304"/>
    <w:rsid w:val="00C176AC"/>
    <w:rsid w:val="00C2058B"/>
    <w:rsid w:val="00C20668"/>
    <w:rsid w:val="00C208B8"/>
    <w:rsid w:val="00C2103A"/>
    <w:rsid w:val="00C212F5"/>
    <w:rsid w:val="00C2164B"/>
    <w:rsid w:val="00C216B6"/>
    <w:rsid w:val="00C219B0"/>
    <w:rsid w:val="00C21BA7"/>
    <w:rsid w:val="00C21EF9"/>
    <w:rsid w:val="00C221C0"/>
    <w:rsid w:val="00C222A1"/>
    <w:rsid w:val="00C222F7"/>
    <w:rsid w:val="00C22397"/>
    <w:rsid w:val="00C22443"/>
    <w:rsid w:val="00C24707"/>
    <w:rsid w:val="00C24792"/>
    <w:rsid w:val="00C24839"/>
    <w:rsid w:val="00C257A8"/>
    <w:rsid w:val="00C25F77"/>
    <w:rsid w:val="00C2629C"/>
    <w:rsid w:val="00C26968"/>
    <w:rsid w:val="00C27C23"/>
    <w:rsid w:val="00C30B6D"/>
    <w:rsid w:val="00C31439"/>
    <w:rsid w:val="00C315F2"/>
    <w:rsid w:val="00C317AA"/>
    <w:rsid w:val="00C31808"/>
    <w:rsid w:val="00C31ACA"/>
    <w:rsid w:val="00C31D03"/>
    <w:rsid w:val="00C3223A"/>
    <w:rsid w:val="00C32E58"/>
    <w:rsid w:val="00C330D1"/>
    <w:rsid w:val="00C33706"/>
    <w:rsid w:val="00C33A05"/>
    <w:rsid w:val="00C33B39"/>
    <w:rsid w:val="00C33F14"/>
    <w:rsid w:val="00C34D0A"/>
    <w:rsid w:val="00C357EA"/>
    <w:rsid w:val="00C366C6"/>
    <w:rsid w:val="00C36A9F"/>
    <w:rsid w:val="00C372F4"/>
    <w:rsid w:val="00C37666"/>
    <w:rsid w:val="00C37B9E"/>
    <w:rsid w:val="00C37CF3"/>
    <w:rsid w:val="00C41027"/>
    <w:rsid w:val="00C411E9"/>
    <w:rsid w:val="00C417CC"/>
    <w:rsid w:val="00C417F5"/>
    <w:rsid w:val="00C41C84"/>
    <w:rsid w:val="00C41E33"/>
    <w:rsid w:val="00C420FA"/>
    <w:rsid w:val="00C424DF"/>
    <w:rsid w:val="00C42FAA"/>
    <w:rsid w:val="00C43051"/>
    <w:rsid w:val="00C44D46"/>
    <w:rsid w:val="00C44DED"/>
    <w:rsid w:val="00C44ECE"/>
    <w:rsid w:val="00C45289"/>
    <w:rsid w:val="00C45537"/>
    <w:rsid w:val="00C4684C"/>
    <w:rsid w:val="00C469F2"/>
    <w:rsid w:val="00C46D29"/>
    <w:rsid w:val="00C46E19"/>
    <w:rsid w:val="00C47DF2"/>
    <w:rsid w:val="00C51591"/>
    <w:rsid w:val="00C515B0"/>
    <w:rsid w:val="00C51702"/>
    <w:rsid w:val="00C517ED"/>
    <w:rsid w:val="00C51A2E"/>
    <w:rsid w:val="00C51C23"/>
    <w:rsid w:val="00C51C57"/>
    <w:rsid w:val="00C51DB8"/>
    <w:rsid w:val="00C53E49"/>
    <w:rsid w:val="00C54411"/>
    <w:rsid w:val="00C54D6E"/>
    <w:rsid w:val="00C54EE3"/>
    <w:rsid w:val="00C552F9"/>
    <w:rsid w:val="00C554D4"/>
    <w:rsid w:val="00C5581E"/>
    <w:rsid w:val="00C56D39"/>
    <w:rsid w:val="00C57155"/>
    <w:rsid w:val="00C5751B"/>
    <w:rsid w:val="00C600A1"/>
    <w:rsid w:val="00C607D1"/>
    <w:rsid w:val="00C60A86"/>
    <w:rsid w:val="00C60FBF"/>
    <w:rsid w:val="00C61324"/>
    <w:rsid w:val="00C61B02"/>
    <w:rsid w:val="00C61F1C"/>
    <w:rsid w:val="00C62AB4"/>
    <w:rsid w:val="00C63E2B"/>
    <w:rsid w:val="00C644C4"/>
    <w:rsid w:val="00C64533"/>
    <w:rsid w:val="00C65028"/>
    <w:rsid w:val="00C65502"/>
    <w:rsid w:val="00C65D6D"/>
    <w:rsid w:val="00C66494"/>
    <w:rsid w:val="00C66D2F"/>
    <w:rsid w:val="00C67226"/>
    <w:rsid w:val="00C67C49"/>
    <w:rsid w:val="00C70370"/>
    <w:rsid w:val="00C70585"/>
    <w:rsid w:val="00C719A2"/>
    <w:rsid w:val="00C71DC7"/>
    <w:rsid w:val="00C72165"/>
    <w:rsid w:val="00C72B8E"/>
    <w:rsid w:val="00C73AB0"/>
    <w:rsid w:val="00C74167"/>
    <w:rsid w:val="00C741D2"/>
    <w:rsid w:val="00C7486E"/>
    <w:rsid w:val="00C75357"/>
    <w:rsid w:val="00C76624"/>
    <w:rsid w:val="00C774A1"/>
    <w:rsid w:val="00C775A0"/>
    <w:rsid w:val="00C80AEC"/>
    <w:rsid w:val="00C80C41"/>
    <w:rsid w:val="00C80CEF"/>
    <w:rsid w:val="00C828B8"/>
    <w:rsid w:val="00C83041"/>
    <w:rsid w:val="00C8452A"/>
    <w:rsid w:val="00C858FF"/>
    <w:rsid w:val="00C85AE0"/>
    <w:rsid w:val="00C85E30"/>
    <w:rsid w:val="00C86B96"/>
    <w:rsid w:val="00C86E8E"/>
    <w:rsid w:val="00C8712F"/>
    <w:rsid w:val="00C87845"/>
    <w:rsid w:val="00C879D5"/>
    <w:rsid w:val="00C87AF2"/>
    <w:rsid w:val="00C908C6"/>
    <w:rsid w:val="00C90B42"/>
    <w:rsid w:val="00C91074"/>
    <w:rsid w:val="00C9182B"/>
    <w:rsid w:val="00C91E7A"/>
    <w:rsid w:val="00C91F9A"/>
    <w:rsid w:val="00C9296C"/>
    <w:rsid w:val="00C93384"/>
    <w:rsid w:val="00C93FD8"/>
    <w:rsid w:val="00C945C2"/>
    <w:rsid w:val="00C946B2"/>
    <w:rsid w:val="00C9475D"/>
    <w:rsid w:val="00C94B1E"/>
    <w:rsid w:val="00C95056"/>
    <w:rsid w:val="00C951FD"/>
    <w:rsid w:val="00C95315"/>
    <w:rsid w:val="00C970A1"/>
    <w:rsid w:val="00C975E6"/>
    <w:rsid w:val="00C97D48"/>
    <w:rsid w:val="00CA052D"/>
    <w:rsid w:val="00CA0928"/>
    <w:rsid w:val="00CA1333"/>
    <w:rsid w:val="00CA19A9"/>
    <w:rsid w:val="00CA1E51"/>
    <w:rsid w:val="00CA21A9"/>
    <w:rsid w:val="00CA43F9"/>
    <w:rsid w:val="00CA487E"/>
    <w:rsid w:val="00CA516C"/>
    <w:rsid w:val="00CA5231"/>
    <w:rsid w:val="00CA56C5"/>
    <w:rsid w:val="00CA5C47"/>
    <w:rsid w:val="00CA5C82"/>
    <w:rsid w:val="00CA60D1"/>
    <w:rsid w:val="00CA625F"/>
    <w:rsid w:val="00CA62EE"/>
    <w:rsid w:val="00CA679A"/>
    <w:rsid w:val="00CA716B"/>
    <w:rsid w:val="00CA7414"/>
    <w:rsid w:val="00CA7682"/>
    <w:rsid w:val="00CA7A75"/>
    <w:rsid w:val="00CA7F28"/>
    <w:rsid w:val="00CA7F39"/>
    <w:rsid w:val="00CB00EA"/>
    <w:rsid w:val="00CB0125"/>
    <w:rsid w:val="00CB029E"/>
    <w:rsid w:val="00CB0768"/>
    <w:rsid w:val="00CB0A1F"/>
    <w:rsid w:val="00CB131F"/>
    <w:rsid w:val="00CB180F"/>
    <w:rsid w:val="00CB2121"/>
    <w:rsid w:val="00CB21AF"/>
    <w:rsid w:val="00CB2476"/>
    <w:rsid w:val="00CB33D0"/>
    <w:rsid w:val="00CB3693"/>
    <w:rsid w:val="00CB372C"/>
    <w:rsid w:val="00CB429D"/>
    <w:rsid w:val="00CB434C"/>
    <w:rsid w:val="00CB452B"/>
    <w:rsid w:val="00CB4BF4"/>
    <w:rsid w:val="00CB4DC2"/>
    <w:rsid w:val="00CB4DCD"/>
    <w:rsid w:val="00CB4E4B"/>
    <w:rsid w:val="00CB4F2D"/>
    <w:rsid w:val="00CB53F8"/>
    <w:rsid w:val="00CB544A"/>
    <w:rsid w:val="00CB5E59"/>
    <w:rsid w:val="00CB5FF4"/>
    <w:rsid w:val="00CB6272"/>
    <w:rsid w:val="00CB6941"/>
    <w:rsid w:val="00CB7418"/>
    <w:rsid w:val="00CC0670"/>
    <w:rsid w:val="00CC15C0"/>
    <w:rsid w:val="00CC1690"/>
    <w:rsid w:val="00CC27FE"/>
    <w:rsid w:val="00CC3D16"/>
    <w:rsid w:val="00CC4210"/>
    <w:rsid w:val="00CC44FE"/>
    <w:rsid w:val="00CC4880"/>
    <w:rsid w:val="00CC4EEC"/>
    <w:rsid w:val="00CC5022"/>
    <w:rsid w:val="00CC6264"/>
    <w:rsid w:val="00CC644D"/>
    <w:rsid w:val="00CC665A"/>
    <w:rsid w:val="00CC6FB8"/>
    <w:rsid w:val="00CC74A2"/>
    <w:rsid w:val="00CD0492"/>
    <w:rsid w:val="00CD0593"/>
    <w:rsid w:val="00CD07DE"/>
    <w:rsid w:val="00CD0E8D"/>
    <w:rsid w:val="00CD1184"/>
    <w:rsid w:val="00CD146B"/>
    <w:rsid w:val="00CD172D"/>
    <w:rsid w:val="00CD20D4"/>
    <w:rsid w:val="00CD22F3"/>
    <w:rsid w:val="00CD2C94"/>
    <w:rsid w:val="00CD2CDC"/>
    <w:rsid w:val="00CD4F23"/>
    <w:rsid w:val="00CD4FFC"/>
    <w:rsid w:val="00CD5A05"/>
    <w:rsid w:val="00CD5B7D"/>
    <w:rsid w:val="00CD5D9A"/>
    <w:rsid w:val="00CD5F3B"/>
    <w:rsid w:val="00CD750A"/>
    <w:rsid w:val="00CD7E16"/>
    <w:rsid w:val="00CE04A0"/>
    <w:rsid w:val="00CE04BA"/>
    <w:rsid w:val="00CE07A2"/>
    <w:rsid w:val="00CE30A7"/>
    <w:rsid w:val="00CE30B0"/>
    <w:rsid w:val="00CE30E6"/>
    <w:rsid w:val="00CE341F"/>
    <w:rsid w:val="00CE345F"/>
    <w:rsid w:val="00CE34DC"/>
    <w:rsid w:val="00CE36DD"/>
    <w:rsid w:val="00CE3F11"/>
    <w:rsid w:val="00CE4BBB"/>
    <w:rsid w:val="00CE4D3C"/>
    <w:rsid w:val="00CE5899"/>
    <w:rsid w:val="00CE5E98"/>
    <w:rsid w:val="00CE5F30"/>
    <w:rsid w:val="00CE6CC6"/>
    <w:rsid w:val="00CF04B4"/>
    <w:rsid w:val="00CF0B33"/>
    <w:rsid w:val="00CF1089"/>
    <w:rsid w:val="00CF1D89"/>
    <w:rsid w:val="00CF2708"/>
    <w:rsid w:val="00CF2C08"/>
    <w:rsid w:val="00CF2F64"/>
    <w:rsid w:val="00CF311A"/>
    <w:rsid w:val="00CF3AE1"/>
    <w:rsid w:val="00CF42DF"/>
    <w:rsid w:val="00CF4307"/>
    <w:rsid w:val="00CF453B"/>
    <w:rsid w:val="00CF5161"/>
    <w:rsid w:val="00CF52DB"/>
    <w:rsid w:val="00CF7FAF"/>
    <w:rsid w:val="00D00EEC"/>
    <w:rsid w:val="00D01453"/>
    <w:rsid w:val="00D01954"/>
    <w:rsid w:val="00D01A3C"/>
    <w:rsid w:val="00D02C47"/>
    <w:rsid w:val="00D04C9E"/>
    <w:rsid w:val="00D05072"/>
    <w:rsid w:val="00D051E5"/>
    <w:rsid w:val="00D05245"/>
    <w:rsid w:val="00D05669"/>
    <w:rsid w:val="00D05870"/>
    <w:rsid w:val="00D064BB"/>
    <w:rsid w:val="00D06878"/>
    <w:rsid w:val="00D073A2"/>
    <w:rsid w:val="00D07605"/>
    <w:rsid w:val="00D07FB4"/>
    <w:rsid w:val="00D1036E"/>
    <w:rsid w:val="00D10E7B"/>
    <w:rsid w:val="00D1137B"/>
    <w:rsid w:val="00D11BE0"/>
    <w:rsid w:val="00D12700"/>
    <w:rsid w:val="00D12FB7"/>
    <w:rsid w:val="00D132D5"/>
    <w:rsid w:val="00D13621"/>
    <w:rsid w:val="00D13B25"/>
    <w:rsid w:val="00D13E53"/>
    <w:rsid w:val="00D14877"/>
    <w:rsid w:val="00D16051"/>
    <w:rsid w:val="00D16297"/>
    <w:rsid w:val="00D1678D"/>
    <w:rsid w:val="00D168AE"/>
    <w:rsid w:val="00D16EF2"/>
    <w:rsid w:val="00D20039"/>
    <w:rsid w:val="00D20461"/>
    <w:rsid w:val="00D20B75"/>
    <w:rsid w:val="00D2148E"/>
    <w:rsid w:val="00D218BB"/>
    <w:rsid w:val="00D21A6E"/>
    <w:rsid w:val="00D21FA8"/>
    <w:rsid w:val="00D220EF"/>
    <w:rsid w:val="00D22B80"/>
    <w:rsid w:val="00D236B7"/>
    <w:rsid w:val="00D23E48"/>
    <w:rsid w:val="00D244BE"/>
    <w:rsid w:val="00D24537"/>
    <w:rsid w:val="00D24B50"/>
    <w:rsid w:val="00D25352"/>
    <w:rsid w:val="00D25410"/>
    <w:rsid w:val="00D263FE"/>
    <w:rsid w:val="00D2692A"/>
    <w:rsid w:val="00D26CDE"/>
    <w:rsid w:val="00D2722F"/>
    <w:rsid w:val="00D27592"/>
    <w:rsid w:val="00D278F4"/>
    <w:rsid w:val="00D27F2D"/>
    <w:rsid w:val="00D300E9"/>
    <w:rsid w:val="00D3090A"/>
    <w:rsid w:val="00D310F3"/>
    <w:rsid w:val="00D323F9"/>
    <w:rsid w:val="00D32D36"/>
    <w:rsid w:val="00D3300B"/>
    <w:rsid w:val="00D33C32"/>
    <w:rsid w:val="00D33FDE"/>
    <w:rsid w:val="00D34615"/>
    <w:rsid w:val="00D35DCF"/>
    <w:rsid w:val="00D373FF"/>
    <w:rsid w:val="00D37DB5"/>
    <w:rsid w:val="00D4049E"/>
    <w:rsid w:val="00D404C4"/>
    <w:rsid w:val="00D40508"/>
    <w:rsid w:val="00D406B2"/>
    <w:rsid w:val="00D40AE3"/>
    <w:rsid w:val="00D41E77"/>
    <w:rsid w:val="00D4281E"/>
    <w:rsid w:val="00D42B51"/>
    <w:rsid w:val="00D43096"/>
    <w:rsid w:val="00D43BC4"/>
    <w:rsid w:val="00D43D89"/>
    <w:rsid w:val="00D43F83"/>
    <w:rsid w:val="00D44715"/>
    <w:rsid w:val="00D44B22"/>
    <w:rsid w:val="00D45DA9"/>
    <w:rsid w:val="00D4610D"/>
    <w:rsid w:val="00D46134"/>
    <w:rsid w:val="00D463A2"/>
    <w:rsid w:val="00D46593"/>
    <w:rsid w:val="00D469D9"/>
    <w:rsid w:val="00D46AB2"/>
    <w:rsid w:val="00D46C90"/>
    <w:rsid w:val="00D46D50"/>
    <w:rsid w:val="00D47815"/>
    <w:rsid w:val="00D501AA"/>
    <w:rsid w:val="00D501FA"/>
    <w:rsid w:val="00D5050B"/>
    <w:rsid w:val="00D51647"/>
    <w:rsid w:val="00D516BD"/>
    <w:rsid w:val="00D517E7"/>
    <w:rsid w:val="00D518A7"/>
    <w:rsid w:val="00D51F0F"/>
    <w:rsid w:val="00D52020"/>
    <w:rsid w:val="00D52283"/>
    <w:rsid w:val="00D526F8"/>
    <w:rsid w:val="00D5276E"/>
    <w:rsid w:val="00D527C8"/>
    <w:rsid w:val="00D53433"/>
    <w:rsid w:val="00D53509"/>
    <w:rsid w:val="00D53637"/>
    <w:rsid w:val="00D5396D"/>
    <w:rsid w:val="00D53CE6"/>
    <w:rsid w:val="00D54840"/>
    <w:rsid w:val="00D552EE"/>
    <w:rsid w:val="00D557F0"/>
    <w:rsid w:val="00D55F0F"/>
    <w:rsid w:val="00D5648E"/>
    <w:rsid w:val="00D56B06"/>
    <w:rsid w:val="00D56B70"/>
    <w:rsid w:val="00D57067"/>
    <w:rsid w:val="00D57180"/>
    <w:rsid w:val="00D573EC"/>
    <w:rsid w:val="00D577B7"/>
    <w:rsid w:val="00D57B11"/>
    <w:rsid w:val="00D60805"/>
    <w:rsid w:val="00D61529"/>
    <w:rsid w:val="00D61981"/>
    <w:rsid w:val="00D62DB6"/>
    <w:rsid w:val="00D63653"/>
    <w:rsid w:val="00D636D3"/>
    <w:rsid w:val="00D644C2"/>
    <w:rsid w:val="00D656EB"/>
    <w:rsid w:val="00D65717"/>
    <w:rsid w:val="00D65F20"/>
    <w:rsid w:val="00D663F8"/>
    <w:rsid w:val="00D66963"/>
    <w:rsid w:val="00D66BA4"/>
    <w:rsid w:val="00D679FD"/>
    <w:rsid w:val="00D701E8"/>
    <w:rsid w:val="00D70E5E"/>
    <w:rsid w:val="00D71026"/>
    <w:rsid w:val="00D7149A"/>
    <w:rsid w:val="00D71EF7"/>
    <w:rsid w:val="00D720DF"/>
    <w:rsid w:val="00D7250F"/>
    <w:rsid w:val="00D72A83"/>
    <w:rsid w:val="00D72BF1"/>
    <w:rsid w:val="00D73208"/>
    <w:rsid w:val="00D73385"/>
    <w:rsid w:val="00D748CA"/>
    <w:rsid w:val="00D749C1"/>
    <w:rsid w:val="00D74D67"/>
    <w:rsid w:val="00D7506D"/>
    <w:rsid w:val="00D767AD"/>
    <w:rsid w:val="00D771FD"/>
    <w:rsid w:val="00D77882"/>
    <w:rsid w:val="00D7796D"/>
    <w:rsid w:val="00D77F0B"/>
    <w:rsid w:val="00D800AE"/>
    <w:rsid w:val="00D800F7"/>
    <w:rsid w:val="00D80B1A"/>
    <w:rsid w:val="00D8111F"/>
    <w:rsid w:val="00D81B18"/>
    <w:rsid w:val="00D824CA"/>
    <w:rsid w:val="00D83541"/>
    <w:rsid w:val="00D83DAC"/>
    <w:rsid w:val="00D8435E"/>
    <w:rsid w:val="00D8466B"/>
    <w:rsid w:val="00D8487E"/>
    <w:rsid w:val="00D84D05"/>
    <w:rsid w:val="00D856AF"/>
    <w:rsid w:val="00D866A4"/>
    <w:rsid w:val="00D86745"/>
    <w:rsid w:val="00D86757"/>
    <w:rsid w:val="00D86CC4"/>
    <w:rsid w:val="00D87224"/>
    <w:rsid w:val="00D87453"/>
    <w:rsid w:val="00D87C14"/>
    <w:rsid w:val="00D87CE4"/>
    <w:rsid w:val="00D91086"/>
    <w:rsid w:val="00D91390"/>
    <w:rsid w:val="00D91F6E"/>
    <w:rsid w:val="00D92148"/>
    <w:rsid w:val="00D923A7"/>
    <w:rsid w:val="00D92A3A"/>
    <w:rsid w:val="00D93A16"/>
    <w:rsid w:val="00D93B28"/>
    <w:rsid w:val="00D93C1B"/>
    <w:rsid w:val="00D94010"/>
    <w:rsid w:val="00D945AB"/>
    <w:rsid w:val="00D9496D"/>
    <w:rsid w:val="00D94B51"/>
    <w:rsid w:val="00D9500A"/>
    <w:rsid w:val="00D96DBC"/>
    <w:rsid w:val="00D96E5F"/>
    <w:rsid w:val="00D96ED8"/>
    <w:rsid w:val="00D97252"/>
    <w:rsid w:val="00D97A7A"/>
    <w:rsid w:val="00D97CAF"/>
    <w:rsid w:val="00D97F9A"/>
    <w:rsid w:val="00DA004C"/>
    <w:rsid w:val="00DA0768"/>
    <w:rsid w:val="00DA076C"/>
    <w:rsid w:val="00DA0E91"/>
    <w:rsid w:val="00DA161A"/>
    <w:rsid w:val="00DA1CD0"/>
    <w:rsid w:val="00DA32A5"/>
    <w:rsid w:val="00DA3A5D"/>
    <w:rsid w:val="00DA3AF1"/>
    <w:rsid w:val="00DA3E2F"/>
    <w:rsid w:val="00DA4258"/>
    <w:rsid w:val="00DA43A0"/>
    <w:rsid w:val="00DA4850"/>
    <w:rsid w:val="00DA4968"/>
    <w:rsid w:val="00DA4CF8"/>
    <w:rsid w:val="00DA5A94"/>
    <w:rsid w:val="00DA64A1"/>
    <w:rsid w:val="00DA6A04"/>
    <w:rsid w:val="00DA6C16"/>
    <w:rsid w:val="00DA6C4E"/>
    <w:rsid w:val="00DA6D92"/>
    <w:rsid w:val="00DA7699"/>
    <w:rsid w:val="00DA7727"/>
    <w:rsid w:val="00DA7A46"/>
    <w:rsid w:val="00DA7A60"/>
    <w:rsid w:val="00DA7EFD"/>
    <w:rsid w:val="00DB031B"/>
    <w:rsid w:val="00DB0324"/>
    <w:rsid w:val="00DB061A"/>
    <w:rsid w:val="00DB071C"/>
    <w:rsid w:val="00DB0867"/>
    <w:rsid w:val="00DB14EB"/>
    <w:rsid w:val="00DB2355"/>
    <w:rsid w:val="00DB34F7"/>
    <w:rsid w:val="00DB38DC"/>
    <w:rsid w:val="00DB3BB4"/>
    <w:rsid w:val="00DB3EAC"/>
    <w:rsid w:val="00DB40E4"/>
    <w:rsid w:val="00DB4403"/>
    <w:rsid w:val="00DB45AB"/>
    <w:rsid w:val="00DB4717"/>
    <w:rsid w:val="00DB5F6C"/>
    <w:rsid w:val="00DB6267"/>
    <w:rsid w:val="00DB6271"/>
    <w:rsid w:val="00DB6699"/>
    <w:rsid w:val="00DB7FDD"/>
    <w:rsid w:val="00DC0BFE"/>
    <w:rsid w:val="00DC0DB1"/>
    <w:rsid w:val="00DC0F02"/>
    <w:rsid w:val="00DC0F8D"/>
    <w:rsid w:val="00DC1325"/>
    <w:rsid w:val="00DC1FBF"/>
    <w:rsid w:val="00DC2132"/>
    <w:rsid w:val="00DC2284"/>
    <w:rsid w:val="00DC2D04"/>
    <w:rsid w:val="00DC2EB4"/>
    <w:rsid w:val="00DC38AC"/>
    <w:rsid w:val="00DC38FB"/>
    <w:rsid w:val="00DC397C"/>
    <w:rsid w:val="00DC3B9D"/>
    <w:rsid w:val="00DC3CA4"/>
    <w:rsid w:val="00DC3E76"/>
    <w:rsid w:val="00DC53E8"/>
    <w:rsid w:val="00DC5B96"/>
    <w:rsid w:val="00DC5C0D"/>
    <w:rsid w:val="00DC6158"/>
    <w:rsid w:val="00DC6BFB"/>
    <w:rsid w:val="00DC746E"/>
    <w:rsid w:val="00DD01CA"/>
    <w:rsid w:val="00DD02F4"/>
    <w:rsid w:val="00DD043A"/>
    <w:rsid w:val="00DD07A2"/>
    <w:rsid w:val="00DD245C"/>
    <w:rsid w:val="00DD295D"/>
    <w:rsid w:val="00DD2E0D"/>
    <w:rsid w:val="00DD396C"/>
    <w:rsid w:val="00DD3A13"/>
    <w:rsid w:val="00DD3BA0"/>
    <w:rsid w:val="00DD3CA5"/>
    <w:rsid w:val="00DD43C6"/>
    <w:rsid w:val="00DD4D92"/>
    <w:rsid w:val="00DD552F"/>
    <w:rsid w:val="00DD5A48"/>
    <w:rsid w:val="00DD5A72"/>
    <w:rsid w:val="00DD5B04"/>
    <w:rsid w:val="00DD5BF3"/>
    <w:rsid w:val="00DD63A3"/>
    <w:rsid w:val="00DD6621"/>
    <w:rsid w:val="00DD742C"/>
    <w:rsid w:val="00DE03A0"/>
    <w:rsid w:val="00DE04F4"/>
    <w:rsid w:val="00DE077F"/>
    <w:rsid w:val="00DE1AC6"/>
    <w:rsid w:val="00DE1C0E"/>
    <w:rsid w:val="00DE2293"/>
    <w:rsid w:val="00DE2953"/>
    <w:rsid w:val="00DE2D56"/>
    <w:rsid w:val="00DE2DB1"/>
    <w:rsid w:val="00DE4210"/>
    <w:rsid w:val="00DE4578"/>
    <w:rsid w:val="00DE4812"/>
    <w:rsid w:val="00DE4DA8"/>
    <w:rsid w:val="00DE51B4"/>
    <w:rsid w:val="00DE57C5"/>
    <w:rsid w:val="00DE5E6A"/>
    <w:rsid w:val="00DF0155"/>
    <w:rsid w:val="00DF04EE"/>
    <w:rsid w:val="00DF07D3"/>
    <w:rsid w:val="00DF08AE"/>
    <w:rsid w:val="00DF1E48"/>
    <w:rsid w:val="00DF1F1E"/>
    <w:rsid w:val="00DF2BD1"/>
    <w:rsid w:val="00DF34EF"/>
    <w:rsid w:val="00DF3743"/>
    <w:rsid w:val="00DF3E35"/>
    <w:rsid w:val="00DF42E0"/>
    <w:rsid w:val="00DF5B56"/>
    <w:rsid w:val="00DF5F48"/>
    <w:rsid w:val="00DF6076"/>
    <w:rsid w:val="00DF6326"/>
    <w:rsid w:val="00DF6524"/>
    <w:rsid w:val="00DF718E"/>
    <w:rsid w:val="00DF7D84"/>
    <w:rsid w:val="00E004BA"/>
    <w:rsid w:val="00E00C71"/>
    <w:rsid w:val="00E00EAA"/>
    <w:rsid w:val="00E0103C"/>
    <w:rsid w:val="00E01203"/>
    <w:rsid w:val="00E01934"/>
    <w:rsid w:val="00E01E9A"/>
    <w:rsid w:val="00E01ECD"/>
    <w:rsid w:val="00E0206F"/>
    <w:rsid w:val="00E0240A"/>
    <w:rsid w:val="00E0274F"/>
    <w:rsid w:val="00E02814"/>
    <w:rsid w:val="00E02D97"/>
    <w:rsid w:val="00E02FD4"/>
    <w:rsid w:val="00E0339C"/>
    <w:rsid w:val="00E03ED5"/>
    <w:rsid w:val="00E04075"/>
    <w:rsid w:val="00E04491"/>
    <w:rsid w:val="00E044AB"/>
    <w:rsid w:val="00E05508"/>
    <w:rsid w:val="00E05892"/>
    <w:rsid w:val="00E05A10"/>
    <w:rsid w:val="00E06243"/>
    <w:rsid w:val="00E06853"/>
    <w:rsid w:val="00E068D6"/>
    <w:rsid w:val="00E07169"/>
    <w:rsid w:val="00E071D5"/>
    <w:rsid w:val="00E07358"/>
    <w:rsid w:val="00E07677"/>
    <w:rsid w:val="00E07828"/>
    <w:rsid w:val="00E0783F"/>
    <w:rsid w:val="00E07BE1"/>
    <w:rsid w:val="00E109C1"/>
    <w:rsid w:val="00E11282"/>
    <w:rsid w:val="00E11807"/>
    <w:rsid w:val="00E11863"/>
    <w:rsid w:val="00E11BA4"/>
    <w:rsid w:val="00E11D0F"/>
    <w:rsid w:val="00E11DF4"/>
    <w:rsid w:val="00E12F0C"/>
    <w:rsid w:val="00E135DE"/>
    <w:rsid w:val="00E136BF"/>
    <w:rsid w:val="00E13C52"/>
    <w:rsid w:val="00E14E5F"/>
    <w:rsid w:val="00E15026"/>
    <w:rsid w:val="00E157D3"/>
    <w:rsid w:val="00E15A4F"/>
    <w:rsid w:val="00E15B2B"/>
    <w:rsid w:val="00E15CC8"/>
    <w:rsid w:val="00E162A4"/>
    <w:rsid w:val="00E162D7"/>
    <w:rsid w:val="00E16569"/>
    <w:rsid w:val="00E1688C"/>
    <w:rsid w:val="00E172C5"/>
    <w:rsid w:val="00E176FE"/>
    <w:rsid w:val="00E17E8E"/>
    <w:rsid w:val="00E20955"/>
    <w:rsid w:val="00E20995"/>
    <w:rsid w:val="00E20DCA"/>
    <w:rsid w:val="00E20E33"/>
    <w:rsid w:val="00E21075"/>
    <w:rsid w:val="00E21877"/>
    <w:rsid w:val="00E220C6"/>
    <w:rsid w:val="00E22665"/>
    <w:rsid w:val="00E22C85"/>
    <w:rsid w:val="00E233E7"/>
    <w:rsid w:val="00E242CA"/>
    <w:rsid w:val="00E24799"/>
    <w:rsid w:val="00E2486C"/>
    <w:rsid w:val="00E24906"/>
    <w:rsid w:val="00E24FB5"/>
    <w:rsid w:val="00E25E05"/>
    <w:rsid w:val="00E26810"/>
    <w:rsid w:val="00E2734C"/>
    <w:rsid w:val="00E276A9"/>
    <w:rsid w:val="00E30029"/>
    <w:rsid w:val="00E30126"/>
    <w:rsid w:val="00E30499"/>
    <w:rsid w:val="00E30B51"/>
    <w:rsid w:val="00E30B8E"/>
    <w:rsid w:val="00E31290"/>
    <w:rsid w:val="00E323AF"/>
    <w:rsid w:val="00E324BB"/>
    <w:rsid w:val="00E33362"/>
    <w:rsid w:val="00E339F0"/>
    <w:rsid w:val="00E344CB"/>
    <w:rsid w:val="00E34796"/>
    <w:rsid w:val="00E34B1D"/>
    <w:rsid w:val="00E34D8C"/>
    <w:rsid w:val="00E34DCF"/>
    <w:rsid w:val="00E35E8B"/>
    <w:rsid w:val="00E35FB4"/>
    <w:rsid w:val="00E36A92"/>
    <w:rsid w:val="00E3713C"/>
    <w:rsid w:val="00E37230"/>
    <w:rsid w:val="00E37424"/>
    <w:rsid w:val="00E375C1"/>
    <w:rsid w:val="00E37657"/>
    <w:rsid w:val="00E377E8"/>
    <w:rsid w:val="00E37821"/>
    <w:rsid w:val="00E37B7F"/>
    <w:rsid w:val="00E40444"/>
    <w:rsid w:val="00E415B1"/>
    <w:rsid w:val="00E416FC"/>
    <w:rsid w:val="00E41B6F"/>
    <w:rsid w:val="00E41D7E"/>
    <w:rsid w:val="00E41E0A"/>
    <w:rsid w:val="00E427F0"/>
    <w:rsid w:val="00E42C77"/>
    <w:rsid w:val="00E43464"/>
    <w:rsid w:val="00E43A9B"/>
    <w:rsid w:val="00E43C11"/>
    <w:rsid w:val="00E4405A"/>
    <w:rsid w:val="00E44270"/>
    <w:rsid w:val="00E44472"/>
    <w:rsid w:val="00E45EF9"/>
    <w:rsid w:val="00E477EE"/>
    <w:rsid w:val="00E478FA"/>
    <w:rsid w:val="00E47A69"/>
    <w:rsid w:val="00E5044C"/>
    <w:rsid w:val="00E50B87"/>
    <w:rsid w:val="00E50C35"/>
    <w:rsid w:val="00E51919"/>
    <w:rsid w:val="00E51DE4"/>
    <w:rsid w:val="00E521A6"/>
    <w:rsid w:val="00E52CF0"/>
    <w:rsid w:val="00E532C7"/>
    <w:rsid w:val="00E5383A"/>
    <w:rsid w:val="00E54B01"/>
    <w:rsid w:val="00E5547F"/>
    <w:rsid w:val="00E55696"/>
    <w:rsid w:val="00E556F7"/>
    <w:rsid w:val="00E56347"/>
    <w:rsid w:val="00E56410"/>
    <w:rsid w:val="00E571BB"/>
    <w:rsid w:val="00E57768"/>
    <w:rsid w:val="00E60147"/>
    <w:rsid w:val="00E603B9"/>
    <w:rsid w:val="00E60430"/>
    <w:rsid w:val="00E60774"/>
    <w:rsid w:val="00E6086D"/>
    <w:rsid w:val="00E6092E"/>
    <w:rsid w:val="00E60CCD"/>
    <w:rsid w:val="00E623F2"/>
    <w:rsid w:val="00E62740"/>
    <w:rsid w:val="00E631AB"/>
    <w:rsid w:val="00E63760"/>
    <w:rsid w:val="00E6383D"/>
    <w:rsid w:val="00E638A3"/>
    <w:rsid w:val="00E63E86"/>
    <w:rsid w:val="00E64B24"/>
    <w:rsid w:val="00E652D3"/>
    <w:rsid w:val="00E655E8"/>
    <w:rsid w:val="00E666B9"/>
    <w:rsid w:val="00E6697E"/>
    <w:rsid w:val="00E66F79"/>
    <w:rsid w:val="00E67128"/>
    <w:rsid w:val="00E67928"/>
    <w:rsid w:val="00E67BC8"/>
    <w:rsid w:val="00E70127"/>
    <w:rsid w:val="00E7127D"/>
    <w:rsid w:val="00E72A82"/>
    <w:rsid w:val="00E73E14"/>
    <w:rsid w:val="00E74435"/>
    <w:rsid w:val="00E747B7"/>
    <w:rsid w:val="00E74BA2"/>
    <w:rsid w:val="00E74F46"/>
    <w:rsid w:val="00E75236"/>
    <w:rsid w:val="00E758AD"/>
    <w:rsid w:val="00E75A47"/>
    <w:rsid w:val="00E76430"/>
    <w:rsid w:val="00E76E17"/>
    <w:rsid w:val="00E77D4E"/>
    <w:rsid w:val="00E77F6F"/>
    <w:rsid w:val="00E80898"/>
    <w:rsid w:val="00E80AF8"/>
    <w:rsid w:val="00E81119"/>
    <w:rsid w:val="00E81B1A"/>
    <w:rsid w:val="00E829CA"/>
    <w:rsid w:val="00E82B73"/>
    <w:rsid w:val="00E8509A"/>
    <w:rsid w:val="00E8529E"/>
    <w:rsid w:val="00E85EF5"/>
    <w:rsid w:val="00E860BF"/>
    <w:rsid w:val="00E864A7"/>
    <w:rsid w:val="00E874B0"/>
    <w:rsid w:val="00E90685"/>
    <w:rsid w:val="00E90B49"/>
    <w:rsid w:val="00E90EFA"/>
    <w:rsid w:val="00E91860"/>
    <w:rsid w:val="00E91C12"/>
    <w:rsid w:val="00E91C9D"/>
    <w:rsid w:val="00E91E5B"/>
    <w:rsid w:val="00E9460B"/>
    <w:rsid w:val="00E954B7"/>
    <w:rsid w:val="00E95CEB"/>
    <w:rsid w:val="00E96A01"/>
    <w:rsid w:val="00E96CCA"/>
    <w:rsid w:val="00E96E58"/>
    <w:rsid w:val="00E96FDB"/>
    <w:rsid w:val="00E976AC"/>
    <w:rsid w:val="00E97C3D"/>
    <w:rsid w:val="00E97CF8"/>
    <w:rsid w:val="00EA0075"/>
    <w:rsid w:val="00EA059C"/>
    <w:rsid w:val="00EA107B"/>
    <w:rsid w:val="00EA1379"/>
    <w:rsid w:val="00EA147F"/>
    <w:rsid w:val="00EA2328"/>
    <w:rsid w:val="00EA23F6"/>
    <w:rsid w:val="00EA2A96"/>
    <w:rsid w:val="00EA40A6"/>
    <w:rsid w:val="00EA40E7"/>
    <w:rsid w:val="00EA4232"/>
    <w:rsid w:val="00EA43AA"/>
    <w:rsid w:val="00EA43EE"/>
    <w:rsid w:val="00EA478E"/>
    <w:rsid w:val="00EA4D40"/>
    <w:rsid w:val="00EA565A"/>
    <w:rsid w:val="00EA63C3"/>
    <w:rsid w:val="00EA6BA8"/>
    <w:rsid w:val="00EB0BE2"/>
    <w:rsid w:val="00EB0E5A"/>
    <w:rsid w:val="00EB10AC"/>
    <w:rsid w:val="00EB196F"/>
    <w:rsid w:val="00EB1B42"/>
    <w:rsid w:val="00EB3CE5"/>
    <w:rsid w:val="00EB47C0"/>
    <w:rsid w:val="00EB4A21"/>
    <w:rsid w:val="00EB506B"/>
    <w:rsid w:val="00EB50A1"/>
    <w:rsid w:val="00EB5A97"/>
    <w:rsid w:val="00EB67A9"/>
    <w:rsid w:val="00EB69A1"/>
    <w:rsid w:val="00EB6D31"/>
    <w:rsid w:val="00EB7A93"/>
    <w:rsid w:val="00EC01B5"/>
    <w:rsid w:val="00EC06CC"/>
    <w:rsid w:val="00EC16F1"/>
    <w:rsid w:val="00EC1EA4"/>
    <w:rsid w:val="00EC282D"/>
    <w:rsid w:val="00EC3573"/>
    <w:rsid w:val="00EC3E50"/>
    <w:rsid w:val="00EC40AD"/>
    <w:rsid w:val="00EC419F"/>
    <w:rsid w:val="00EC44FA"/>
    <w:rsid w:val="00EC46B7"/>
    <w:rsid w:val="00EC499E"/>
    <w:rsid w:val="00EC5061"/>
    <w:rsid w:val="00EC518D"/>
    <w:rsid w:val="00EC54F8"/>
    <w:rsid w:val="00EC5791"/>
    <w:rsid w:val="00EC57C6"/>
    <w:rsid w:val="00EC5B05"/>
    <w:rsid w:val="00EC6C28"/>
    <w:rsid w:val="00EC6D0E"/>
    <w:rsid w:val="00EC76F3"/>
    <w:rsid w:val="00ED01F0"/>
    <w:rsid w:val="00ED05D6"/>
    <w:rsid w:val="00ED0604"/>
    <w:rsid w:val="00ED060E"/>
    <w:rsid w:val="00ED0C6F"/>
    <w:rsid w:val="00ED0D88"/>
    <w:rsid w:val="00ED12D4"/>
    <w:rsid w:val="00ED13D1"/>
    <w:rsid w:val="00ED17E8"/>
    <w:rsid w:val="00ED233E"/>
    <w:rsid w:val="00ED29F2"/>
    <w:rsid w:val="00ED2C38"/>
    <w:rsid w:val="00ED2D3B"/>
    <w:rsid w:val="00ED2FCC"/>
    <w:rsid w:val="00ED3F32"/>
    <w:rsid w:val="00ED3F85"/>
    <w:rsid w:val="00ED434D"/>
    <w:rsid w:val="00ED4C12"/>
    <w:rsid w:val="00ED4E12"/>
    <w:rsid w:val="00ED526F"/>
    <w:rsid w:val="00ED5646"/>
    <w:rsid w:val="00ED57C7"/>
    <w:rsid w:val="00ED7A84"/>
    <w:rsid w:val="00EE1046"/>
    <w:rsid w:val="00EE13A8"/>
    <w:rsid w:val="00EE1E1E"/>
    <w:rsid w:val="00EE2371"/>
    <w:rsid w:val="00EE273F"/>
    <w:rsid w:val="00EE2B65"/>
    <w:rsid w:val="00EE2D19"/>
    <w:rsid w:val="00EE3D67"/>
    <w:rsid w:val="00EE40FB"/>
    <w:rsid w:val="00EE4493"/>
    <w:rsid w:val="00EE4B3E"/>
    <w:rsid w:val="00EE5B3C"/>
    <w:rsid w:val="00EE5F75"/>
    <w:rsid w:val="00EE63BE"/>
    <w:rsid w:val="00EE6571"/>
    <w:rsid w:val="00EE730B"/>
    <w:rsid w:val="00EE79AF"/>
    <w:rsid w:val="00EE7E78"/>
    <w:rsid w:val="00EF0799"/>
    <w:rsid w:val="00EF09CD"/>
    <w:rsid w:val="00EF1B4F"/>
    <w:rsid w:val="00EF1C75"/>
    <w:rsid w:val="00EF1EB2"/>
    <w:rsid w:val="00EF2006"/>
    <w:rsid w:val="00EF2722"/>
    <w:rsid w:val="00EF295C"/>
    <w:rsid w:val="00EF2B93"/>
    <w:rsid w:val="00EF40BE"/>
    <w:rsid w:val="00EF5107"/>
    <w:rsid w:val="00EF5841"/>
    <w:rsid w:val="00EF5CE4"/>
    <w:rsid w:val="00EF5EEA"/>
    <w:rsid w:val="00EF6207"/>
    <w:rsid w:val="00EF6294"/>
    <w:rsid w:val="00EF6805"/>
    <w:rsid w:val="00EF6A85"/>
    <w:rsid w:val="00EF6D9B"/>
    <w:rsid w:val="00EF6EAE"/>
    <w:rsid w:val="00EF711F"/>
    <w:rsid w:val="00EF7CF2"/>
    <w:rsid w:val="00EF7F31"/>
    <w:rsid w:val="00F00337"/>
    <w:rsid w:val="00F00508"/>
    <w:rsid w:val="00F00B2E"/>
    <w:rsid w:val="00F01820"/>
    <w:rsid w:val="00F01C5B"/>
    <w:rsid w:val="00F01E52"/>
    <w:rsid w:val="00F02022"/>
    <w:rsid w:val="00F0319D"/>
    <w:rsid w:val="00F0389E"/>
    <w:rsid w:val="00F042DC"/>
    <w:rsid w:val="00F04309"/>
    <w:rsid w:val="00F046BD"/>
    <w:rsid w:val="00F04D63"/>
    <w:rsid w:val="00F04E40"/>
    <w:rsid w:val="00F0576E"/>
    <w:rsid w:val="00F057C2"/>
    <w:rsid w:val="00F0584D"/>
    <w:rsid w:val="00F05B05"/>
    <w:rsid w:val="00F05EFA"/>
    <w:rsid w:val="00F06906"/>
    <w:rsid w:val="00F06C35"/>
    <w:rsid w:val="00F06DDD"/>
    <w:rsid w:val="00F07099"/>
    <w:rsid w:val="00F0743D"/>
    <w:rsid w:val="00F07A90"/>
    <w:rsid w:val="00F103A4"/>
    <w:rsid w:val="00F105EA"/>
    <w:rsid w:val="00F1109A"/>
    <w:rsid w:val="00F11117"/>
    <w:rsid w:val="00F111B8"/>
    <w:rsid w:val="00F112B0"/>
    <w:rsid w:val="00F11768"/>
    <w:rsid w:val="00F11D55"/>
    <w:rsid w:val="00F11DC7"/>
    <w:rsid w:val="00F11FA7"/>
    <w:rsid w:val="00F12541"/>
    <w:rsid w:val="00F13580"/>
    <w:rsid w:val="00F13586"/>
    <w:rsid w:val="00F143EE"/>
    <w:rsid w:val="00F14435"/>
    <w:rsid w:val="00F14C45"/>
    <w:rsid w:val="00F15233"/>
    <w:rsid w:val="00F15E91"/>
    <w:rsid w:val="00F164D2"/>
    <w:rsid w:val="00F16E72"/>
    <w:rsid w:val="00F16F98"/>
    <w:rsid w:val="00F1792A"/>
    <w:rsid w:val="00F17C97"/>
    <w:rsid w:val="00F17F93"/>
    <w:rsid w:val="00F2064C"/>
    <w:rsid w:val="00F20B53"/>
    <w:rsid w:val="00F21961"/>
    <w:rsid w:val="00F21A42"/>
    <w:rsid w:val="00F21BA6"/>
    <w:rsid w:val="00F22035"/>
    <w:rsid w:val="00F2203E"/>
    <w:rsid w:val="00F22A18"/>
    <w:rsid w:val="00F22D18"/>
    <w:rsid w:val="00F22FD6"/>
    <w:rsid w:val="00F23350"/>
    <w:rsid w:val="00F235FB"/>
    <w:rsid w:val="00F23880"/>
    <w:rsid w:val="00F23F3C"/>
    <w:rsid w:val="00F2429D"/>
    <w:rsid w:val="00F25D28"/>
    <w:rsid w:val="00F26137"/>
    <w:rsid w:val="00F26270"/>
    <w:rsid w:val="00F26385"/>
    <w:rsid w:val="00F263E2"/>
    <w:rsid w:val="00F2678A"/>
    <w:rsid w:val="00F270CD"/>
    <w:rsid w:val="00F27113"/>
    <w:rsid w:val="00F27B1B"/>
    <w:rsid w:val="00F27D48"/>
    <w:rsid w:val="00F3026A"/>
    <w:rsid w:val="00F307B3"/>
    <w:rsid w:val="00F30A58"/>
    <w:rsid w:val="00F3174C"/>
    <w:rsid w:val="00F31EC4"/>
    <w:rsid w:val="00F33787"/>
    <w:rsid w:val="00F34042"/>
    <w:rsid w:val="00F349D2"/>
    <w:rsid w:val="00F35389"/>
    <w:rsid w:val="00F357BC"/>
    <w:rsid w:val="00F361D0"/>
    <w:rsid w:val="00F3620A"/>
    <w:rsid w:val="00F36C87"/>
    <w:rsid w:val="00F36E5C"/>
    <w:rsid w:val="00F376F4"/>
    <w:rsid w:val="00F376FE"/>
    <w:rsid w:val="00F40113"/>
    <w:rsid w:val="00F40327"/>
    <w:rsid w:val="00F40AFE"/>
    <w:rsid w:val="00F41869"/>
    <w:rsid w:val="00F41930"/>
    <w:rsid w:val="00F4256F"/>
    <w:rsid w:val="00F44A07"/>
    <w:rsid w:val="00F44EC9"/>
    <w:rsid w:val="00F468D3"/>
    <w:rsid w:val="00F46927"/>
    <w:rsid w:val="00F47062"/>
    <w:rsid w:val="00F51302"/>
    <w:rsid w:val="00F51396"/>
    <w:rsid w:val="00F51ABE"/>
    <w:rsid w:val="00F51C95"/>
    <w:rsid w:val="00F51DE6"/>
    <w:rsid w:val="00F52406"/>
    <w:rsid w:val="00F52C54"/>
    <w:rsid w:val="00F53098"/>
    <w:rsid w:val="00F53115"/>
    <w:rsid w:val="00F53575"/>
    <w:rsid w:val="00F54498"/>
    <w:rsid w:val="00F545A0"/>
    <w:rsid w:val="00F5493B"/>
    <w:rsid w:val="00F55854"/>
    <w:rsid w:val="00F55A50"/>
    <w:rsid w:val="00F55A97"/>
    <w:rsid w:val="00F5609A"/>
    <w:rsid w:val="00F5680F"/>
    <w:rsid w:val="00F56813"/>
    <w:rsid w:val="00F5686F"/>
    <w:rsid w:val="00F56B1E"/>
    <w:rsid w:val="00F57463"/>
    <w:rsid w:val="00F57BC9"/>
    <w:rsid w:val="00F60CA1"/>
    <w:rsid w:val="00F60F15"/>
    <w:rsid w:val="00F6180A"/>
    <w:rsid w:val="00F61AFD"/>
    <w:rsid w:val="00F61D67"/>
    <w:rsid w:val="00F61F6A"/>
    <w:rsid w:val="00F62DDB"/>
    <w:rsid w:val="00F62FA7"/>
    <w:rsid w:val="00F63565"/>
    <w:rsid w:val="00F6410D"/>
    <w:rsid w:val="00F64584"/>
    <w:rsid w:val="00F649FA"/>
    <w:rsid w:val="00F64A79"/>
    <w:rsid w:val="00F64DC4"/>
    <w:rsid w:val="00F64FA9"/>
    <w:rsid w:val="00F6534F"/>
    <w:rsid w:val="00F65467"/>
    <w:rsid w:val="00F66298"/>
    <w:rsid w:val="00F67053"/>
    <w:rsid w:val="00F678E3"/>
    <w:rsid w:val="00F6796B"/>
    <w:rsid w:val="00F70110"/>
    <w:rsid w:val="00F7011F"/>
    <w:rsid w:val="00F70211"/>
    <w:rsid w:val="00F70A6A"/>
    <w:rsid w:val="00F711DA"/>
    <w:rsid w:val="00F7185D"/>
    <w:rsid w:val="00F718A1"/>
    <w:rsid w:val="00F71B9E"/>
    <w:rsid w:val="00F71E9A"/>
    <w:rsid w:val="00F721A0"/>
    <w:rsid w:val="00F72C93"/>
    <w:rsid w:val="00F736F7"/>
    <w:rsid w:val="00F7394B"/>
    <w:rsid w:val="00F73AAB"/>
    <w:rsid w:val="00F74A58"/>
    <w:rsid w:val="00F74B4B"/>
    <w:rsid w:val="00F754C2"/>
    <w:rsid w:val="00F75843"/>
    <w:rsid w:val="00F77498"/>
    <w:rsid w:val="00F80866"/>
    <w:rsid w:val="00F80A88"/>
    <w:rsid w:val="00F80E9D"/>
    <w:rsid w:val="00F80F6B"/>
    <w:rsid w:val="00F81858"/>
    <w:rsid w:val="00F823F5"/>
    <w:rsid w:val="00F824BE"/>
    <w:rsid w:val="00F837A3"/>
    <w:rsid w:val="00F8386F"/>
    <w:rsid w:val="00F83D29"/>
    <w:rsid w:val="00F848F9"/>
    <w:rsid w:val="00F85014"/>
    <w:rsid w:val="00F85EB7"/>
    <w:rsid w:val="00F85F71"/>
    <w:rsid w:val="00F86028"/>
    <w:rsid w:val="00F86799"/>
    <w:rsid w:val="00F86F78"/>
    <w:rsid w:val="00F876C0"/>
    <w:rsid w:val="00F877FF"/>
    <w:rsid w:val="00F87CCC"/>
    <w:rsid w:val="00F902DB"/>
    <w:rsid w:val="00F9170D"/>
    <w:rsid w:val="00F91CF4"/>
    <w:rsid w:val="00F920C9"/>
    <w:rsid w:val="00F92734"/>
    <w:rsid w:val="00F935A7"/>
    <w:rsid w:val="00F93824"/>
    <w:rsid w:val="00F93B52"/>
    <w:rsid w:val="00F93D18"/>
    <w:rsid w:val="00F93D8D"/>
    <w:rsid w:val="00F93F47"/>
    <w:rsid w:val="00F94368"/>
    <w:rsid w:val="00F945EB"/>
    <w:rsid w:val="00F9494C"/>
    <w:rsid w:val="00F94D8A"/>
    <w:rsid w:val="00F94DEB"/>
    <w:rsid w:val="00F94EC4"/>
    <w:rsid w:val="00F958D7"/>
    <w:rsid w:val="00F962C0"/>
    <w:rsid w:val="00F965D3"/>
    <w:rsid w:val="00F97A46"/>
    <w:rsid w:val="00F97A61"/>
    <w:rsid w:val="00FA0840"/>
    <w:rsid w:val="00FA15C8"/>
    <w:rsid w:val="00FA1A2B"/>
    <w:rsid w:val="00FA202B"/>
    <w:rsid w:val="00FA212B"/>
    <w:rsid w:val="00FA2D0F"/>
    <w:rsid w:val="00FA2D86"/>
    <w:rsid w:val="00FA348C"/>
    <w:rsid w:val="00FA39D5"/>
    <w:rsid w:val="00FA42E8"/>
    <w:rsid w:val="00FA4A87"/>
    <w:rsid w:val="00FA4F25"/>
    <w:rsid w:val="00FA6229"/>
    <w:rsid w:val="00FA6792"/>
    <w:rsid w:val="00FA7A36"/>
    <w:rsid w:val="00FB045F"/>
    <w:rsid w:val="00FB0A85"/>
    <w:rsid w:val="00FB0AD8"/>
    <w:rsid w:val="00FB0C38"/>
    <w:rsid w:val="00FB12DE"/>
    <w:rsid w:val="00FB16A9"/>
    <w:rsid w:val="00FB16B6"/>
    <w:rsid w:val="00FB16EC"/>
    <w:rsid w:val="00FB20E7"/>
    <w:rsid w:val="00FB25BF"/>
    <w:rsid w:val="00FB2791"/>
    <w:rsid w:val="00FB2AC3"/>
    <w:rsid w:val="00FB2E17"/>
    <w:rsid w:val="00FB2E47"/>
    <w:rsid w:val="00FB3216"/>
    <w:rsid w:val="00FB3233"/>
    <w:rsid w:val="00FB3802"/>
    <w:rsid w:val="00FB4C1F"/>
    <w:rsid w:val="00FB4D6C"/>
    <w:rsid w:val="00FB4DBB"/>
    <w:rsid w:val="00FB5E1E"/>
    <w:rsid w:val="00FB5F97"/>
    <w:rsid w:val="00FB64FC"/>
    <w:rsid w:val="00FB67E0"/>
    <w:rsid w:val="00FB6C5B"/>
    <w:rsid w:val="00FB6E0C"/>
    <w:rsid w:val="00FB7337"/>
    <w:rsid w:val="00FB7622"/>
    <w:rsid w:val="00FC038C"/>
    <w:rsid w:val="00FC0BFA"/>
    <w:rsid w:val="00FC0EAE"/>
    <w:rsid w:val="00FC1D33"/>
    <w:rsid w:val="00FC1FFE"/>
    <w:rsid w:val="00FC2007"/>
    <w:rsid w:val="00FC244B"/>
    <w:rsid w:val="00FC28B1"/>
    <w:rsid w:val="00FC3557"/>
    <w:rsid w:val="00FC3A39"/>
    <w:rsid w:val="00FC3BED"/>
    <w:rsid w:val="00FC3FA4"/>
    <w:rsid w:val="00FC43D1"/>
    <w:rsid w:val="00FC45A5"/>
    <w:rsid w:val="00FC45BD"/>
    <w:rsid w:val="00FC4ECD"/>
    <w:rsid w:val="00FC5F7D"/>
    <w:rsid w:val="00FC70C5"/>
    <w:rsid w:val="00FC7210"/>
    <w:rsid w:val="00FC7740"/>
    <w:rsid w:val="00FD00AA"/>
    <w:rsid w:val="00FD0423"/>
    <w:rsid w:val="00FD05BA"/>
    <w:rsid w:val="00FD07F8"/>
    <w:rsid w:val="00FD0C68"/>
    <w:rsid w:val="00FD2393"/>
    <w:rsid w:val="00FD2FD6"/>
    <w:rsid w:val="00FD456C"/>
    <w:rsid w:val="00FD4B7F"/>
    <w:rsid w:val="00FD69CE"/>
    <w:rsid w:val="00FD795A"/>
    <w:rsid w:val="00FD7DAB"/>
    <w:rsid w:val="00FE030E"/>
    <w:rsid w:val="00FE0C45"/>
    <w:rsid w:val="00FE0C87"/>
    <w:rsid w:val="00FE104B"/>
    <w:rsid w:val="00FE14C7"/>
    <w:rsid w:val="00FE1AC3"/>
    <w:rsid w:val="00FE1EC3"/>
    <w:rsid w:val="00FE2094"/>
    <w:rsid w:val="00FE21B4"/>
    <w:rsid w:val="00FE24FF"/>
    <w:rsid w:val="00FE2C17"/>
    <w:rsid w:val="00FE3496"/>
    <w:rsid w:val="00FE3E6C"/>
    <w:rsid w:val="00FE434D"/>
    <w:rsid w:val="00FE4442"/>
    <w:rsid w:val="00FE47AE"/>
    <w:rsid w:val="00FE4B98"/>
    <w:rsid w:val="00FE4D0B"/>
    <w:rsid w:val="00FE5131"/>
    <w:rsid w:val="00FE5C60"/>
    <w:rsid w:val="00FE5F6C"/>
    <w:rsid w:val="00FE69B9"/>
    <w:rsid w:val="00FE6DFE"/>
    <w:rsid w:val="00FE71D5"/>
    <w:rsid w:val="00FE736A"/>
    <w:rsid w:val="00FE7FAF"/>
    <w:rsid w:val="00FF01D7"/>
    <w:rsid w:val="00FF0406"/>
    <w:rsid w:val="00FF050E"/>
    <w:rsid w:val="00FF072F"/>
    <w:rsid w:val="00FF0B09"/>
    <w:rsid w:val="00FF0DA3"/>
    <w:rsid w:val="00FF1589"/>
    <w:rsid w:val="00FF1A4E"/>
    <w:rsid w:val="00FF1CBE"/>
    <w:rsid w:val="00FF31C7"/>
    <w:rsid w:val="00FF35B8"/>
    <w:rsid w:val="00FF3733"/>
    <w:rsid w:val="00FF3FF2"/>
    <w:rsid w:val="00FF45E1"/>
    <w:rsid w:val="00FF470F"/>
    <w:rsid w:val="00FF4ECF"/>
    <w:rsid w:val="00FF5373"/>
    <w:rsid w:val="00FF55B1"/>
    <w:rsid w:val="00FF6658"/>
    <w:rsid w:val="00FF7707"/>
    <w:rsid w:val="088D518F"/>
    <w:rsid w:val="09B8C5CE"/>
    <w:rsid w:val="0A2921F0"/>
    <w:rsid w:val="0CA3AE72"/>
    <w:rsid w:val="0E00FDC5"/>
    <w:rsid w:val="1277FBD4"/>
    <w:rsid w:val="1513F024"/>
    <w:rsid w:val="1A10DA79"/>
    <w:rsid w:val="2274F741"/>
    <w:rsid w:val="24F50054"/>
    <w:rsid w:val="27659F1F"/>
    <w:rsid w:val="295B38AE"/>
    <w:rsid w:val="2A656F2B"/>
    <w:rsid w:val="2B1CE354"/>
    <w:rsid w:val="2CFC9453"/>
    <w:rsid w:val="31BA9522"/>
    <w:rsid w:val="3EEEC718"/>
    <w:rsid w:val="3EF5F684"/>
    <w:rsid w:val="460D8C84"/>
    <w:rsid w:val="4787CF19"/>
    <w:rsid w:val="48137015"/>
    <w:rsid w:val="4851FD08"/>
    <w:rsid w:val="4917E216"/>
    <w:rsid w:val="49BC46E6"/>
    <w:rsid w:val="4E940D90"/>
    <w:rsid w:val="50274945"/>
    <w:rsid w:val="512A003F"/>
    <w:rsid w:val="517310D6"/>
    <w:rsid w:val="5280316E"/>
    <w:rsid w:val="54E22C56"/>
    <w:rsid w:val="5B5760B0"/>
    <w:rsid w:val="5B788B4C"/>
    <w:rsid w:val="5E40F07F"/>
    <w:rsid w:val="62B236C9"/>
    <w:rsid w:val="63365415"/>
    <w:rsid w:val="647C75EB"/>
    <w:rsid w:val="66AFCFA2"/>
    <w:rsid w:val="6805337F"/>
    <w:rsid w:val="6C5D85B9"/>
    <w:rsid w:val="6D757224"/>
    <w:rsid w:val="71FFFEBA"/>
    <w:rsid w:val="753EB0AA"/>
    <w:rsid w:val="75D948AC"/>
    <w:rsid w:val="76710325"/>
    <w:rsid w:val="78394C23"/>
    <w:rsid w:val="786F403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5EEF7F"/>
  <w15:docId w15:val="{6ED5AA35-25D6-4CE4-82F1-0B4F3EE0A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A1785"/>
    <w:pPr>
      <w:tabs>
        <w:tab w:val="left" w:pos="567"/>
      </w:tabs>
      <w:spacing w:before="120" w:after="0" w:line="254" w:lineRule="auto"/>
    </w:pPr>
    <w:rPr>
      <w:rFonts w:ascii="Open Sans Light" w:hAnsi="Open Sans Light"/>
      <w:sz w:val="20"/>
    </w:rPr>
  </w:style>
  <w:style w:type="paragraph" w:styleId="Heading1">
    <w:name w:val="heading 1"/>
    <w:basedOn w:val="Normal"/>
    <w:next w:val="Normal"/>
    <w:link w:val="Heading1Char"/>
    <w:uiPriority w:val="9"/>
    <w:qFormat/>
    <w:rsid w:val="0085386A"/>
    <w:pPr>
      <w:keepNext/>
      <w:widowControl w:val="0"/>
      <w:spacing w:line="240" w:lineRule="auto"/>
      <w:outlineLvl w:val="0"/>
    </w:pPr>
    <w:rPr>
      <w:rFonts w:ascii="Work Sans" w:eastAsiaTheme="majorEastAsia" w:hAnsi="Work Sans" w:cstheme="majorBidi"/>
      <w:b/>
      <w:color w:val="008069"/>
      <w:sz w:val="40"/>
      <w:szCs w:val="28"/>
    </w:rPr>
  </w:style>
  <w:style w:type="paragraph" w:styleId="Heading2">
    <w:name w:val="heading 2"/>
    <w:basedOn w:val="Normal"/>
    <w:next w:val="Heading3"/>
    <w:link w:val="Heading2Char"/>
    <w:uiPriority w:val="9"/>
    <w:qFormat/>
    <w:rsid w:val="000509D7"/>
    <w:pPr>
      <w:keepNext/>
      <w:widowControl w:val="0"/>
      <w:spacing w:after="120" w:line="240" w:lineRule="auto"/>
      <w:outlineLvl w:val="1"/>
    </w:pPr>
    <w:rPr>
      <w:rFonts w:ascii="Work Sans" w:eastAsiaTheme="majorEastAsia" w:hAnsi="Work Sans" w:cstheme="majorBidi"/>
      <w:b/>
      <w:color w:val="008069"/>
      <w:sz w:val="36"/>
      <w:szCs w:val="26"/>
    </w:rPr>
  </w:style>
  <w:style w:type="paragraph" w:styleId="Heading3">
    <w:name w:val="heading 3"/>
    <w:basedOn w:val="Normal"/>
    <w:next w:val="Heading4"/>
    <w:link w:val="Heading3Char"/>
    <w:uiPriority w:val="9"/>
    <w:qFormat/>
    <w:rsid w:val="000509D7"/>
    <w:pPr>
      <w:keepNext/>
      <w:widowControl w:val="0"/>
      <w:spacing w:before="240" w:line="240" w:lineRule="auto"/>
      <w:outlineLvl w:val="2"/>
    </w:pPr>
    <w:rPr>
      <w:rFonts w:ascii="Work Sans" w:eastAsiaTheme="majorEastAsia" w:hAnsi="Work Sans" w:cstheme="majorBidi"/>
      <w:b/>
      <w:bCs/>
      <w:color w:val="008069"/>
      <w:sz w:val="28"/>
    </w:rPr>
  </w:style>
  <w:style w:type="paragraph" w:styleId="Heading4">
    <w:name w:val="heading 4"/>
    <w:basedOn w:val="Normal"/>
    <w:next w:val="Heading5"/>
    <w:link w:val="Heading4Char"/>
    <w:uiPriority w:val="9"/>
    <w:qFormat/>
    <w:rsid w:val="00D27F2D"/>
    <w:pPr>
      <w:keepNext/>
      <w:widowControl w:val="0"/>
      <w:spacing w:before="240" w:line="240" w:lineRule="auto"/>
      <w:outlineLvl w:val="3"/>
    </w:pPr>
    <w:rPr>
      <w:rFonts w:ascii="Montserrat Medium" w:eastAsiaTheme="majorEastAsia" w:hAnsi="Montserrat Medium" w:cstheme="majorBidi"/>
      <w:b/>
      <w:bCs/>
      <w:iCs/>
      <w:color w:val="006991"/>
      <w:sz w:val="24"/>
    </w:rPr>
  </w:style>
  <w:style w:type="paragraph" w:styleId="Heading5">
    <w:name w:val="heading 5"/>
    <w:basedOn w:val="Normal"/>
    <w:next w:val="Heading6"/>
    <w:link w:val="Heading5Char"/>
    <w:uiPriority w:val="9"/>
    <w:qFormat/>
    <w:rsid w:val="00BD13E7"/>
    <w:pPr>
      <w:keepNext/>
      <w:tabs>
        <w:tab w:val="clear" w:pos="567"/>
      </w:tabs>
      <w:outlineLvl w:val="4"/>
    </w:pPr>
    <w:rPr>
      <w:rFonts w:ascii="Montserrat Semi Bold" w:eastAsiaTheme="majorEastAsia" w:hAnsi="Montserrat Semi Bold" w:cstheme="majorBidi"/>
      <w:color w:val="636466"/>
    </w:rPr>
  </w:style>
  <w:style w:type="paragraph" w:styleId="Heading6">
    <w:name w:val="heading 6"/>
    <w:basedOn w:val="Normal"/>
    <w:next w:val="Normal"/>
    <w:link w:val="Heading6Char"/>
    <w:uiPriority w:val="9"/>
    <w:qFormat/>
    <w:rsid w:val="00782EC4"/>
    <w:pPr>
      <w:keepNext/>
      <w:keepLines/>
      <w:outlineLvl w:val="5"/>
    </w:pPr>
    <w:rPr>
      <w:rFonts w:ascii="Montserrat Semi Bold" w:eastAsiaTheme="majorEastAsia" w:hAnsi="Montserrat Semi Bold" w:cstheme="majorBidi"/>
      <w:i/>
      <w:iCs/>
      <w:color w:val="636466"/>
    </w:rPr>
  </w:style>
  <w:style w:type="paragraph" w:styleId="Heading7">
    <w:name w:val="heading 7"/>
    <w:basedOn w:val="Normal"/>
    <w:next w:val="Normal"/>
    <w:link w:val="Heading7Char"/>
    <w:uiPriority w:val="9"/>
    <w:semiHidden/>
    <w:rsid w:val="00622669"/>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aliases w:val="(Do not use),(Sub-section Nos)"/>
    <w:basedOn w:val="Normal"/>
    <w:next w:val="Normal"/>
    <w:semiHidden/>
    <w:rsid w:val="00765BA8"/>
    <w:pPr>
      <w:numPr>
        <w:ilvl w:val="7"/>
        <w:numId w:val="2"/>
      </w:numPr>
      <w:spacing w:before="240" w:after="60"/>
      <w:outlineLvl w:val="7"/>
    </w:pPr>
    <w:rPr>
      <w:rFonts w:ascii="Arial" w:hAnsi="Arial"/>
      <w:i/>
      <w:szCs w:val="20"/>
    </w:rPr>
  </w:style>
  <w:style w:type="paragraph" w:styleId="Heading9">
    <w:name w:val="heading 9"/>
    <w:aliases w:val="Heading 9 (Do not use),(Subsubsection Nos)"/>
    <w:basedOn w:val="Normal"/>
    <w:next w:val="Normal"/>
    <w:semiHidden/>
    <w:rsid w:val="00765BA8"/>
    <w:pPr>
      <w:numPr>
        <w:ilvl w:val="8"/>
        <w:numId w:val="2"/>
      </w:numPr>
      <w:spacing w:before="240" w:after="60"/>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GCTableheader">
    <w:name w:val="CGC Table header"/>
    <w:basedOn w:val="Normal"/>
    <w:next w:val="Normal"/>
    <w:rsid w:val="00F74B4B"/>
    <w:pPr>
      <w:tabs>
        <w:tab w:val="left" w:pos="680"/>
      </w:tabs>
      <w:spacing w:before="0" w:line="240" w:lineRule="auto"/>
      <w:jc w:val="right"/>
    </w:pPr>
    <w:rPr>
      <w:rFonts w:ascii="Open Sans" w:hAnsi="Open Sans"/>
      <w:b/>
      <w:color w:val="FFFFFF" w:themeColor="background1"/>
      <w:sz w:val="16"/>
      <w:lang w:val="en-US"/>
    </w:rPr>
  </w:style>
  <w:style w:type="paragraph" w:styleId="Caption">
    <w:name w:val="caption"/>
    <w:basedOn w:val="Normal"/>
    <w:next w:val="Normal"/>
    <w:link w:val="CaptionChar"/>
    <w:qFormat/>
    <w:rsid w:val="00485F13"/>
    <w:pPr>
      <w:keepNext/>
      <w:keepLines/>
      <w:tabs>
        <w:tab w:val="clear" w:pos="567"/>
        <w:tab w:val="left" w:pos="1134"/>
        <w:tab w:val="left" w:pos="1418"/>
      </w:tabs>
      <w:spacing w:before="240" w:after="120" w:line="240" w:lineRule="auto"/>
      <w:ind w:left="1134" w:hanging="1134"/>
    </w:pPr>
    <w:rPr>
      <w:rFonts w:ascii="Montserrat Ultra Light" w:hAnsi="Montserrat Ultra Light"/>
      <w:b/>
      <w:bCs/>
      <w:szCs w:val="20"/>
    </w:rPr>
  </w:style>
  <w:style w:type="paragraph" w:customStyle="1" w:styleId="CGCSubbulletlist">
    <w:name w:val="CGC Sub bullet list"/>
    <w:aliases w:val="CGC List 2"/>
    <w:basedOn w:val="Normal"/>
    <w:rsid w:val="00C21EF9"/>
    <w:pPr>
      <w:numPr>
        <w:numId w:val="3"/>
      </w:numPr>
      <w:tabs>
        <w:tab w:val="clear" w:pos="567"/>
        <w:tab w:val="clear" w:pos="927"/>
        <w:tab w:val="left" w:pos="1701"/>
      </w:tabs>
      <w:spacing w:line="300" w:lineRule="atLeast"/>
      <w:ind w:left="1701" w:hanging="567"/>
    </w:pPr>
    <w:rPr>
      <w:szCs w:val="20"/>
    </w:rPr>
  </w:style>
  <w:style w:type="paragraph" w:customStyle="1" w:styleId="CGCTableFootnote">
    <w:name w:val="CGC Table Footnote"/>
    <w:basedOn w:val="Normal"/>
    <w:next w:val="NoSpacing"/>
    <w:rsid w:val="00641D96"/>
    <w:pPr>
      <w:tabs>
        <w:tab w:val="clear" w:pos="567"/>
        <w:tab w:val="left" w:pos="851"/>
      </w:tabs>
      <w:spacing w:before="0" w:line="240" w:lineRule="auto"/>
      <w:ind w:left="851" w:hanging="851"/>
    </w:pPr>
    <w:rPr>
      <w:szCs w:val="24"/>
    </w:rPr>
  </w:style>
  <w:style w:type="paragraph" w:customStyle="1" w:styleId="CGCTableHeading">
    <w:name w:val="CGC Table Heading"/>
    <w:basedOn w:val="Normal"/>
    <w:next w:val="Normal"/>
    <w:link w:val="CGCTableHeadingChar"/>
    <w:rsid w:val="00FE5C60"/>
    <w:pPr>
      <w:keepNext/>
      <w:keepLines/>
      <w:tabs>
        <w:tab w:val="clear" w:pos="567"/>
        <w:tab w:val="left" w:pos="1134"/>
        <w:tab w:val="left" w:pos="1420"/>
      </w:tabs>
      <w:spacing w:before="240" w:after="120" w:line="240" w:lineRule="auto"/>
    </w:pPr>
    <w:rPr>
      <w:rFonts w:ascii="Montserrat Ultra Light" w:hAnsi="Montserrat Ultra Light"/>
      <w:b/>
      <w:szCs w:val="20"/>
    </w:rPr>
  </w:style>
  <w:style w:type="paragraph" w:styleId="DocumentMap">
    <w:name w:val="Document Map"/>
    <w:basedOn w:val="Normal"/>
    <w:rsid w:val="00765BA8"/>
    <w:pPr>
      <w:shd w:val="clear" w:color="auto" w:fill="000080"/>
    </w:pPr>
    <w:rPr>
      <w:rFonts w:ascii="Tahoma" w:hAnsi="Tahoma" w:cs="Tahoma"/>
      <w:szCs w:val="20"/>
    </w:rPr>
  </w:style>
  <w:style w:type="paragraph" w:styleId="Footer">
    <w:name w:val="footer"/>
    <w:basedOn w:val="Normal"/>
    <w:link w:val="FooterChar"/>
    <w:uiPriority w:val="99"/>
    <w:unhideWhenUsed/>
    <w:rsid w:val="007A1785"/>
    <w:pPr>
      <w:tabs>
        <w:tab w:val="clear" w:pos="567"/>
        <w:tab w:val="center" w:pos="4513"/>
        <w:tab w:val="right" w:pos="9026"/>
      </w:tabs>
      <w:spacing w:before="0" w:line="240" w:lineRule="auto"/>
      <w:ind w:left="-284" w:right="-284"/>
      <w:jc w:val="right"/>
    </w:pPr>
    <w:rPr>
      <w:rFonts w:ascii="Montserrat Ultra Light" w:hAnsi="Montserrat Ultra Light"/>
      <w:b/>
      <w:color w:val="004563"/>
    </w:rPr>
  </w:style>
  <w:style w:type="character" w:styleId="FootnoteReference">
    <w:name w:val="footnote reference"/>
    <w:basedOn w:val="DefaultParagraphFont"/>
    <w:qFormat/>
    <w:rsid w:val="00782EC4"/>
    <w:rPr>
      <w:vertAlign w:val="superscript"/>
    </w:rPr>
  </w:style>
  <w:style w:type="paragraph" w:styleId="FootnoteText">
    <w:name w:val="footnote text"/>
    <w:basedOn w:val="Normal"/>
    <w:link w:val="FootnoteTextChar"/>
    <w:qFormat/>
    <w:rsid w:val="008F4CCF"/>
    <w:pPr>
      <w:spacing w:before="40" w:line="240" w:lineRule="auto"/>
      <w:ind w:left="113" w:hanging="113"/>
    </w:pPr>
    <w:rPr>
      <w:rFonts w:ascii="Work Sans" w:hAnsi="Work Sans"/>
      <w:sz w:val="14"/>
      <w:szCs w:val="20"/>
    </w:rPr>
  </w:style>
  <w:style w:type="paragraph" w:styleId="Header">
    <w:name w:val="header"/>
    <w:basedOn w:val="Footer"/>
    <w:link w:val="HeaderChar"/>
    <w:uiPriority w:val="99"/>
    <w:unhideWhenUsed/>
    <w:rsid w:val="007A1785"/>
  </w:style>
  <w:style w:type="character" w:styleId="Hyperlink">
    <w:name w:val="Hyperlink"/>
    <w:basedOn w:val="DefaultParagraphFont"/>
    <w:uiPriority w:val="99"/>
    <w:unhideWhenUsed/>
    <w:qFormat/>
    <w:rsid w:val="00782EC4"/>
    <w:rPr>
      <w:color w:val="006991"/>
      <w:u w:val="single"/>
    </w:rPr>
  </w:style>
  <w:style w:type="character" w:styleId="PageNumber">
    <w:name w:val="page number"/>
    <w:basedOn w:val="DefaultParagraphFont"/>
    <w:uiPriority w:val="99"/>
    <w:rsid w:val="00765BA8"/>
  </w:style>
  <w:style w:type="paragraph" w:customStyle="1" w:styleId="Single">
    <w:name w:val="Single"/>
    <w:basedOn w:val="Normal"/>
    <w:next w:val="Normal"/>
    <w:rsid w:val="00765BA8"/>
    <w:pPr>
      <w:spacing w:line="240" w:lineRule="auto"/>
    </w:pPr>
  </w:style>
  <w:style w:type="table" w:styleId="TableGrid">
    <w:name w:val="Table Grid"/>
    <w:basedOn w:val="TableNormal"/>
    <w:uiPriority w:val="39"/>
    <w:rsid w:val="00622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rsid w:val="00485F13"/>
    <w:pPr>
      <w:tabs>
        <w:tab w:val="clear" w:pos="567"/>
        <w:tab w:val="right" w:pos="8942"/>
      </w:tabs>
      <w:spacing w:before="200"/>
      <w:ind w:left="113"/>
    </w:pPr>
    <w:rPr>
      <w:rFonts w:ascii="Open Sans" w:hAnsi="Open Sans"/>
      <w:b/>
      <w:bCs/>
      <w:color w:val="636466"/>
      <w:szCs w:val="20"/>
    </w:rPr>
  </w:style>
  <w:style w:type="paragraph" w:styleId="TOC2">
    <w:name w:val="toc 2"/>
    <w:basedOn w:val="TOC1"/>
    <w:next w:val="Normal"/>
    <w:uiPriority w:val="39"/>
    <w:rsid w:val="00485F13"/>
    <w:pPr>
      <w:spacing w:before="120"/>
    </w:pPr>
    <w:rPr>
      <w:b w:val="0"/>
    </w:rPr>
  </w:style>
  <w:style w:type="paragraph" w:styleId="TOC3">
    <w:name w:val="toc 3"/>
    <w:basedOn w:val="TOC2"/>
    <w:next w:val="Normal"/>
    <w:uiPriority w:val="39"/>
    <w:rsid w:val="00485F13"/>
    <w:pPr>
      <w:ind w:left="397"/>
    </w:pPr>
    <w:rPr>
      <w:rFonts w:ascii="Open Sans Light" w:hAnsi="Open Sans Light"/>
      <w:iCs/>
    </w:rPr>
  </w:style>
  <w:style w:type="paragraph" w:styleId="TOC4">
    <w:name w:val="toc 4"/>
    <w:basedOn w:val="TOC3"/>
    <w:next w:val="Normal"/>
    <w:uiPriority w:val="39"/>
    <w:rsid w:val="00FE5C60"/>
    <w:pPr>
      <w:ind w:left="680"/>
    </w:pPr>
    <w:rPr>
      <w:i/>
    </w:rPr>
  </w:style>
  <w:style w:type="paragraph" w:styleId="TOC5">
    <w:name w:val="toc 5"/>
    <w:basedOn w:val="TOC3"/>
    <w:next w:val="Normal"/>
    <w:uiPriority w:val="39"/>
    <w:rsid w:val="007A1785"/>
    <w:pPr>
      <w:spacing w:before="0"/>
      <w:ind w:left="964"/>
    </w:pPr>
    <w:rPr>
      <w:szCs w:val="18"/>
    </w:rPr>
  </w:style>
  <w:style w:type="paragraph" w:styleId="TOC6">
    <w:name w:val="toc 6"/>
    <w:basedOn w:val="TOC5"/>
    <w:next w:val="Normal"/>
    <w:uiPriority w:val="39"/>
    <w:rsid w:val="007A1785"/>
    <w:rPr>
      <w:i/>
    </w:rPr>
  </w:style>
  <w:style w:type="paragraph" w:styleId="TOC7">
    <w:name w:val="toc 7"/>
    <w:basedOn w:val="Normal"/>
    <w:next w:val="Normal"/>
    <w:rsid w:val="00765BA8"/>
    <w:pPr>
      <w:tabs>
        <w:tab w:val="clear" w:pos="567"/>
      </w:tabs>
      <w:ind w:left="1320"/>
    </w:pPr>
    <w:rPr>
      <w:sz w:val="18"/>
      <w:szCs w:val="18"/>
    </w:rPr>
  </w:style>
  <w:style w:type="paragraph" w:styleId="TOC8">
    <w:name w:val="toc 8"/>
    <w:basedOn w:val="Normal"/>
    <w:next w:val="Normal"/>
    <w:rsid w:val="00765BA8"/>
    <w:pPr>
      <w:tabs>
        <w:tab w:val="clear" w:pos="567"/>
      </w:tabs>
      <w:ind w:left="1540"/>
    </w:pPr>
    <w:rPr>
      <w:sz w:val="18"/>
      <w:szCs w:val="18"/>
    </w:rPr>
  </w:style>
  <w:style w:type="paragraph" w:styleId="TOC9">
    <w:name w:val="toc 9"/>
    <w:basedOn w:val="Normal"/>
    <w:next w:val="Normal"/>
    <w:rsid w:val="00765BA8"/>
    <w:pPr>
      <w:tabs>
        <w:tab w:val="clear" w:pos="567"/>
      </w:tabs>
      <w:ind w:left="1760"/>
    </w:pPr>
    <w:rPr>
      <w:sz w:val="18"/>
      <w:szCs w:val="18"/>
    </w:rPr>
  </w:style>
  <w:style w:type="character" w:customStyle="1" w:styleId="Heading1Char">
    <w:name w:val="Heading 1 Char"/>
    <w:basedOn w:val="DefaultParagraphFont"/>
    <w:link w:val="Heading1"/>
    <w:uiPriority w:val="9"/>
    <w:rsid w:val="00EF2B93"/>
    <w:rPr>
      <w:rFonts w:ascii="Work Sans" w:eastAsiaTheme="majorEastAsia" w:hAnsi="Work Sans" w:cstheme="majorBidi"/>
      <w:b/>
      <w:color w:val="008069"/>
      <w:sz w:val="40"/>
      <w:szCs w:val="28"/>
    </w:rPr>
  </w:style>
  <w:style w:type="character" w:customStyle="1" w:styleId="Heading2Char">
    <w:name w:val="Heading 2 Char"/>
    <w:basedOn w:val="DefaultParagraphFont"/>
    <w:link w:val="Heading2"/>
    <w:uiPriority w:val="9"/>
    <w:rsid w:val="00EF2B93"/>
    <w:rPr>
      <w:rFonts w:ascii="Work Sans" w:eastAsiaTheme="majorEastAsia" w:hAnsi="Work Sans" w:cstheme="majorBidi"/>
      <w:b/>
      <w:color w:val="008069"/>
      <w:sz w:val="36"/>
      <w:szCs w:val="26"/>
    </w:rPr>
  </w:style>
  <w:style w:type="character" w:customStyle="1" w:styleId="Heading3Char">
    <w:name w:val="Heading 3 Char"/>
    <w:basedOn w:val="DefaultParagraphFont"/>
    <w:link w:val="Heading3"/>
    <w:uiPriority w:val="9"/>
    <w:rsid w:val="00EF2B93"/>
    <w:rPr>
      <w:rFonts w:ascii="Work Sans" w:eastAsiaTheme="majorEastAsia" w:hAnsi="Work Sans" w:cstheme="majorBidi"/>
      <w:b/>
      <w:bCs/>
      <w:color w:val="008069"/>
      <w:sz w:val="28"/>
    </w:rPr>
  </w:style>
  <w:style w:type="character" w:customStyle="1" w:styleId="Heading4Char">
    <w:name w:val="Heading 4 Char"/>
    <w:basedOn w:val="DefaultParagraphFont"/>
    <w:link w:val="Heading4"/>
    <w:uiPriority w:val="9"/>
    <w:rsid w:val="00D27F2D"/>
    <w:rPr>
      <w:rFonts w:ascii="Montserrat Medium" w:eastAsiaTheme="majorEastAsia" w:hAnsi="Montserrat Medium" w:cstheme="majorBidi"/>
      <w:b/>
      <w:bCs/>
      <w:iCs/>
      <w:color w:val="006991"/>
      <w:sz w:val="24"/>
    </w:rPr>
  </w:style>
  <w:style w:type="character" w:customStyle="1" w:styleId="Heading5Char">
    <w:name w:val="Heading 5 Char"/>
    <w:basedOn w:val="DefaultParagraphFont"/>
    <w:link w:val="Heading5"/>
    <w:uiPriority w:val="9"/>
    <w:rsid w:val="00BD13E7"/>
    <w:rPr>
      <w:rFonts w:ascii="Montserrat Semi Bold" w:eastAsiaTheme="majorEastAsia" w:hAnsi="Montserrat Semi Bold" w:cstheme="majorBidi"/>
      <w:color w:val="636466"/>
      <w:sz w:val="20"/>
    </w:rPr>
  </w:style>
  <w:style w:type="paragraph" w:styleId="NoSpacing">
    <w:name w:val="No Spacing"/>
    <w:link w:val="NoSpacingChar"/>
    <w:uiPriority w:val="1"/>
    <w:qFormat/>
    <w:rsid w:val="00782EC4"/>
    <w:pPr>
      <w:tabs>
        <w:tab w:val="left" w:pos="567"/>
      </w:tabs>
      <w:spacing w:after="0" w:line="240" w:lineRule="auto"/>
    </w:pPr>
    <w:rPr>
      <w:sz w:val="24"/>
    </w:rPr>
  </w:style>
  <w:style w:type="character" w:customStyle="1" w:styleId="NoSpacingChar">
    <w:name w:val="No Spacing Char"/>
    <w:basedOn w:val="DefaultParagraphFont"/>
    <w:link w:val="NoSpacing"/>
    <w:uiPriority w:val="1"/>
    <w:rsid w:val="00782EC4"/>
    <w:rPr>
      <w:sz w:val="24"/>
    </w:rPr>
  </w:style>
  <w:style w:type="paragraph" w:styleId="ListParagraph">
    <w:name w:val="List Paragraph"/>
    <w:basedOn w:val="Normal"/>
    <w:uiPriority w:val="34"/>
    <w:qFormat/>
    <w:rsid w:val="00622669"/>
    <w:pPr>
      <w:ind w:left="720"/>
      <w:contextualSpacing/>
    </w:pPr>
  </w:style>
  <w:style w:type="paragraph" w:styleId="TOCHeading">
    <w:name w:val="TOC Heading"/>
    <w:basedOn w:val="Heading1"/>
    <w:next w:val="Normal"/>
    <w:uiPriority w:val="39"/>
    <w:unhideWhenUsed/>
    <w:qFormat/>
    <w:rsid w:val="00782EC4"/>
    <w:pPr>
      <w:keepLines/>
      <w:spacing w:before="480" w:line="320" w:lineRule="atLeast"/>
      <w:outlineLvl w:val="9"/>
    </w:pPr>
    <w:rPr>
      <w:rFonts w:asciiTheme="majorHAnsi" w:hAnsiTheme="majorHAnsi"/>
      <w:caps/>
      <w:color w:val="365F91" w:themeColor="accent1" w:themeShade="BF"/>
      <w:sz w:val="28"/>
    </w:rPr>
  </w:style>
  <w:style w:type="character" w:customStyle="1" w:styleId="FooterChar">
    <w:name w:val="Footer Char"/>
    <w:basedOn w:val="DefaultParagraphFont"/>
    <w:link w:val="Footer"/>
    <w:uiPriority w:val="99"/>
    <w:rsid w:val="007A1785"/>
    <w:rPr>
      <w:rFonts w:ascii="Montserrat Ultra Light" w:hAnsi="Montserrat Ultra Light"/>
      <w:b/>
      <w:color w:val="004563"/>
      <w:sz w:val="20"/>
    </w:rPr>
  </w:style>
  <w:style w:type="character" w:customStyle="1" w:styleId="HeaderChar">
    <w:name w:val="Header Char"/>
    <w:basedOn w:val="DefaultParagraphFont"/>
    <w:link w:val="Header"/>
    <w:uiPriority w:val="99"/>
    <w:rsid w:val="007A1785"/>
    <w:rPr>
      <w:rFonts w:ascii="Montserrat Ultra Light" w:hAnsi="Montserrat Ultra Light"/>
      <w:b/>
      <w:color w:val="004563"/>
      <w:sz w:val="20"/>
    </w:rPr>
  </w:style>
  <w:style w:type="paragraph" w:customStyle="1" w:styleId="CGCDataCaption">
    <w:name w:val="CGC Data Caption"/>
    <w:basedOn w:val="CGCTableFootnote"/>
    <w:next w:val="NoSpacing"/>
    <w:link w:val="DataCaptionChar"/>
    <w:rsid w:val="00622669"/>
  </w:style>
  <w:style w:type="character" w:customStyle="1" w:styleId="CaptionChar">
    <w:name w:val="Caption Char"/>
    <w:basedOn w:val="DefaultParagraphFont"/>
    <w:link w:val="Caption"/>
    <w:rsid w:val="00485F13"/>
    <w:rPr>
      <w:rFonts w:ascii="Montserrat Ultra Light" w:hAnsi="Montserrat Ultra Light"/>
      <w:b/>
      <w:bCs/>
      <w:sz w:val="20"/>
      <w:szCs w:val="20"/>
    </w:rPr>
  </w:style>
  <w:style w:type="character" w:customStyle="1" w:styleId="DataCaptionChar">
    <w:name w:val="Data Caption Char"/>
    <w:basedOn w:val="DefaultParagraphFont"/>
    <w:link w:val="CGCDataCaption"/>
    <w:rsid w:val="00622669"/>
    <w:rPr>
      <w:sz w:val="20"/>
      <w:szCs w:val="24"/>
    </w:rPr>
  </w:style>
  <w:style w:type="character" w:customStyle="1" w:styleId="FootnoteTextChar">
    <w:name w:val="Footnote Text Char"/>
    <w:basedOn w:val="DefaultParagraphFont"/>
    <w:link w:val="FootnoteText"/>
    <w:rsid w:val="00782EC4"/>
    <w:rPr>
      <w:rFonts w:ascii="Work Sans" w:hAnsi="Work Sans"/>
      <w:sz w:val="14"/>
      <w:szCs w:val="20"/>
    </w:rPr>
  </w:style>
  <w:style w:type="character" w:customStyle="1" w:styleId="Heading6Char">
    <w:name w:val="Heading 6 Char"/>
    <w:basedOn w:val="DefaultParagraphFont"/>
    <w:link w:val="Heading6"/>
    <w:uiPriority w:val="9"/>
    <w:rsid w:val="00782EC4"/>
    <w:rPr>
      <w:rFonts w:ascii="Montserrat Semi Bold" w:eastAsiaTheme="majorEastAsia" w:hAnsi="Montserrat Semi Bold" w:cstheme="majorBidi"/>
      <w:i/>
      <w:iCs/>
      <w:color w:val="636466"/>
      <w:sz w:val="20"/>
    </w:rPr>
  </w:style>
  <w:style w:type="character" w:customStyle="1" w:styleId="Heading7Char">
    <w:name w:val="Heading 7 Char"/>
    <w:basedOn w:val="DefaultParagraphFont"/>
    <w:link w:val="Heading7"/>
    <w:uiPriority w:val="9"/>
    <w:semiHidden/>
    <w:rsid w:val="00622669"/>
    <w:rPr>
      <w:rFonts w:asciiTheme="majorHAnsi" w:eastAsiaTheme="majorEastAsia" w:hAnsiTheme="majorHAnsi" w:cstheme="majorBidi"/>
      <w:i/>
      <w:iCs/>
      <w:color w:val="404040" w:themeColor="text1" w:themeTint="BF"/>
      <w:sz w:val="24"/>
    </w:rPr>
  </w:style>
  <w:style w:type="paragraph" w:customStyle="1" w:styleId="CGCParaNumber">
    <w:name w:val="CGC Para Number"/>
    <w:basedOn w:val="Normal"/>
    <w:qFormat/>
    <w:rsid w:val="007A1785"/>
  </w:style>
  <w:style w:type="paragraph" w:customStyle="1" w:styleId="CGCBullet1">
    <w:name w:val="CGC Bullet 1"/>
    <w:basedOn w:val="Normal"/>
    <w:qFormat/>
    <w:rsid w:val="00DA7A60"/>
    <w:pPr>
      <w:numPr>
        <w:numId w:val="5"/>
      </w:numPr>
    </w:pPr>
  </w:style>
  <w:style w:type="paragraph" w:customStyle="1" w:styleId="CGCBullet2">
    <w:name w:val="CGC Bullet 2"/>
    <w:basedOn w:val="Normal"/>
    <w:qFormat/>
    <w:rsid w:val="00DA7A60"/>
    <w:pPr>
      <w:numPr>
        <w:numId w:val="6"/>
      </w:numPr>
    </w:pPr>
  </w:style>
  <w:style w:type="paragraph" w:customStyle="1" w:styleId="CGCBullet3">
    <w:name w:val="CGC Bullet 3"/>
    <w:basedOn w:val="Normal"/>
    <w:qFormat/>
    <w:rsid w:val="007A1785"/>
    <w:pPr>
      <w:numPr>
        <w:numId w:val="7"/>
      </w:numPr>
      <w:ind w:left="1491" w:hanging="357"/>
    </w:pPr>
  </w:style>
  <w:style w:type="paragraph" w:customStyle="1" w:styleId="CGCQuoteText">
    <w:name w:val="CGC Quote Text"/>
    <w:basedOn w:val="Normal"/>
    <w:next w:val="Normal"/>
    <w:rsid w:val="00782EC4"/>
    <w:pPr>
      <w:spacing w:after="120"/>
      <w:ind w:left="1418" w:right="1134"/>
    </w:pPr>
  </w:style>
  <w:style w:type="paragraph" w:customStyle="1" w:styleId="CGCQuoteBullet">
    <w:name w:val="CGC Quote Bullet"/>
    <w:basedOn w:val="CGCQuoteText"/>
    <w:next w:val="Normal"/>
    <w:rsid w:val="00782EC4"/>
    <w:pPr>
      <w:numPr>
        <w:numId w:val="8"/>
      </w:numPr>
      <w:ind w:right="1418"/>
    </w:pPr>
  </w:style>
  <w:style w:type="paragraph" w:customStyle="1" w:styleId="CGCTablerow">
    <w:name w:val="CGC Table row"/>
    <w:basedOn w:val="Normal"/>
    <w:qFormat/>
    <w:rsid w:val="00782EC4"/>
    <w:pPr>
      <w:spacing w:before="0" w:line="240" w:lineRule="auto"/>
    </w:pPr>
    <w:rPr>
      <w:sz w:val="16"/>
    </w:rPr>
  </w:style>
  <w:style w:type="paragraph" w:customStyle="1" w:styleId="CGCTablenote">
    <w:name w:val="CGC Table note"/>
    <w:basedOn w:val="Normal"/>
    <w:next w:val="Normal"/>
    <w:qFormat/>
    <w:rsid w:val="00FE5C60"/>
    <w:pPr>
      <w:tabs>
        <w:tab w:val="left" w:pos="680"/>
      </w:tabs>
      <w:spacing w:before="40" w:line="240" w:lineRule="auto"/>
      <w:ind w:left="340" w:hanging="227"/>
    </w:pPr>
    <w:rPr>
      <w:sz w:val="14"/>
    </w:rPr>
  </w:style>
  <w:style w:type="character" w:customStyle="1" w:styleId="CGCTableHeadingChar">
    <w:name w:val="CGC Table Heading Char"/>
    <w:basedOn w:val="DefaultParagraphFont"/>
    <w:link w:val="CGCTableHeading"/>
    <w:rsid w:val="00FE5C60"/>
    <w:rPr>
      <w:rFonts w:ascii="Montserrat Ultra Light" w:hAnsi="Montserrat Ultra Light"/>
      <w:b/>
      <w:sz w:val="20"/>
      <w:szCs w:val="20"/>
    </w:rPr>
  </w:style>
  <w:style w:type="paragraph" w:customStyle="1" w:styleId="TOCtitle">
    <w:name w:val="TOC title"/>
    <w:basedOn w:val="Normal"/>
    <w:next w:val="Normal"/>
    <w:rsid w:val="001C1121"/>
    <w:rPr>
      <w:rFonts w:ascii="Montserrat Semi Bold" w:hAnsi="Montserrat Semi Bold"/>
      <w:color w:val="004563"/>
      <w:sz w:val="36"/>
      <w:lang w:val="en-US"/>
    </w:rPr>
  </w:style>
  <w:style w:type="character" w:styleId="CommentReference">
    <w:name w:val="annotation reference"/>
    <w:basedOn w:val="DefaultParagraphFont"/>
    <w:semiHidden/>
    <w:unhideWhenUsed/>
    <w:rsid w:val="00CA7A75"/>
    <w:rPr>
      <w:sz w:val="16"/>
      <w:szCs w:val="16"/>
    </w:rPr>
  </w:style>
  <w:style w:type="paragraph" w:styleId="CommentText">
    <w:name w:val="annotation text"/>
    <w:basedOn w:val="Normal"/>
    <w:link w:val="CommentTextChar"/>
    <w:unhideWhenUsed/>
    <w:rsid w:val="00CA7A75"/>
    <w:pPr>
      <w:spacing w:line="240" w:lineRule="auto"/>
    </w:pPr>
    <w:rPr>
      <w:szCs w:val="20"/>
    </w:rPr>
  </w:style>
  <w:style w:type="character" w:customStyle="1" w:styleId="CommentTextChar">
    <w:name w:val="Comment Text Char"/>
    <w:basedOn w:val="DefaultParagraphFont"/>
    <w:link w:val="CommentText"/>
    <w:rsid w:val="00CA7A75"/>
    <w:rPr>
      <w:rFonts w:ascii="Open Sans Light" w:hAnsi="Open Sans Light"/>
      <w:sz w:val="20"/>
      <w:szCs w:val="20"/>
    </w:rPr>
  </w:style>
  <w:style w:type="paragraph" w:styleId="CommentSubject">
    <w:name w:val="annotation subject"/>
    <w:basedOn w:val="CommentText"/>
    <w:next w:val="CommentText"/>
    <w:link w:val="CommentSubjectChar"/>
    <w:uiPriority w:val="99"/>
    <w:semiHidden/>
    <w:unhideWhenUsed/>
    <w:rsid w:val="00CA7A75"/>
    <w:rPr>
      <w:b/>
      <w:bCs/>
    </w:rPr>
  </w:style>
  <w:style w:type="character" w:customStyle="1" w:styleId="CommentSubjectChar">
    <w:name w:val="Comment Subject Char"/>
    <w:basedOn w:val="CommentTextChar"/>
    <w:link w:val="CommentSubject"/>
    <w:uiPriority w:val="99"/>
    <w:semiHidden/>
    <w:rsid w:val="00CA7A75"/>
    <w:rPr>
      <w:rFonts w:ascii="Open Sans Light" w:hAnsi="Open Sans Light"/>
      <w:b/>
      <w:bCs/>
      <w:sz w:val="20"/>
      <w:szCs w:val="20"/>
    </w:rPr>
  </w:style>
  <w:style w:type="paragraph" w:customStyle="1" w:styleId="CGCTablesubhead1">
    <w:name w:val="CGC Table subhead1"/>
    <w:basedOn w:val="Normal"/>
    <w:rsid w:val="00BF20E8"/>
    <w:pPr>
      <w:spacing w:before="0" w:line="240" w:lineRule="auto"/>
    </w:pPr>
    <w:rPr>
      <w:rFonts w:ascii="Open Sans Semibold" w:hAnsi="Open Sans Semibold"/>
      <w:sz w:val="16"/>
    </w:rPr>
  </w:style>
  <w:style w:type="character" w:styleId="UnresolvedMention">
    <w:name w:val="Unresolved Mention"/>
    <w:basedOn w:val="DefaultParagraphFont"/>
    <w:uiPriority w:val="99"/>
    <w:unhideWhenUsed/>
    <w:rsid w:val="004F4A13"/>
    <w:rPr>
      <w:color w:val="605E5C"/>
      <w:shd w:val="clear" w:color="auto" w:fill="E1DFDD"/>
    </w:rPr>
  </w:style>
  <w:style w:type="character" w:styleId="Mention">
    <w:name w:val="Mention"/>
    <w:basedOn w:val="DefaultParagraphFont"/>
    <w:uiPriority w:val="99"/>
    <w:unhideWhenUsed/>
    <w:rsid w:val="004F4A13"/>
    <w:rPr>
      <w:color w:val="2B579A"/>
      <w:shd w:val="clear" w:color="auto" w:fill="E1DFDD"/>
    </w:rPr>
  </w:style>
  <w:style w:type="paragraph" w:styleId="BodyText">
    <w:name w:val="Body Text"/>
    <w:link w:val="BodyTextChar"/>
    <w:qFormat/>
    <w:rsid w:val="004D7F21"/>
    <w:pPr>
      <w:spacing w:before="240" w:after="0" w:line="300" w:lineRule="atLeast"/>
      <w:jc w:val="both"/>
    </w:pPr>
    <w:rPr>
      <w:rFonts w:ascii="Open Sans Light" w:eastAsia="Times New Roman" w:hAnsi="Open Sans Light" w:cs="Times New Roman"/>
      <w:sz w:val="24"/>
      <w:szCs w:val="20"/>
      <w:lang w:eastAsia="en-AU"/>
    </w:rPr>
  </w:style>
  <w:style w:type="character" w:customStyle="1" w:styleId="BodyTextChar">
    <w:name w:val="Body Text Char"/>
    <w:basedOn w:val="DefaultParagraphFont"/>
    <w:link w:val="BodyText"/>
    <w:rsid w:val="004D7F21"/>
    <w:rPr>
      <w:rFonts w:ascii="Open Sans Light" w:eastAsia="Times New Roman" w:hAnsi="Open Sans Light" w:cs="Times New Roman"/>
      <w:sz w:val="24"/>
      <w:szCs w:val="20"/>
      <w:lang w:eastAsia="en-AU"/>
    </w:rPr>
  </w:style>
  <w:style w:type="character" w:customStyle="1" w:styleId="normaltextrun">
    <w:name w:val="normaltextrun"/>
    <w:basedOn w:val="DefaultParagraphFont"/>
    <w:rsid w:val="004D7F21"/>
  </w:style>
  <w:style w:type="paragraph" w:customStyle="1" w:styleId="CGCBodyCopy">
    <w:name w:val="CGC Body Copy"/>
    <w:basedOn w:val="Normal"/>
    <w:autoRedefine/>
    <w:qFormat/>
    <w:rsid w:val="004D7F21"/>
    <w:pPr>
      <w:jc w:val="both"/>
    </w:pPr>
    <w:rPr>
      <w:rFonts w:ascii="Work Sans" w:hAnsi="Work Sans" w:cs="Cambria Math"/>
      <w:color w:val="000000"/>
      <w:sz w:val="24"/>
      <w:szCs w:val="21"/>
      <w:shd w:val="clear" w:color="auto" w:fill="FFFFFF"/>
    </w:rPr>
  </w:style>
  <w:style w:type="paragraph" w:customStyle="1" w:styleId="CGCSubHead">
    <w:name w:val="CGC Sub Head"/>
    <w:autoRedefine/>
    <w:qFormat/>
    <w:rsid w:val="004D7F21"/>
    <w:pPr>
      <w:spacing w:before="240"/>
    </w:pPr>
    <w:rPr>
      <w:rFonts w:ascii="Work Sans" w:eastAsiaTheme="majorEastAsia" w:hAnsi="Work Sans" w:cs="Open Sans"/>
      <w:b/>
      <w:bCs/>
      <w:color w:val="4BACC6" w:themeColor="accent5"/>
      <w:sz w:val="28"/>
      <w:szCs w:val="28"/>
    </w:rPr>
  </w:style>
  <w:style w:type="character" w:customStyle="1" w:styleId="UnresolvedMention1">
    <w:name w:val="Unresolved Mention1"/>
    <w:basedOn w:val="DefaultParagraphFont"/>
    <w:uiPriority w:val="99"/>
    <w:unhideWhenUsed/>
    <w:rsid w:val="004D7F21"/>
    <w:rPr>
      <w:color w:val="605E5C"/>
      <w:shd w:val="clear" w:color="auto" w:fill="E1DFDD"/>
    </w:rPr>
  </w:style>
  <w:style w:type="character" w:customStyle="1" w:styleId="Mention1">
    <w:name w:val="Mention1"/>
    <w:basedOn w:val="DefaultParagraphFont"/>
    <w:uiPriority w:val="99"/>
    <w:unhideWhenUsed/>
    <w:rsid w:val="004D7F21"/>
    <w:rPr>
      <w:color w:val="2B579A"/>
      <w:shd w:val="clear" w:color="auto" w:fill="E1DFDD"/>
    </w:rPr>
  </w:style>
  <w:style w:type="paragraph" w:styleId="BalloonText">
    <w:name w:val="Balloon Text"/>
    <w:basedOn w:val="Normal"/>
    <w:link w:val="BalloonTextChar"/>
    <w:uiPriority w:val="99"/>
    <w:semiHidden/>
    <w:unhideWhenUsed/>
    <w:rsid w:val="004D7F21"/>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7F21"/>
    <w:rPr>
      <w:rFonts w:ascii="Segoe UI" w:hAnsi="Segoe UI" w:cs="Segoe UI"/>
      <w:sz w:val="18"/>
      <w:szCs w:val="18"/>
    </w:rPr>
  </w:style>
  <w:style w:type="paragraph" w:styleId="Revision">
    <w:name w:val="Revision"/>
    <w:hidden/>
    <w:uiPriority w:val="99"/>
    <w:semiHidden/>
    <w:rsid w:val="004D7F21"/>
    <w:pPr>
      <w:spacing w:after="0" w:line="240" w:lineRule="auto"/>
    </w:pPr>
    <w:rPr>
      <w:rFonts w:ascii="Open Sans Light" w:hAnsi="Open Sans Light"/>
      <w:sz w:val="20"/>
    </w:rPr>
  </w:style>
  <w:style w:type="paragraph" w:styleId="Bibliography">
    <w:name w:val="Bibliography"/>
    <w:basedOn w:val="Normal"/>
    <w:next w:val="Normal"/>
    <w:uiPriority w:val="37"/>
    <w:unhideWhenUsed/>
    <w:rsid w:val="004D7F21"/>
    <w:pPr>
      <w:tabs>
        <w:tab w:val="clear" w:pos="567"/>
      </w:tabs>
      <w:spacing w:before="0" w:after="160" w:line="259" w:lineRule="auto"/>
    </w:pPr>
    <w:rPr>
      <w:rFonts w:asciiTheme="minorHAnsi" w:hAnsiTheme="minorHAnsi"/>
      <w:sz w:val="22"/>
    </w:rPr>
  </w:style>
  <w:style w:type="paragraph" w:styleId="NormalWeb">
    <w:name w:val="Normal (Web)"/>
    <w:basedOn w:val="Normal"/>
    <w:uiPriority w:val="99"/>
    <w:unhideWhenUsed/>
    <w:rsid w:val="004B6883"/>
    <w:pPr>
      <w:tabs>
        <w:tab w:val="clear" w:pos="567"/>
      </w:tabs>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6334">
      <w:bodyDiv w:val="1"/>
      <w:marLeft w:val="0"/>
      <w:marRight w:val="0"/>
      <w:marTop w:val="0"/>
      <w:marBottom w:val="0"/>
      <w:divBdr>
        <w:top w:val="none" w:sz="0" w:space="0" w:color="auto"/>
        <w:left w:val="none" w:sz="0" w:space="0" w:color="auto"/>
        <w:bottom w:val="none" w:sz="0" w:space="0" w:color="auto"/>
        <w:right w:val="none" w:sz="0" w:space="0" w:color="auto"/>
      </w:divBdr>
    </w:div>
    <w:div w:id="19476126">
      <w:bodyDiv w:val="1"/>
      <w:marLeft w:val="0"/>
      <w:marRight w:val="0"/>
      <w:marTop w:val="0"/>
      <w:marBottom w:val="0"/>
      <w:divBdr>
        <w:top w:val="none" w:sz="0" w:space="0" w:color="auto"/>
        <w:left w:val="none" w:sz="0" w:space="0" w:color="auto"/>
        <w:bottom w:val="none" w:sz="0" w:space="0" w:color="auto"/>
        <w:right w:val="none" w:sz="0" w:space="0" w:color="auto"/>
      </w:divBdr>
    </w:div>
    <w:div w:id="215361513">
      <w:bodyDiv w:val="1"/>
      <w:marLeft w:val="0"/>
      <w:marRight w:val="0"/>
      <w:marTop w:val="0"/>
      <w:marBottom w:val="0"/>
      <w:divBdr>
        <w:top w:val="none" w:sz="0" w:space="0" w:color="auto"/>
        <w:left w:val="none" w:sz="0" w:space="0" w:color="auto"/>
        <w:bottom w:val="none" w:sz="0" w:space="0" w:color="auto"/>
        <w:right w:val="none" w:sz="0" w:space="0" w:color="auto"/>
      </w:divBdr>
    </w:div>
    <w:div w:id="240608006">
      <w:bodyDiv w:val="1"/>
      <w:marLeft w:val="0"/>
      <w:marRight w:val="0"/>
      <w:marTop w:val="0"/>
      <w:marBottom w:val="0"/>
      <w:divBdr>
        <w:top w:val="none" w:sz="0" w:space="0" w:color="auto"/>
        <w:left w:val="none" w:sz="0" w:space="0" w:color="auto"/>
        <w:bottom w:val="none" w:sz="0" w:space="0" w:color="auto"/>
        <w:right w:val="none" w:sz="0" w:space="0" w:color="auto"/>
      </w:divBdr>
    </w:div>
    <w:div w:id="248123965">
      <w:bodyDiv w:val="1"/>
      <w:marLeft w:val="0"/>
      <w:marRight w:val="0"/>
      <w:marTop w:val="0"/>
      <w:marBottom w:val="0"/>
      <w:divBdr>
        <w:top w:val="none" w:sz="0" w:space="0" w:color="auto"/>
        <w:left w:val="none" w:sz="0" w:space="0" w:color="auto"/>
        <w:bottom w:val="none" w:sz="0" w:space="0" w:color="auto"/>
        <w:right w:val="none" w:sz="0" w:space="0" w:color="auto"/>
      </w:divBdr>
    </w:div>
    <w:div w:id="283461682">
      <w:bodyDiv w:val="1"/>
      <w:marLeft w:val="0"/>
      <w:marRight w:val="0"/>
      <w:marTop w:val="0"/>
      <w:marBottom w:val="0"/>
      <w:divBdr>
        <w:top w:val="none" w:sz="0" w:space="0" w:color="auto"/>
        <w:left w:val="none" w:sz="0" w:space="0" w:color="auto"/>
        <w:bottom w:val="none" w:sz="0" w:space="0" w:color="auto"/>
        <w:right w:val="none" w:sz="0" w:space="0" w:color="auto"/>
      </w:divBdr>
    </w:div>
    <w:div w:id="358245519">
      <w:bodyDiv w:val="1"/>
      <w:marLeft w:val="0"/>
      <w:marRight w:val="0"/>
      <w:marTop w:val="0"/>
      <w:marBottom w:val="0"/>
      <w:divBdr>
        <w:top w:val="none" w:sz="0" w:space="0" w:color="auto"/>
        <w:left w:val="none" w:sz="0" w:space="0" w:color="auto"/>
        <w:bottom w:val="none" w:sz="0" w:space="0" w:color="auto"/>
        <w:right w:val="none" w:sz="0" w:space="0" w:color="auto"/>
      </w:divBdr>
    </w:div>
    <w:div w:id="523597020">
      <w:bodyDiv w:val="1"/>
      <w:marLeft w:val="0"/>
      <w:marRight w:val="0"/>
      <w:marTop w:val="0"/>
      <w:marBottom w:val="0"/>
      <w:divBdr>
        <w:top w:val="none" w:sz="0" w:space="0" w:color="auto"/>
        <w:left w:val="none" w:sz="0" w:space="0" w:color="auto"/>
        <w:bottom w:val="none" w:sz="0" w:space="0" w:color="auto"/>
        <w:right w:val="none" w:sz="0" w:space="0" w:color="auto"/>
      </w:divBdr>
    </w:div>
    <w:div w:id="528180250">
      <w:bodyDiv w:val="1"/>
      <w:marLeft w:val="0"/>
      <w:marRight w:val="0"/>
      <w:marTop w:val="0"/>
      <w:marBottom w:val="0"/>
      <w:divBdr>
        <w:top w:val="none" w:sz="0" w:space="0" w:color="auto"/>
        <w:left w:val="none" w:sz="0" w:space="0" w:color="auto"/>
        <w:bottom w:val="none" w:sz="0" w:space="0" w:color="auto"/>
        <w:right w:val="none" w:sz="0" w:space="0" w:color="auto"/>
      </w:divBdr>
    </w:div>
    <w:div w:id="542055706">
      <w:bodyDiv w:val="1"/>
      <w:marLeft w:val="0"/>
      <w:marRight w:val="0"/>
      <w:marTop w:val="0"/>
      <w:marBottom w:val="0"/>
      <w:divBdr>
        <w:top w:val="none" w:sz="0" w:space="0" w:color="auto"/>
        <w:left w:val="none" w:sz="0" w:space="0" w:color="auto"/>
        <w:bottom w:val="none" w:sz="0" w:space="0" w:color="auto"/>
        <w:right w:val="none" w:sz="0" w:space="0" w:color="auto"/>
      </w:divBdr>
    </w:div>
    <w:div w:id="547255162">
      <w:bodyDiv w:val="1"/>
      <w:marLeft w:val="0"/>
      <w:marRight w:val="0"/>
      <w:marTop w:val="0"/>
      <w:marBottom w:val="0"/>
      <w:divBdr>
        <w:top w:val="none" w:sz="0" w:space="0" w:color="auto"/>
        <w:left w:val="none" w:sz="0" w:space="0" w:color="auto"/>
        <w:bottom w:val="none" w:sz="0" w:space="0" w:color="auto"/>
        <w:right w:val="none" w:sz="0" w:space="0" w:color="auto"/>
      </w:divBdr>
    </w:div>
    <w:div w:id="611522579">
      <w:bodyDiv w:val="1"/>
      <w:marLeft w:val="0"/>
      <w:marRight w:val="0"/>
      <w:marTop w:val="0"/>
      <w:marBottom w:val="0"/>
      <w:divBdr>
        <w:top w:val="none" w:sz="0" w:space="0" w:color="auto"/>
        <w:left w:val="none" w:sz="0" w:space="0" w:color="auto"/>
        <w:bottom w:val="none" w:sz="0" w:space="0" w:color="auto"/>
        <w:right w:val="none" w:sz="0" w:space="0" w:color="auto"/>
      </w:divBdr>
    </w:div>
    <w:div w:id="679813372">
      <w:bodyDiv w:val="1"/>
      <w:marLeft w:val="0"/>
      <w:marRight w:val="0"/>
      <w:marTop w:val="0"/>
      <w:marBottom w:val="0"/>
      <w:divBdr>
        <w:top w:val="none" w:sz="0" w:space="0" w:color="auto"/>
        <w:left w:val="none" w:sz="0" w:space="0" w:color="auto"/>
        <w:bottom w:val="none" w:sz="0" w:space="0" w:color="auto"/>
        <w:right w:val="none" w:sz="0" w:space="0" w:color="auto"/>
      </w:divBdr>
    </w:div>
    <w:div w:id="704869077">
      <w:bodyDiv w:val="1"/>
      <w:marLeft w:val="0"/>
      <w:marRight w:val="0"/>
      <w:marTop w:val="0"/>
      <w:marBottom w:val="0"/>
      <w:divBdr>
        <w:top w:val="none" w:sz="0" w:space="0" w:color="auto"/>
        <w:left w:val="none" w:sz="0" w:space="0" w:color="auto"/>
        <w:bottom w:val="none" w:sz="0" w:space="0" w:color="auto"/>
        <w:right w:val="none" w:sz="0" w:space="0" w:color="auto"/>
      </w:divBdr>
    </w:div>
    <w:div w:id="741756186">
      <w:bodyDiv w:val="1"/>
      <w:marLeft w:val="0"/>
      <w:marRight w:val="0"/>
      <w:marTop w:val="0"/>
      <w:marBottom w:val="0"/>
      <w:divBdr>
        <w:top w:val="none" w:sz="0" w:space="0" w:color="auto"/>
        <w:left w:val="none" w:sz="0" w:space="0" w:color="auto"/>
        <w:bottom w:val="none" w:sz="0" w:space="0" w:color="auto"/>
        <w:right w:val="none" w:sz="0" w:space="0" w:color="auto"/>
      </w:divBdr>
    </w:div>
    <w:div w:id="901789176">
      <w:bodyDiv w:val="1"/>
      <w:marLeft w:val="0"/>
      <w:marRight w:val="0"/>
      <w:marTop w:val="0"/>
      <w:marBottom w:val="0"/>
      <w:divBdr>
        <w:top w:val="none" w:sz="0" w:space="0" w:color="auto"/>
        <w:left w:val="none" w:sz="0" w:space="0" w:color="auto"/>
        <w:bottom w:val="none" w:sz="0" w:space="0" w:color="auto"/>
        <w:right w:val="none" w:sz="0" w:space="0" w:color="auto"/>
      </w:divBdr>
    </w:div>
    <w:div w:id="996612558">
      <w:bodyDiv w:val="1"/>
      <w:marLeft w:val="0"/>
      <w:marRight w:val="0"/>
      <w:marTop w:val="0"/>
      <w:marBottom w:val="0"/>
      <w:divBdr>
        <w:top w:val="none" w:sz="0" w:space="0" w:color="auto"/>
        <w:left w:val="none" w:sz="0" w:space="0" w:color="auto"/>
        <w:bottom w:val="none" w:sz="0" w:space="0" w:color="auto"/>
        <w:right w:val="none" w:sz="0" w:space="0" w:color="auto"/>
      </w:divBdr>
    </w:div>
    <w:div w:id="997612217">
      <w:bodyDiv w:val="1"/>
      <w:marLeft w:val="0"/>
      <w:marRight w:val="0"/>
      <w:marTop w:val="0"/>
      <w:marBottom w:val="0"/>
      <w:divBdr>
        <w:top w:val="none" w:sz="0" w:space="0" w:color="auto"/>
        <w:left w:val="none" w:sz="0" w:space="0" w:color="auto"/>
        <w:bottom w:val="none" w:sz="0" w:space="0" w:color="auto"/>
        <w:right w:val="none" w:sz="0" w:space="0" w:color="auto"/>
      </w:divBdr>
    </w:div>
    <w:div w:id="1113399229">
      <w:bodyDiv w:val="1"/>
      <w:marLeft w:val="0"/>
      <w:marRight w:val="0"/>
      <w:marTop w:val="0"/>
      <w:marBottom w:val="0"/>
      <w:divBdr>
        <w:top w:val="none" w:sz="0" w:space="0" w:color="auto"/>
        <w:left w:val="none" w:sz="0" w:space="0" w:color="auto"/>
        <w:bottom w:val="none" w:sz="0" w:space="0" w:color="auto"/>
        <w:right w:val="none" w:sz="0" w:space="0" w:color="auto"/>
      </w:divBdr>
    </w:div>
    <w:div w:id="1221673140">
      <w:bodyDiv w:val="1"/>
      <w:marLeft w:val="0"/>
      <w:marRight w:val="0"/>
      <w:marTop w:val="0"/>
      <w:marBottom w:val="0"/>
      <w:divBdr>
        <w:top w:val="none" w:sz="0" w:space="0" w:color="auto"/>
        <w:left w:val="none" w:sz="0" w:space="0" w:color="auto"/>
        <w:bottom w:val="none" w:sz="0" w:space="0" w:color="auto"/>
        <w:right w:val="none" w:sz="0" w:space="0" w:color="auto"/>
      </w:divBdr>
    </w:div>
    <w:div w:id="1229682430">
      <w:bodyDiv w:val="1"/>
      <w:marLeft w:val="0"/>
      <w:marRight w:val="0"/>
      <w:marTop w:val="0"/>
      <w:marBottom w:val="0"/>
      <w:divBdr>
        <w:top w:val="none" w:sz="0" w:space="0" w:color="auto"/>
        <w:left w:val="none" w:sz="0" w:space="0" w:color="auto"/>
        <w:bottom w:val="none" w:sz="0" w:space="0" w:color="auto"/>
        <w:right w:val="none" w:sz="0" w:space="0" w:color="auto"/>
      </w:divBdr>
    </w:div>
    <w:div w:id="1379433095">
      <w:bodyDiv w:val="1"/>
      <w:marLeft w:val="0"/>
      <w:marRight w:val="0"/>
      <w:marTop w:val="0"/>
      <w:marBottom w:val="0"/>
      <w:divBdr>
        <w:top w:val="none" w:sz="0" w:space="0" w:color="auto"/>
        <w:left w:val="none" w:sz="0" w:space="0" w:color="auto"/>
        <w:bottom w:val="none" w:sz="0" w:space="0" w:color="auto"/>
        <w:right w:val="none" w:sz="0" w:space="0" w:color="auto"/>
      </w:divBdr>
    </w:div>
    <w:div w:id="1461997063">
      <w:bodyDiv w:val="1"/>
      <w:marLeft w:val="0"/>
      <w:marRight w:val="0"/>
      <w:marTop w:val="0"/>
      <w:marBottom w:val="0"/>
      <w:divBdr>
        <w:top w:val="none" w:sz="0" w:space="0" w:color="auto"/>
        <w:left w:val="none" w:sz="0" w:space="0" w:color="auto"/>
        <w:bottom w:val="none" w:sz="0" w:space="0" w:color="auto"/>
        <w:right w:val="none" w:sz="0" w:space="0" w:color="auto"/>
      </w:divBdr>
    </w:div>
    <w:div w:id="1485076633">
      <w:bodyDiv w:val="1"/>
      <w:marLeft w:val="0"/>
      <w:marRight w:val="0"/>
      <w:marTop w:val="0"/>
      <w:marBottom w:val="0"/>
      <w:divBdr>
        <w:top w:val="none" w:sz="0" w:space="0" w:color="auto"/>
        <w:left w:val="none" w:sz="0" w:space="0" w:color="auto"/>
        <w:bottom w:val="none" w:sz="0" w:space="0" w:color="auto"/>
        <w:right w:val="none" w:sz="0" w:space="0" w:color="auto"/>
      </w:divBdr>
    </w:div>
    <w:div w:id="1513835799">
      <w:bodyDiv w:val="1"/>
      <w:marLeft w:val="0"/>
      <w:marRight w:val="0"/>
      <w:marTop w:val="0"/>
      <w:marBottom w:val="0"/>
      <w:divBdr>
        <w:top w:val="none" w:sz="0" w:space="0" w:color="auto"/>
        <w:left w:val="none" w:sz="0" w:space="0" w:color="auto"/>
        <w:bottom w:val="none" w:sz="0" w:space="0" w:color="auto"/>
        <w:right w:val="none" w:sz="0" w:space="0" w:color="auto"/>
      </w:divBdr>
    </w:div>
    <w:div w:id="1673294271">
      <w:bodyDiv w:val="1"/>
      <w:marLeft w:val="0"/>
      <w:marRight w:val="0"/>
      <w:marTop w:val="0"/>
      <w:marBottom w:val="0"/>
      <w:divBdr>
        <w:top w:val="none" w:sz="0" w:space="0" w:color="auto"/>
        <w:left w:val="none" w:sz="0" w:space="0" w:color="auto"/>
        <w:bottom w:val="none" w:sz="0" w:space="0" w:color="auto"/>
        <w:right w:val="none" w:sz="0" w:space="0" w:color="auto"/>
      </w:divBdr>
    </w:div>
    <w:div w:id="1750693866">
      <w:bodyDiv w:val="1"/>
      <w:marLeft w:val="0"/>
      <w:marRight w:val="0"/>
      <w:marTop w:val="0"/>
      <w:marBottom w:val="0"/>
      <w:divBdr>
        <w:top w:val="none" w:sz="0" w:space="0" w:color="auto"/>
        <w:left w:val="none" w:sz="0" w:space="0" w:color="auto"/>
        <w:bottom w:val="none" w:sz="0" w:space="0" w:color="auto"/>
        <w:right w:val="none" w:sz="0" w:space="0" w:color="auto"/>
      </w:divBdr>
    </w:div>
    <w:div w:id="1934701863">
      <w:bodyDiv w:val="1"/>
      <w:marLeft w:val="0"/>
      <w:marRight w:val="0"/>
      <w:marTop w:val="0"/>
      <w:marBottom w:val="0"/>
      <w:divBdr>
        <w:top w:val="none" w:sz="0" w:space="0" w:color="auto"/>
        <w:left w:val="none" w:sz="0" w:space="0" w:color="auto"/>
        <w:bottom w:val="none" w:sz="0" w:space="0" w:color="auto"/>
        <w:right w:val="none" w:sz="0" w:space="0" w:color="auto"/>
      </w:divBdr>
    </w:div>
    <w:div w:id="1936592479">
      <w:bodyDiv w:val="1"/>
      <w:marLeft w:val="0"/>
      <w:marRight w:val="0"/>
      <w:marTop w:val="0"/>
      <w:marBottom w:val="0"/>
      <w:divBdr>
        <w:top w:val="none" w:sz="0" w:space="0" w:color="auto"/>
        <w:left w:val="none" w:sz="0" w:space="0" w:color="auto"/>
        <w:bottom w:val="none" w:sz="0" w:space="0" w:color="auto"/>
        <w:right w:val="none" w:sz="0" w:space="0" w:color="auto"/>
      </w:divBdr>
    </w:div>
    <w:div w:id="1948123806">
      <w:bodyDiv w:val="1"/>
      <w:marLeft w:val="0"/>
      <w:marRight w:val="0"/>
      <w:marTop w:val="0"/>
      <w:marBottom w:val="0"/>
      <w:divBdr>
        <w:top w:val="none" w:sz="0" w:space="0" w:color="auto"/>
        <w:left w:val="none" w:sz="0" w:space="0" w:color="auto"/>
        <w:bottom w:val="none" w:sz="0" w:space="0" w:color="auto"/>
        <w:right w:val="none" w:sz="0" w:space="0" w:color="auto"/>
      </w:divBdr>
    </w:div>
    <w:div w:id="1993672917">
      <w:bodyDiv w:val="1"/>
      <w:marLeft w:val="0"/>
      <w:marRight w:val="0"/>
      <w:marTop w:val="0"/>
      <w:marBottom w:val="0"/>
      <w:divBdr>
        <w:top w:val="none" w:sz="0" w:space="0" w:color="auto"/>
        <w:left w:val="none" w:sz="0" w:space="0" w:color="auto"/>
        <w:bottom w:val="none" w:sz="0" w:space="0" w:color="auto"/>
        <w:right w:val="none" w:sz="0" w:space="0" w:color="auto"/>
      </w:divBdr>
    </w:div>
    <w:div w:id="2054423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creativecommons.org/licenses/by/4.0/legalcod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8.emf"/><Relationship Id="rId10" Type="http://schemas.openxmlformats.org/officeDocument/2006/relationships/endnotes" Target="endnotes.xml"/><Relationship Id="rId19" Type="http://schemas.openxmlformats.org/officeDocument/2006/relationships/hyperlink" Target="https://stats.oecd.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emf"/></Relationships>
</file>

<file path=word/_rels/footer1.xml.rels><?xml version="1.0" encoding="UTF-8" standalone="yes"?>
<Relationships xmlns="http://schemas.openxmlformats.org/package/2006/relationships"><Relationship Id="rId1" Type="http://schemas.openxmlformats.org/officeDocument/2006/relationships/hyperlink" Target="http://www.cgc.gov.a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gc.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AEA9839F97DA84EAC43A7FB852BABF8" ma:contentTypeVersion="10" ma:contentTypeDescription="Create a new document." ma:contentTypeScope="" ma:versionID="5d39d10a32ccba9c96e4777a503aeead">
  <xsd:schema xmlns:xsd="http://www.w3.org/2001/XMLSchema" xmlns:xs="http://www.w3.org/2001/XMLSchema" xmlns:p="http://schemas.microsoft.com/office/2006/metadata/properties" xmlns:ns2="fddab0a8-5dcd-452e-8920-feabfc03300f" xmlns:ns3="3b147965-d003-4c9e-9913-90f0d9e77379" targetNamespace="http://schemas.microsoft.com/office/2006/metadata/properties" ma:root="true" ma:fieldsID="77dc74ff3cf2b8b3397f2f35b7aae2c9" ns2:_="" ns3:_="">
    <xsd:import namespace="fddab0a8-5dcd-452e-8920-feabfc03300f"/>
    <xsd:import namespace="3b147965-d003-4c9e-9913-90f0d9e7737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dab0a8-5dcd-452e-8920-feabfc0330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147965-d003-4c9e-9913-90f0d9e7737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3b147965-d003-4c9e-9913-90f0d9e77379">
      <UserInfo>
        <DisplayName>Naomi Elliott</DisplayName>
        <AccountId>36</AccountId>
        <AccountType/>
      </UserInfo>
      <UserInfo>
        <DisplayName>Jeffrey Evans</DisplayName>
        <AccountId>25</AccountId>
        <AccountType/>
      </UserInfo>
      <UserInfo>
        <DisplayName>Marc Boisseau</DisplayName>
        <AccountId>23</AccountId>
        <AccountType/>
      </UserInfo>
      <UserInfo>
        <DisplayName>Jonathan Rollings</DisplayName>
        <AccountId>79</AccountId>
        <AccountType/>
      </UserInfo>
      <UserInfo>
        <DisplayName>Therese Maher</DisplayName>
        <AccountId>157</AccountId>
        <AccountType/>
      </UserInfo>
      <UserInfo>
        <DisplayName>Tim Carlton</DisplayName>
        <AccountId>20</AccountId>
        <AccountType/>
      </UserInfo>
      <UserInfo>
        <DisplayName>Philip Harber</DisplayName>
        <AccountId>52</AccountId>
        <AccountType/>
      </UserInfo>
      <UserInfo>
        <DisplayName>Annie Abello</DisplayName>
        <AccountId>19</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9291E0D-5249-4EB3-A667-BC88029BF320}">
  <ds:schemaRefs>
    <ds:schemaRef ds:uri="http://schemas.openxmlformats.org/officeDocument/2006/bibliography"/>
  </ds:schemaRefs>
</ds:datastoreItem>
</file>

<file path=customXml/itemProps2.xml><?xml version="1.0" encoding="utf-8"?>
<ds:datastoreItem xmlns:ds="http://schemas.openxmlformats.org/officeDocument/2006/customXml" ds:itemID="{07033299-29E6-4DCF-AF0A-4A05850BF4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dab0a8-5dcd-452e-8920-feabfc03300f"/>
    <ds:schemaRef ds:uri="3b147965-d003-4c9e-9913-90f0d9e773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2A4F8F-140F-4856-8B9E-31DCD427886D}">
  <ds:schemaRefs>
    <ds:schemaRef ds:uri="http://schemas.microsoft.com/office/2006/metadata/properties"/>
    <ds:schemaRef ds:uri="http://schemas.microsoft.com/office/infopath/2007/PartnerControls"/>
    <ds:schemaRef ds:uri="3b147965-d003-4c9e-9913-90f0d9e77379"/>
  </ds:schemaRefs>
</ds:datastoreItem>
</file>

<file path=customXml/itemProps4.xml><?xml version="1.0" encoding="utf-8"?>
<ds:datastoreItem xmlns:ds="http://schemas.openxmlformats.org/officeDocument/2006/customXml" ds:itemID="{0DF9C94A-53B2-4B40-BB19-46D4024B11F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1268</TotalTime>
  <Pages>24</Pages>
  <Words>6517</Words>
  <Characters>38663</Characters>
  <Application>Microsoft Office Word</Application>
  <DocSecurity>0</DocSecurity>
  <Lines>322</Lines>
  <Paragraphs>90</Paragraphs>
  <ScaleCrop>false</ScaleCrop>
  <Company/>
  <LinksUpToDate>false</LinksUpToDate>
  <CharactersWithSpaces>45090</CharactersWithSpaces>
  <SharedDoc>false</SharedDoc>
  <HLinks>
    <vt:vector size="24" baseType="variant">
      <vt:variant>
        <vt:i4>3539057</vt:i4>
      </vt:variant>
      <vt:variant>
        <vt:i4>6</vt:i4>
      </vt:variant>
      <vt:variant>
        <vt:i4>0</vt:i4>
      </vt:variant>
      <vt:variant>
        <vt:i4>5</vt:i4>
      </vt:variant>
      <vt:variant>
        <vt:lpwstr>https://stats.oecd.org/</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ariant>
        <vt:i4>7602221</vt:i4>
      </vt:variant>
      <vt:variant>
        <vt:i4>9</vt:i4>
      </vt:variant>
      <vt:variant>
        <vt:i4>0</vt:i4>
      </vt:variant>
      <vt:variant>
        <vt:i4>5</vt:i4>
      </vt:variant>
      <vt:variant>
        <vt:lpwstr>http://www.cgc.gov.au/</vt:lpwstr>
      </vt:variant>
      <vt:variant>
        <vt:lpwstr/>
      </vt:variant>
      <vt:variant>
        <vt:i4>7602221</vt:i4>
      </vt:variant>
      <vt:variant>
        <vt:i4>3</vt:i4>
      </vt:variant>
      <vt:variant>
        <vt:i4>0</vt:i4>
      </vt:variant>
      <vt:variant>
        <vt:i4>5</vt:i4>
      </vt:variant>
      <vt:variant>
        <vt:lpwstr>http://www.cgc.gov.au/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Annie Abello</cp:lastModifiedBy>
  <cp:revision>41</cp:revision>
  <cp:lastPrinted>2022-04-21T22:31:00Z</cp:lastPrinted>
  <dcterms:created xsi:type="dcterms:W3CDTF">2022-03-07T23:09:00Z</dcterms:created>
  <dcterms:modified xsi:type="dcterms:W3CDTF">2022-04-22T04:47:00Z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0x0101009AEA9839F97DA84EAC43A7FB852BABF8</vt:lpwstr>
  </property>
  <property fmtid="{D5CDD505-2E9C-101B-9397-08002B2CF9AE}" pid="3" name="Order">
    <vt:r8>1217700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ies>
</file>