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7C6846" w14:textId="5098C7AE" w:rsidR="004C78B6" w:rsidRDefault="006E6000" w:rsidP="004C78B6">
      <w:r>
        <w:rPr>
          <w:noProof/>
        </w:rPr>
        <w:drawing>
          <wp:anchor distT="0" distB="0" distL="114300" distR="114300" simplePos="0" relativeHeight="251658240" behindDoc="1" locked="0" layoutInCell="1" allowOverlap="1" wp14:anchorId="10314E4F" wp14:editId="1779EBB6">
            <wp:simplePos x="0" y="0"/>
            <wp:positionH relativeFrom="column">
              <wp:posOffset>-901700</wp:posOffset>
            </wp:positionH>
            <wp:positionV relativeFrom="paragraph">
              <wp:posOffset>-1260475</wp:posOffset>
            </wp:positionV>
            <wp:extent cx="7725600" cy="10922400"/>
            <wp:effectExtent l="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25600" cy="10922400"/>
                    </a:xfrm>
                    <a:prstGeom prst="rect">
                      <a:avLst/>
                    </a:prstGeom>
                  </pic:spPr>
                </pic:pic>
              </a:graphicData>
            </a:graphic>
            <wp14:sizeRelH relativeFrom="margin">
              <wp14:pctWidth>0</wp14:pctWidth>
            </wp14:sizeRelH>
            <wp14:sizeRelV relativeFrom="margin">
              <wp14:pctHeight>0</wp14:pctHeight>
            </wp14:sizeRelV>
          </wp:anchor>
        </w:drawing>
      </w:r>
      <w:r w:rsidR="004C78B6">
        <w:rPr>
          <w:noProof/>
        </w:rPr>
        <w:drawing>
          <wp:inline distT="0" distB="0" distL="0" distR="0" wp14:anchorId="53D88FA4" wp14:editId="7CAF3C86">
            <wp:extent cx="2441749" cy="460926"/>
            <wp:effectExtent l="0" t="0" r="0" b="0"/>
            <wp:docPr id="7" name="Picture 7"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Text&#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632597" cy="496952"/>
                    </a:xfrm>
                    <a:prstGeom prst="rect">
                      <a:avLst/>
                    </a:prstGeom>
                  </pic:spPr>
                </pic:pic>
              </a:graphicData>
            </a:graphic>
          </wp:inline>
        </w:drawing>
      </w:r>
    </w:p>
    <w:p w14:paraId="56AA9408" w14:textId="68FDD22B" w:rsidR="004C78B6" w:rsidRPr="00962EFF" w:rsidRDefault="004C78B6" w:rsidP="00962EFF">
      <w:pPr>
        <w:rPr>
          <w:rFonts w:ascii="Work Sans" w:hAnsi="Work Sans"/>
        </w:rPr>
      </w:pPr>
    </w:p>
    <w:p w14:paraId="6C749E99" w14:textId="7E1F7331" w:rsidR="004C78B6" w:rsidRPr="00962EFF" w:rsidRDefault="004C78B6" w:rsidP="00962EFF">
      <w:pPr>
        <w:rPr>
          <w:rFonts w:ascii="Work Sans" w:hAnsi="Work Sans"/>
        </w:rPr>
      </w:pPr>
    </w:p>
    <w:p w14:paraId="00648F61" w14:textId="7627E11B" w:rsidR="00D838D7" w:rsidRPr="00962EFF" w:rsidRDefault="00D838D7" w:rsidP="00962EFF">
      <w:pPr>
        <w:rPr>
          <w:rFonts w:ascii="Work Sans" w:hAnsi="Work Sans"/>
        </w:rPr>
      </w:pPr>
    </w:p>
    <w:p w14:paraId="1CD4EF8B" w14:textId="77777777" w:rsidR="00AD53D2" w:rsidRPr="00962EFF" w:rsidRDefault="00AD53D2" w:rsidP="00962EFF">
      <w:pPr>
        <w:rPr>
          <w:rFonts w:ascii="Work Sans" w:hAnsi="Work Sans"/>
        </w:rPr>
      </w:pPr>
    </w:p>
    <w:p w14:paraId="1BD893EE" w14:textId="77777777" w:rsidR="00AD53D2" w:rsidRPr="00962EFF" w:rsidRDefault="00AD53D2" w:rsidP="00962EFF">
      <w:pPr>
        <w:rPr>
          <w:rFonts w:ascii="Work Sans" w:hAnsi="Work Sans"/>
        </w:rPr>
      </w:pPr>
    </w:p>
    <w:p w14:paraId="19848CF4" w14:textId="77777777" w:rsidR="00AD53D2" w:rsidRPr="00962EFF" w:rsidRDefault="00AD53D2" w:rsidP="00962EFF">
      <w:pPr>
        <w:rPr>
          <w:rFonts w:ascii="Work Sans" w:hAnsi="Work Sans"/>
        </w:rPr>
      </w:pPr>
    </w:p>
    <w:p w14:paraId="699217D6" w14:textId="087D47E4" w:rsidR="00AD53D2" w:rsidRPr="00962EFF" w:rsidRDefault="00EC0F01" w:rsidP="00962EFF">
      <w:pPr>
        <w:rPr>
          <w:rFonts w:ascii="Work Sans" w:hAnsi="Work Sans"/>
        </w:rPr>
      </w:pPr>
      <w:r w:rsidRPr="00962EFF">
        <w:rPr>
          <w:rFonts w:ascii="Work Sans" w:hAnsi="Work Sans"/>
          <w:noProof/>
        </w:rPr>
        <mc:AlternateContent>
          <mc:Choice Requires="wps">
            <w:drawing>
              <wp:anchor distT="0" distB="0" distL="114300" distR="114300" simplePos="0" relativeHeight="251658241" behindDoc="0" locked="0" layoutInCell="1" allowOverlap="1" wp14:anchorId="13874347" wp14:editId="77F00492">
                <wp:simplePos x="0" y="0"/>
                <wp:positionH relativeFrom="column">
                  <wp:posOffset>43658</wp:posOffset>
                </wp:positionH>
                <wp:positionV relativeFrom="paragraph">
                  <wp:posOffset>79260</wp:posOffset>
                </wp:positionV>
                <wp:extent cx="5183580" cy="894080"/>
                <wp:effectExtent l="0" t="0" r="0" b="1270"/>
                <wp:wrapNone/>
                <wp:docPr id="13" name="Text Box 13"/>
                <wp:cNvGraphicFramePr/>
                <a:graphic xmlns:a="http://schemas.openxmlformats.org/drawingml/2006/main">
                  <a:graphicData uri="http://schemas.microsoft.com/office/word/2010/wordprocessingShape">
                    <wps:wsp>
                      <wps:cNvSpPr txBox="1"/>
                      <wps:spPr>
                        <a:xfrm>
                          <a:off x="0" y="0"/>
                          <a:ext cx="5183580" cy="894080"/>
                        </a:xfrm>
                        <a:prstGeom prst="rect">
                          <a:avLst/>
                        </a:prstGeom>
                        <a:noFill/>
                        <a:ln w="6350">
                          <a:noFill/>
                        </a:ln>
                      </wps:spPr>
                      <wps:txbx>
                        <w:txbxContent>
                          <w:p w14:paraId="2B443CCE" w14:textId="4EA77BD3" w:rsidR="00AD53D2" w:rsidRPr="00B417A0" w:rsidRDefault="00962EFF" w:rsidP="00AD53D2">
                            <w:pPr>
                              <w:rPr>
                                <w:rFonts w:ascii="Work Sans" w:hAnsi="Work Sans" w:cs="Open Sans"/>
                                <w:b/>
                                <w:bCs/>
                                <w:color w:val="FFFFFF"/>
                                <w:sz w:val="84"/>
                                <w:szCs w:val="84"/>
                              </w:rPr>
                            </w:pPr>
                            <w:r>
                              <w:rPr>
                                <w:rFonts w:ascii="Work Sans" w:hAnsi="Work Sans" w:cs="Open Sans"/>
                                <w:b/>
                                <w:bCs/>
                                <w:color w:val="FFFFFF"/>
                                <w:sz w:val="84"/>
                                <w:szCs w:val="84"/>
                              </w:rPr>
                              <w:t>Occasional Paper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874347" id="_x0000_t202" coordsize="21600,21600" o:spt="202" path="m,l,21600r21600,l21600,xe">
                <v:stroke joinstyle="miter"/>
                <v:path gradientshapeok="t" o:connecttype="rect"/>
              </v:shapetype>
              <v:shape id="Text Box 13" o:spid="_x0000_s1026" type="#_x0000_t202" style="position:absolute;margin-left:3.45pt;margin-top:6.25pt;width:408.15pt;height:70.4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" filled="f" stroked="f" strokeweight=".5pt">
                <v:textbox>
                  <w:txbxContent>
                    <w:p w14:paraId="2B443CCE" w14:textId="4EA77BD3" w:rsidR="00AD53D2" w:rsidRPr="00B417A0" w:rsidRDefault="00962EFF" w:rsidP="00AD53D2">
                      <w:pPr>
                        <w:rPr>
                          <w:rFonts w:ascii="Work Sans" w:hAnsi="Work Sans" w:cs="Open Sans"/>
                          <w:b/>
                          <w:bCs/>
                          <w:color w:val="FFFFFF"/>
                          <w:sz w:val="84"/>
                          <w:szCs w:val="84"/>
                        </w:rPr>
                      </w:pPr>
                      <w:r>
                        <w:rPr>
                          <w:rFonts w:ascii="Work Sans" w:hAnsi="Work Sans" w:cs="Open Sans"/>
                          <w:b/>
                          <w:bCs/>
                          <w:color w:val="FFFFFF"/>
                          <w:sz w:val="84"/>
                          <w:szCs w:val="84"/>
                        </w:rPr>
                        <w:t>Occasional Paper</w:t>
                      </w:r>
                    </w:p>
                  </w:txbxContent>
                </v:textbox>
              </v:shape>
            </w:pict>
          </mc:Fallback>
        </mc:AlternateContent>
      </w:r>
    </w:p>
    <w:p w14:paraId="45D6F931" w14:textId="13806892" w:rsidR="00AD53D2" w:rsidRPr="00962EFF" w:rsidRDefault="00AD53D2" w:rsidP="00962EFF">
      <w:pPr>
        <w:rPr>
          <w:rFonts w:ascii="Work Sans" w:hAnsi="Work Sans"/>
        </w:rPr>
      </w:pPr>
    </w:p>
    <w:p w14:paraId="0568BBED" w14:textId="40254B98" w:rsidR="00AD53D2" w:rsidRPr="00962EFF" w:rsidRDefault="00AD53D2" w:rsidP="00962EFF">
      <w:pPr>
        <w:rPr>
          <w:rFonts w:ascii="Work Sans" w:hAnsi="Work Sans"/>
        </w:rPr>
      </w:pPr>
    </w:p>
    <w:p w14:paraId="39A7AC3F" w14:textId="493BB66B" w:rsidR="00AD53D2" w:rsidRDefault="00AD53D2" w:rsidP="00962EFF">
      <w:pPr>
        <w:rPr>
          <w:rFonts w:ascii="Work Sans" w:hAnsi="Work Sans"/>
        </w:rPr>
      </w:pPr>
    </w:p>
    <w:p w14:paraId="12D1F061" w14:textId="1AFF73FC" w:rsidR="00962EFF" w:rsidRDefault="00962EFF" w:rsidP="00962EFF">
      <w:pPr>
        <w:rPr>
          <w:rFonts w:ascii="Work Sans" w:hAnsi="Work Sans"/>
        </w:rPr>
      </w:pPr>
    </w:p>
    <w:p w14:paraId="55114D9B" w14:textId="77777777" w:rsidR="00962EFF" w:rsidRPr="00962EFF" w:rsidRDefault="00962EFF" w:rsidP="00962EFF">
      <w:pPr>
        <w:rPr>
          <w:rFonts w:ascii="Work Sans" w:hAnsi="Work Sans"/>
        </w:rPr>
      </w:pPr>
    </w:p>
    <w:p w14:paraId="25834C5D" w14:textId="15C123A2" w:rsidR="00AD53D2" w:rsidRPr="00962EFF" w:rsidRDefault="00EC0F01" w:rsidP="00962EFF">
      <w:pPr>
        <w:rPr>
          <w:rFonts w:ascii="Work Sans" w:hAnsi="Work Sans"/>
        </w:rPr>
      </w:pPr>
      <w:r w:rsidRPr="00962EFF">
        <w:rPr>
          <w:rFonts w:ascii="Work Sans" w:hAnsi="Work Sans"/>
          <w:noProof/>
        </w:rPr>
        <mc:AlternateContent>
          <mc:Choice Requires="wps">
            <w:drawing>
              <wp:anchor distT="0" distB="0" distL="114300" distR="114300" simplePos="0" relativeHeight="251658242" behindDoc="0" locked="0" layoutInCell="1" allowOverlap="1" wp14:anchorId="17BEE366" wp14:editId="4FD2F05E">
                <wp:simplePos x="0" y="0"/>
                <wp:positionH relativeFrom="margin">
                  <wp:align>left</wp:align>
                </wp:positionH>
                <wp:positionV relativeFrom="paragraph">
                  <wp:posOffset>13335</wp:posOffset>
                </wp:positionV>
                <wp:extent cx="4924425" cy="1157844"/>
                <wp:effectExtent l="0" t="0" r="0" b="4445"/>
                <wp:wrapNone/>
                <wp:docPr id="14" name="Text Box 14"/>
                <wp:cNvGraphicFramePr/>
                <a:graphic xmlns:a="http://schemas.openxmlformats.org/drawingml/2006/main">
                  <a:graphicData uri="http://schemas.microsoft.com/office/word/2010/wordprocessingShape">
                    <wps:wsp>
                      <wps:cNvSpPr txBox="1"/>
                      <wps:spPr>
                        <a:xfrm>
                          <a:off x="0" y="0"/>
                          <a:ext cx="4924425" cy="1157844"/>
                        </a:xfrm>
                        <a:prstGeom prst="rect">
                          <a:avLst/>
                        </a:prstGeom>
                        <a:noFill/>
                        <a:ln w="6350">
                          <a:noFill/>
                        </a:ln>
                      </wps:spPr>
                      <wps:txbx>
                        <w:txbxContent>
                          <w:p w14:paraId="73DD6A39" w14:textId="592E91DA" w:rsidR="00AD53D2" w:rsidRPr="00B417A0" w:rsidRDefault="00962EFF" w:rsidP="00AD53D2">
                            <w:pPr>
                              <w:rPr>
                                <w:rFonts w:ascii="Work Sans" w:hAnsi="Work Sans" w:cs="Open Sans"/>
                                <w:color w:val="FFFFFF"/>
                                <w:sz w:val="48"/>
                                <w:szCs w:val="48"/>
                              </w:rPr>
                            </w:pPr>
                            <w:r>
                              <w:rPr>
                                <w:rFonts w:ascii="Work Sans" w:hAnsi="Work Sans" w:cs="Open Sans"/>
                                <w:color w:val="FFFFFF"/>
                                <w:sz w:val="48"/>
                                <w:szCs w:val="48"/>
                              </w:rPr>
                              <w:t>No</w:t>
                            </w:r>
                            <w:r w:rsidR="00C87C4C">
                              <w:rPr>
                                <w:rFonts w:ascii="Work Sans" w:hAnsi="Work Sans" w:cs="Open Sans"/>
                                <w:color w:val="FFFFFF"/>
                                <w:sz w:val="48"/>
                                <w:szCs w:val="48"/>
                              </w:rPr>
                              <w:t>.</w:t>
                            </w:r>
                            <w:r w:rsidR="006E4BF6">
                              <w:rPr>
                                <w:rFonts w:ascii="Work Sans" w:hAnsi="Work Sans" w:cs="Open Sans"/>
                                <w:color w:val="FFFFFF"/>
                                <w:sz w:val="48"/>
                                <w:szCs w:val="48"/>
                              </w:rPr>
                              <w:t>3</w:t>
                            </w:r>
                            <w:r w:rsidR="00C87C4C">
                              <w:rPr>
                                <w:rFonts w:ascii="Work Sans" w:hAnsi="Work Sans" w:cs="Open Sans"/>
                                <w:color w:val="FFFFFF"/>
                                <w:sz w:val="48"/>
                                <w:szCs w:val="48"/>
                              </w:rPr>
                              <w:t xml:space="preserve">: </w:t>
                            </w:r>
                            <w:r w:rsidR="006E4BF6">
                              <w:rPr>
                                <w:rFonts w:ascii="Work Sans" w:hAnsi="Work Sans" w:cs="Open Sans"/>
                                <w:color w:val="FFFFFF"/>
                                <w:sz w:val="48"/>
                                <w:szCs w:val="48"/>
                              </w:rPr>
                              <w:t>Mining revenue and GST distribution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BEE366" id="Text Box 14" o:spid="_x0000_s1027" type="#_x0000_t202" style="position:absolute;margin-left:0;margin-top:1.05pt;width:387.75pt;height:91.15pt;z-index:25165824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" filled="f" stroked="f" strokeweight=".5pt">
                <v:textbox>
                  <w:txbxContent>
                    <w:p w14:paraId="73DD6A39" w14:textId="592E91DA" w:rsidR="00AD53D2" w:rsidRPr="00B417A0" w:rsidRDefault="00962EFF" w:rsidP="00AD53D2">
                      <w:pPr>
                        <w:rPr>
                          <w:rFonts w:ascii="Work Sans" w:hAnsi="Work Sans" w:cs="Open Sans"/>
                          <w:color w:val="FFFFFF"/>
                          <w:sz w:val="48"/>
                          <w:szCs w:val="48"/>
                        </w:rPr>
                      </w:pPr>
                      <w:r>
                        <w:rPr>
                          <w:rFonts w:ascii="Work Sans" w:hAnsi="Work Sans" w:cs="Open Sans"/>
                          <w:color w:val="FFFFFF"/>
                          <w:sz w:val="48"/>
                          <w:szCs w:val="48"/>
                        </w:rPr>
                        <w:t>No</w:t>
                      </w:r>
                      <w:r w:rsidR="00C87C4C">
                        <w:rPr>
                          <w:rFonts w:ascii="Work Sans" w:hAnsi="Work Sans" w:cs="Open Sans"/>
                          <w:color w:val="FFFFFF"/>
                          <w:sz w:val="48"/>
                          <w:szCs w:val="48"/>
                        </w:rPr>
                        <w:t>.</w:t>
                      </w:r>
                      <w:r w:rsidR="006E4BF6">
                        <w:rPr>
                          <w:rFonts w:ascii="Work Sans" w:hAnsi="Work Sans" w:cs="Open Sans"/>
                          <w:color w:val="FFFFFF"/>
                          <w:sz w:val="48"/>
                          <w:szCs w:val="48"/>
                        </w:rPr>
                        <w:t>3</w:t>
                      </w:r>
                      <w:r w:rsidR="00C87C4C">
                        <w:rPr>
                          <w:rFonts w:ascii="Work Sans" w:hAnsi="Work Sans" w:cs="Open Sans"/>
                          <w:color w:val="FFFFFF"/>
                          <w:sz w:val="48"/>
                          <w:szCs w:val="48"/>
                        </w:rPr>
                        <w:t xml:space="preserve">: </w:t>
                      </w:r>
                      <w:r w:rsidR="006E4BF6">
                        <w:rPr>
                          <w:rFonts w:ascii="Work Sans" w:hAnsi="Work Sans" w:cs="Open Sans"/>
                          <w:color w:val="FFFFFF"/>
                          <w:sz w:val="48"/>
                          <w:szCs w:val="48"/>
                        </w:rPr>
                        <w:t>Mining revenue and GST distribution</w:t>
                      </w:r>
                    </w:p>
                  </w:txbxContent>
                </v:textbox>
                <w10:wrap anchorx="margin"/>
              </v:shape>
            </w:pict>
          </mc:Fallback>
        </mc:AlternateContent>
      </w:r>
    </w:p>
    <w:p w14:paraId="00E92AD7" w14:textId="5FF0A900" w:rsidR="00AD53D2" w:rsidRPr="00962EFF" w:rsidRDefault="00AD53D2" w:rsidP="00962EFF">
      <w:pPr>
        <w:rPr>
          <w:rFonts w:ascii="Work Sans" w:hAnsi="Work Sans"/>
        </w:rPr>
      </w:pPr>
    </w:p>
    <w:p w14:paraId="57BDAF8A" w14:textId="07F6A63B" w:rsidR="00AD53D2" w:rsidRPr="00962EFF" w:rsidRDefault="00AD53D2" w:rsidP="00962EFF">
      <w:pPr>
        <w:rPr>
          <w:rFonts w:ascii="Work Sans" w:hAnsi="Work Sans"/>
        </w:rPr>
      </w:pPr>
    </w:p>
    <w:p w14:paraId="7310BB9F" w14:textId="77777777" w:rsidR="00AD53D2" w:rsidRPr="00962EFF" w:rsidRDefault="00AD53D2" w:rsidP="00962EFF">
      <w:pPr>
        <w:rPr>
          <w:rFonts w:ascii="Work Sans" w:hAnsi="Work Sans"/>
        </w:rPr>
      </w:pPr>
    </w:p>
    <w:p w14:paraId="22A6B70E" w14:textId="77777777" w:rsidR="00AD53D2" w:rsidRPr="00962EFF" w:rsidRDefault="00AD53D2" w:rsidP="00962EFF">
      <w:pPr>
        <w:rPr>
          <w:rFonts w:ascii="Work Sans" w:hAnsi="Work Sans"/>
        </w:rPr>
      </w:pPr>
    </w:p>
    <w:p w14:paraId="6A754D7C" w14:textId="77777777" w:rsidR="00C87C4C" w:rsidRDefault="00C87C4C" w:rsidP="00962EFF">
      <w:pPr>
        <w:rPr>
          <w:rFonts w:ascii="Work Sans" w:hAnsi="Work Sans"/>
        </w:rPr>
      </w:pPr>
    </w:p>
    <w:p w14:paraId="436A3AEE" w14:textId="77777777" w:rsidR="00C87C4C" w:rsidRDefault="00C87C4C" w:rsidP="00962EFF">
      <w:pPr>
        <w:rPr>
          <w:rFonts w:ascii="Work Sans" w:hAnsi="Work Sans"/>
        </w:rPr>
      </w:pPr>
    </w:p>
    <w:p w14:paraId="4F92A4C4" w14:textId="77777777" w:rsidR="00C87C4C" w:rsidRDefault="00C87C4C" w:rsidP="00962EFF">
      <w:pPr>
        <w:rPr>
          <w:rFonts w:ascii="Work Sans" w:hAnsi="Work Sans"/>
        </w:rPr>
      </w:pPr>
    </w:p>
    <w:p w14:paraId="585F61AA" w14:textId="77777777" w:rsidR="00C87C4C" w:rsidRDefault="00C87C4C" w:rsidP="00962EFF">
      <w:pPr>
        <w:rPr>
          <w:rFonts w:ascii="Work Sans" w:hAnsi="Work Sans"/>
        </w:rPr>
      </w:pPr>
    </w:p>
    <w:p w14:paraId="57EA2C56" w14:textId="77777777" w:rsidR="00C87C4C" w:rsidRDefault="00C87C4C" w:rsidP="00962EFF">
      <w:pPr>
        <w:rPr>
          <w:rFonts w:ascii="Work Sans" w:hAnsi="Work Sans"/>
        </w:rPr>
      </w:pPr>
    </w:p>
    <w:p w14:paraId="02B92D57" w14:textId="77777777" w:rsidR="00C87C4C" w:rsidRDefault="00C87C4C" w:rsidP="00962EFF">
      <w:pPr>
        <w:rPr>
          <w:rFonts w:ascii="Work Sans" w:hAnsi="Work Sans"/>
        </w:rPr>
      </w:pPr>
    </w:p>
    <w:p w14:paraId="3134BF64" w14:textId="77777777" w:rsidR="00C87C4C" w:rsidRDefault="00C87C4C" w:rsidP="00962EFF">
      <w:pPr>
        <w:rPr>
          <w:rFonts w:ascii="Work Sans" w:hAnsi="Work Sans"/>
        </w:rPr>
      </w:pPr>
    </w:p>
    <w:p w14:paraId="75078E44" w14:textId="150D103D" w:rsidR="00AD53D2" w:rsidRPr="00962EFF" w:rsidRDefault="00F8305F" w:rsidP="00962EFF">
      <w:pPr>
        <w:rPr>
          <w:rFonts w:ascii="Work Sans" w:hAnsi="Work Sans"/>
        </w:rPr>
      </w:pPr>
      <w:r w:rsidRPr="00962EFF">
        <w:rPr>
          <w:rFonts w:ascii="Work Sans" w:hAnsi="Work Sans"/>
          <w:noProof/>
        </w:rPr>
        <mc:AlternateContent>
          <mc:Choice Requires="wps">
            <w:drawing>
              <wp:anchor distT="0" distB="0" distL="114300" distR="114300" simplePos="0" relativeHeight="251658243" behindDoc="0" locked="0" layoutInCell="1" allowOverlap="1" wp14:anchorId="0A5643A7" wp14:editId="7B26F898">
                <wp:simplePos x="0" y="0"/>
                <wp:positionH relativeFrom="margin">
                  <wp:align>left</wp:align>
                </wp:positionH>
                <wp:positionV relativeFrom="paragraph">
                  <wp:posOffset>73660</wp:posOffset>
                </wp:positionV>
                <wp:extent cx="1704975" cy="439387"/>
                <wp:effectExtent l="0" t="0" r="0" b="0"/>
                <wp:wrapNone/>
                <wp:docPr id="15" name="Text Box 15"/>
                <wp:cNvGraphicFramePr/>
                <a:graphic xmlns:a="http://schemas.openxmlformats.org/drawingml/2006/main">
                  <a:graphicData uri="http://schemas.microsoft.com/office/word/2010/wordprocessingShape">
                    <wps:wsp>
                      <wps:cNvSpPr txBox="1"/>
                      <wps:spPr>
                        <a:xfrm>
                          <a:off x="0" y="0"/>
                          <a:ext cx="1704975" cy="439387"/>
                        </a:xfrm>
                        <a:prstGeom prst="rect">
                          <a:avLst/>
                        </a:prstGeom>
                        <a:noFill/>
                        <a:ln w="6350">
                          <a:noFill/>
                        </a:ln>
                      </wps:spPr>
                      <wps:txbx>
                        <w:txbxContent>
                          <w:p w14:paraId="1041002D" w14:textId="06CDD3EB" w:rsidR="00AD53D2" w:rsidRPr="00F8305F" w:rsidRDefault="00F92D16" w:rsidP="00AD53D2">
                            <w:pPr>
                              <w:rPr>
                                <w:rFonts w:ascii="Work Sans" w:hAnsi="Work Sans" w:cs="Open Sans"/>
                                <w:color w:val="FFFFFF"/>
                                <w:sz w:val="28"/>
                                <w:szCs w:val="28"/>
                              </w:rPr>
                            </w:pPr>
                            <w:r>
                              <w:rPr>
                                <w:rFonts w:ascii="Work Sans" w:hAnsi="Work Sans" w:cs="Open Sans"/>
                                <w:color w:val="FFFFFF"/>
                                <w:sz w:val="28"/>
                                <w:szCs w:val="28"/>
                              </w:rPr>
                              <w:t>June 2021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A5643A7" id="Text Box 15" o:spid="_x0000_s1028" type="#_x0000_t202" style="position:absolute;margin-left:0;margin-top:5.8pt;width:134.25pt;height:34.6pt;z-index:251658243;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UqDX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" filled="f" stroked="f" strokeweight=".5pt">
                <v:textbox>
                  <w:txbxContent>
                    <w:p w14:paraId="1041002D" w14:textId="06CDD3EB" w:rsidR="00AD53D2" w:rsidRPr="00F8305F" w:rsidRDefault="00F92D16" w:rsidP="00AD53D2">
                      <w:pPr>
                        <w:rPr>
                          <w:rFonts w:ascii="Work Sans" w:hAnsi="Work Sans" w:cs="Open Sans"/>
                          <w:color w:val="FFFFFF"/>
                          <w:sz w:val="28"/>
                          <w:szCs w:val="28"/>
                        </w:rPr>
                      </w:pPr>
                      <w:r>
                        <w:rPr>
                          <w:rFonts w:ascii="Work Sans" w:hAnsi="Work Sans" w:cs="Open Sans"/>
                          <w:color w:val="FFFFFF"/>
                          <w:sz w:val="28"/>
                          <w:szCs w:val="28"/>
                        </w:rPr>
                        <w:t>June 2021</w:t>
                      </w:r>
                    </w:p>
                  </w:txbxContent>
                </v:textbox>
                <w10:wrap anchorx="margin"/>
              </v:shape>
            </w:pict>
          </mc:Fallback>
        </mc:AlternateContent>
      </w:r>
    </w:p>
    <w:p w14:paraId="4AF9959E" w14:textId="77777777" w:rsidR="00AD53D2" w:rsidRPr="00962EFF" w:rsidRDefault="00AD53D2" w:rsidP="00962EFF">
      <w:pPr>
        <w:rPr>
          <w:rFonts w:ascii="Work Sans" w:hAnsi="Work Sans"/>
        </w:rPr>
      </w:pPr>
    </w:p>
    <w:p w14:paraId="2E172C72" w14:textId="77777777" w:rsidR="00AD53D2" w:rsidRPr="00962EFF" w:rsidRDefault="00AD53D2" w:rsidP="00962EFF">
      <w:pPr>
        <w:rPr>
          <w:rFonts w:ascii="Work Sans" w:hAnsi="Work Sans"/>
        </w:rPr>
      </w:pPr>
    </w:p>
    <w:p w14:paraId="06D8C5E2" w14:textId="77777777" w:rsidR="00AD53D2" w:rsidRPr="00962EFF" w:rsidRDefault="00AD53D2" w:rsidP="00962EFF">
      <w:pPr>
        <w:rPr>
          <w:rFonts w:ascii="Work Sans" w:hAnsi="Work Sans"/>
        </w:rPr>
      </w:pPr>
    </w:p>
    <w:p w14:paraId="493FF90D" w14:textId="77777777" w:rsidR="00AD53D2" w:rsidRPr="00962EFF" w:rsidRDefault="00AD53D2" w:rsidP="00962EFF">
      <w:pPr>
        <w:rPr>
          <w:rFonts w:ascii="Work Sans" w:hAnsi="Work Sans"/>
        </w:rPr>
      </w:pPr>
    </w:p>
    <w:p w14:paraId="24EE791A" w14:textId="77777777" w:rsidR="00AD53D2" w:rsidRPr="00962EFF" w:rsidRDefault="00AD53D2" w:rsidP="00962EFF">
      <w:pPr>
        <w:rPr>
          <w:rFonts w:ascii="Work Sans" w:hAnsi="Work Sans"/>
        </w:rPr>
      </w:pPr>
    </w:p>
    <w:p w14:paraId="3E6770BD" w14:textId="77777777" w:rsidR="00AD53D2" w:rsidRPr="00962EFF" w:rsidRDefault="00AD53D2" w:rsidP="00962EFF">
      <w:pPr>
        <w:rPr>
          <w:rFonts w:ascii="Work Sans" w:hAnsi="Work Sans"/>
        </w:rPr>
      </w:pPr>
    </w:p>
    <w:p w14:paraId="164D3A4A" w14:textId="5B388E40" w:rsidR="00D838D7" w:rsidRPr="00962EFF" w:rsidRDefault="00D838D7" w:rsidP="00962EFF">
      <w:pPr>
        <w:rPr>
          <w:rFonts w:ascii="Work Sans" w:hAnsi="Work Sans"/>
        </w:rPr>
      </w:pPr>
    </w:p>
    <w:p w14:paraId="52BF4008" w14:textId="77777777" w:rsidR="00C87C4C" w:rsidRDefault="00C87C4C" w:rsidP="00962EFF">
      <w:pPr>
        <w:rPr>
          <w:rFonts w:ascii="Work Sans" w:hAnsi="Work Sans"/>
        </w:rPr>
        <w:sectPr w:rsidR="00C87C4C" w:rsidSect="004C78B6">
          <w:headerReference w:type="default" r:id="rId13"/>
          <w:footerReference w:type="even" r:id="rId14"/>
          <w:footerReference w:type="default" r:id="rId15"/>
          <w:headerReference w:type="first" r:id="rId16"/>
          <w:pgSz w:w="11900" w:h="16840"/>
          <w:pgMar w:top="1985" w:right="1418" w:bottom="1418" w:left="1418" w:header="709" w:footer="284" w:gutter="0"/>
          <w:pgNumType w:start="1"/>
          <w:cols w:space="708"/>
          <w:docGrid w:linePitch="360"/>
        </w:sectPr>
      </w:pPr>
    </w:p>
    <w:p w14:paraId="0C42691F" w14:textId="77777777" w:rsidR="00C87C4C" w:rsidRDefault="00C87C4C" w:rsidP="00962EFF">
      <w:pPr>
        <w:rPr>
          <w:rFonts w:ascii="Work Sans" w:hAnsi="Work Sans"/>
        </w:rPr>
      </w:pPr>
    </w:p>
    <w:p w14:paraId="04857270" w14:textId="77777777" w:rsidR="00C87C4C" w:rsidRDefault="00C87C4C" w:rsidP="00962EFF">
      <w:pPr>
        <w:rPr>
          <w:rFonts w:ascii="Work Sans" w:hAnsi="Work Sans"/>
        </w:rPr>
      </w:pPr>
    </w:p>
    <w:p w14:paraId="731C4235" w14:textId="5AE3E4D8" w:rsidR="00C87C4C" w:rsidRDefault="00C87C4C" w:rsidP="00962EFF">
      <w:pPr>
        <w:rPr>
          <w:rFonts w:ascii="Work Sans" w:hAnsi="Work Sans"/>
        </w:rPr>
      </w:pPr>
    </w:p>
    <w:p w14:paraId="73CF16B8" w14:textId="6AA79264" w:rsidR="00C87C4C" w:rsidRDefault="00C87C4C" w:rsidP="00962EFF">
      <w:pPr>
        <w:rPr>
          <w:rFonts w:ascii="Work Sans" w:hAnsi="Work Sans"/>
        </w:rPr>
      </w:pPr>
    </w:p>
    <w:p w14:paraId="39A808C7" w14:textId="7E659D32" w:rsidR="00C87C4C" w:rsidRDefault="00C87C4C" w:rsidP="00962EFF">
      <w:pPr>
        <w:rPr>
          <w:rFonts w:ascii="Work Sans" w:hAnsi="Work Sans"/>
        </w:rPr>
      </w:pPr>
    </w:p>
    <w:p w14:paraId="1B4C7E61" w14:textId="6099026A" w:rsidR="00C87C4C" w:rsidRDefault="00C87C4C" w:rsidP="00962EFF">
      <w:pPr>
        <w:rPr>
          <w:rFonts w:ascii="Work Sans" w:hAnsi="Work Sans"/>
        </w:rPr>
      </w:pPr>
    </w:p>
    <w:p w14:paraId="68FE78AB" w14:textId="05682200" w:rsidR="00C87C4C" w:rsidRDefault="00C87C4C" w:rsidP="00962EFF">
      <w:pPr>
        <w:rPr>
          <w:rFonts w:ascii="Work Sans" w:hAnsi="Work Sans"/>
        </w:rPr>
      </w:pPr>
    </w:p>
    <w:p w14:paraId="06ED005E" w14:textId="4D33C9A0" w:rsidR="00C87C4C" w:rsidRDefault="00C87C4C" w:rsidP="00962EFF">
      <w:pPr>
        <w:rPr>
          <w:rFonts w:ascii="Work Sans" w:hAnsi="Work Sans"/>
        </w:rPr>
      </w:pPr>
    </w:p>
    <w:p w14:paraId="56CAD0CC" w14:textId="3DB8FB80" w:rsidR="00C87C4C" w:rsidRDefault="00C87C4C" w:rsidP="00962EFF">
      <w:pPr>
        <w:rPr>
          <w:rFonts w:ascii="Work Sans" w:hAnsi="Work Sans"/>
        </w:rPr>
      </w:pPr>
    </w:p>
    <w:p w14:paraId="7C952BB9" w14:textId="01BB4A54" w:rsidR="00C87C4C" w:rsidRDefault="00C87C4C" w:rsidP="00962EFF">
      <w:pPr>
        <w:rPr>
          <w:rFonts w:ascii="Work Sans" w:hAnsi="Work Sans"/>
        </w:rPr>
      </w:pPr>
    </w:p>
    <w:p w14:paraId="08AE986B" w14:textId="77777777" w:rsidR="00C87C4C" w:rsidRDefault="00C87C4C" w:rsidP="00962EFF">
      <w:pPr>
        <w:rPr>
          <w:rFonts w:ascii="Work Sans" w:hAnsi="Work Sans"/>
        </w:rPr>
      </w:pPr>
    </w:p>
    <w:p w14:paraId="6EC995FC" w14:textId="77777777" w:rsidR="00C87C4C" w:rsidRPr="00C3472D" w:rsidRDefault="00C87C4C" w:rsidP="00C87C4C">
      <w:pPr>
        <w:pStyle w:val="NormalWeb"/>
        <w:rPr>
          <w:rFonts w:ascii="Work Sans" w:hAnsi="Work Sans"/>
          <w:b/>
          <w:bCs/>
          <w:color w:val="000000"/>
        </w:rPr>
      </w:pPr>
      <w:r w:rsidRPr="00C3472D">
        <w:rPr>
          <w:rFonts w:ascii="Work Sans" w:hAnsi="Work Sans"/>
          <w:b/>
          <w:bCs/>
          <w:color w:val="000000"/>
        </w:rPr>
        <w:t>Copyright</w:t>
      </w:r>
    </w:p>
    <w:p w14:paraId="468BC774" w14:textId="10603427" w:rsidR="00C87C4C" w:rsidRPr="00C3472D" w:rsidRDefault="00C87C4C" w:rsidP="00C87C4C">
      <w:pPr>
        <w:pStyle w:val="NormalWeb"/>
        <w:rPr>
          <w:rFonts w:ascii="Work Sans" w:hAnsi="Work Sans"/>
          <w:color w:val="000000"/>
        </w:rPr>
      </w:pPr>
      <w:r w:rsidRPr="00C3472D">
        <w:rPr>
          <w:rFonts w:ascii="Work Sans" w:hAnsi="Work Sans"/>
          <w:color w:val="000000"/>
        </w:rPr>
        <w:t>© Commonwealth of Australia 202</w:t>
      </w:r>
      <w:r w:rsidR="00706E12">
        <w:rPr>
          <w:rFonts w:ascii="Work Sans" w:hAnsi="Work Sans"/>
          <w:color w:val="000000"/>
        </w:rPr>
        <w:t>1</w:t>
      </w:r>
    </w:p>
    <w:p w14:paraId="7B6F7DFC" w14:textId="77777777" w:rsidR="00C87C4C" w:rsidRDefault="00C87C4C" w:rsidP="00C87C4C">
      <w:pPr>
        <w:pStyle w:val="NormalWeb"/>
        <w:rPr>
          <w:rFonts w:ascii="Work Sans" w:hAnsi="Work Sans"/>
          <w:color w:val="000000"/>
        </w:rPr>
      </w:pPr>
      <w:proofErr w:type="gramStart"/>
      <w:r w:rsidRPr="00C3472D">
        <w:rPr>
          <w:rFonts w:ascii="Work Sans" w:hAnsi="Work Sans"/>
          <w:color w:val="000000"/>
        </w:rPr>
        <w:t>With the exception of</w:t>
      </w:r>
      <w:proofErr w:type="gramEnd"/>
      <w:r w:rsidRPr="00C3472D">
        <w:rPr>
          <w:rFonts w:ascii="Work Sans" w:hAnsi="Work Sans"/>
          <w:color w:val="000000"/>
        </w:rPr>
        <w:t xml:space="preserve"> the Commonwealth Coat of Arms, all material presented in this document is provided under Creative Commons Attribution 4.0 (https://creativecommons.org/licenses/by/4.0/) licence. The details of the relevant licence conditions are available on the Creative Commons website as is the full legal code for CC BY 4.0 International (</w:t>
      </w:r>
      <w:hyperlink r:id="rId17" w:history="1">
        <w:r w:rsidRPr="00DC711F">
          <w:rPr>
            <w:rStyle w:val="Hyperlink"/>
            <w:rFonts w:ascii="Work Sans" w:hAnsi="Work Sans"/>
          </w:rPr>
          <w:t>https://creativecommons.org/licenses/by/4.0/legalcode</w:t>
        </w:r>
      </w:hyperlink>
      <w:r w:rsidRPr="00C3472D">
        <w:rPr>
          <w:rFonts w:ascii="Work Sans" w:hAnsi="Work Sans"/>
          <w:color w:val="000000"/>
        </w:rPr>
        <w:t>).</w:t>
      </w:r>
    </w:p>
    <w:p w14:paraId="7F412C5F" w14:textId="77777777" w:rsidR="00C87C4C" w:rsidRPr="00C3472D" w:rsidRDefault="00C87C4C" w:rsidP="00C87C4C">
      <w:pPr>
        <w:pStyle w:val="NormalWeb"/>
        <w:rPr>
          <w:rFonts w:ascii="Work Sans" w:hAnsi="Work Sans"/>
          <w:color w:val="000000"/>
        </w:rPr>
      </w:pPr>
      <w:r w:rsidRPr="000A2C87">
        <w:rPr>
          <w:noProof/>
          <w:sz w:val="20"/>
          <w:szCs w:val="20"/>
        </w:rPr>
        <w:drawing>
          <wp:inline distT="0" distB="0" distL="0" distR="0" wp14:anchorId="42DDAA01" wp14:editId="4CCFCC78">
            <wp:extent cx="828675" cy="295275"/>
            <wp:effectExtent l="19050" t="0" r="9525" b="0"/>
            <wp:docPr id="1" name="Picture 1" descr="Creative Commons - Attribu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 Attribution"/>
                    <pic:cNvPicPr>
                      <a:picLocks noChangeAspect="1" noChangeArrowheads="1"/>
                    </pic:cNvPicPr>
                  </pic:nvPicPr>
                  <pic:blipFill>
                    <a:blip r:embed="rId18" cstate="print"/>
                    <a:srcRect/>
                    <a:stretch>
                      <a:fillRect/>
                    </a:stretch>
                  </pic:blipFill>
                  <pic:spPr bwMode="auto">
                    <a:xfrm>
                      <a:off x="0" y="0"/>
                      <a:ext cx="828675" cy="295275"/>
                    </a:xfrm>
                    <a:prstGeom prst="rect">
                      <a:avLst/>
                    </a:prstGeom>
                    <a:noFill/>
                    <a:ln w="9525">
                      <a:noFill/>
                      <a:miter lim="800000"/>
                      <a:headEnd/>
                      <a:tailEnd/>
                    </a:ln>
                  </pic:spPr>
                </pic:pic>
              </a:graphicData>
            </a:graphic>
          </wp:inline>
        </w:drawing>
      </w:r>
    </w:p>
    <w:p w14:paraId="02503439" w14:textId="77777777" w:rsidR="00C87C4C" w:rsidRPr="00C3472D" w:rsidRDefault="00C87C4C" w:rsidP="00C87C4C">
      <w:pPr>
        <w:pStyle w:val="NormalWeb"/>
        <w:rPr>
          <w:rFonts w:ascii="Work Sans" w:hAnsi="Work Sans"/>
          <w:b/>
          <w:bCs/>
          <w:color w:val="000000"/>
        </w:rPr>
      </w:pPr>
      <w:r w:rsidRPr="00C3472D">
        <w:rPr>
          <w:rFonts w:ascii="Work Sans" w:hAnsi="Work Sans"/>
          <w:b/>
          <w:bCs/>
          <w:color w:val="000000"/>
        </w:rPr>
        <w:t>Attribution</w:t>
      </w:r>
    </w:p>
    <w:p w14:paraId="59F01DFC" w14:textId="63D2838E" w:rsidR="00C87C4C" w:rsidRPr="00C3472D" w:rsidRDefault="00C87C4C" w:rsidP="00C87C4C">
      <w:pPr>
        <w:pStyle w:val="NormalWeb"/>
        <w:rPr>
          <w:rFonts w:ascii="Work Sans" w:hAnsi="Work Sans"/>
          <w:color w:val="000000"/>
        </w:rPr>
      </w:pPr>
      <w:r w:rsidRPr="00C3472D">
        <w:rPr>
          <w:rFonts w:ascii="Work Sans" w:hAnsi="Work Sans"/>
          <w:color w:val="000000"/>
        </w:rPr>
        <w:t xml:space="preserve">The recommended attribution for this document is Commonwealth Grants Commission, Occasional </w:t>
      </w:r>
      <w:r w:rsidRPr="00706E12">
        <w:rPr>
          <w:rFonts w:ascii="Work Sans" w:hAnsi="Work Sans"/>
          <w:color w:val="000000"/>
        </w:rPr>
        <w:t>Paper No.</w:t>
      </w:r>
      <w:r w:rsidR="00706E12" w:rsidRPr="00706E12">
        <w:rPr>
          <w:rFonts w:ascii="Work Sans" w:hAnsi="Work Sans"/>
          <w:color w:val="000000"/>
        </w:rPr>
        <w:t>3:</w:t>
      </w:r>
      <w:r w:rsidR="00706E12">
        <w:rPr>
          <w:rFonts w:ascii="Work Sans" w:hAnsi="Work Sans"/>
          <w:color w:val="000000"/>
        </w:rPr>
        <w:t xml:space="preserve"> Mining revenue and GST distribution.</w:t>
      </w:r>
    </w:p>
    <w:p w14:paraId="6BBB3DFD" w14:textId="77777777" w:rsidR="00C87C4C" w:rsidRDefault="00C87C4C" w:rsidP="00C87C4C">
      <w:pPr>
        <w:pStyle w:val="NormalWeb"/>
        <w:rPr>
          <w:rFonts w:ascii="Work Sans" w:hAnsi="Work Sans"/>
          <w:color w:val="000000"/>
        </w:rPr>
      </w:pPr>
      <w:r w:rsidRPr="00C3472D">
        <w:rPr>
          <w:rFonts w:ascii="Work Sans" w:hAnsi="Work Sans"/>
          <w:b/>
          <w:bCs/>
          <w:color w:val="000000"/>
        </w:rPr>
        <w:t>Contact us</w:t>
      </w:r>
      <w:r w:rsidRPr="00C3472D">
        <w:rPr>
          <w:rFonts w:ascii="Work Sans" w:hAnsi="Work Sans"/>
          <w:color w:val="000000"/>
        </w:rPr>
        <w:t xml:space="preserve"> </w:t>
      </w:r>
    </w:p>
    <w:p w14:paraId="094603E8" w14:textId="77777777" w:rsidR="00C87C4C" w:rsidRPr="00C3472D" w:rsidRDefault="00C87C4C" w:rsidP="00C87C4C">
      <w:pPr>
        <w:pStyle w:val="NormalWeb"/>
        <w:rPr>
          <w:rFonts w:ascii="Work Sans" w:hAnsi="Work Sans"/>
          <w:color w:val="000000"/>
        </w:rPr>
      </w:pPr>
      <w:r w:rsidRPr="00C3472D">
        <w:rPr>
          <w:rFonts w:ascii="Work Sans" w:hAnsi="Work Sans"/>
          <w:color w:val="000000"/>
        </w:rPr>
        <w:t>Inquiries regarding the use of this document should be directed to secretary@cgc.gov.au.</w:t>
      </w:r>
    </w:p>
    <w:p w14:paraId="5E108B75" w14:textId="77777777" w:rsidR="00C87C4C" w:rsidRPr="00D627B5" w:rsidRDefault="00C87C4C" w:rsidP="00C87C4C">
      <w:pPr>
        <w:pStyle w:val="NormalWeb"/>
        <w:rPr>
          <w:rFonts w:ascii="Work Sans" w:hAnsi="Work Sans"/>
          <w:b/>
          <w:bCs/>
          <w:color w:val="000000"/>
        </w:rPr>
      </w:pPr>
      <w:r w:rsidRPr="00D627B5">
        <w:rPr>
          <w:rFonts w:ascii="Work Sans" w:hAnsi="Work Sans"/>
          <w:b/>
          <w:bCs/>
          <w:color w:val="000000"/>
        </w:rPr>
        <w:t xml:space="preserve">Internet </w:t>
      </w:r>
    </w:p>
    <w:p w14:paraId="05872600" w14:textId="2D19FE91" w:rsidR="00C87C4C" w:rsidRPr="00C87C4C" w:rsidRDefault="00C87C4C" w:rsidP="00C87C4C">
      <w:pPr>
        <w:pStyle w:val="NormalWeb"/>
        <w:rPr>
          <w:rFonts w:ascii="Work Sans" w:hAnsi="Work Sans"/>
          <w:color w:val="000000"/>
        </w:rPr>
      </w:pPr>
      <w:r w:rsidRPr="00C3472D">
        <w:rPr>
          <w:rFonts w:ascii="Work Sans" w:hAnsi="Work Sans"/>
          <w:color w:val="000000"/>
        </w:rPr>
        <w:t>A copy of this paper is available on the Commission’s website (http://www.cgc.gov.au).</w:t>
      </w:r>
    </w:p>
    <w:p w14:paraId="4B6A409E" w14:textId="77777777" w:rsidR="00C87C4C" w:rsidRDefault="00C87C4C" w:rsidP="00962EFF">
      <w:pPr>
        <w:rPr>
          <w:rFonts w:ascii="Work Sans" w:hAnsi="Work Sans"/>
        </w:rPr>
      </w:pPr>
    </w:p>
    <w:p w14:paraId="0E084A80" w14:textId="2CC98E71" w:rsidR="00C87C4C" w:rsidRDefault="00C87C4C" w:rsidP="00962EFF">
      <w:pPr>
        <w:rPr>
          <w:rFonts w:ascii="Work Sans" w:hAnsi="Work Sans"/>
        </w:rPr>
        <w:sectPr w:rsidR="00C87C4C" w:rsidSect="004C78B6">
          <w:pgSz w:w="11900" w:h="16840"/>
          <w:pgMar w:top="1985" w:right="1418" w:bottom="1418" w:left="1418" w:header="709" w:footer="284" w:gutter="0"/>
          <w:pgNumType w:start="1"/>
          <w:cols w:space="708"/>
          <w:docGrid w:linePitch="360"/>
        </w:sectPr>
      </w:pPr>
    </w:p>
    <w:p w14:paraId="32E55498" w14:textId="77777777" w:rsidR="00D11F8B" w:rsidRPr="00D11F8B" w:rsidRDefault="00D11F8B" w:rsidP="00DC6F2F">
      <w:pPr>
        <w:pStyle w:val="Heading2"/>
        <w:rPr>
          <w:rFonts w:eastAsia="MS Gothic"/>
        </w:rPr>
      </w:pPr>
      <w:r w:rsidRPr="00D11F8B">
        <w:rPr>
          <w:rFonts w:eastAsia="MS Gothic"/>
          <w:noProof/>
        </w:rPr>
        <w:lastRenderedPageBreak/>
        <mc:AlternateContent>
          <mc:Choice Requires="wps">
            <w:drawing>
              <wp:anchor distT="0" distB="0" distL="114300" distR="114300" simplePos="0" relativeHeight="251658244" behindDoc="1" locked="0" layoutInCell="1" allowOverlap="1" wp14:anchorId="22405079" wp14:editId="2CA9D21A">
                <wp:simplePos x="0" y="0"/>
                <wp:positionH relativeFrom="column">
                  <wp:posOffset>-81446</wp:posOffset>
                </wp:positionH>
                <wp:positionV relativeFrom="paragraph">
                  <wp:posOffset>154857</wp:posOffset>
                </wp:positionV>
                <wp:extent cx="5949538" cy="3047089"/>
                <wp:effectExtent l="0" t="0" r="0" b="1270"/>
                <wp:wrapNone/>
                <wp:docPr id="9" name="Rectangle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949538" cy="3047089"/>
                        </a:xfrm>
                        <a:prstGeom prst="rect">
                          <a:avLst/>
                        </a:prstGeom>
                        <a:solidFill>
                          <a:srgbClr val="E5F8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1847F" id="Rectangle 9" o:spid="_x0000_s1026" alt="&quot;&quot;" style="position:absolute;margin-left:-6.4pt;margin-top:12.2pt;width:468.45pt;height:239.9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" fillcolor="#e5f8ff" stroked="f" strokeweight="2pt"/>
            </w:pict>
          </mc:Fallback>
        </mc:AlternateContent>
      </w:r>
      <w:r w:rsidRPr="00D11F8B">
        <w:rPr>
          <w:rFonts w:eastAsia="MS Gothic"/>
        </w:rPr>
        <w:t>Summary</w:t>
      </w:r>
    </w:p>
    <w:p w14:paraId="22EB0EBB" w14:textId="644D2077" w:rsidR="00D11F8B" w:rsidRPr="00DC6F2F" w:rsidRDefault="00D11F8B" w:rsidP="00DC6F2F">
      <w:pPr>
        <w:pStyle w:val="BodyText"/>
        <w:rPr>
          <w:rFonts w:ascii="Work Sans" w:hAnsi="Work Sans"/>
        </w:rPr>
      </w:pPr>
      <w:r w:rsidRPr="00DC6F2F">
        <w:rPr>
          <w:rFonts w:ascii="Work Sans" w:hAnsi="Work Sans"/>
        </w:rPr>
        <w:t xml:space="preserve">Over the past decade, mining revenue has been a major determinant of </w:t>
      </w:r>
      <w:r w:rsidR="00072F46">
        <w:rPr>
          <w:rFonts w:ascii="Work Sans" w:hAnsi="Work Sans"/>
        </w:rPr>
        <w:t>s</w:t>
      </w:r>
      <w:r w:rsidRPr="00DC6F2F">
        <w:rPr>
          <w:rFonts w:ascii="Work Sans" w:hAnsi="Work Sans"/>
        </w:rPr>
        <w:t xml:space="preserve">tates’ GST distributions. The influence of mining has increased with the significant rise in mining production and mineral prices over this period, exacerbated by the uneven distribution of minerals across </w:t>
      </w:r>
      <w:r w:rsidR="00072F46">
        <w:rPr>
          <w:rFonts w:ascii="Work Sans" w:hAnsi="Work Sans"/>
        </w:rPr>
        <w:t>s</w:t>
      </w:r>
      <w:r w:rsidRPr="00DC6F2F">
        <w:rPr>
          <w:rFonts w:ascii="Work Sans" w:hAnsi="Work Sans"/>
        </w:rPr>
        <w:t>tates.</w:t>
      </w:r>
    </w:p>
    <w:p w14:paraId="2EA0E8A9" w14:textId="17DB2EFE" w:rsidR="00D11F8B" w:rsidRPr="00DC6F2F" w:rsidRDefault="00D11F8B" w:rsidP="00DC6F2F">
      <w:pPr>
        <w:pStyle w:val="BodyText"/>
        <w:rPr>
          <w:rFonts w:ascii="Work Sans" w:hAnsi="Work Sans"/>
        </w:rPr>
      </w:pPr>
      <w:bookmarkStart w:id="0" w:name="_Hlk75416503"/>
      <w:bookmarkStart w:id="1" w:name="_Hlk75416557"/>
      <w:r w:rsidRPr="00DC6F2F">
        <w:rPr>
          <w:rFonts w:ascii="Work Sans" w:hAnsi="Work Sans"/>
        </w:rPr>
        <w:t xml:space="preserve">Mining revenue is volatile, and this has contributed to volatility in GST distributions. This has particularly been the case for Western Australia </w:t>
      </w:r>
      <w:bookmarkStart w:id="2" w:name="_Hlk75416482"/>
      <w:bookmarkEnd w:id="0"/>
      <w:r w:rsidRPr="00DC6F2F">
        <w:rPr>
          <w:rFonts w:ascii="Work Sans" w:hAnsi="Work Sans"/>
        </w:rPr>
        <w:t xml:space="preserve">where mining revenue, especially iron ore, is a significantly larger share of its revenue than for other </w:t>
      </w:r>
      <w:r w:rsidR="00072F46">
        <w:rPr>
          <w:rFonts w:ascii="Work Sans" w:hAnsi="Work Sans"/>
        </w:rPr>
        <w:t>s</w:t>
      </w:r>
      <w:r w:rsidRPr="00DC6F2F">
        <w:rPr>
          <w:rFonts w:ascii="Work Sans" w:hAnsi="Work Sans"/>
        </w:rPr>
        <w:t>tates</w:t>
      </w:r>
      <w:bookmarkEnd w:id="1"/>
      <w:bookmarkEnd w:id="2"/>
      <w:r w:rsidRPr="00DC6F2F">
        <w:rPr>
          <w:rFonts w:ascii="Work Sans" w:hAnsi="Work Sans"/>
        </w:rPr>
        <w:t>.</w:t>
      </w:r>
    </w:p>
    <w:p w14:paraId="6E0A753B" w14:textId="77777777" w:rsidR="00D11F8B" w:rsidRPr="00DC6F2F" w:rsidRDefault="00D11F8B" w:rsidP="00DC6F2F">
      <w:pPr>
        <w:pStyle w:val="BodyText"/>
        <w:rPr>
          <w:rFonts w:ascii="Work Sans" w:hAnsi="Work Sans"/>
        </w:rPr>
      </w:pPr>
      <w:bookmarkStart w:id="3" w:name="_Hlk75416596"/>
      <w:r w:rsidRPr="00DC6F2F">
        <w:rPr>
          <w:rFonts w:ascii="Work Sans" w:hAnsi="Work Sans"/>
        </w:rPr>
        <w:t>The new equalisation arrangements will significantly reduce the impact of the volatility of the mining assessment on GST distributions for Western Australia</w:t>
      </w:r>
      <w:bookmarkEnd w:id="3"/>
      <w:r w:rsidRPr="00DC6F2F">
        <w:rPr>
          <w:rFonts w:ascii="Work Sans" w:hAnsi="Work Sans"/>
        </w:rPr>
        <w:t>.</w:t>
      </w:r>
    </w:p>
    <w:p w14:paraId="62A55BDB" w14:textId="37D40FF5" w:rsidR="00AD53D2" w:rsidRDefault="00AD53D2" w:rsidP="00962EFF">
      <w:pPr>
        <w:rPr>
          <w:rFonts w:ascii="Work Sans" w:hAnsi="Work Sans"/>
        </w:rPr>
      </w:pPr>
    </w:p>
    <w:p w14:paraId="1F39CDAF" w14:textId="77777777" w:rsidR="00264007" w:rsidRPr="00AC7D43" w:rsidRDefault="00264007" w:rsidP="00264007">
      <w:pPr>
        <w:pStyle w:val="Heading2"/>
      </w:pPr>
      <w:r w:rsidRPr="00AC7D43">
        <w:t>Introduction</w:t>
      </w:r>
    </w:p>
    <w:p w14:paraId="679C7E88" w14:textId="1EA0F8C7" w:rsidR="00264007" w:rsidRPr="00D230F5" w:rsidRDefault="00264007" w:rsidP="00264007">
      <w:pPr>
        <w:rPr>
          <w:rFonts w:ascii="Work Sans" w:hAnsi="Work Sans"/>
          <w:sz w:val="24"/>
          <w:szCs w:val="24"/>
          <w:lang w:val="en-GB"/>
        </w:rPr>
      </w:pPr>
      <w:r w:rsidRPr="00D230F5">
        <w:rPr>
          <w:rFonts w:ascii="Work Sans" w:hAnsi="Work Sans"/>
          <w:sz w:val="24"/>
          <w:szCs w:val="24"/>
        </w:rPr>
        <w:t xml:space="preserve">The Commission’s assessment of each </w:t>
      </w:r>
      <w:r w:rsidR="00072F46">
        <w:rPr>
          <w:rFonts w:ascii="Work Sans" w:hAnsi="Work Sans"/>
          <w:sz w:val="24"/>
          <w:szCs w:val="24"/>
        </w:rPr>
        <w:t>s</w:t>
      </w:r>
      <w:r w:rsidRPr="00D230F5">
        <w:rPr>
          <w:rFonts w:ascii="Work Sans" w:hAnsi="Work Sans"/>
          <w:sz w:val="24"/>
          <w:szCs w:val="24"/>
        </w:rPr>
        <w:t xml:space="preserve">tate’s ability to raise mining revenue has become increasingly significant in influencing the distribution of the GST. For example, the main influence of changes in GST shares in 2020-21 was the strong growth in the value of mining production in Western Australia, principally due to expanded production and historically high iron ore prices. Volatility in the price of minerals also contributed to significant fluctuations in </w:t>
      </w:r>
      <w:r w:rsidR="00072F46">
        <w:rPr>
          <w:rFonts w:ascii="Work Sans" w:hAnsi="Work Sans"/>
          <w:sz w:val="24"/>
          <w:szCs w:val="24"/>
        </w:rPr>
        <w:t>s</w:t>
      </w:r>
      <w:r w:rsidRPr="00D230F5">
        <w:rPr>
          <w:rFonts w:ascii="Work Sans" w:hAnsi="Work Sans"/>
          <w:sz w:val="24"/>
          <w:szCs w:val="24"/>
        </w:rPr>
        <w:t>tates’ GST shares.</w:t>
      </w:r>
    </w:p>
    <w:p w14:paraId="79AF243C" w14:textId="77777777" w:rsidR="00264007" w:rsidRPr="00D230F5" w:rsidRDefault="00264007" w:rsidP="00264007">
      <w:pPr>
        <w:rPr>
          <w:rFonts w:ascii="Work Sans" w:hAnsi="Work Sans"/>
          <w:sz w:val="24"/>
          <w:szCs w:val="24"/>
          <w:lang w:val="en-GB"/>
        </w:rPr>
      </w:pPr>
      <w:r w:rsidRPr="00D230F5">
        <w:rPr>
          <w:rFonts w:ascii="Work Sans" w:hAnsi="Work Sans"/>
          <w:sz w:val="24"/>
          <w:szCs w:val="24"/>
        </w:rPr>
        <w:t>This paper summarises the Commission’s approach to assessing mining revenue capacity, the significant impact of the mining assessment on GST distributions, including on volatility, and the effect the new equalisation arrangements will have on reducing that volatility for Western Australia.</w:t>
      </w:r>
    </w:p>
    <w:p w14:paraId="4F0E032A" w14:textId="77777777" w:rsidR="00264007" w:rsidRDefault="00264007" w:rsidP="00264007">
      <w:pPr>
        <w:pStyle w:val="Heading2"/>
        <w:rPr>
          <w:lang w:val="en-GB"/>
        </w:rPr>
      </w:pPr>
      <w:r>
        <w:rPr>
          <w:lang w:val="en-GB"/>
        </w:rPr>
        <w:t xml:space="preserve">Assessing mining revenue and GST distribution </w:t>
      </w:r>
    </w:p>
    <w:p w14:paraId="679C355A" w14:textId="51B398E5" w:rsidR="00264007" w:rsidRPr="00D230F5" w:rsidRDefault="00264007" w:rsidP="00264007">
      <w:pPr>
        <w:rPr>
          <w:rFonts w:ascii="Work Sans" w:hAnsi="Work Sans"/>
          <w:sz w:val="24"/>
          <w:szCs w:val="24"/>
          <w:lang w:val="en-GB"/>
        </w:rPr>
      </w:pPr>
      <w:r w:rsidRPr="00D230F5">
        <w:rPr>
          <w:rFonts w:ascii="Work Sans" w:hAnsi="Work Sans"/>
          <w:sz w:val="24"/>
          <w:szCs w:val="24"/>
        </w:rPr>
        <w:t xml:space="preserve">The Commission provides recommendations to the Commonwealth Treasurer for the distribution of GST revenue among the </w:t>
      </w:r>
      <w:r w:rsidR="003E6673">
        <w:rPr>
          <w:rFonts w:ascii="Work Sans" w:hAnsi="Work Sans"/>
          <w:sz w:val="24"/>
          <w:szCs w:val="24"/>
        </w:rPr>
        <w:t>s</w:t>
      </w:r>
      <w:r w:rsidRPr="00D230F5">
        <w:rPr>
          <w:rFonts w:ascii="Work Sans" w:hAnsi="Work Sans"/>
          <w:sz w:val="24"/>
          <w:szCs w:val="24"/>
        </w:rPr>
        <w:t xml:space="preserve">tates based on the objective of equalising the fiscal capacities of the </w:t>
      </w:r>
      <w:r w:rsidR="00072F46">
        <w:rPr>
          <w:rFonts w:ascii="Work Sans" w:hAnsi="Work Sans"/>
          <w:sz w:val="24"/>
          <w:szCs w:val="24"/>
        </w:rPr>
        <w:t>s</w:t>
      </w:r>
      <w:r w:rsidRPr="00D230F5">
        <w:rPr>
          <w:rFonts w:ascii="Work Sans" w:hAnsi="Work Sans"/>
          <w:sz w:val="24"/>
          <w:szCs w:val="24"/>
        </w:rPr>
        <w:t xml:space="preserve">tates. This objective seeks to provide all Australians with the potential to access a similar standard of </w:t>
      </w:r>
      <w:r w:rsidR="00072F46">
        <w:rPr>
          <w:rFonts w:ascii="Work Sans" w:hAnsi="Work Sans"/>
          <w:sz w:val="24"/>
          <w:szCs w:val="24"/>
        </w:rPr>
        <w:t>s</w:t>
      </w:r>
      <w:r w:rsidRPr="00D230F5">
        <w:rPr>
          <w:rFonts w:ascii="Work Sans" w:hAnsi="Work Sans"/>
          <w:sz w:val="24"/>
          <w:szCs w:val="24"/>
        </w:rPr>
        <w:t xml:space="preserve">tate services, regardless of which </w:t>
      </w:r>
      <w:r w:rsidR="00072F46">
        <w:rPr>
          <w:rFonts w:ascii="Work Sans" w:hAnsi="Work Sans"/>
          <w:sz w:val="24"/>
          <w:szCs w:val="24"/>
        </w:rPr>
        <w:t>s</w:t>
      </w:r>
      <w:r w:rsidRPr="00D230F5">
        <w:rPr>
          <w:rFonts w:ascii="Work Sans" w:hAnsi="Work Sans"/>
          <w:sz w:val="24"/>
          <w:szCs w:val="24"/>
        </w:rPr>
        <w:t>tate they live in.</w:t>
      </w:r>
    </w:p>
    <w:p w14:paraId="6EB7A864" w14:textId="079A5E6B" w:rsidR="00264007" w:rsidRPr="00D230F5" w:rsidRDefault="00264007" w:rsidP="00264007">
      <w:pPr>
        <w:rPr>
          <w:rFonts w:ascii="Work Sans" w:hAnsi="Work Sans"/>
          <w:sz w:val="24"/>
          <w:szCs w:val="24"/>
          <w:lang w:val="en-GB"/>
        </w:rPr>
      </w:pPr>
      <w:r w:rsidRPr="00D230F5">
        <w:rPr>
          <w:rFonts w:ascii="Work Sans" w:hAnsi="Work Sans"/>
          <w:sz w:val="24"/>
          <w:szCs w:val="24"/>
        </w:rPr>
        <w:t xml:space="preserve">In determining fiscal capacities, the Commission assesses each </w:t>
      </w:r>
      <w:r w:rsidR="00072F46">
        <w:rPr>
          <w:rFonts w:ascii="Work Sans" w:hAnsi="Work Sans"/>
          <w:sz w:val="24"/>
          <w:szCs w:val="24"/>
        </w:rPr>
        <w:t>s</w:t>
      </w:r>
      <w:r w:rsidRPr="00D230F5">
        <w:rPr>
          <w:rFonts w:ascii="Work Sans" w:hAnsi="Work Sans"/>
          <w:sz w:val="24"/>
          <w:szCs w:val="24"/>
        </w:rPr>
        <w:t xml:space="preserve">tate’s capacity to raise revenue, and its costs of providing services, based on the average revenue effort and average spending of all </w:t>
      </w:r>
      <w:r w:rsidR="00072F46">
        <w:rPr>
          <w:rFonts w:ascii="Work Sans" w:hAnsi="Work Sans"/>
          <w:sz w:val="24"/>
          <w:szCs w:val="24"/>
        </w:rPr>
        <w:t>s</w:t>
      </w:r>
      <w:r w:rsidRPr="00D230F5">
        <w:rPr>
          <w:rFonts w:ascii="Work Sans" w:hAnsi="Work Sans"/>
          <w:sz w:val="24"/>
          <w:szCs w:val="24"/>
        </w:rPr>
        <w:t xml:space="preserve">tates. The new </w:t>
      </w:r>
      <w:r w:rsidRPr="00D230F5">
        <w:rPr>
          <w:rFonts w:ascii="Work Sans" w:hAnsi="Work Sans"/>
          <w:sz w:val="24"/>
          <w:szCs w:val="24"/>
        </w:rPr>
        <w:lastRenderedPageBreak/>
        <w:t>equalisation arrangements retain this approach as the first step in calculating how the GST should be distributed (see Box 1).</w:t>
      </w:r>
    </w:p>
    <w:p w14:paraId="16C3F759" w14:textId="206E1FD9" w:rsidR="00264007" w:rsidRPr="00D230F5" w:rsidRDefault="00264007" w:rsidP="00264007">
      <w:pPr>
        <w:rPr>
          <w:rFonts w:ascii="Work Sans" w:hAnsi="Work Sans"/>
          <w:sz w:val="24"/>
          <w:szCs w:val="24"/>
        </w:rPr>
      </w:pPr>
      <w:r w:rsidRPr="00D230F5">
        <w:rPr>
          <w:rFonts w:ascii="Work Sans" w:hAnsi="Work Sans"/>
          <w:sz w:val="24"/>
          <w:szCs w:val="24"/>
        </w:rPr>
        <w:t xml:space="preserve">A </w:t>
      </w:r>
      <w:r w:rsidR="000B6C94">
        <w:rPr>
          <w:rFonts w:ascii="Work Sans" w:hAnsi="Work Sans"/>
          <w:sz w:val="24"/>
          <w:szCs w:val="24"/>
        </w:rPr>
        <w:t>s</w:t>
      </w:r>
      <w:r w:rsidRPr="00D230F5">
        <w:rPr>
          <w:rFonts w:ascii="Work Sans" w:hAnsi="Work Sans"/>
          <w:sz w:val="24"/>
          <w:szCs w:val="24"/>
        </w:rPr>
        <w:t xml:space="preserve">tate’s capacity to raise revenue depends on the tax bases available to it. Revenue capacities are not static, they change as </w:t>
      </w:r>
      <w:r w:rsidR="003E6673">
        <w:rPr>
          <w:rFonts w:ascii="Work Sans" w:hAnsi="Work Sans"/>
          <w:sz w:val="24"/>
          <w:szCs w:val="24"/>
        </w:rPr>
        <w:t>s</w:t>
      </w:r>
      <w:r w:rsidRPr="00D230F5">
        <w:rPr>
          <w:rFonts w:ascii="Work Sans" w:hAnsi="Work Sans"/>
          <w:sz w:val="24"/>
          <w:szCs w:val="24"/>
        </w:rPr>
        <w:t xml:space="preserve">tates’ circumstances change. As a </w:t>
      </w:r>
      <w:r w:rsidR="000B6C94">
        <w:rPr>
          <w:rFonts w:ascii="Work Sans" w:hAnsi="Work Sans"/>
          <w:sz w:val="24"/>
          <w:szCs w:val="24"/>
        </w:rPr>
        <w:t>s</w:t>
      </w:r>
      <w:r w:rsidRPr="00D230F5">
        <w:rPr>
          <w:rFonts w:ascii="Work Sans" w:hAnsi="Work Sans"/>
          <w:sz w:val="24"/>
          <w:szCs w:val="24"/>
        </w:rPr>
        <w:t xml:space="preserve">tate’s revenue capacity increases, it </w:t>
      </w:r>
      <w:proofErr w:type="gramStart"/>
      <w:r w:rsidRPr="00D230F5">
        <w:rPr>
          <w:rFonts w:ascii="Work Sans" w:hAnsi="Work Sans"/>
          <w:sz w:val="24"/>
          <w:szCs w:val="24"/>
        </w:rPr>
        <w:t>is able to</w:t>
      </w:r>
      <w:proofErr w:type="gramEnd"/>
      <w:r w:rsidRPr="00D230F5">
        <w:rPr>
          <w:rFonts w:ascii="Work Sans" w:hAnsi="Work Sans"/>
          <w:sz w:val="24"/>
          <w:szCs w:val="24"/>
        </w:rPr>
        <w:t xml:space="preserve"> finance more services from its own revenue and so, other things being equal, its GST share would fall. Given that GST is distributed from a fixed funding pool, as one </w:t>
      </w:r>
      <w:r w:rsidR="000B6C94">
        <w:rPr>
          <w:rFonts w:ascii="Work Sans" w:hAnsi="Work Sans"/>
          <w:sz w:val="24"/>
          <w:szCs w:val="24"/>
        </w:rPr>
        <w:t>s</w:t>
      </w:r>
      <w:r w:rsidRPr="00D230F5">
        <w:rPr>
          <w:rFonts w:ascii="Work Sans" w:hAnsi="Work Sans"/>
          <w:sz w:val="24"/>
          <w:szCs w:val="24"/>
        </w:rPr>
        <w:t xml:space="preserve">tate’s share falls, the amount of GST available to the other </w:t>
      </w:r>
      <w:r w:rsidR="000B6C94">
        <w:rPr>
          <w:rFonts w:ascii="Work Sans" w:hAnsi="Work Sans"/>
          <w:sz w:val="24"/>
          <w:szCs w:val="24"/>
        </w:rPr>
        <w:t>s</w:t>
      </w:r>
      <w:r w:rsidRPr="00D230F5">
        <w:rPr>
          <w:rFonts w:ascii="Work Sans" w:hAnsi="Work Sans"/>
          <w:sz w:val="24"/>
          <w:szCs w:val="24"/>
        </w:rPr>
        <w:t>tates increases.</w:t>
      </w:r>
    </w:p>
    <w:p w14:paraId="76F4BDE9" w14:textId="1842F3F0" w:rsidR="00264007" w:rsidRPr="00D230F5" w:rsidRDefault="00264007" w:rsidP="00264007">
      <w:pPr>
        <w:rPr>
          <w:rFonts w:ascii="Work Sans" w:hAnsi="Work Sans"/>
          <w:sz w:val="24"/>
          <w:szCs w:val="24"/>
        </w:rPr>
      </w:pPr>
      <w:r w:rsidRPr="00D230F5">
        <w:rPr>
          <w:rFonts w:ascii="Work Sans" w:hAnsi="Work Sans"/>
          <w:sz w:val="24"/>
          <w:szCs w:val="24"/>
        </w:rPr>
        <w:t xml:space="preserve">In assessing </w:t>
      </w:r>
      <w:r w:rsidR="000B6C94">
        <w:rPr>
          <w:rFonts w:ascii="Work Sans" w:hAnsi="Work Sans"/>
          <w:sz w:val="24"/>
          <w:szCs w:val="24"/>
        </w:rPr>
        <w:t>s</w:t>
      </w:r>
      <w:r w:rsidRPr="00D230F5">
        <w:rPr>
          <w:rFonts w:ascii="Work Sans" w:hAnsi="Work Sans"/>
          <w:sz w:val="24"/>
          <w:szCs w:val="24"/>
        </w:rPr>
        <w:t xml:space="preserve">tate revenue raising capacity, the Commission calculates the amount of revenue each </w:t>
      </w:r>
      <w:r w:rsidR="003E6673">
        <w:rPr>
          <w:rFonts w:ascii="Work Sans" w:hAnsi="Work Sans"/>
          <w:sz w:val="24"/>
          <w:szCs w:val="24"/>
        </w:rPr>
        <w:t>s</w:t>
      </w:r>
      <w:r w:rsidRPr="00D230F5">
        <w:rPr>
          <w:rFonts w:ascii="Work Sans" w:hAnsi="Work Sans"/>
          <w:sz w:val="24"/>
          <w:szCs w:val="24"/>
        </w:rPr>
        <w:t xml:space="preserve">tate would collect if it were to apply the average tax rate of all </w:t>
      </w:r>
      <w:r w:rsidR="000B6C94">
        <w:rPr>
          <w:rFonts w:ascii="Work Sans" w:hAnsi="Work Sans"/>
          <w:sz w:val="24"/>
          <w:szCs w:val="24"/>
        </w:rPr>
        <w:t>s</w:t>
      </w:r>
      <w:r w:rsidRPr="00D230F5">
        <w:rPr>
          <w:rFonts w:ascii="Work Sans" w:hAnsi="Work Sans"/>
          <w:sz w:val="24"/>
          <w:szCs w:val="24"/>
        </w:rPr>
        <w:t>tates to the major tax bases. In the case of mining revenue, the tax base assessed by the Commission is the value of mining production, which is a combination of mineral prices and the volume of minerals extracted.</w:t>
      </w:r>
    </w:p>
    <w:p w14:paraId="58DCE6A6" w14:textId="385CFAD7" w:rsidR="00771530" w:rsidRPr="00771530" w:rsidRDefault="00771530" w:rsidP="00771530">
      <w:pPr>
        <w:rPr>
          <w:rFonts w:ascii="Work Sans" w:hAnsi="Work Sans"/>
          <w:sz w:val="24"/>
          <w:szCs w:val="24"/>
        </w:rPr>
      </w:pPr>
      <w:r w:rsidRPr="00771530">
        <w:rPr>
          <w:rFonts w:ascii="Work Sans" w:hAnsi="Work Sans"/>
          <w:sz w:val="24"/>
          <w:szCs w:val="24"/>
        </w:rPr>
        <w:t>The Commission assesses each of the major minerals</w:t>
      </w:r>
      <w:r w:rsidRPr="00771530">
        <w:rPr>
          <w:rStyle w:val="FootnoteReference"/>
          <w:rFonts w:ascii="Work Sans" w:hAnsi="Work Sans"/>
          <w:sz w:val="24"/>
          <w:szCs w:val="24"/>
        </w:rPr>
        <w:footnoteReference w:id="2"/>
      </w:r>
      <w:r w:rsidRPr="00771530">
        <w:rPr>
          <w:rFonts w:ascii="Work Sans" w:hAnsi="Work Sans"/>
          <w:sz w:val="24"/>
          <w:szCs w:val="24"/>
        </w:rPr>
        <w:t xml:space="preserve"> individually and groups the minor minerals together. For major minerals, the average tax rate (calculated as the national revenue for the mineral divided by the national value of its production) is applied to each </w:t>
      </w:r>
      <w:r w:rsidR="00F4178F">
        <w:rPr>
          <w:rFonts w:ascii="Work Sans" w:hAnsi="Work Sans"/>
          <w:sz w:val="24"/>
          <w:szCs w:val="24"/>
        </w:rPr>
        <w:t>s</w:t>
      </w:r>
      <w:r w:rsidRPr="00771530">
        <w:rPr>
          <w:rFonts w:ascii="Work Sans" w:hAnsi="Work Sans"/>
          <w:sz w:val="24"/>
          <w:szCs w:val="24"/>
        </w:rPr>
        <w:t xml:space="preserve">tate’s value of production to assess its ability to raise revenue from that mineral. Where a </w:t>
      </w:r>
      <w:r w:rsidR="00F4178F">
        <w:rPr>
          <w:rFonts w:ascii="Work Sans" w:hAnsi="Work Sans"/>
          <w:sz w:val="24"/>
          <w:szCs w:val="24"/>
        </w:rPr>
        <w:t>s</w:t>
      </w:r>
      <w:r w:rsidRPr="00771530">
        <w:rPr>
          <w:rFonts w:ascii="Work Sans" w:hAnsi="Work Sans"/>
          <w:sz w:val="24"/>
          <w:szCs w:val="24"/>
        </w:rPr>
        <w:t>tate has no mineral resources, it is assessed as having no capacity to raise revenue from that mineral.</w:t>
      </w:r>
    </w:p>
    <w:p w14:paraId="2D894526" w14:textId="4A85E56E" w:rsidR="00771530" w:rsidRPr="00771530" w:rsidRDefault="00771530" w:rsidP="00771530">
      <w:pPr>
        <w:rPr>
          <w:rFonts w:ascii="Work Sans" w:hAnsi="Work Sans"/>
          <w:sz w:val="24"/>
          <w:szCs w:val="24"/>
        </w:rPr>
      </w:pPr>
      <w:r w:rsidRPr="00771530">
        <w:rPr>
          <w:rFonts w:ascii="Work Sans" w:hAnsi="Work Sans"/>
          <w:sz w:val="24"/>
          <w:szCs w:val="24"/>
        </w:rPr>
        <w:t xml:space="preserve">For the minor minerals, the Commission combines the production in each </w:t>
      </w:r>
      <w:r w:rsidR="00F4178F">
        <w:rPr>
          <w:rFonts w:ascii="Work Sans" w:hAnsi="Work Sans"/>
          <w:sz w:val="24"/>
          <w:szCs w:val="24"/>
        </w:rPr>
        <w:t>s</w:t>
      </w:r>
      <w:r w:rsidRPr="00771530">
        <w:rPr>
          <w:rFonts w:ascii="Work Sans" w:hAnsi="Work Sans"/>
          <w:sz w:val="24"/>
          <w:szCs w:val="24"/>
        </w:rPr>
        <w:t xml:space="preserve">tate. The average tax rate (calculated as the national revenue for the combined minerals divided by their combined national value of production) is applied to each </w:t>
      </w:r>
      <w:r w:rsidR="00F4178F">
        <w:rPr>
          <w:rFonts w:ascii="Work Sans" w:hAnsi="Work Sans"/>
          <w:sz w:val="24"/>
          <w:szCs w:val="24"/>
        </w:rPr>
        <w:t>s</w:t>
      </w:r>
      <w:r w:rsidRPr="00771530">
        <w:rPr>
          <w:rFonts w:ascii="Work Sans" w:hAnsi="Work Sans"/>
          <w:sz w:val="24"/>
          <w:szCs w:val="24"/>
        </w:rPr>
        <w:t>tate’s value of production to assess its ability to raise revenue from the combined minerals.</w:t>
      </w:r>
    </w:p>
    <w:p w14:paraId="062E8A4A" w14:textId="057E30DA" w:rsidR="00771530" w:rsidRPr="00771530" w:rsidRDefault="00771530" w:rsidP="00771530">
      <w:pPr>
        <w:rPr>
          <w:rFonts w:ascii="Work Sans" w:hAnsi="Work Sans"/>
          <w:sz w:val="24"/>
          <w:szCs w:val="24"/>
        </w:rPr>
      </w:pPr>
      <w:r w:rsidRPr="00771530">
        <w:rPr>
          <w:rFonts w:ascii="Work Sans" w:hAnsi="Work Sans"/>
          <w:sz w:val="24"/>
          <w:szCs w:val="24"/>
        </w:rPr>
        <w:t xml:space="preserve">The assessment of each </w:t>
      </w:r>
      <w:r w:rsidR="00F4178F">
        <w:rPr>
          <w:rFonts w:ascii="Work Sans" w:hAnsi="Work Sans"/>
          <w:sz w:val="24"/>
          <w:szCs w:val="24"/>
        </w:rPr>
        <w:t>s</w:t>
      </w:r>
      <w:r w:rsidRPr="00771530">
        <w:rPr>
          <w:rFonts w:ascii="Work Sans" w:hAnsi="Work Sans"/>
          <w:sz w:val="24"/>
          <w:szCs w:val="24"/>
        </w:rPr>
        <w:t>tate’s capacity to raise mining revenue is the aggregation of these calculations.</w:t>
      </w:r>
      <w:r w:rsidRPr="00771530">
        <w:rPr>
          <w:rStyle w:val="FootnoteReference"/>
          <w:rFonts w:ascii="Work Sans" w:hAnsi="Work Sans"/>
          <w:sz w:val="24"/>
          <w:szCs w:val="24"/>
        </w:rPr>
        <w:footnoteReference w:id="3"/>
      </w:r>
    </w:p>
    <w:p w14:paraId="427BF74C" w14:textId="77777777" w:rsidR="00771530" w:rsidRDefault="00771530" w:rsidP="00771530">
      <w:pPr>
        <w:pStyle w:val="Heading2"/>
        <w:rPr>
          <w:lang w:val="en-GB"/>
        </w:rPr>
      </w:pPr>
      <w:r>
        <w:rPr>
          <w:lang w:val="en-GB"/>
        </w:rPr>
        <w:t xml:space="preserve">Mining has had a major influence on GST distributions </w:t>
      </w:r>
    </w:p>
    <w:p w14:paraId="28CB0437" w14:textId="77777777" w:rsidR="00771530" w:rsidRPr="00630B19" w:rsidRDefault="00771530" w:rsidP="00771530">
      <w:pPr>
        <w:rPr>
          <w:rFonts w:ascii="Work Sans" w:hAnsi="Work Sans"/>
          <w:sz w:val="24"/>
          <w:szCs w:val="24"/>
        </w:rPr>
      </w:pPr>
      <w:r w:rsidRPr="00630B19">
        <w:rPr>
          <w:rFonts w:ascii="Work Sans" w:hAnsi="Work Sans"/>
          <w:sz w:val="24"/>
          <w:szCs w:val="24"/>
        </w:rPr>
        <w:t>Australia has experienced a series of mining booms that commenced around 2003, when coal and iron ore prices started rising in response to a surge in global demand. Rising prices contributed to a significant expansion in mining production.</w:t>
      </w:r>
    </w:p>
    <w:p w14:paraId="0F6D7126" w14:textId="6EDB7F49" w:rsidR="00771530" w:rsidRPr="00271351" w:rsidRDefault="00771530" w:rsidP="00771530">
      <w:pPr>
        <w:rPr>
          <w:rFonts w:ascii="Work Sans" w:hAnsi="Work Sans"/>
          <w:sz w:val="24"/>
          <w:szCs w:val="24"/>
        </w:rPr>
      </w:pPr>
      <w:r w:rsidRPr="00271351">
        <w:rPr>
          <w:rFonts w:ascii="Work Sans" w:hAnsi="Work Sans"/>
          <w:sz w:val="24"/>
          <w:szCs w:val="24"/>
        </w:rPr>
        <w:lastRenderedPageBreak/>
        <w:t xml:space="preserve">The unprecedented growth in the value of mining production, combined with the uneven distribution of major minerals across </w:t>
      </w:r>
      <w:r w:rsidR="003407A6">
        <w:rPr>
          <w:rFonts w:ascii="Work Sans" w:hAnsi="Work Sans"/>
          <w:sz w:val="24"/>
          <w:szCs w:val="24"/>
        </w:rPr>
        <w:t>s</w:t>
      </w:r>
      <w:r w:rsidRPr="00271351">
        <w:rPr>
          <w:rFonts w:ascii="Work Sans" w:hAnsi="Work Sans"/>
          <w:sz w:val="24"/>
          <w:szCs w:val="24"/>
        </w:rPr>
        <w:t xml:space="preserve">tates, resulted in the mining assessment becoming a major driver of the GST distribution. The change in the distribution of GST between the </w:t>
      </w:r>
      <w:r w:rsidR="003407A6">
        <w:rPr>
          <w:rFonts w:ascii="Work Sans" w:hAnsi="Work Sans"/>
          <w:sz w:val="24"/>
          <w:szCs w:val="24"/>
        </w:rPr>
        <w:t>s</w:t>
      </w:r>
      <w:r w:rsidRPr="00271351">
        <w:rPr>
          <w:rFonts w:ascii="Work Sans" w:hAnsi="Work Sans"/>
          <w:sz w:val="24"/>
          <w:szCs w:val="24"/>
        </w:rPr>
        <w:t>tates because of the mining assessment has risen threefold, from $2.5 billion in 2010-11 to $7.5 billion in 2021-22.</w:t>
      </w:r>
    </w:p>
    <w:p w14:paraId="749A76FF" w14:textId="407A13DC" w:rsidR="00771530" w:rsidRPr="00271351" w:rsidRDefault="00771530" w:rsidP="00771530">
      <w:pPr>
        <w:rPr>
          <w:rFonts w:ascii="Work Sans" w:hAnsi="Work Sans"/>
          <w:sz w:val="24"/>
          <w:szCs w:val="24"/>
        </w:rPr>
      </w:pPr>
      <w:r w:rsidRPr="00271351">
        <w:rPr>
          <w:rFonts w:ascii="Work Sans" w:hAnsi="Work Sans"/>
          <w:sz w:val="24"/>
          <w:szCs w:val="24"/>
        </w:rPr>
        <w:t>Over the past decade, total mining royalty revenues have almost doubled, growing from $8.5 billion in 2010-11 to $15.4 billion in 2019</w:t>
      </w:r>
      <w:r w:rsidRPr="00271351">
        <w:rPr>
          <w:rFonts w:ascii="Work Sans" w:hAnsi="Work Sans"/>
          <w:sz w:val="24"/>
          <w:szCs w:val="24"/>
        </w:rPr>
        <w:noBreakHyphen/>
        <w:t xml:space="preserve">20. But that growth has been concentrated in coal and iron ore and therefore, the main beneficiaries are the </w:t>
      </w:r>
      <w:r w:rsidR="00455EB5">
        <w:rPr>
          <w:rFonts w:ascii="Work Sans" w:hAnsi="Work Sans"/>
          <w:sz w:val="24"/>
          <w:szCs w:val="24"/>
        </w:rPr>
        <w:t>s</w:t>
      </w:r>
      <w:r w:rsidRPr="00271351">
        <w:rPr>
          <w:rFonts w:ascii="Work Sans" w:hAnsi="Work Sans"/>
          <w:sz w:val="24"/>
          <w:szCs w:val="24"/>
        </w:rPr>
        <w:t>tates where those minerals are produced (mainly Queensland and Western Australia).</w:t>
      </w:r>
    </w:p>
    <w:p w14:paraId="64D41DAE" w14:textId="250791A9" w:rsidR="00771530" w:rsidRPr="00271351" w:rsidRDefault="00771530" w:rsidP="00771530">
      <w:pPr>
        <w:rPr>
          <w:rFonts w:ascii="Work Sans" w:hAnsi="Work Sans"/>
          <w:sz w:val="24"/>
          <w:szCs w:val="24"/>
        </w:rPr>
      </w:pPr>
      <w:r w:rsidRPr="00271351">
        <w:rPr>
          <w:rFonts w:ascii="Work Sans" w:hAnsi="Work Sans"/>
          <w:sz w:val="24"/>
          <w:szCs w:val="24"/>
        </w:rPr>
        <w:t xml:space="preserve">While the revenue capacities of the mining </w:t>
      </w:r>
      <w:r w:rsidR="00455EB5">
        <w:rPr>
          <w:rFonts w:ascii="Work Sans" w:hAnsi="Work Sans"/>
          <w:sz w:val="24"/>
          <w:szCs w:val="24"/>
        </w:rPr>
        <w:t>s</w:t>
      </w:r>
      <w:r w:rsidRPr="00271351">
        <w:rPr>
          <w:rFonts w:ascii="Work Sans" w:hAnsi="Work Sans"/>
          <w:sz w:val="24"/>
          <w:szCs w:val="24"/>
        </w:rPr>
        <w:t>tates diverged from the non</w:t>
      </w:r>
      <w:r w:rsidR="00271351">
        <w:rPr>
          <w:rFonts w:ascii="Work Sans" w:hAnsi="Work Sans"/>
          <w:sz w:val="24"/>
          <w:szCs w:val="24"/>
        </w:rPr>
        <w:noBreakHyphen/>
      </w:r>
      <w:r w:rsidRPr="00271351">
        <w:rPr>
          <w:rFonts w:ascii="Work Sans" w:hAnsi="Work Sans"/>
          <w:sz w:val="24"/>
          <w:szCs w:val="24"/>
        </w:rPr>
        <w:t xml:space="preserve">mining </w:t>
      </w:r>
      <w:r w:rsidR="00455EB5">
        <w:rPr>
          <w:rFonts w:ascii="Work Sans" w:hAnsi="Work Sans"/>
          <w:sz w:val="24"/>
          <w:szCs w:val="24"/>
        </w:rPr>
        <w:t>s</w:t>
      </w:r>
      <w:r w:rsidRPr="00271351">
        <w:rPr>
          <w:rFonts w:ascii="Work Sans" w:hAnsi="Work Sans"/>
          <w:sz w:val="24"/>
          <w:szCs w:val="24"/>
        </w:rPr>
        <w:t xml:space="preserve">tates, they also diverged from one another. In more recent years, while iron ore royalties have continued to grow strongly, coal royalties have fallen. The result has been a significant increase in Western Australia’s revenue raising capacity compared with that of </w:t>
      </w:r>
      <w:r w:rsidR="00455EB5">
        <w:rPr>
          <w:rFonts w:ascii="Work Sans" w:hAnsi="Work Sans"/>
          <w:sz w:val="24"/>
          <w:szCs w:val="24"/>
        </w:rPr>
        <w:t>s</w:t>
      </w:r>
      <w:r w:rsidRPr="00271351">
        <w:rPr>
          <w:rFonts w:ascii="Work Sans" w:hAnsi="Work Sans"/>
          <w:sz w:val="24"/>
          <w:szCs w:val="24"/>
        </w:rPr>
        <w:t xml:space="preserve">tates where coal is produced and </w:t>
      </w:r>
      <w:r w:rsidR="00455EB5">
        <w:rPr>
          <w:rFonts w:ascii="Work Sans" w:hAnsi="Work Sans"/>
          <w:sz w:val="24"/>
          <w:szCs w:val="24"/>
        </w:rPr>
        <w:t>s</w:t>
      </w:r>
      <w:r w:rsidRPr="00271351">
        <w:rPr>
          <w:rFonts w:ascii="Work Sans" w:hAnsi="Work Sans"/>
          <w:sz w:val="24"/>
          <w:szCs w:val="24"/>
        </w:rPr>
        <w:t>tates with minimal mining resources.</w:t>
      </w:r>
    </w:p>
    <w:p w14:paraId="38837E98" w14:textId="7F3833B3" w:rsidR="00771530" w:rsidRPr="00271351" w:rsidRDefault="00771530" w:rsidP="00771530">
      <w:pPr>
        <w:rPr>
          <w:rFonts w:ascii="Work Sans" w:hAnsi="Work Sans"/>
          <w:sz w:val="24"/>
          <w:szCs w:val="24"/>
          <w:lang w:val="en-GB"/>
        </w:rPr>
      </w:pPr>
      <w:r w:rsidRPr="00271351">
        <w:rPr>
          <w:rFonts w:ascii="Work Sans" w:hAnsi="Work Sans"/>
          <w:sz w:val="24"/>
          <w:szCs w:val="24"/>
        </w:rPr>
        <w:t>The high concentration of iron ore in Western Australia has meant that changes in its GST requirements largely follow changes in its iron ore royalties. In 2019-20, its royalty revenue ($3,419 per capita) was more than five times the national average ($632 per capita), with iron ore accounting for 90 per cent of its total. In 2019</w:t>
      </w:r>
      <w:r w:rsidRPr="00271351">
        <w:rPr>
          <w:rFonts w:ascii="Work Sans" w:hAnsi="Work Sans"/>
          <w:sz w:val="24"/>
          <w:szCs w:val="24"/>
        </w:rPr>
        <w:noBreakHyphen/>
        <w:t xml:space="preserve">20, Western Australia’s royalty revenue was equivalent to 35 per cent of its assessed spending, compared with the average for the other </w:t>
      </w:r>
      <w:r w:rsidR="003E6673">
        <w:rPr>
          <w:rFonts w:ascii="Work Sans" w:hAnsi="Work Sans"/>
          <w:sz w:val="24"/>
          <w:szCs w:val="24"/>
        </w:rPr>
        <w:t>s</w:t>
      </w:r>
      <w:r w:rsidRPr="00271351">
        <w:rPr>
          <w:rFonts w:ascii="Work Sans" w:hAnsi="Work Sans"/>
          <w:sz w:val="24"/>
          <w:szCs w:val="24"/>
        </w:rPr>
        <w:t>tates of less than 7 per cent.</w:t>
      </w:r>
    </w:p>
    <w:p w14:paraId="279C53A7" w14:textId="77777777" w:rsidR="00771530" w:rsidRDefault="00771530" w:rsidP="00771530">
      <w:pPr>
        <w:pStyle w:val="Heading2"/>
        <w:rPr>
          <w:lang w:val="en-GB"/>
        </w:rPr>
      </w:pPr>
      <w:r>
        <w:rPr>
          <w:lang w:val="en-GB"/>
        </w:rPr>
        <w:t xml:space="preserve">Volatility in the mining assessment has led to volatility in GST distributions </w:t>
      </w:r>
    </w:p>
    <w:p w14:paraId="3341FD9E" w14:textId="77777777" w:rsidR="00771530" w:rsidRPr="00204C37" w:rsidRDefault="00771530" w:rsidP="00771530">
      <w:pPr>
        <w:rPr>
          <w:rFonts w:ascii="Work Sans" w:hAnsi="Work Sans"/>
          <w:sz w:val="24"/>
          <w:szCs w:val="24"/>
          <w:lang w:val="en-GB"/>
        </w:rPr>
      </w:pPr>
      <w:r w:rsidRPr="00204C37">
        <w:rPr>
          <w:rFonts w:ascii="Work Sans" w:hAnsi="Work Sans"/>
          <w:sz w:val="24"/>
          <w:szCs w:val="24"/>
        </w:rPr>
        <w:t>While iron ore royalties have expanded rapidly over the past decade, they have fluctuated due to the volatility of iron ore prices. Iron ore prices peaked at the start of the decade at around A$186 per metric tonne in 2010-11, before falling to A$58 in 2015-16, and then rising to reach record levels of A$234 in 2020-21.</w:t>
      </w:r>
    </w:p>
    <w:p w14:paraId="03ED4EA6" w14:textId="7382F48F" w:rsidR="007724D5" w:rsidRPr="007724D5" w:rsidRDefault="00771530" w:rsidP="007724D5">
      <w:pPr>
        <w:rPr>
          <w:rFonts w:ascii="Work Sans" w:hAnsi="Work Sans"/>
          <w:sz w:val="24"/>
          <w:szCs w:val="24"/>
        </w:rPr>
      </w:pPr>
      <w:r w:rsidRPr="007724D5">
        <w:rPr>
          <w:rFonts w:ascii="Work Sans" w:hAnsi="Work Sans"/>
          <w:sz w:val="24"/>
          <w:szCs w:val="24"/>
        </w:rPr>
        <w:t>This volatility in the value of iron ore production has resulted in significant volatility in Western Australia’s GST distribution. The Commission</w:t>
      </w:r>
      <w:r w:rsidR="00204C37" w:rsidRPr="007724D5">
        <w:rPr>
          <w:rFonts w:ascii="Work Sans" w:hAnsi="Work Sans"/>
          <w:sz w:val="24"/>
          <w:szCs w:val="24"/>
        </w:rPr>
        <w:t xml:space="preserve"> </w:t>
      </w:r>
      <w:r w:rsidR="007724D5" w:rsidRPr="007724D5">
        <w:rPr>
          <w:rFonts w:ascii="Work Sans" w:hAnsi="Work Sans"/>
          <w:sz w:val="24"/>
          <w:szCs w:val="24"/>
        </w:rPr>
        <w:t xml:space="preserve">expresses recommendations for the distribution of GST in terms of </w:t>
      </w:r>
      <w:r w:rsidR="00783643">
        <w:rPr>
          <w:rFonts w:ascii="Work Sans" w:hAnsi="Work Sans"/>
          <w:sz w:val="24"/>
          <w:szCs w:val="24"/>
        </w:rPr>
        <w:t>s</w:t>
      </w:r>
      <w:r w:rsidR="007724D5" w:rsidRPr="007724D5">
        <w:rPr>
          <w:rFonts w:ascii="Work Sans" w:hAnsi="Work Sans"/>
          <w:sz w:val="24"/>
          <w:szCs w:val="24"/>
        </w:rPr>
        <w:t xml:space="preserve">tate relativities. If all </w:t>
      </w:r>
      <w:r w:rsidR="00783643">
        <w:rPr>
          <w:rFonts w:ascii="Work Sans" w:hAnsi="Work Sans"/>
          <w:sz w:val="24"/>
          <w:szCs w:val="24"/>
        </w:rPr>
        <w:t>s</w:t>
      </w:r>
      <w:r w:rsidR="007724D5" w:rsidRPr="007724D5">
        <w:rPr>
          <w:rFonts w:ascii="Work Sans" w:hAnsi="Work Sans"/>
          <w:sz w:val="24"/>
          <w:szCs w:val="24"/>
        </w:rPr>
        <w:t xml:space="preserve">tates had the same fiscal capacity, they would have a relativity of 1. Fiscally stronger </w:t>
      </w:r>
      <w:r w:rsidR="00783643">
        <w:rPr>
          <w:rFonts w:ascii="Work Sans" w:hAnsi="Work Sans"/>
          <w:sz w:val="24"/>
          <w:szCs w:val="24"/>
        </w:rPr>
        <w:t>s</w:t>
      </w:r>
      <w:r w:rsidR="007724D5" w:rsidRPr="007724D5">
        <w:rPr>
          <w:rFonts w:ascii="Work Sans" w:hAnsi="Work Sans"/>
          <w:sz w:val="24"/>
          <w:szCs w:val="24"/>
        </w:rPr>
        <w:t xml:space="preserve">tates have a relativity below 1 and fiscally weaker </w:t>
      </w:r>
      <w:r w:rsidR="00783643">
        <w:rPr>
          <w:rFonts w:ascii="Work Sans" w:hAnsi="Work Sans"/>
          <w:sz w:val="24"/>
          <w:szCs w:val="24"/>
        </w:rPr>
        <w:t>s</w:t>
      </w:r>
      <w:r w:rsidR="007724D5" w:rsidRPr="007724D5">
        <w:rPr>
          <w:rFonts w:ascii="Work Sans" w:hAnsi="Work Sans"/>
          <w:sz w:val="24"/>
          <w:szCs w:val="24"/>
        </w:rPr>
        <w:t>tates have a relativity above 1. As late as 2006</w:t>
      </w:r>
      <w:r w:rsidR="007724D5" w:rsidRPr="007724D5">
        <w:rPr>
          <w:rFonts w:ascii="Work Sans" w:hAnsi="Work Sans"/>
          <w:sz w:val="24"/>
          <w:szCs w:val="24"/>
        </w:rPr>
        <w:noBreakHyphen/>
        <w:t xml:space="preserve">07, Western Australia’s GST relativity was above 1. Although the Commission’s 3-year moving average approach has moderated some of the fluctuations, Western Australia’s GST relativity fell to 0.3 in 2015-16, then rose to 0.5 in 2019-20 before falling </w:t>
      </w:r>
      <w:r w:rsidR="007724D5" w:rsidRPr="007724D5">
        <w:rPr>
          <w:rFonts w:ascii="Work Sans" w:hAnsi="Work Sans"/>
          <w:sz w:val="24"/>
          <w:szCs w:val="24"/>
        </w:rPr>
        <w:lastRenderedPageBreak/>
        <w:t>back to 0.3 in 2021</w:t>
      </w:r>
      <w:r w:rsidR="007724D5" w:rsidRPr="007724D5">
        <w:rPr>
          <w:rFonts w:ascii="Work Sans" w:hAnsi="Work Sans"/>
          <w:sz w:val="24"/>
          <w:szCs w:val="24"/>
        </w:rPr>
        <w:noBreakHyphen/>
        <w:t>22. The fluctuation in Western Australia’s relativity translated into fluctuations in its GST share.</w:t>
      </w:r>
    </w:p>
    <w:p w14:paraId="41EEFA44" w14:textId="4CA9BD95" w:rsidR="007724D5" w:rsidRPr="007724D5" w:rsidRDefault="007724D5" w:rsidP="007724D5">
      <w:pPr>
        <w:rPr>
          <w:rFonts w:ascii="Work Sans" w:hAnsi="Work Sans"/>
          <w:sz w:val="24"/>
          <w:szCs w:val="24"/>
        </w:rPr>
      </w:pPr>
      <w:r w:rsidRPr="007724D5">
        <w:rPr>
          <w:rFonts w:ascii="Work Sans" w:hAnsi="Work Sans"/>
          <w:sz w:val="24"/>
          <w:szCs w:val="24"/>
        </w:rPr>
        <w:t xml:space="preserve">Due to the way GST relativities are determined, fluctuations in Western Australia’s GST distribution caused fluctuations in the GST distribution of other </w:t>
      </w:r>
      <w:r w:rsidR="003E6673">
        <w:rPr>
          <w:rFonts w:ascii="Work Sans" w:hAnsi="Work Sans"/>
          <w:sz w:val="24"/>
          <w:szCs w:val="24"/>
        </w:rPr>
        <w:t>s</w:t>
      </w:r>
      <w:r w:rsidRPr="007724D5">
        <w:rPr>
          <w:rFonts w:ascii="Work Sans" w:hAnsi="Work Sans"/>
          <w:sz w:val="24"/>
          <w:szCs w:val="24"/>
        </w:rPr>
        <w:t>tates.</w:t>
      </w:r>
    </w:p>
    <w:p w14:paraId="0803D2E1" w14:textId="77777777" w:rsidR="007724D5" w:rsidRDefault="007724D5" w:rsidP="007724D5">
      <w:pPr>
        <w:pStyle w:val="Heading2"/>
        <w:rPr>
          <w:lang w:val="en-GB"/>
        </w:rPr>
      </w:pPr>
      <w:r>
        <w:rPr>
          <w:lang w:val="en-GB"/>
        </w:rPr>
        <w:t xml:space="preserve">New equalisation arrangements will reduce volatility in GST distributions </w:t>
      </w:r>
    </w:p>
    <w:p w14:paraId="15BDC2DB" w14:textId="77777777" w:rsidR="007724D5" w:rsidRPr="007724D5" w:rsidRDefault="007724D5" w:rsidP="007724D5">
      <w:pPr>
        <w:rPr>
          <w:rFonts w:ascii="Work Sans" w:hAnsi="Work Sans"/>
          <w:sz w:val="24"/>
          <w:szCs w:val="24"/>
          <w:lang w:val="en-GB"/>
        </w:rPr>
      </w:pPr>
      <w:r w:rsidRPr="007724D5">
        <w:rPr>
          <w:rFonts w:ascii="Work Sans" w:hAnsi="Work Sans"/>
          <w:sz w:val="24"/>
          <w:szCs w:val="24"/>
        </w:rPr>
        <w:t>The new equalisation arrangements are being introduced over a transitional period that commenced in 2021-22 and which ends in 2026</w:t>
      </w:r>
      <w:r w:rsidRPr="007724D5">
        <w:rPr>
          <w:rFonts w:ascii="Work Sans" w:hAnsi="Work Sans"/>
          <w:sz w:val="24"/>
          <w:szCs w:val="24"/>
        </w:rPr>
        <w:noBreakHyphen/>
        <w:t>27.</w:t>
      </w:r>
      <w:r w:rsidRPr="007724D5">
        <w:rPr>
          <w:rStyle w:val="FootnoteReference"/>
          <w:rFonts w:ascii="Work Sans" w:hAnsi="Work Sans"/>
          <w:sz w:val="24"/>
          <w:szCs w:val="24"/>
        </w:rPr>
        <w:footnoteReference w:id="4"/>
      </w:r>
      <w:r w:rsidRPr="007724D5">
        <w:rPr>
          <w:rFonts w:ascii="Work Sans" w:hAnsi="Work Sans"/>
          <w:sz w:val="24"/>
          <w:szCs w:val="24"/>
        </w:rPr>
        <w:t xml:space="preserve"> The key elements of the new arrangements are set out in Box 1. The new arrangements will particularly reduce the volatility of Western Australia’s GST distribution.</w:t>
      </w:r>
      <w:r w:rsidRPr="007724D5">
        <w:rPr>
          <w:rStyle w:val="FootnoteReference"/>
          <w:rFonts w:ascii="Work Sans" w:hAnsi="Work Sans"/>
          <w:sz w:val="24"/>
          <w:szCs w:val="24"/>
        </w:rPr>
        <w:footnoteReference w:id="5"/>
      </w:r>
    </w:p>
    <w:p w14:paraId="2BE8F91E" w14:textId="3CA08FCE" w:rsidR="007724D5" w:rsidRPr="007724D5" w:rsidRDefault="007724D5" w:rsidP="007724D5">
      <w:pPr>
        <w:rPr>
          <w:rFonts w:ascii="Work Sans" w:hAnsi="Work Sans"/>
          <w:sz w:val="24"/>
          <w:szCs w:val="24"/>
          <w:lang w:val="en-GB"/>
        </w:rPr>
      </w:pPr>
      <w:r w:rsidRPr="007724D5">
        <w:rPr>
          <w:rFonts w:ascii="Work Sans" w:hAnsi="Work Sans"/>
          <w:sz w:val="24"/>
          <w:szCs w:val="24"/>
          <w:lang w:val="en-GB"/>
        </w:rPr>
        <w:t>The new arrangements introduce a minimum relativity (relativity floor) of 0.7 for 2022</w:t>
      </w:r>
      <w:r w:rsidRPr="007724D5">
        <w:rPr>
          <w:rFonts w:ascii="Work Sans" w:hAnsi="Work Sans"/>
          <w:sz w:val="24"/>
          <w:szCs w:val="24"/>
          <w:lang w:val="en-GB"/>
        </w:rPr>
        <w:noBreakHyphen/>
        <w:t>23 and increasing to 0.75 from 2024-25. Currently, only Western Australia’s relativity lies below the floor.</w:t>
      </w:r>
    </w:p>
    <w:p w14:paraId="1B28264D" w14:textId="0A935963" w:rsidR="00F91212" w:rsidRDefault="007724D5" w:rsidP="00F91212">
      <w:pPr>
        <w:rPr>
          <w:rFonts w:ascii="Work Sans" w:hAnsi="Work Sans"/>
          <w:sz w:val="24"/>
          <w:szCs w:val="24"/>
        </w:rPr>
      </w:pPr>
      <w:r w:rsidRPr="007724D5">
        <w:rPr>
          <w:rFonts w:ascii="Work Sans" w:hAnsi="Work Sans"/>
          <w:sz w:val="24"/>
          <w:szCs w:val="24"/>
        </w:rPr>
        <w:t>The relativity floor means that Western Australia’s GST distribution is no longer impacted by strong growth in iron ore prices. Under the previous system, rapidly rising iron ore prices lowered Western Australia’s relativity to well below 1, which reduced its GST share. During the transitional period for the new arrangements, Western Australia’s share of GST cannot fall below the relativity floor, notwithstanding high iron ore prices.</w:t>
      </w:r>
    </w:p>
    <w:p w14:paraId="4C301078" w14:textId="7444E3A4" w:rsidR="009F1B22" w:rsidRPr="009F1B22" w:rsidRDefault="009F1B22" w:rsidP="009F1B22">
      <w:pPr>
        <w:rPr>
          <w:rFonts w:ascii="Work Sans" w:hAnsi="Work Sans"/>
          <w:sz w:val="24"/>
          <w:szCs w:val="24"/>
          <w:lang w:val="en-GB"/>
        </w:rPr>
      </w:pPr>
      <w:r w:rsidRPr="009F1B22">
        <w:rPr>
          <w:rFonts w:ascii="Work Sans" w:hAnsi="Work Sans"/>
          <w:sz w:val="24"/>
          <w:szCs w:val="24"/>
        </w:rPr>
        <w:t xml:space="preserve">The new arrangements provide that by the end of the transitional period (in 2026-27) no </w:t>
      </w:r>
      <w:r w:rsidR="001073E0">
        <w:rPr>
          <w:rFonts w:ascii="Work Sans" w:hAnsi="Work Sans"/>
          <w:sz w:val="24"/>
          <w:szCs w:val="24"/>
        </w:rPr>
        <w:t>s</w:t>
      </w:r>
      <w:r w:rsidRPr="009F1B22">
        <w:rPr>
          <w:rFonts w:ascii="Work Sans" w:hAnsi="Work Sans"/>
          <w:sz w:val="24"/>
          <w:szCs w:val="24"/>
        </w:rPr>
        <w:t>tate’s relativity will fall below the lower of New South Wales’ and Victoria’s relativity. Since the introduction of the GST, the lower of their relativities has fluctuated between 0.855 and 0.940. When the transition to the new arrangements is complete, Western Australia’s relativity will be more stable.</w:t>
      </w:r>
    </w:p>
    <w:p w14:paraId="51D8E02A" w14:textId="4C37B6A2" w:rsidR="009F1B22" w:rsidRPr="00E7392C" w:rsidRDefault="00E7392C" w:rsidP="00F91212">
      <w:pPr>
        <w:rPr>
          <w:rFonts w:ascii="Work Sans" w:hAnsi="Work Sans"/>
          <w:sz w:val="24"/>
          <w:szCs w:val="24"/>
        </w:rPr>
      </w:pPr>
      <w:r w:rsidRPr="00E7392C">
        <w:rPr>
          <w:rFonts w:ascii="Work Sans" w:hAnsi="Work Sans"/>
          <w:sz w:val="24"/>
          <w:szCs w:val="24"/>
        </w:rPr>
        <w:t xml:space="preserve">The Commonwealth has introduced a ‘no worse off’ guarantee during the transitional period for the new arrangements. This guarantee ensures that, cumulatively over the transitional period, no </w:t>
      </w:r>
      <w:r w:rsidR="001073E0">
        <w:rPr>
          <w:rFonts w:ascii="Work Sans" w:hAnsi="Work Sans"/>
          <w:sz w:val="24"/>
          <w:szCs w:val="24"/>
        </w:rPr>
        <w:t>s</w:t>
      </w:r>
      <w:r w:rsidRPr="00E7392C">
        <w:rPr>
          <w:rFonts w:ascii="Work Sans" w:hAnsi="Work Sans"/>
          <w:sz w:val="24"/>
          <w:szCs w:val="24"/>
        </w:rPr>
        <w:t xml:space="preserve">tate will receive a lower GST share than it would have received under the previous arrangements. This means that the cost of lifting Western Australia to the relativity floor (or eventually to the lower of New South Wales or Victoria) is effectively financed from the GST pool. If required, </w:t>
      </w:r>
      <w:r w:rsidR="001073E0">
        <w:rPr>
          <w:rFonts w:ascii="Work Sans" w:hAnsi="Work Sans"/>
          <w:sz w:val="24"/>
          <w:szCs w:val="24"/>
        </w:rPr>
        <w:t>s</w:t>
      </w:r>
      <w:r w:rsidRPr="00E7392C">
        <w:rPr>
          <w:rFonts w:ascii="Work Sans" w:hAnsi="Work Sans"/>
          <w:sz w:val="24"/>
          <w:szCs w:val="24"/>
        </w:rPr>
        <w:t>tates will be reimbursed by the Commonwealth over the transitional period through the no worse off guarantee.</w:t>
      </w:r>
    </w:p>
    <w:p w14:paraId="3B4671F4" w14:textId="36B5E574" w:rsidR="00E813B0" w:rsidRPr="00E813B0" w:rsidRDefault="00980EC5" w:rsidP="00F91212">
      <w:pPr>
        <w:pStyle w:val="Heading3"/>
        <w:rPr>
          <w:rFonts w:eastAsia="Calibri"/>
        </w:rPr>
      </w:pPr>
      <w:r w:rsidRPr="00E813B0">
        <w:rPr>
          <w:rFonts w:eastAsia="Calibri"/>
          <w:noProof/>
          <w:color w:val="0091C4"/>
          <w:sz w:val="22"/>
        </w:rPr>
        <w:lastRenderedPageBreak/>
        <mc:AlternateContent>
          <mc:Choice Requires="wps">
            <w:drawing>
              <wp:anchor distT="0" distB="0" distL="114300" distR="114300" simplePos="0" relativeHeight="251658245" behindDoc="1" locked="0" layoutInCell="1" allowOverlap="1" wp14:anchorId="355D9DF9" wp14:editId="0210ED00">
                <wp:simplePos x="0" y="0"/>
                <wp:positionH relativeFrom="margin">
                  <wp:align>center</wp:align>
                </wp:positionH>
                <wp:positionV relativeFrom="paragraph">
                  <wp:posOffset>-76266</wp:posOffset>
                </wp:positionV>
                <wp:extent cx="6091555" cy="4001984"/>
                <wp:effectExtent l="0" t="0" r="4445" b="0"/>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91555" cy="4001984"/>
                        </a:xfrm>
                        <a:prstGeom prst="rect">
                          <a:avLst/>
                        </a:prstGeom>
                        <a:solidFill>
                          <a:srgbClr val="E5F8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rect w14:anchorId="604E6583" id="Rectangle 10" o:spid="_x0000_s1026" alt="&quot;&quot;" style="position:absolute;margin-left:0;margin-top:-6pt;width:479.65pt;height:315.1pt;z-index:-2516326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" fillcolor="#e5f8ff" stroked="f" strokeweight="2pt">
                <w10:wrap anchorx="margin"/>
              </v:rect>
            </w:pict>
          </mc:Fallback>
        </mc:AlternateContent>
      </w:r>
      <w:r w:rsidR="00E813B0" w:rsidRPr="00E813B0">
        <w:rPr>
          <w:rFonts w:eastAsia="Calibri"/>
        </w:rPr>
        <w:t xml:space="preserve">Box 1: New equalisation arrangements </w:t>
      </w:r>
    </w:p>
    <w:p w14:paraId="188E602E" w14:textId="0353E669" w:rsidR="00E813B0" w:rsidRPr="00E813B0" w:rsidRDefault="00E813B0" w:rsidP="00E813B0">
      <w:pPr>
        <w:spacing w:before="0" w:after="120" w:line="240" w:lineRule="auto"/>
        <w:jc w:val="both"/>
        <w:rPr>
          <w:rFonts w:ascii="Work Sans" w:eastAsia="Calibri" w:hAnsi="Work Sans" w:cs="Arial"/>
          <w:spacing w:val="-10"/>
          <w:sz w:val="24"/>
          <w:szCs w:val="24"/>
        </w:rPr>
      </w:pPr>
      <w:r w:rsidRPr="00E813B0">
        <w:rPr>
          <w:rFonts w:ascii="Work Sans" w:eastAsia="Calibri" w:hAnsi="Work Sans" w:cs="Arial"/>
          <w:spacing w:val="-10"/>
          <w:sz w:val="24"/>
          <w:szCs w:val="24"/>
        </w:rPr>
        <w:t xml:space="preserve">Changes to the GST distribution were enacted in the </w:t>
      </w:r>
      <w:r w:rsidRPr="00E813B0">
        <w:rPr>
          <w:rFonts w:ascii="Work Sans" w:eastAsia="Calibri" w:hAnsi="Work Sans" w:cs="Arial"/>
          <w:i/>
          <w:iCs/>
          <w:spacing w:val="-10"/>
          <w:sz w:val="24"/>
          <w:szCs w:val="24"/>
        </w:rPr>
        <w:t>Treasury Laws Amendment (Making Sure Every State and Territory Gets Their Fair Share of GST) Act 2018</w:t>
      </w:r>
      <w:r w:rsidRPr="00E813B0">
        <w:rPr>
          <w:rFonts w:ascii="Work Sans" w:eastAsia="Calibri" w:hAnsi="Work Sans" w:cs="Arial"/>
          <w:spacing w:val="-10"/>
          <w:sz w:val="24"/>
          <w:szCs w:val="24"/>
        </w:rPr>
        <w:t>. The new arrangements involve:</w:t>
      </w:r>
    </w:p>
    <w:p w14:paraId="290C8394" w14:textId="06C7174C" w:rsidR="00E813B0" w:rsidRPr="00C509E0" w:rsidRDefault="00E813B0" w:rsidP="00FE3E0A">
      <w:pPr>
        <w:pStyle w:val="BodyText"/>
        <w:numPr>
          <w:ilvl w:val="0"/>
          <w:numId w:val="3"/>
        </w:numPr>
        <w:jc w:val="left"/>
        <w:rPr>
          <w:rFonts w:ascii="Work Sans" w:hAnsi="Work Sans"/>
        </w:rPr>
      </w:pPr>
      <w:r w:rsidRPr="00B83FB9">
        <w:rPr>
          <w:rFonts w:ascii="Work Sans" w:eastAsia="Calibri" w:hAnsi="Work Sans" w:cs="Arial"/>
          <w:spacing w:val="-10"/>
          <w:szCs w:val="24"/>
        </w:rPr>
        <w:t xml:space="preserve">Introducing a minimum GST relativity (relativity floor) with an initial floor of 0.7 introduced for 2022-23 and increasing to 0.75 from 2024-25. This is a floor below </w:t>
      </w:r>
      <w:r w:rsidRPr="00C509E0">
        <w:rPr>
          <w:rFonts w:ascii="Work Sans" w:hAnsi="Work Sans"/>
        </w:rPr>
        <w:t xml:space="preserve">which a </w:t>
      </w:r>
      <w:r w:rsidR="00986DD3">
        <w:rPr>
          <w:rFonts w:ascii="Work Sans" w:hAnsi="Work Sans"/>
        </w:rPr>
        <w:t>s</w:t>
      </w:r>
      <w:r w:rsidRPr="00C509E0">
        <w:rPr>
          <w:rFonts w:ascii="Work Sans" w:hAnsi="Work Sans"/>
        </w:rPr>
        <w:t>tate’s GST relativity cannot fall.</w:t>
      </w:r>
    </w:p>
    <w:p w14:paraId="60208773" w14:textId="770C8777" w:rsidR="00E813B0" w:rsidRPr="00FE3E0A" w:rsidRDefault="00E813B0" w:rsidP="00FE3E0A">
      <w:pPr>
        <w:pStyle w:val="BodyText"/>
        <w:numPr>
          <w:ilvl w:val="0"/>
          <w:numId w:val="3"/>
        </w:numPr>
        <w:jc w:val="left"/>
        <w:rPr>
          <w:rFonts w:ascii="Work Sans" w:eastAsia="Calibri" w:hAnsi="Work Sans" w:cs="Arial"/>
          <w:spacing w:val="-10"/>
          <w:szCs w:val="24"/>
        </w:rPr>
      </w:pPr>
      <w:r w:rsidRPr="00FE3E0A">
        <w:rPr>
          <w:rFonts w:ascii="Work Sans" w:eastAsia="Calibri" w:hAnsi="Work Sans" w:cs="Arial"/>
          <w:spacing w:val="-10"/>
          <w:szCs w:val="24"/>
        </w:rPr>
        <w:t>From 2021-22, permanently boosting the GST revenue pool with additional Commonwealth financial assistance.</w:t>
      </w:r>
    </w:p>
    <w:p w14:paraId="5AF939F1" w14:textId="7F5552D7" w:rsidR="00E813B0" w:rsidRPr="00FE3E0A" w:rsidRDefault="00E813B0" w:rsidP="00FE3E0A">
      <w:pPr>
        <w:pStyle w:val="BodyText"/>
        <w:numPr>
          <w:ilvl w:val="0"/>
          <w:numId w:val="3"/>
        </w:numPr>
        <w:jc w:val="left"/>
        <w:rPr>
          <w:rFonts w:ascii="Work Sans" w:eastAsia="Calibri" w:hAnsi="Work Sans" w:cs="Arial"/>
          <w:spacing w:val="-10"/>
          <w:szCs w:val="24"/>
        </w:rPr>
      </w:pPr>
      <w:r w:rsidRPr="00FE3E0A">
        <w:rPr>
          <w:rFonts w:ascii="Work Sans" w:eastAsia="Calibri" w:hAnsi="Work Sans" w:cs="Arial"/>
          <w:spacing w:val="-10"/>
          <w:szCs w:val="24"/>
        </w:rPr>
        <w:t xml:space="preserve">Transitioning equalisation from a system based on the fiscal capacity of the strongest </w:t>
      </w:r>
      <w:r w:rsidR="00986DD3">
        <w:rPr>
          <w:rFonts w:ascii="Work Sans" w:eastAsia="Calibri" w:hAnsi="Work Sans" w:cs="Arial"/>
          <w:spacing w:val="-10"/>
          <w:szCs w:val="24"/>
        </w:rPr>
        <w:t>s</w:t>
      </w:r>
      <w:r w:rsidRPr="00FE3E0A">
        <w:rPr>
          <w:rFonts w:ascii="Work Sans" w:eastAsia="Calibri" w:hAnsi="Work Sans" w:cs="Arial"/>
          <w:spacing w:val="-10"/>
          <w:szCs w:val="24"/>
        </w:rPr>
        <w:t>tate to one based on the fiscal capacity of the stronger of New South Wales or Victoria.</w:t>
      </w:r>
    </w:p>
    <w:p w14:paraId="2630B35C" w14:textId="549A16D3" w:rsidR="00E813B0" w:rsidRPr="00FE3E0A" w:rsidRDefault="00E813B0" w:rsidP="00FE3E0A">
      <w:pPr>
        <w:pStyle w:val="BodyText"/>
        <w:numPr>
          <w:ilvl w:val="0"/>
          <w:numId w:val="3"/>
        </w:numPr>
        <w:jc w:val="left"/>
        <w:rPr>
          <w:rFonts w:ascii="Work Sans" w:eastAsia="Calibri" w:hAnsi="Work Sans" w:cs="Arial"/>
          <w:spacing w:val="-10"/>
          <w:szCs w:val="24"/>
        </w:rPr>
      </w:pPr>
      <w:r w:rsidRPr="00FE3E0A">
        <w:rPr>
          <w:rFonts w:ascii="Work Sans" w:eastAsia="Calibri" w:hAnsi="Work Sans" w:cs="Arial"/>
          <w:spacing w:val="-10"/>
          <w:szCs w:val="24"/>
        </w:rPr>
        <w:t>Until the transitional period ends in 2026</w:t>
      </w:r>
      <w:r w:rsidRPr="00FE3E0A">
        <w:rPr>
          <w:rFonts w:ascii="Work Sans" w:eastAsia="Calibri" w:hAnsi="Work Sans" w:cs="Arial"/>
          <w:spacing w:val="-10"/>
          <w:szCs w:val="24"/>
        </w:rPr>
        <w:noBreakHyphen/>
        <w:t xml:space="preserve">27, the Commonwealth is providing additional financial assistance to </w:t>
      </w:r>
      <w:r w:rsidR="00986DD3">
        <w:rPr>
          <w:rFonts w:ascii="Work Sans" w:eastAsia="Calibri" w:hAnsi="Work Sans" w:cs="Arial"/>
          <w:spacing w:val="-10"/>
          <w:szCs w:val="24"/>
        </w:rPr>
        <w:t>s</w:t>
      </w:r>
      <w:r w:rsidRPr="00FE3E0A">
        <w:rPr>
          <w:rFonts w:ascii="Work Sans" w:eastAsia="Calibri" w:hAnsi="Work Sans" w:cs="Arial"/>
          <w:spacing w:val="-10"/>
          <w:szCs w:val="24"/>
        </w:rPr>
        <w:t>tates to ensure that each receives total grants at least as much as it would have received had the new legislation not been enacted — a ‘no worse off provision’.</w:t>
      </w:r>
    </w:p>
    <w:p w14:paraId="6C29F2B8" w14:textId="77777777" w:rsidR="008D2F2E" w:rsidRDefault="008D2F2E" w:rsidP="008D2F2E">
      <w:pPr>
        <w:pStyle w:val="Heading2"/>
        <w:rPr>
          <w:lang w:val="en-GB"/>
        </w:rPr>
      </w:pPr>
      <w:r w:rsidRPr="4259DBC4">
        <w:rPr>
          <w:lang w:val="en-GB"/>
        </w:rPr>
        <w:t>Conclusion</w:t>
      </w:r>
    </w:p>
    <w:p w14:paraId="20517D6C" w14:textId="12C4C292" w:rsidR="008D2F2E" w:rsidRPr="008D2F2E" w:rsidRDefault="008D2F2E" w:rsidP="008D2F2E">
      <w:pPr>
        <w:rPr>
          <w:rFonts w:ascii="Work Sans" w:hAnsi="Work Sans"/>
          <w:sz w:val="24"/>
          <w:szCs w:val="24"/>
          <w:lang w:val="en-GB"/>
        </w:rPr>
      </w:pPr>
      <w:r w:rsidRPr="008D2F2E">
        <w:rPr>
          <w:rFonts w:ascii="Work Sans" w:hAnsi="Work Sans"/>
          <w:sz w:val="24"/>
          <w:szCs w:val="24"/>
        </w:rPr>
        <w:t xml:space="preserve">Successive mining booms since 2003 have increased the capacity of the mining </w:t>
      </w:r>
      <w:r w:rsidR="00986DD3">
        <w:rPr>
          <w:rFonts w:ascii="Work Sans" w:hAnsi="Work Sans"/>
          <w:sz w:val="24"/>
          <w:szCs w:val="24"/>
        </w:rPr>
        <w:t>s</w:t>
      </w:r>
      <w:r w:rsidRPr="008D2F2E">
        <w:rPr>
          <w:rFonts w:ascii="Work Sans" w:hAnsi="Work Sans"/>
          <w:sz w:val="24"/>
          <w:szCs w:val="24"/>
        </w:rPr>
        <w:t xml:space="preserve">tates to raise royalties and, other things being equal, led to a fall in their GST share and a rise in the share for the non-mining </w:t>
      </w:r>
      <w:r w:rsidR="00986DD3">
        <w:rPr>
          <w:rFonts w:ascii="Work Sans" w:hAnsi="Work Sans"/>
          <w:sz w:val="24"/>
          <w:szCs w:val="24"/>
        </w:rPr>
        <w:t>s</w:t>
      </w:r>
      <w:r w:rsidRPr="008D2F2E">
        <w:rPr>
          <w:rFonts w:ascii="Work Sans" w:hAnsi="Work Sans"/>
          <w:sz w:val="24"/>
          <w:szCs w:val="24"/>
        </w:rPr>
        <w:t>tates. In recent years, historically high iron ore prices have significantly increased the revenue raising capacity of Western Australia which in turn has lowered its GST share.</w:t>
      </w:r>
    </w:p>
    <w:p w14:paraId="0E46A80E" w14:textId="1AC5C71F" w:rsidR="00B9448C" w:rsidRPr="00BB7BFD" w:rsidRDefault="008D2F2E" w:rsidP="00BB7BFD">
      <w:pPr>
        <w:rPr>
          <w:rFonts w:ascii="Work Sans" w:hAnsi="Work Sans"/>
          <w:sz w:val="24"/>
          <w:szCs w:val="24"/>
          <w:lang w:val="en-GB"/>
        </w:rPr>
      </w:pPr>
      <w:r w:rsidRPr="008D2F2E">
        <w:rPr>
          <w:rFonts w:ascii="Work Sans" w:hAnsi="Work Sans"/>
          <w:sz w:val="24"/>
          <w:szCs w:val="24"/>
        </w:rPr>
        <w:t>While commodity prices generally increased over this period, they also fluctuated. These fluctuations have, through the mining assessment, led to volatility in GST distributions. The volatility in the value of iron ore production has resulted in significant volatility in Western Australia’s GST distribution. The new equalisation arrangements will reduce the impact of volatility arising from the mining assessment, particularly for Western Australia.</w:t>
      </w:r>
    </w:p>
    <w:sectPr w:rsidR="00B9448C" w:rsidRPr="00BB7BFD" w:rsidSect="004C78B6">
      <w:footerReference w:type="default" r:id="rId19"/>
      <w:pgSz w:w="11900" w:h="16840"/>
      <w:pgMar w:top="1985" w:right="1418" w:bottom="1418" w:left="1418" w:header="709" w:footer="28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82B486" w14:textId="77777777" w:rsidR="002D140E" w:rsidRDefault="002D140E" w:rsidP="005C0550">
      <w:pPr>
        <w:spacing w:before="0" w:line="240" w:lineRule="auto"/>
      </w:pPr>
      <w:r>
        <w:separator/>
      </w:r>
    </w:p>
  </w:endnote>
  <w:endnote w:type="continuationSeparator" w:id="0">
    <w:p w14:paraId="25C6F9D7" w14:textId="77777777" w:rsidR="002D140E" w:rsidRDefault="002D140E" w:rsidP="005C0550">
      <w:pPr>
        <w:spacing w:before="0" w:line="240" w:lineRule="auto"/>
      </w:pPr>
      <w:r>
        <w:continuationSeparator/>
      </w:r>
    </w:p>
  </w:endnote>
  <w:endnote w:type="continuationNotice" w:id="1">
    <w:p w14:paraId="63004531" w14:textId="77777777" w:rsidR="00C65334" w:rsidRDefault="00C65334">
      <w:pPr>
        <w:spacing w:before="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Light">
    <w:panose1 w:val="020B0306030504020204"/>
    <w:charset w:val="00"/>
    <w:family w:val="swiss"/>
    <w:pitch w:val="variable"/>
    <w:sig w:usb0="E00002EF" w:usb1="4000205B" w:usb2="00000028" w:usb3="00000000" w:csb0="0000019F" w:csb1="00000000"/>
  </w:font>
  <w:font w:name="Work Sans">
    <w:altName w:val="Work Sans"/>
    <w:charset w:val="00"/>
    <w:family w:val="auto"/>
    <w:pitch w:val="variable"/>
    <w:sig w:usb0="A00000FF" w:usb1="5000E07B" w:usb2="00000000" w:usb3="00000000" w:csb0="00000193" w:csb1="00000000"/>
  </w:font>
  <w:font w:name="Yu Gothic Light">
    <w:panose1 w:val="020B0300000000000000"/>
    <w:charset w:val="80"/>
    <w:family w:val="swiss"/>
    <w:pitch w:val="variable"/>
    <w:sig w:usb0="E00002FF" w:usb1="2AC7FDFF" w:usb2="00000016" w:usb3="00000000" w:csb0="0002009F" w:csb1="00000000"/>
  </w:font>
  <w:font w:name="Open Sans">
    <w:panose1 w:val="020B0606030504020204"/>
    <w:charset w:val="00"/>
    <w:family w:val="swiss"/>
    <w:pitch w:val="variable"/>
    <w:sig w:usb0="E00002EF" w:usb1="4000205B" w:usb2="00000028" w:usb3="00000000" w:csb0="0000019F" w:csb1="00000000"/>
  </w:font>
  <w:font w:name="Cambria Math">
    <w:panose1 w:val="02040503050406030204"/>
    <w:charset w:val="00"/>
    <w:family w:val="roman"/>
    <w:pitch w:val="variable"/>
    <w:sig w:usb0="E00006FF" w:usb1="420024FF" w:usb2="02000000" w:usb3="00000000" w:csb0="0000019F" w:csb1="00000000"/>
  </w:font>
  <w:font w:name="Open Sans Semibold">
    <w:panose1 w:val="020B0706030804020204"/>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5555125"/>
      <w:docPartObj>
        <w:docPartGallery w:val="Page Numbers (Bottom of Page)"/>
        <w:docPartUnique/>
      </w:docPartObj>
    </w:sdtPr>
    <w:sdtContent>
      <w:p w14:paraId="74BA921F" w14:textId="6126DBBB" w:rsidR="008B3F9B" w:rsidRDefault="008B3F9B" w:rsidP="003D4FA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03134E" w14:textId="77777777" w:rsidR="008B3F9B" w:rsidRDefault="008B3F9B" w:rsidP="008B3F9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855381" w14:textId="3AFE5E63" w:rsidR="008B3F9B" w:rsidRPr="004602D3" w:rsidRDefault="003D4FA2" w:rsidP="008B3F9B">
    <w:pPr>
      <w:pStyle w:val="Footer"/>
      <w:ind w:right="360"/>
      <w:rPr>
        <w:rFonts w:ascii="Work Sans" w:hAnsi="Work Sans" w:cs="Open Sans"/>
      </w:rPr>
    </w:pPr>
    <w:hyperlink r:id="rId1" w:history="1">
      <w:r w:rsidR="004602D3" w:rsidRPr="004602D3">
        <w:rPr>
          <w:rStyle w:val="Hyperlink"/>
          <w:rFonts w:ascii="Work Sans" w:hAnsi="Work Sans" w:cs="Open Sans"/>
        </w:rPr>
        <w:t>www.cgc.gov.au</w:t>
      </w:r>
    </w:hyperlink>
    <w:r w:rsidR="004602D3" w:rsidRPr="004602D3">
      <w:rPr>
        <w:rFonts w:ascii="Work Sans" w:hAnsi="Work Sans" w:cs="Open Sans"/>
      </w:rPr>
      <w:tab/>
      <w:t>Occasional Paper Series</w:t>
    </w:r>
    <w:r w:rsidR="004602D3" w:rsidRPr="004602D3">
      <w:rPr>
        <w:rFonts w:ascii="Work Sans" w:hAnsi="Work Sans" w:cs="Open Sans"/>
      </w:rPr>
      <w:tab/>
      <w:t>June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696C5" w14:textId="731021C0" w:rsidR="00264007" w:rsidRPr="00A9260F" w:rsidRDefault="003D4FA2" w:rsidP="00B17ED4">
    <w:pPr>
      <w:pStyle w:val="Footer"/>
      <w:rPr>
        <w:rFonts w:ascii="Work Sans" w:hAnsi="Work Sans"/>
      </w:rPr>
    </w:pPr>
    <w:hyperlink r:id="rId1" w:history="1">
      <w:r w:rsidR="00A9260F" w:rsidRPr="00A9260F">
        <w:rPr>
          <w:rStyle w:val="Hyperlink"/>
          <w:rFonts w:ascii="Work Sans" w:hAnsi="Work Sans"/>
        </w:rPr>
        <w:t>www.cgc.gov.au</w:t>
      </w:r>
    </w:hyperlink>
    <w:r w:rsidR="00A9260F" w:rsidRPr="00A9260F">
      <w:rPr>
        <w:rFonts w:ascii="Work Sans" w:hAnsi="Work Sans"/>
      </w:rPr>
      <w:t xml:space="preserve"> </w:t>
    </w:r>
    <w:r w:rsidR="005C2A16">
      <w:rPr>
        <w:rFonts w:ascii="Work Sans" w:hAnsi="Work Sans"/>
      </w:rPr>
      <w:tab/>
      <w:t>Occasional Paper Series</w:t>
    </w:r>
    <w:r w:rsidR="009D1C7F">
      <w:rPr>
        <w:rFonts w:ascii="Work Sans" w:hAnsi="Work Sans"/>
      </w:rPr>
      <w:tab/>
      <w:t>June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510017" w14:textId="77777777" w:rsidR="002D140E" w:rsidRDefault="002D140E" w:rsidP="005C0550">
      <w:pPr>
        <w:spacing w:before="0" w:line="240" w:lineRule="auto"/>
      </w:pPr>
      <w:r>
        <w:separator/>
      </w:r>
    </w:p>
  </w:footnote>
  <w:footnote w:type="continuationSeparator" w:id="0">
    <w:p w14:paraId="3D1DF729" w14:textId="77777777" w:rsidR="002D140E" w:rsidRDefault="002D140E" w:rsidP="005C0550">
      <w:pPr>
        <w:spacing w:before="0" w:line="240" w:lineRule="auto"/>
      </w:pPr>
      <w:r>
        <w:continuationSeparator/>
      </w:r>
    </w:p>
  </w:footnote>
  <w:footnote w:type="continuationNotice" w:id="1">
    <w:p w14:paraId="2EB0D1AF" w14:textId="77777777" w:rsidR="00C65334" w:rsidRDefault="00C65334">
      <w:pPr>
        <w:spacing w:before="0" w:line="240" w:lineRule="auto"/>
      </w:pPr>
    </w:p>
  </w:footnote>
  <w:footnote w:id="2">
    <w:p w14:paraId="1BE6D261" w14:textId="40149498" w:rsidR="00771530" w:rsidRPr="00630B19" w:rsidRDefault="00771530" w:rsidP="00771530">
      <w:pPr>
        <w:pStyle w:val="FootnoteText"/>
        <w:rPr>
          <w:rFonts w:ascii="Work Sans" w:hAnsi="Work Sans"/>
        </w:rPr>
      </w:pPr>
      <w:r>
        <w:rPr>
          <w:rStyle w:val="FootnoteReference"/>
        </w:rPr>
        <w:footnoteRef/>
      </w:r>
      <w:r>
        <w:t xml:space="preserve"> </w:t>
      </w:r>
      <w:r>
        <w:tab/>
      </w:r>
      <w:r w:rsidRPr="00630B19">
        <w:rPr>
          <w:rFonts w:ascii="Work Sans" w:hAnsi="Work Sans"/>
        </w:rPr>
        <w:t xml:space="preserve">The major minerals are those that generate the largest royalty revenue — iron ore, coal, gold, onshore oil and gas, bauxite and copper. Gold and copper aside, they are the minerals that attract the highest royalty rates from </w:t>
      </w:r>
      <w:r w:rsidR="003407A6">
        <w:rPr>
          <w:rFonts w:ascii="Work Sans" w:hAnsi="Work Sans"/>
        </w:rPr>
        <w:t>s</w:t>
      </w:r>
      <w:r w:rsidRPr="00630B19">
        <w:rPr>
          <w:rFonts w:ascii="Work Sans" w:hAnsi="Work Sans"/>
        </w:rPr>
        <w:t>tates.</w:t>
      </w:r>
    </w:p>
  </w:footnote>
  <w:footnote w:id="3">
    <w:p w14:paraId="01219661" w14:textId="181EC30D" w:rsidR="00771530" w:rsidRPr="00630B19" w:rsidRDefault="00771530" w:rsidP="00771530">
      <w:pPr>
        <w:pStyle w:val="FootnoteText"/>
        <w:rPr>
          <w:rFonts w:ascii="Work Sans" w:hAnsi="Work Sans"/>
        </w:rPr>
      </w:pPr>
      <w:r w:rsidRPr="00630B19">
        <w:rPr>
          <w:rStyle w:val="FootnoteReference"/>
          <w:rFonts w:ascii="Work Sans" w:hAnsi="Work Sans"/>
        </w:rPr>
        <w:footnoteRef/>
      </w:r>
      <w:r w:rsidRPr="00630B19">
        <w:rPr>
          <w:rFonts w:ascii="Work Sans" w:hAnsi="Work Sans"/>
        </w:rPr>
        <w:t xml:space="preserve"> </w:t>
      </w:r>
      <w:r w:rsidRPr="00630B19">
        <w:rPr>
          <w:rFonts w:ascii="Work Sans" w:hAnsi="Work Sans"/>
        </w:rPr>
        <w:tab/>
        <w:t xml:space="preserve">The mining assessment also includes revenue from revenue sharing agreements between the Commonwealth and the </w:t>
      </w:r>
      <w:r w:rsidR="003407A6">
        <w:rPr>
          <w:rFonts w:ascii="Work Sans" w:hAnsi="Work Sans"/>
        </w:rPr>
        <w:t>s</w:t>
      </w:r>
      <w:r w:rsidRPr="00630B19">
        <w:rPr>
          <w:rFonts w:ascii="Work Sans" w:hAnsi="Work Sans"/>
        </w:rPr>
        <w:t>tates. These revenues are not discussed in this paper.</w:t>
      </w:r>
    </w:p>
  </w:footnote>
  <w:footnote w:id="4">
    <w:p w14:paraId="54D77EC2" w14:textId="77777777" w:rsidR="007724D5" w:rsidRPr="007724D5" w:rsidRDefault="007724D5" w:rsidP="007724D5">
      <w:pPr>
        <w:pStyle w:val="FootnoteText"/>
        <w:rPr>
          <w:rFonts w:ascii="Work Sans" w:hAnsi="Work Sans"/>
        </w:rPr>
      </w:pPr>
      <w:r>
        <w:rPr>
          <w:rStyle w:val="FootnoteReference"/>
        </w:rPr>
        <w:footnoteRef/>
      </w:r>
      <w:r>
        <w:t xml:space="preserve"> </w:t>
      </w:r>
      <w:r w:rsidRPr="007724D5">
        <w:rPr>
          <w:rFonts w:ascii="Work Sans" w:hAnsi="Work Sans"/>
        </w:rPr>
        <w:tab/>
        <w:t>In addition, the Commonwealth financed a relativity floor of 0.7 between 2019</w:t>
      </w:r>
      <w:r w:rsidRPr="007724D5">
        <w:rPr>
          <w:rFonts w:ascii="Work Sans" w:hAnsi="Work Sans"/>
        </w:rPr>
        <w:noBreakHyphen/>
        <w:t>20 and 2021-22.</w:t>
      </w:r>
    </w:p>
  </w:footnote>
  <w:footnote w:id="5">
    <w:p w14:paraId="6A26ADE4" w14:textId="77777777" w:rsidR="007724D5" w:rsidRPr="007724D5" w:rsidRDefault="007724D5" w:rsidP="007724D5">
      <w:pPr>
        <w:pStyle w:val="FootnoteText"/>
        <w:rPr>
          <w:rFonts w:ascii="Work Sans" w:hAnsi="Work Sans"/>
        </w:rPr>
      </w:pPr>
      <w:r w:rsidRPr="007724D5">
        <w:rPr>
          <w:rStyle w:val="FootnoteReference"/>
          <w:rFonts w:ascii="Work Sans" w:hAnsi="Work Sans"/>
        </w:rPr>
        <w:footnoteRef/>
      </w:r>
      <w:r w:rsidRPr="007724D5">
        <w:rPr>
          <w:rFonts w:ascii="Work Sans" w:hAnsi="Work Sans"/>
        </w:rPr>
        <w:t xml:space="preserve"> </w:t>
      </w:r>
      <w:r w:rsidRPr="007724D5">
        <w:rPr>
          <w:rFonts w:ascii="Work Sans" w:hAnsi="Work Sans"/>
        </w:rPr>
        <w:tab/>
      </w:r>
      <w:r w:rsidRPr="007724D5">
        <w:rPr>
          <w:rFonts w:ascii="Work Sans" w:hAnsi="Work Sans"/>
          <w:lang w:val="en-GB"/>
        </w:rPr>
        <w:t xml:space="preserve">In its interim response to the Productivity Commission’s inquiry, the Commonwealth noted the mining boom created extraordinary volatility in the GST distribution, particularly for Western Australia. </w:t>
      </w:r>
      <w:r w:rsidRPr="007724D5">
        <w:rPr>
          <w:rFonts w:ascii="Work Sans" w:hAnsi="Work Sans"/>
          <w:i/>
          <w:iCs/>
          <w:lang w:val="en-GB"/>
        </w:rPr>
        <w:t>Productivity Commission inquiry into horizontal fiscal equalisation: Government interim response</w:t>
      </w:r>
      <w:r w:rsidRPr="007724D5">
        <w:rPr>
          <w:rFonts w:ascii="Work Sans" w:hAnsi="Work Sans"/>
          <w:lang w:val="en-GB"/>
        </w:rPr>
        <w:t>, Canberra, July 2018, page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82FA85" w14:textId="2D57CF36" w:rsidR="00C87C4C" w:rsidRDefault="00C87C4C">
    <w:pPr>
      <w:pStyle w:val="Header"/>
    </w:pPr>
    <w:r w:rsidRPr="009D2E84">
      <w:rPr>
        <w:rFonts w:ascii="Work Sans" w:hAnsi="Work Sans"/>
        <w:noProof/>
      </w:rPr>
      <w:drawing>
        <wp:anchor distT="0" distB="0" distL="114300" distR="114300" simplePos="0" relativeHeight="251658244" behindDoc="1" locked="1" layoutInCell="1" allowOverlap="1" wp14:anchorId="1CB5103A" wp14:editId="60F1FCAE">
          <wp:simplePos x="0" y="0"/>
          <wp:positionH relativeFrom="page">
            <wp:posOffset>0</wp:posOffset>
          </wp:positionH>
          <wp:positionV relativeFrom="page">
            <wp:posOffset>635</wp:posOffset>
          </wp:positionV>
          <wp:extent cx="7563485" cy="10691495"/>
          <wp:effectExtent l="0" t="0" r="0" b="0"/>
          <wp:wrapNone/>
          <wp:docPr id="2" name="Picture 2"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hape&#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63485" cy="10691495"/>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7859C9" w14:textId="713926D7" w:rsidR="00C25219" w:rsidRDefault="00AB73C2">
    <w:pPr>
      <w:pStyle w:val="Header"/>
    </w:pPr>
    <w:r>
      <w:rPr>
        <w:noProof/>
      </w:rPr>
      <w:drawing>
        <wp:anchor distT="0" distB="0" distL="114300" distR="114300" simplePos="0" relativeHeight="251658240" behindDoc="1" locked="0" layoutInCell="1" allowOverlap="1" wp14:anchorId="3D0DD578" wp14:editId="34A479C4">
          <wp:simplePos x="0" y="0"/>
          <wp:positionH relativeFrom="column">
            <wp:posOffset>-899907</wp:posOffset>
          </wp:positionH>
          <wp:positionV relativeFrom="paragraph">
            <wp:posOffset>-469723</wp:posOffset>
          </wp:positionV>
          <wp:extent cx="7562789" cy="10689589"/>
          <wp:effectExtent l="0" t="0" r="0" b="444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
                    <a:extLst>
                      <a:ext uri="{28A0092B-C50C-407E-A947-70E740481C1C}">
                        <a14:useLocalDpi xmlns:a14="http://schemas.microsoft.com/office/drawing/2010/main" val="0"/>
                      </a:ext>
                    </a:extLst>
                  </a:blip>
                  <a:stretch>
                    <a:fillRect/>
                  </a:stretch>
                </pic:blipFill>
                <pic:spPr>
                  <a:xfrm>
                    <a:off x="0" y="0"/>
                    <a:ext cx="7562789" cy="10689589"/>
                  </a:xfrm>
                  <a:prstGeom prst="rect">
                    <a:avLst/>
                  </a:prstGeom>
                </pic:spPr>
              </pic:pic>
            </a:graphicData>
          </a:graphic>
          <wp14:sizeRelH relativeFrom="margin">
            <wp14:pctWidth>0</wp14:pctWidth>
          </wp14:sizeRelH>
          <wp14:sizeRelV relativeFrom="margin">
            <wp14:pctHeight>0</wp14:pctHeight>
          </wp14:sizeRelV>
        </wp:anchor>
      </w:drawing>
    </w:r>
    <w:r w:rsidR="003759A1">
      <w:rPr>
        <w:noProof/>
      </w:rPr>
      <w:drawing>
        <wp:anchor distT="0" distB="0" distL="114300" distR="114300" simplePos="0" relativeHeight="251658243" behindDoc="1" locked="0" layoutInCell="1" allowOverlap="1" wp14:anchorId="5E0448FF" wp14:editId="3893EFC1">
          <wp:simplePos x="0" y="0"/>
          <wp:positionH relativeFrom="column">
            <wp:posOffset>-923290</wp:posOffset>
          </wp:positionH>
          <wp:positionV relativeFrom="paragraph">
            <wp:posOffset>10351135</wp:posOffset>
          </wp:positionV>
          <wp:extent cx="7580630" cy="10691495"/>
          <wp:effectExtent l="0" t="0" r="1270" b="190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pic:nvPicPr>
                <pic:blipFill>
                  <a:blip r:embed="rId2">
                    <a:extLst>
                      <a:ext uri="{28A0092B-C50C-407E-A947-70E740481C1C}">
                        <a14:useLocalDpi xmlns:a14="http://schemas.microsoft.com/office/drawing/2010/main" val="0"/>
                      </a:ext>
                    </a:extLst>
                  </a:blip>
                  <a:stretch>
                    <a:fillRect/>
                  </a:stretch>
                </pic:blipFill>
                <pic:spPr>
                  <a:xfrm>
                    <a:off x="0" y="0"/>
                    <a:ext cx="7580630" cy="10691495"/>
                  </a:xfrm>
                  <a:prstGeom prst="rect">
                    <a:avLst/>
                  </a:prstGeom>
                </pic:spPr>
              </pic:pic>
            </a:graphicData>
          </a:graphic>
          <wp14:sizeRelH relativeFrom="margin">
            <wp14:pctWidth>0</wp14:pctWidth>
          </wp14:sizeRelH>
          <wp14:sizeRelV relativeFrom="margin">
            <wp14:pctHeight>0</wp14:pctHeight>
          </wp14:sizeRelV>
        </wp:anchor>
      </w:drawing>
    </w:r>
    <w:r w:rsidR="00A345CD">
      <w:rPr>
        <w:noProof/>
      </w:rPr>
      <w:drawing>
        <wp:anchor distT="0" distB="0" distL="114300" distR="114300" simplePos="0" relativeHeight="251658242" behindDoc="1" locked="0" layoutInCell="1" allowOverlap="1" wp14:anchorId="2CFE1E5C" wp14:editId="795823A5">
          <wp:simplePos x="0" y="0"/>
          <wp:positionH relativeFrom="column">
            <wp:posOffset>-900430</wp:posOffset>
          </wp:positionH>
          <wp:positionV relativeFrom="paragraph">
            <wp:posOffset>10362565</wp:posOffset>
          </wp:positionV>
          <wp:extent cx="7580630" cy="10691495"/>
          <wp:effectExtent l="0" t="0" r="1270" b="190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3">
                    <a:extLst>
                      <a:ext uri="{28A0092B-C50C-407E-A947-70E740481C1C}">
                        <a14:useLocalDpi xmlns:a14="http://schemas.microsoft.com/office/drawing/2010/main" val="0"/>
                      </a:ext>
                    </a:extLst>
                  </a:blip>
                  <a:stretch>
                    <a:fillRect/>
                  </a:stretch>
                </pic:blipFill>
                <pic:spPr>
                  <a:xfrm>
                    <a:off x="0" y="0"/>
                    <a:ext cx="7580630" cy="10691495"/>
                  </a:xfrm>
                  <a:prstGeom prst="rect">
                    <a:avLst/>
                  </a:prstGeom>
                </pic:spPr>
              </pic:pic>
            </a:graphicData>
          </a:graphic>
          <wp14:sizeRelH relativeFrom="margin">
            <wp14:pctWidth>0</wp14:pctWidth>
          </wp14:sizeRelH>
          <wp14:sizeRelV relativeFrom="margin">
            <wp14:pctHeight>0</wp14:pctHeight>
          </wp14:sizeRelV>
        </wp:anchor>
      </w:drawing>
    </w:r>
    <w:r w:rsidR="00C25219" w:rsidRPr="00410188">
      <w:rPr>
        <w:rFonts w:ascii="Open Sans Semibold" w:hAnsi="Open Sans Semibold" w:cs="Open Sans Semibold"/>
        <w:bCs/>
        <w:noProof/>
        <w:sz w:val="40"/>
        <w:szCs w:val="40"/>
        <w:lang w:val="en-US"/>
      </w:rPr>
      <w:drawing>
        <wp:anchor distT="0" distB="0" distL="114300" distR="114300" simplePos="0" relativeHeight="251658241" behindDoc="1" locked="0" layoutInCell="1" allowOverlap="1" wp14:anchorId="355101D3" wp14:editId="6682A560">
          <wp:simplePos x="0" y="0"/>
          <wp:positionH relativeFrom="column">
            <wp:posOffset>-1037590</wp:posOffset>
          </wp:positionH>
          <wp:positionV relativeFrom="paragraph">
            <wp:posOffset>10328275</wp:posOffset>
          </wp:positionV>
          <wp:extent cx="7683500" cy="10836275"/>
          <wp:effectExtent l="38100" t="38100" r="63500" b="3492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4">
                    <a:extLst>
                      <a:ext uri="{28A0092B-C50C-407E-A947-70E740481C1C}">
                        <a14:useLocalDpi xmlns:a14="http://schemas.microsoft.com/office/drawing/2010/main" val="0"/>
                      </a:ext>
                    </a:extLst>
                  </a:blip>
                  <a:stretch>
                    <a:fillRect/>
                  </a:stretch>
                </pic:blipFill>
                <pic:spPr>
                  <a:xfrm>
                    <a:off x="0" y="0"/>
                    <a:ext cx="7683500" cy="10836275"/>
                  </a:xfrm>
                  <a:prstGeom prst="rect">
                    <a:avLst/>
                  </a:prstGeom>
                  <a:noFill/>
                  <a:ln w="88900" cap="sq">
                    <a:noFill/>
                    <a:miter lim="800000"/>
                  </a:ln>
                  <a:effectLst>
                    <a:outerShdw blurRad="55000" dist="18000" dir="5400000" algn="tl" rotWithShape="0">
                      <a:srgbClr val="000000">
                        <a:alpha val="0"/>
                      </a:srgbClr>
                    </a:outerShdw>
                  </a:effectLst>
                  <a:scene3d>
                    <a:camera prst="orthographicFront"/>
                    <a:lightRig rig="twoPt" dir="t">
                      <a:rot lat="0" lon="0" rev="7200000"/>
                    </a:lightRig>
                  </a:scene3d>
                  <a:sp3d>
                    <a:bevelT w="25400" h="19050"/>
                    <a:contourClr>
                      <a:srgbClr val="FFFFFF"/>
                    </a:contourClr>
                  </a:sp3d>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94CD6"/>
    <w:multiLevelType w:val="hybridMultilevel"/>
    <w:tmpl w:val="CF2C4DF4"/>
    <w:lvl w:ilvl="0" w:tplc="0C090001">
      <w:start w:val="1"/>
      <w:numFmt w:val="bullet"/>
      <w:lvlText w:val=""/>
      <w:lvlJc w:val="left"/>
      <w:pPr>
        <w:ind w:left="1140" w:hanging="360"/>
      </w:pPr>
      <w:rPr>
        <w:rFonts w:ascii="Symbol" w:hAnsi="Symbo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1" w15:restartNumberingAfterBreak="0">
    <w:nsid w:val="44511CFA"/>
    <w:multiLevelType w:val="hybridMultilevel"/>
    <w:tmpl w:val="BCC2CE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49546DA5"/>
    <w:multiLevelType w:val="hybridMultilevel"/>
    <w:tmpl w:val="3EEC34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0550"/>
    <w:rsid w:val="00000BDE"/>
    <w:rsid w:val="00072F46"/>
    <w:rsid w:val="000B6C94"/>
    <w:rsid w:val="001073E0"/>
    <w:rsid w:val="001D4EC5"/>
    <w:rsid w:val="001E7596"/>
    <w:rsid w:val="00204C37"/>
    <w:rsid w:val="00250980"/>
    <w:rsid w:val="00264007"/>
    <w:rsid w:val="00271351"/>
    <w:rsid w:val="002B21C5"/>
    <w:rsid w:val="002D140E"/>
    <w:rsid w:val="003407A6"/>
    <w:rsid w:val="00341E89"/>
    <w:rsid w:val="003740A7"/>
    <w:rsid w:val="003759A1"/>
    <w:rsid w:val="003A3A55"/>
    <w:rsid w:val="003D4FA2"/>
    <w:rsid w:val="003E6673"/>
    <w:rsid w:val="003E712E"/>
    <w:rsid w:val="0041232F"/>
    <w:rsid w:val="00440A17"/>
    <w:rsid w:val="00455EB5"/>
    <w:rsid w:val="004602D3"/>
    <w:rsid w:val="004664DE"/>
    <w:rsid w:val="004C78B6"/>
    <w:rsid w:val="0059532F"/>
    <w:rsid w:val="005C0550"/>
    <w:rsid w:val="005C2A16"/>
    <w:rsid w:val="005D7039"/>
    <w:rsid w:val="005F726E"/>
    <w:rsid w:val="00630B19"/>
    <w:rsid w:val="00656980"/>
    <w:rsid w:val="00667FA9"/>
    <w:rsid w:val="00670411"/>
    <w:rsid w:val="006D1D7B"/>
    <w:rsid w:val="006E4BF6"/>
    <w:rsid w:val="006E6000"/>
    <w:rsid w:val="006F7B83"/>
    <w:rsid w:val="00706E12"/>
    <w:rsid w:val="00707286"/>
    <w:rsid w:val="00747B0A"/>
    <w:rsid w:val="00750796"/>
    <w:rsid w:val="007563EC"/>
    <w:rsid w:val="00771530"/>
    <w:rsid w:val="007724D5"/>
    <w:rsid w:val="00783643"/>
    <w:rsid w:val="0079243C"/>
    <w:rsid w:val="007A13A9"/>
    <w:rsid w:val="007A4A32"/>
    <w:rsid w:val="0081796D"/>
    <w:rsid w:val="00831124"/>
    <w:rsid w:val="00851B18"/>
    <w:rsid w:val="00876CC3"/>
    <w:rsid w:val="008B3F9B"/>
    <w:rsid w:val="008D2F2E"/>
    <w:rsid w:val="0093510B"/>
    <w:rsid w:val="00961B1B"/>
    <w:rsid w:val="00962EFF"/>
    <w:rsid w:val="00980EC5"/>
    <w:rsid w:val="00986DD3"/>
    <w:rsid w:val="0099154D"/>
    <w:rsid w:val="009D1C7F"/>
    <w:rsid w:val="009D2E84"/>
    <w:rsid w:val="009F1B22"/>
    <w:rsid w:val="009F5776"/>
    <w:rsid w:val="00A345CD"/>
    <w:rsid w:val="00A75322"/>
    <w:rsid w:val="00A9260F"/>
    <w:rsid w:val="00AB73C2"/>
    <w:rsid w:val="00AD53D2"/>
    <w:rsid w:val="00B075B6"/>
    <w:rsid w:val="00B17ED4"/>
    <w:rsid w:val="00B417A0"/>
    <w:rsid w:val="00B83FB9"/>
    <w:rsid w:val="00B9448C"/>
    <w:rsid w:val="00BB7BFD"/>
    <w:rsid w:val="00C25219"/>
    <w:rsid w:val="00C25C96"/>
    <w:rsid w:val="00C509E0"/>
    <w:rsid w:val="00C65334"/>
    <w:rsid w:val="00C87C4C"/>
    <w:rsid w:val="00C9327A"/>
    <w:rsid w:val="00CC56D3"/>
    <w:rsid w:val="00D11F8B"/>
    <w:rsid w:val="00D230F5"/>
    <w:rsid w:val="00D30BA4"/>
    <w:rsid w:val="00D31E8E"/>
    <w:rsid w:val="00D838D7"/>
    <w:rsid w:val="00DC6F2F"/>
    <w:rsid w:val="00E076C3"/>
    <w:rsid w:val="00E32EEC"/>
    <w:rsid w:val="00E54A46"/>
    <w:rsid w:val="00E704ED"/>
    <w:rsid w:val="00E7392C"/>
    <w:rsid w:val="00E813B0"/>
    <w:rsid w:val="00EA2DE7"/>
    <w:rsid w:val="00EC0F01"/>
    <w:rsid w:val="00F4178F"/>
    <w:rsid w:val="00F52EC6"/>
    <w:rsid w:val="00F66DED"/>
    <w:rsid w:val="00F7543A"/>
    <w:rsid w:val="00F81249"/>
    <w:rsid w:val="00F8305F"/>
    <w:rsid w:val="00F91212"/>
    <w:rsid w:val="00F92D16"/>
    <w:rsid w:val="00FD0DCA"/>
    <w:rsid w:val="00FE3E0A"/>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DF6998"/>
  <w15:chartTrackingRefBased/>
  <w15:docId w15:val="{A4D8EC35-E2D9-41BC-8961-B0DF39FAD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0550"/>
    <w:pPr>
      <w:tabs>
        <w:tab w:val="left" w:pos="567"/>
      </w:tabs>
      <w:spacing w:before="120" w:line="254" w:lineRule="auto"/>
    </w:pPr>
    <w:rPr>
      <w:rFonts w:ascii="Open Sans Light" w:hAnsi="Open Sans Light"/>
      <w:sz w:val="20"/>
      <w:szCs w:val="22"/>
    </w:rPr>
  </w:style>
  <w:style w:type="paragraph" w:styleId="Heading1">
    <w:name w:val="heading 1"/>
    <w:basedOn w:val="CGCSubHead"/>
    <w:next w:val="Normal"/>
    <w:link w:val="Heading1Char"/>
    <w:uiPriority w:val="9"/>
    <w:qFormat/>
    <w:rsid w:val="00F8305F"/>
    <w:pPr>
      <w:spacing w:before="360"/>
      <w:outlineLvl w:val="0"/>
    </w:pPr>
    <w:rPr>
      <w:sz w:val="40"/>
      <w:szCs w:val="40"/>
    </w:rPr>
  </w:style>
  <w:style w:type="paragraph" w:styleId="Heading2">
    <w:name w:val="heading 2"/>
    <w:basedOn w:val="CGCSubHead"/>
    <w:next w:val="Normal"/>
    <w:link w:val="Heading2Char"/>
    <w:uiPriority w:val="9"/>
    <w:unhideWhenUsed/>
    <w:qFormat/>
    <w:rsid w:val="00F8305F"/>
    <w:pPr>
      <w:spacing w:before="360"/>
      <w:outlineLvl w:val="1"/>
    </w:pPr>
    <w:rPr>
      <w:sz w:val="36"/>
      <w:szCs w:val="36"/>
    </w:rPr>
  </w:style>
  <w:style w:type="paragraph" w:styleId="Heading3">
    <w:name w:val="heading 3"/>
    <w:basedOn w:val="CGCSubHead"/>
    <w:next w:val="Normal"/>
    <w:link w:val="Heading3Char"/>
    <w:uiPriority w:val="9"/>
    <w:unhideWhenUsed/>
    <w:qFormat/>
    <w:rsid w:val="00F8305F"/>
    <w:pPr>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C0550"/>
    <w:pPr>
      <w:tabs>
        <w:tab w:val="center" w:pos="4513"/>
        <w:tab w:val="right" w:pos="9026"/>
      </w:tabs>
    </w:pPr>
  </w:style>
  <w:style w:type="character" w:customStyle="1" w:styleId="HeaderChar">
    <w:name w:val="Header Char"/>
    <w:basedOn w:val="DefaultParagraphFont"/>
    <w:link w:val="Header"/>
    <w:uiPriority w:val="99"/>
    <w:rsid w:val="005C0550"/>
  </w:style>
  <w:style w:type="paragraph" w:styleId="Footer">
    <w:name w:val="footer"/>
    <w:basedOn w:val="Normal"/>
    <w:link w:val="FooterChar"/>
    <w:uiPriority w:val="99"/>
    <w:unhideWhenUsed/>
    <w:rsid w:val="005C0550"/>
    <w:pPr>
      <w:tabs>
        <w:tab w:val="center" w:pos="4513"/>
        <w:tab w:val="right" w:pos="9026"/>
      </w:tabs>
    </w:pPr>
  </w:style>
  <w:style w:type="character" w:customStyle="1" w:styleId="FooterChar">
    <w:name w:val="Footer Char"/>
    <w:basedOn w:val="DefaultParagraphFont"/>
    <w:link w:val="Footer"/>
    <w:uiPriority w:val="99"/>
    <w:rsid w:val="005C0550"/>
  </w:style>
  <w:style w:type="paragraph" w:styleId="Caption">
    <w:name w:val="caption"/>
    <w:basedOn w:val="Normal"/>
    <w:next w:val="Normal"/>
    <w:link w:val="CaptionChar"/>
    <w:qFormat/>
    <w:rsid w:val="005C0550"/>
    <w:pPr>
      <w:keepNext/>
      <w:keepLines/>
      <w:tabs>
        <w:tab w:val="clear" w:pos="567"/>
        <w:tab w:val="left" w:pos="1134"/>
        <w:tab w:val="left" w:pos="1418"/>
      </w:tabs>
      <w:spacing w:before="240" w:after="120" w:line="240" w:lineRule="auto"/>
      <w:ind w:left="1134" w:hanging="1134"/>
    </w:pPr>
    <w:rPr>
      <w:b/>
      <w:bCs/>
      <w:szCs w:val="20"/>
    </w:rPr>
  </w:style>
  <w:style w:type="character" w:customStyle="1" w:styleId="CaptionChar">
    <w:name w:val="Caption Char"/>
    <w:basedOn w:val="DefaultParagraphFont"/>
    <w:link w:val="Caption"/>
    <w:rsid w:val="005C0550"/>
    <w:rPr>
      <w:rFonts w:ascii="Open Sans Light" w:hAnsi="Open Sans Light"/>
      <w:b/>
      <w:bCs/>
      <w:sz w:val="20"/>
      <w:szCs w:val="20"/>
    </w:rPr>
  </w:style>
  <w:style w:type="paragraph" w:customStyle="1" w:styleId="CGCTablenote">
    <w:name w:val="CGC Table note"/>
    <w:basedOn w:val="Normal"/>
    <w:next w:val="Normal"/>
    <w:qFormat/>
    <w:rsid w:val="005C0550"/>
    <w:pPr>
      <w:tabs>
        <w:tab w:val="left" w:pos="680"/>
      </w:tabs>
      <w:spacing w:before="40" w:line="240" w:lineRule="auto"/>
      <w:ind w:left="340" w:hanging="227"/>
    </w:pPr>
    <w:rPr>
      <w:sz w:val="14"/>
    </w:rPr>
  </w:style>
  <w:style w:type="paragraph" w:styleId="BodyText">
    <w:name w:val="Body Text"/>
    <w:link w:val="BodyTextChar"/>
    <w:qFormat/>
    <w:rsid w:val="005C0550"/>
    <w:pPr>
      <w:spacing w:before="240" w:line="300" w:lineRule="atLeast"/>
      <w:jc w:val="both"/>
    </w:pPr>
    <w:rPr>
      <w:rFonts w:ascii="Open Sans Light" w:eastAsia="Times New Roman" w:hAnsi="Open Sans Light" w:cs="Times New Roman"/>
      <w:szCs w:val="20"/>
      <w:lang w:eastAsia="en-AU"/>
    </w:rPr>
  </w:style>
  <w:style w:type="character" w:customStyle="1" w:styleId="BodyTextChar">
    <w:name w:val="Body Text Char"/>
    <w:basedOn w:val="DefaultParagraphFont"/>
    <w:link w:val="BodyText"/>
    <w:rsid w:val="005C0550"/>
    <w:rPr>
      <w:rFonts w:ascii="Open Sans Light" w:eastAsia="Times New Roman" w:hAnsi="Open Sans Light" w:cs="Times New Roman"/>
      <w:szCs w:val="20"/>
      <w:lang w:eastAsia="en-AU"/>
    </w:rPr>
  </w:style>
  <w:style w:type="character" w:customStyle="1" w:styleId="normaltextrun">
    <w:name w:val="normaltextrun"/>
    <w:basedOn w:val="DefaultParagraphFont"/>
    <w:rsid w:val="005C0550"/>
  </w:style>
  <w:style w:type="paragraph" w:customStyle="1" w:styleId="CGCBodyCopy">
    <w:name w:val="CGC Body Copy"/>
    <w:basedOn w:val="Normal"/>
    <w:autoRedefine/>
    <w:qFormat/>
    <w:rsid w:val="00C9327A"/>
    <w:pPr>
      <w:jc w:val="both"/>
    </w:pPr>
    <w:rPr>
      <w:rFonts w:cs="Cambria Math"/>
      <w:color w:val="000000"/>
      <w:sz w:val="24"/>
      <w:szCs w:val="21"/>
      <w:shd w:val="clear" w:color="auto" w:fill="FFFFFF"/>
    </w:rPr>
  </w:style>
  <w:style w:type="paragraph" w:customStyle="1" w:styleId="CGCSubHead">
    <w:name w:val="CGC Sub Head"/>
    <w:autoRedefine/>
    <w:qFormat/>
    <w:rsid w:val="00F8305F"/>
    <w:pPr>
      <w:spacing w:before="240" w:after="200" w:line="276" w:lineRule="auto"/>
    </w:pPr>
    <w:rPr>
      <w:rFonts w:ascii="Work Sans" w:eastAsiaTheme="majorEastAsia" w:hAnsi="Work Sans" w:cs="Open Sans"/>
      <w:b/>
      <w:bCs/>
      <w:color w:val="006991"/>
      <w:sz w:val="28"/>
      <w:szCs w:val="28"/>
    </w:rPr>
  </w:style>
  <w:style w:type="character" w:styleId="Hyperlink">
    <w:name w:val="Hyperlink"/>
    <w:basedOn w:val="DefaultParagraphFont"/>
    <w:uiPriority w:val="99"/>
    <w:unhideWhenUsed/>
    <w:rsid w:val="008B3F9B"/>
    <w:rPr>
      <w:color w:val="006991" w:themeColor="hyperlink"/>
      <w:u w:val="single"/>
    </w:rPr>
  </w:style>
  <w:style w:type="character" w:styleId="UnresolvedMention">
    <w:name w:val="Unresolved Mention"/>
    <w:basedOn w:val="DefaultParagraphFont"/>
    <w:uiPriority w:val="99"/>
    <w:semiHidden/>
    <w:unhideWhenUsed/>
    <w:rsid w:val="008B3F9B"/>
    <w:rPr>
      <w:color w:val="605E5C"/>
      <w:shd w:val="clear" w:color="auto" w:fill="E1DFDD"/>
    </w:rPr>
  </w:style>
  <w:style w:type="character" w:styleId="PageNumber">
    <w:name w:val="page number"/>
    <w:basedOn w:val="DefaultParagraphFont"/>
    <w:uiPriority w:val="99"/>
    <w:semiHidden/>
    <w:unhideWhenUsed/>
    <w:rsid w:val="008B3F9B"/>
  </w:style>
  <w:style w:type="character" w:customStyle="1" w:styleId="Heading1Char">
    <w:name w:val="Heading 1 Char"/>
    <w:basedOn w:val="DefaultParagraphFont"/>
    <w:link w:val="Heading1"/>
    <w:uiPriority w:val="9"/>
    <w:rsid w:val="00F8305F"/>
    <w:rPr>
      <w:rFonts w:ascii="Work Sans" w:eastAsiaTheme="majorEastAsia" w:hAnsi="Work Sans" w:cs="Open Sans"/>
      <w:b/>
      <w:bCs/>
      <w:color w:val="006991"/>
      <w:sz w:val="40"/>
      <w:szCs w:val="40"/>
    </w:rPr>
  </w:style>
  <w:style w:type="character" w:customStyle="1" w:styleId="Heading2Char">
    <w:name w:val="Heading 2 Char"/>
    <w:basedOn w:val="DefaultParagraphFont"/>
    <w:link w:val="Heading2"/>
    <w:uiPriority w:val="9"/>
    <w:rsid w:val="00F8305F"/>
    <w:rPr>
      <w:rFonts w:ascii="Work Sans" w:eastAsiaTheme="majorEastAsia" w:hAnsi="Work Sans" w:cs="Open Sans"/>
      <w:b/>
      <w:bCs/>
      <w:color w:val="006991"/>
      <w:sz w:val="36"/>
      <w:szCs w:val="36"/>
    </w:rPr>
  </w:style>
  <w:style w:type="character" w:customStyle="1" w:styleId="Heading3Char">
    <w:name w:val="Heading 3 Char"/>
    <w:basedOn w:val="DefaultParagraphFont"/>
    <w:link w:val="Heading3"/>
    <w:uiPriority w:val="9"/>
    <w:rsid w:val="00F8305F"/>
    <w:rPr>
      <w:rFonts w:ascii="Work Sans" w:eastAsiaTheme="majorEastAsia" w:hAnsi="Work Sans" w:cs="Open Sans"/>
      <w:b/>
      <w:bCs/>
      <w:color w:val="006991"/>
      <w:sz w:val="28"/>
      <w:szCs w:val="28"/>
    </w:rPr>
  </w:style>
  <w:style w:type="paragraph" w:styleId="NormalWeb">
    <w:name w:val="Normal (Web)"/>
    <w:basedOn w:val="Normal"/>
    <w:uiPriority w:val="99"/>
    <w:unhideWhenUsed/>
    <w:rsid w:val="00C87C4C"/>
    <w:pPr>
      <w:tabs>
        <w:tab w:val="clear" w:pos="567"/>
      </w:tabs>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FootnoteReference">
    <w:name w:val="footnote reference"/>
    <w:basedOn w:val="DefaultParagraphFont"/>
    <w:uiPriority w:val="99"/>
    <w:rsid w:val="00771530"/>
    <w:rPr>
      <w:vertAlign w:val="superscript"/>
    </w:rPr>
  </w:style>
  <w:style w:type="paragraph" w:styleId="FootnoteText">
    <w:name w:val="footnote text"/>
    <w:basedOn w:val="Normal"/>
    <w:link w:val="FootnoteTextChar"/>
    <w:qFormat/>
    <w:rsid w:val="00771530"/>
    <w:pPr>
      <w:tabs>
        <w:tab w:val="clear" w:pos="567"/>
        <w:tab w:val="left" w:pos="680"/>
      </w:tabs>
      <w:spacing w:before="0" w:after="40" w:line="240" w:lineRule="auto"/>
      <w:ind w:left="113" w:hanging="113"/>
      <w:jc w:val="both"/>
    </w:pPr>
    <w:rPr>
      <w:spacing w:val="-10"/>
      <w:sz w:val="14"/>
      <w:szCs w:val="20"/>
    </w:rPr>
  </w:style>
  <w:style w:type="character" w:customStyle="1" w:styleId="FootnoteTextChar">
    <w:name w:val="Footnote Text Char"/>
    <w:basedOn w:val="DefaultParagraphFont"/>
    <w:link w:val="FootnoteText"/>
    <w:rsid w:val="00771530"/>
    <w:rPr>
      <w:rFonts w:ascii="Open Sans Light" w:hAnsi="Open Sans Light"/>
      <w:spacing w:val="-10"/>
      <w:sz w:val="14"/>
      <w:szCs w:val="20"/>
    </w:rPr>
  </w:style>
  <w:style w:type="paragraph" w:styleId="ListParagraph">
    <w:name w:val="List Paragraph"/>
    <w:basedOn w:val="Normal"/>
    <w:uiPriority w:val="34"/>
    <w:qFormat/>
    <w:rsid w:val="00B83FB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reativecommons.org/licenses/by/4.0/legalcode"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hyperlink" Target="http://www.cgc.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cgc.gov.a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1.png"/><Relationship Id="rId4" Type="http://schemas.openxmlformats.org/officeDocument/2006/relationships/image" Target="media/image6.png"/></Relationships>
</file>

<file path=word/theme/theme1.xml><?xml version="1.0" encoding="utf-8"?>
<a:theme xmlns:a="http://schemas.openxmlformats.org/drawingml/2006/main" name="Office Theme">
  <a:themeElements>
    <a:clrScheme name="CGC Colour Themes">
      <a:dk1>
        <a:srgbClr val="004562"/>
      </a:dk1>
      <a:lt1>
        <a:srgbClr val="FFFFFF"/>
      </a:lt1>
      <a:dk2>
        <a:srgbClr val="004562"/>
      </a:dk2>
      <a:lt2>
        <a:srgbClr val="E7E6E6"/>
      </a:lt2>
      <a:accent1>
        <a:srgbClr val="004563"/>
      </a:accent1>
      <a:accent2>
        <a:srgbClr val="0092C8"/>
      </a:accent2>
      <a:accent3>
        <a:srgbClr val="CC5E12"/>
      </a:accent3>
      <a:accent4>
        <a:srgbClr val="EDAB16"/>
      </a:accent4>
      <a:accent5>
        <a:srgbClr val="008069"/>
      </a:accent5>
      <a:accent6>
        <a:srgbClr val="00CE87"/>
      </a:accent6>
      <a:hlink>
        <a:srgbClr val="006991"/>
      </a:hlink>
      <a:folHlink>
        <a:srgbClr val="93EA9E"/>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dab0a8-5dcd-452e-8920-feabfc03300f">
      <Terms xmlns="http://schemas.microsoft.com/office/infopath/2007/PartnerControls"/>
    </lcf76f155ced4ddcb4097134ff3c332f>
    <TaxCatchAll xmlns="3b147965-d003-4c9e-9913-90f0d9e7737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AEA9839F97DA84EAC43A7FB852BABF8" ma:contentTypeVersion="13" ma:contentTypeDescription="Create a new document." ma:contentTypeScope="" ma:versionID="3f224550608536e0e85775c534a7d05b">
  <xsd:schema xmlns:xsd="http://www.w3.org/2001/XMLSchema" xmlns:xs="http://www.w3.org/2001/XMLSchema" xmlns:p="http://schemas.microsoft.com/office/2006/metadata/properties" xmlns:ns2="fddab0a8-5dcd-452e-8920-feabfc03300f" xmlns:ns3="3b147965-d003-4c9e-9913-90f0d9e77379" targetNamespace="http://schemas.microsoft.com/office/2006/metadata/properties" ma:root="true" ma:fieldsID="1c5c301a39564c381ba24a303dba6c1c" ns2:_="" ns3:_="">
    <xsd:import namespace="fddab0a8-5dcd-452e-8920-feabfc03300f"/>
    <xsd:import namespace="3b147965-d003-4c9e-9913-90f0d9e77379"/>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AutoKeyPoints" minOccurs="0"/>
                <xsd:element ref="ns2:MediaServiceKeyPoints" minOccurs="0"/>
                <xsd:element ref="ns3:SharedWithUsers" minOccurs="0"/>
                <xsd:element ref="ns3:SharedWithDetails"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dab0a8-5dcd-452e-8920-feabfc0330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c8a0b90d-15e3-4b68-b4ed-e1e0d46dd535"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3b147965-d003-4c9e-9913-90f0d9e77379"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06d9e5aa-7c32-442b-8fa9-1288cf9040ab}" ma:internalName="TaxCatchAll" ma:showField="CatchAllData" ma:web="3b147965-d003-4c9e-9913-90f0d9e773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BAFEE77-DB88-48B5-976E-1D87DFA759C3}">
  <ds:schemaRefs>
    <ds:schemaRef ds:uri="http://schemas.openxmlformats.org/officeDocument/2006/bibliography"/>
  </ds:schemaRefs>
</ds:datastoreItem>
</file>

<file path=customXml/itemProps2.xml><?xml version="1.0" encoding="utf-8"?>
<ds:datastoreItem xmlns:ds="http://schemas.openxmlformats.org/officeDocument/2006/customXml" ds:itemID="{52979382-591B-49F4-B835-508E57F947A4}">
  <ds:schemaRefs>
    <ds:schemaRef ds:uri="http://schemas.microsoft.com/office/2006/documentManagement/types"/>
    <ds:schemaRef ds:uri="http://purl.org/dc/elements/1.1/"/>
    <ds:schemaRef ds:uri="http://www.w3.org/XML/1998/namespace"/>
    <ds:schemaRef ds:uri="http://schemas.openxmlformats.org/package/2006/metadata/core-properties"/>
    <ds:schemaRef ds:uri="http://schemas.microsoft.com/office/infopath/2007/PartnerControls"/>
    <ds:schemaRef ds:uri="3b147965-d003-4c9e-9913-90f0d9e77379"/>
    <ds:schemaRef ds:uri="http://purl.org/dc/terms/"/>
    <ds:schemaRef ds:uri="fddab0a8-5dcd-452e-8920-feabfc03300f"/>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49494F84-814F-4EE2-B308-02A3D0AE89C4}">
  <ds:schemaRefs>
    <ds:schemaRef ds:uri="http://schemas.microsoft.com/sharepoint/v3/contenttype/forms"/>
  </ds:schemaRefs>
</ds:datastoreItem>
</file>

<file path=customXml/itemProps4.xml><?xml version="1.0" encoding="utf-8"?>
<ds:datastoreItem xmlns:ds="http://schemas.openxmlformats.org/officeDocument/2006/customXml" ds:itemID="{AA77E618-9B09-49E7-BA35-5952FB716916}"/>
</file>

<file path=docProps/app.xml><?xml version="1.0" encoding="utf-8"?>
<Properties xmlns="http://schemas.openxmlformats.org/officeDocument/2006/extended-properties" xmlns:vt="http://schemas.openxmlformats.org/officeDocument/2006/docPropsVTypes">
  <Template>Normal</Template>
  <TotalTime>66</TotalTime>
  <Pages>7</Pages>
  <Words>1798</Words>
  <Characters>10251</Characters>
  <Application>Microsoft Office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Warder</dc:creator>
  <cp:keywords/>
  <dc:description/>
  <cp:lastModifiedBy>Maria Henriquez</cp:lastModifiedBy>
  <cp:revision>47</cp:revision>
  <cp:lastPrinted>2021-08-31T12:38:00Z</cp:lastPrinted>
  <dcterms:created xsi:type="dcterms:W3CDTF">2022-04-12T06:24:00Z</dcterms:created>
  <dcterms:modified xsi:type="dcterms:W3CDTF">2022-04-13T06:06:00Z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0x0101009AEA9839F97DA84EAC43A7FB852BABF8</vt:lpwstr>
  </property>
  <property fmtid="{D5CDD505-2E9C-101B-9397-08002B2CF9AE}" pid="3" name="MediaServiceImageTags">
    <vt:lpwstr/>
  </property>
</Properties>
</file>