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E5462" w14:textId="77777777" w:rsidR="000E4971" w:rsidRDefault="190B0AD0" w:rsidP="000E4971">
      <w:pPr>
        <w:tabs>
          <w:tab w:val="clear" w:pos="567"/>
        </w:tabs>
        <w:jc w:val="center"/>
      </w:pPr>
      <w:bookmarkStart w:id="0" w:name="_Toc47365315"/>
      <w:bookmarkStart w:id="1" w:name="_Toc106707725"/>
      <w:bookmarkStart w:id="2" w:name="_Toc155675935"/>
      <w:bookmarkStart w:id="3" w:name="_Toc174415770"/>
      <w:bookmarkStart w:id="4" w:name="_Toc174415844"/>
      <w:bookmarkStart w:id="5" w:name="_Toc174415935"/>
      <w:bookmarkStart w:id="6" w:name="_Toc174416620"/>
      <w:bookmarkStart w:id="7" w:name="_Toc174416662"/>
      <w:bookmarkStart w:id="8" w:name="_Toc174416675"/>
      <w:r>
        <w:rPr>
          <w:noProof/>
        </w:rPr>
        <w:drawing>
          <wp:inline distT="0" distB="0" distL="0" distR="0" wp14:anchorId="29EB003C" wp14:editId="3F62F5F9">
            <wp:extent cx="3237230" cy="1505585"/>
            <wp:effectExtent l="0" t="0" r="1270" b="0"/>
            <wp:docPr id="16703782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3237230" cy="1505585"/>
                    </a:xfrm>
                    <a:prstGeom prst="rect">
                      <a:avLst/>
                    </a:prstGeom>
                  </pic:spPr>
                </pic:pic>
              </a:graphicData>
            </a:graphic>
          </wp:inline>
        </w:drawing>
      </w:r>
    </w:p>
    <w:p w14:paraId="2D57FD1C" w14:textId="77777777" w:rsidR="000E4971" w:rsidRDefault="000E4971" w:rsidP="000E4971">
      <w:pPr>
        <w:tabs>
          <w:tab w:val="clear" w:pos="567"/>
        </w:tabs>
        <w:jc w:val="center"/>
      </w:pPr>
    </w:p>
    <w:p w14:paraId="2395D5EB" w14:textId="77777777" w:rsidR="000E4971" w:rsidRPr="004416B5" w:rsidRDefault="000E4971" w:rsidP="000E4971">
      <w:pPr>
        <w:tabs>
          <w:tab w:val="clear" w:pos="567"/>
        </w:tabs>
        <w:jc w:val="center"/>
      </w:pPr>
    </w:p>
    <w:p w14:paraId="463C5B6F" w14:textId="5BCC002F" w:rsidR="000E4971" w:rsidRPr="00970E6D" w:rsidRDefault="000E4971" w:rsidP="000E4971">
      <w:pPr>
        <w:pStyle w:val="Publicationtitle1"/>
      </w:pPr>
      <w:r w:rsidRPr="00970E6D">
        <w:t>20</w:t>
      </w:r>
      <w:r>
        <w:t>21</w:t>
      </w:r>
      <w:r w:rsidRPr="00970E6D">
        <w:t xml:space="preserve"> </w:t>
      </w:r>
      <w:r>
        <w:t>Update</w:t>
      </w:r>
    </w:p>
    <w:p w14:paraId="148C7A9B" w14:textId="28F4D1A9" w:rsidR="000E4971" w:rsidRPr="00970E6D" w:rsidRDefault="000E4971" w:rsidP="000E4971">
      <w:pPr>
        <w:pStyle w:val="Heading1"/>
        <w:jc w:val="center"/>
      </w:pPr>
      <w:r>
        <w:t>New Issues for the 2021 Update</w:t>
      </w:r>
    </w:p>
    <w:p w14:paraId="6C485882" w14:textId="77777777" w:rsidR="000E4971" w:rsidRDefault="000E4971" w:rsidP="000E4971">
      <w:pPr>
        <w:jc w:val="center"/>
      </w:pPr>
    </w:p>
    <w:p w14:paraId="2E786904" w14:textId="77777777" w:rsidR="000E4971" w:rsidRPr="00970E6D" w:rsidRDefault="000E4971" w:rsidP="000E4971">
      <w:pPr>
        <w:jc w:val="center"/>
      </w:pPr>
    </w:p>
    <w:p w14:paraId="5C61869C" w14:textId="77777777" w:rsidR="000E4971" w:rsidRDefault="000E4971" w:rsidP="000E4971">
      <w:pPr>
        <w:jc w:val="center"/>
      </w:pPr>
    </w:p>
    <w:p w14:paraId="2475E571" w14:textId="77777777" w:rsidR="000E4971" w:rsidRDefault="000E4971" w:rsidP="000E4971">
      <w:pPr>
        <w:jc w:val="center"/>
      </w:pPr>
    </w:p>
    <w:p w14:paraId="59EFE090" w14:textId="77777777" w:rsidR="000E4971" w:rsidRDefault="000E4971" w:rsidP="000E4971">
      <w:pPr>
        <w:jc w:val="center"/>
      </w:pPr>
    </w:p>
    <w:p w14:paraId="6286DD36" w14:textId="46C41A9D" w:rsidR="000E4971" w:rsidRPr="001D7FB5" w:rsidRDefault="000E4971" w:rsidP="000E4971">
      <w:pPr>
        <w:pStyle w:val="Publicationtitle2"/>
      </w:pPr>
      <w:r w:rsidRPr="001D7FB5">
        <w:t xml:space="preserve">Staff Discussion Paper </w:t>
      </w:r>
      <w:r w:rsidRPr="001D7FB5">
        <w:br/>
        <w:t>CGC 20</w:t>
      </w:r>
      <w:r w:rsidR="00EE2262">
        <w:t>20</w:t>
      </w:r>
      <w:r w:rsidRPr="001D7FB5">
        <w:t>-</w:t>
      </w:r>
      <w:r w:rsidR="003F4B9D">
        <w:t>01-S</w:t>
      </w:r>
    </w:p>
    <w:p w14:paraId="6AE145D8" w14:textId="77777777" w:rsidR="000E4971" w:rsidRPr="00970E6D" w:rsidRDefault="000E4971" w:rsidP="000E4971">
      <w:pPr>
        <w:jc w:val="center"/>
      </w:pPr>
    </w:p>
    <w:p w14:paraId="5F415884" w14:textId="77777777" w:rsidR="000E4971" w:rsidRPr="00970E6D" w:rsidRDefault="000E4971" w:rsidP="000E4971">
      <w:pPr>
        <w:jc w:val="center"/>
      </w:pPr>
    </w:p>
    <w:p w14:paraId="68EDB344" w14:textId="77777777" w:rsidR="000E4971" w:rsidRDefault="000E4971" w:rsidP="000E4971">
      <w:pPr>
        <w:jc w:val="center"/>
      </w:pPr>
    </w:p>
    <w:p w14:paraId="02032674" w14:textId="77777777" w:rsidR="000E4971" w:rsidRDefault="000E4971" w:rsidP="000E4971">
      <w:pPr>
        <w:jc w:val="center"/>
      </w:pPr>
    </w:p>
    <w:p w14:paraId="4DE6CF16" w14:textId="77777777" w:rsidR="000E4971" w:rsidRDefault="000E4971" w:rsidP="000E4971">
      <w:pPr>
        <w:jc w:val="center"/>
      </w:pPr>
    </w:p>
    <w:p w14:paraId="2AA35982" w14:textId="77777777" w:rsidR="000E4971" w:rsidRPr="00970E6D" w:rsidRDefault="000E4971" w:rsidP="000E4971">
      <w:pPr>
        <w:jc w:val="center"/>
      </w:pPr>
    </w:p>
    <w:p w14:paraId="57ADAAE4" w14:textId="77777777" w:rsidR="000E4971" w:rsidRDefault="000E4971" w:rsidP="000E4971">
      <w:pPr>
        <w:jc w:val="center"/>
      </w:pPr>
    </w:p>
    <w:p w14:paraId="3C81BE6D" w14:textId="77777777" w:rsidR="000E4971" w:rsidRPr="00970E6D" w:rsidRDefault="000E4971" w:rsidP="000E4971">
      <w:pPr>
        <w:jc w:val="center"/>
      </w:pPr>
    </w:p>
    <w:p w14:paraId="58732E05" w14:textId="2356CF4B" w:rsidR="000E4971" w:rsidRPr="00970E6D" w:rsidRDefault="002361A6" w:rsidP="000E4971">
      <w:pPr>
        <w:pStyle w:val="Publicationtitle2"/>
        <w:jc w:val="right"/>
      </w:pPr>
      <w:r>
        <w:t>August 2020</w:t>
      </w:r>
    </w:p>
    <w:p w14:paraId="55B94829" w14:textId="77777777" w:rsidR="000E4971" w:rsidRPr="00970E6D" w:rsidRDefault="000E4971" w:rsidP="000E4971">
      <w:pPr>
        <w:tabs>
          <w:tab w:val="clear" w:pos="567"/>
        </w:tabs>
      </w:pPr>
    </w:p>
    <w:p w14:paraId="40123EA3" w14:textId="77777777" w:rsidR="000E4971" w:rsidRDefault="000E4971" w:rsidP="000E4971">
      <w:pPr>
        <w:tabs>
          <w:tab w:val="clear" w:pos="567"/>
        </w:tabs>
        <w:sectPr w:rsidR="000E4971" w:rsidSect="00195A2B">
          <w:pgSz w:w="11899" w:h="16840" w:code="9"/>
          <w:pgMar w:top="1418" w:right="1474" w:bottom="1418" w:left="1474" w:header="709" w:footer="709" w:gutter="0"/>
          <w:cols w:space="708"/>
          <w:titlePg/>
          <w:docGrid w:linePitch="299"/>
        </w:sectPr>
      </w:pPr>
    </w:p>
    <w:p w14:paraId="4A66A7CE" w14:textId="77777777" w:rsidR="000E4971" w:rsidRPr="00970E6D" w:rsidRDefault="000E4971" w:rsidP="000E4971">
      <w:pPr>
        <w:tabs>
          <w:tab w:val="clear" w:pos="567"/>
        </w:tabs>
      </w:pPr>
    </w:p>
    <w:tbl>
      <w:tblPr>
        <w:tblStyle w:val="TableGrid"/>
        <w:tblpPr w:leftFromText="181" w:rightFromText="181" w:tblpYSpec="bottom"/>
        <w:tblOverlap w:val="never"/>
        <w:tblW w:w="5000" w:type="pct"/>
        <w:tblLook w:val="01E0" w:firstRow="1" w:lastRow="1" w:firstColumn="1" w:lastColumn="1" w:noHBand="0" w:noVBand="0"/>
      </w:tblPr>
      <w:tblGrid>
        <w:gridCol w:w="2870"/>
        <w:gridCol w:w="6071"/>
      </w:tblGrid>
      <w:tr w:rsidR="000E4971" w:rsidRPr="00970E6D" w14:paraId="3856385B" w14:textId="77777777" w:rsidTr="00195A2B">
        <w:tc>
          <w:tcPr>
            <w:tcW w:w="1605" w:type="pct"/>
            <w:tcBorders>
              <w:top w:val="single" w:sz="4" w:space="0" w:color="auto"/>
              <w:left w:val="single" w:sz="4" w:space="0" w:color="auto"/>
              <w:bottom w:val="single" w:sz="4" w:space="0" w:color="auto"/>
              <w:right w:val="single" w:sz="4" w:space="0" w:color="auto"/>
            </w:tcBorders>
          </w:tcPr>
          <w:p w14:paraId="5F4075BB" w14:textId="77777777" w:rsidR="000E4971" w:rsidRPr="00970E6D" w:rsidRDefault="000E4971" w:rsidP="00195A2B">
            <w:pPr>
              <w:tabs>
                <w:tab w:val="clear" w:pos="567"/>
              </w:tabs>
            </w:pPr>
            <w:r w:rsidRPr="00970E6D">
              <w:t>Paper issued</w:t>
            </w:r>
          </w:p>
        </w:tc>
        <w:tc>
          <w:tcPr>
            <w:tcW w:w="3395" w:type="pct"/>
            <w:tcBorders>
              <w:top w:val="single" w:sz="4" w:space="0" w:color="auto"/>
              <w:left w:val="single" w:sz="4" w:space="0" w:color="auto"/>
              <w:bottom w:val="single" w:sz="4" w:space="0" w:color="auto"/>
              <w:right w:val="single" w:sz="4" w:space="0" w:color="auto"/>
            </w:tcBorders>
          </w:tcPr>
          <w:p w14:paraId="46F1765A" w14:textId="1D8EF87C" w:rsidR="000E4971" w:rsidRPr="00970E6D" w:rsidRDefault="00050BB2" w:rsidP="00195A2B">
            <w:pPr>
              <w:tabs>
                <w:tab w:val="clear" w:pos="567"/>
              </w:tabs>
            </w:pPr>
            <w:r>
              <w:t>2</w:t>
            </w:r>
            <w:r w:rsidR="000E31E4">
              <w:t>4</w:t>
            </w:r>
            <w:r>
              <w:t xml:space="preserve"> </w:t>
            </w:r>
            <w:r w:rsidR="00495134">
              <w:t xml:space="preserve">August </w:t>
            </w:r>
            <w:r w:rsidR="000E4971" w:rsidRPr="00970E6D">
              <w:t>20</w:t>
            </w:r>
            <w:r w:rsidR="00495134">
              <w:t>2</w:t>
            </w:r>
            <w:r w:rsidR="00B828DF">
              <w:t>0</w:t>
            </w:r>
          </w:p>
        </w:tc>
      </w:tr>
      <w:tr w:rsidR="000E4971" w:rsidRPr="00970E6D" w14:paraId="2A06449E" w14:textId="77777777" w:rsidTr="00195A2B">
        <w:tc>
          <w:tcPr>
            <w:tcW w:w="1605" w:type="pct"/>
            <w:tcBorders>
              <w:top w:val="single" w:sz="4" w:space="0" w:color="auto"/>
              <w:left w:val="single" w:sz="4" w:space="0" w:color="auto"/>
              <w:bottom w:val="single" w:sz="4" w:space="0" w:color="auto"/>
              <w:right w:val="single" w:sz="4" w:space="0" w:color="auto"/>
            </w:tcBorders>
          </w:tcPr>
          <w:p w14:paraId="5EBCD6D8" w14:textId="77777777" w:rsidR="000E4971" w:rsidRPr="00970E6D" w:rsidRDefault="000E4971" w:rsidP="00195A2B">
            <w:pPr>
              <w:tabs>
                <w:tab w:val="clear" w:pos="567"/>
              </w:tabs>
            </w:pPr>
            <w:r w:rsidRPr="00970E6D">
              <w:t>Commission contact officer</w:t>
            </w:r>
          </w:p>
        </w:tc>
        <w:tc>
          <w:tcPr>
            <w:tcW w:w="3395" w:type="pct"/>
            <w:tcBorders>
              <w:top w:val="single" w:sz="4" w:space="0" w:color="auto"/>
              <w:left w:val="single" w:sz="4" w:space="0" w:color="auto"/>
              <w:bottom w:val="single" w:sz="4" w:space="0" w:color="auto"/>
              <w:right w:val="single" w:sz="4" w:space="0" w:color="auto"/>
            </w:tcBorders>
          </w:tcPr>
          <w:p w14:paraId="0D8B09DE" w14:textId="69C617E7" w:rsidR="000E4971" w:rsidRPr="00970E6D" w:rsidRDefault="002361A6" w:rsidP="00195A2B">
            <w:pPr>
              <w:tabs>
                <w:tab w:val="clear" w:pos="567"/>
              </w:tabs>
            </w:pPr>
            <w:r>
              <w:t xml:space="preserve">Tim Carlton, </w:t>
            </w:r>
            <w:r w:rsidR="00495134">
              <w:t xml:space="preserve">(02) 6218 5728 </w:t>
            </w:r>
            <w:hyperlink r:id="rId12" w:history="1">
              <w:r w:rsidR="00997F08" w:rsidRPr="00651059">
                <w:rPr>
                  <w:rStyle w:val="Hyperlink"/>
                </w:rPr>
                <w:t>Tim.Carlton@cgc.gov.au</w:t>
              </w:r>
            </w:hyperlink>
          </w:p>
        </w:tc>
      </w:tr>
      <w:tr w:rsidR="000E4971" w:rsidRPr="00970E6D" w14:paraId="3CD836B9" w14:textId="77777777" w:rsidTr="00195A2B">
        <w:tc>
          <w:tcPr>
            <w:tcW w:w="1605" w:type="pct"/>
            <w:tcBorders>
              <w:top w:val="single" w:sz="4" w:space="0" w:color="auto"/>
              <w:left w:val="single" w:sz="4" w:space="0" w:color="auto"/>
              <w:bottom w:val="single" w:sz="4" w:space="0" w:color="auto"/>
              <w:right w:val="single" w:sz="4" w:space="0" w:color="auto"/>
            </w:tcBorders>
          </w:tcPr>
          <w:p w14:paraId="4D83395D" w14:textId="77777777" w:rsidR="000E4971" w:rsidRPr="00970E6D" w:rsidRDefault="000E4971" w:rsidP="00195A2B">
            <w:pPr>
              <w:tabs>
                <w:tab w:val="clear" w:pos="567"/>
              </w:tabs>
            </w:pPr>
            <w:r w:rsidRPr="00970E6D">
              <w:t>Submissions sought by</w:t>
            </w:r>
          </w:p>
        </w:tc>
        <w:tc>
          <w:tcPr>
            <w:tcW w:w="3395" w:type="pct"/>
            <w:tcBorders>
              <w:top w:val="single" w:sz="4" w:space="0" w:color="auto"/>
              <w:left w:val="single" w:sz="4" w:space="0" w:color="auto"/>
              <w:bottom w:val="single" w:sz="4" w:space="0" w:color="auto"/>
              <w:right w:val="single" w:sz="4" w:space="0" w:color="auto"/>
            </w:tcBorders>
          </w:tcPr>
          <w:p w14:paraId="333CC181" w14:textId="03F3C29F" w:rsidR="000E4971" w:rsidRPr="00970E6D" w:rsidRDefault="0017754A" w:rsidP="00195A2B">
            <w:pPr>
              <w:tabs>
                <w:tab w:val="clear" w:pos="567"/>
              </w:tabs>
            </w:pPr>
            <w:r>
              <w:t>2 October 2020</w:t>
            </w:r>
            <w:r>
              <w:br/>
            </w:r>
            <w:r w:rsidR="00A910E5">
              <w:t>Please upload s</w:t>
            </w:r>
            <w:r w:rsidR="000E4971" w:rsidRPr="00970E6D">
              <w:t xml:space="preserve">ubmissions </w:t>
            </w:r>
            <w:r w:rsidR="00A910E5">
              <w:t>to your</w:t>
            </w:r>
            <w:r w:rsidR="008A6DC3">
              <w:t xml:space="preserve"> </w:t>
            </w:r>
            <w:r w:rsidR="000E31E4">
              <w:t>S</w:t>
            </w:r>
            <w:r w:rsidR="008A6DC3">
              <w:t>tate</w:t>
            </w:r>
            <w:r w:rsidR="00A910E5">
              <w:t>’s</w:t>
            </w:r>
            <w:r w:rsidR="00197E07">
              <w:t xml:space="preserve"> CGC engagement channel. </w:t>
            </w:r>
            <w:r w:rsidR="00A910E5">
              <w:br/>
            </w:r>
            <w:r w:rsidR="000E4971" w:rsidRPr="00970E6D">
              <w:t xml:space="preserve">Submissions of more than </w:t>
            </w:r>
            <w:r w:rsidR="000E4971">
              <w:t>10</w:t>
            </w:r>
            <w:r w:rsidR="000E4971" w:rsidRPr="00970E6D">
              <w:t xml:space="preserve"> pages in length should include a summary section.</w:t>
            </w:r>
          </w:p>
        </w:tc>
      </w:tr>
      <w:tr w:rsidR="000E4971" w:rsidRPr="00970E6D" w14:paraId="00468194" w14:textId="77777777" w:rsidTr="00195A2B">
        <w:tc>
          <w:tcPr>
            <w:tcW w:w="1605" w:type="pct"/>
            <w:tcBorders>
              <w:top w:val="single" w:sz="4" w:space="0" w:color="auto"/>
              <w:left w:val="single" w:sz="4" w:space="0" w:color="auto"/>
              <w:bottom w:val="single" w:sz="4" w:space="0" w:color="auto"/>
              <w:right w:val="single" w:sz="4" w:space="0" w:color="auto"/>
            </w:tcBorders>
          </w:tcPr>
          <w:p w14:paraId="4DB82E46" w14:textId="77777777" w:rsidR="000E4971" w:rsidRPr="00970E6D" w:rsidRDefault="000E4971" w:rsidP="00195A2B">
            <w:pPr>
              <w:tabs>
                <w:tab w:val="clear" w:pos="567"/>
              </w:tabs>
            </w:pPr>
            <w:r w:rsidRPr="00970E6D">
              <w:t>Confidential material</w:t>
            </w:r>
          </w:p>
        </w:tc>
        <w:tc>
          <w:tcPr>
            <w:tcW w:w="3395" w:type="pct"/>
            <w:tcBorders>
              <w:top w:val="single" w:sz="4" w:space="0" w:color="auto"/>
              <w:left w:val="single" w:sz="4" w:space="0" w:color="auto"/>
              <w:bottom w:val="single" w:sz="4" w:space="0" w:color="auto"/>
              <w:right w:val="single" w:sz="4" w:space="0" w:color="auto"/>
            </w:tcBorders>
          </w:tcPr>
          <w:p w14:paraId="2DD40FD1" w14:textId="5587A3F8" w:rsidR="000E4971" w:rsidRPr="00CF1294" w:rsidRDefault="000E4971" w:rsidP="00195A2B">
            <w:pPr>
              <w:tabs>
                <w:tab w:val="clear" w:pos="567"/>
              </w:tabs>
            </w:pPr>
            <w:r w:rsidRPr="00CF1294">
              <w:t xml:space="preserve">It is the </w:t>
            </w:r>
            <w:r w:rsidR="00917D7D">
              <w:t>C</w:t>
            </w:r>
            <w:r w:rsidRPr="00CF1294">
              <w:t xml:space="preserve">ommission’s normal practice to make State submissions available on its website under the CC BY licence, allowing free use of content by third parties. </w:t>
            </w:r>
          </w:p>
          <w:p w14:paraId="3B6F9D57" w14:textId="77777777" w:rsidR="000E4971" w:rsidRPr="00CF1294" w:rsidRDefault="000E4971" w:rsidP="00195A2B">
            <w:pPr>
              <w:tabs>
                <w:tab w:val="clear" w:pos="567"/>
              </w:tabs>
            </w:pPr>
            <w:r w:rsidRPr="00CF1294">
              <w:rPr>
                <w:noProof/>
                <w:lang w:eastAsia="en-AU"/>
              </w:rPr>
              <w:drawing>
                <wp:inline distT="0" distB="0" distL="0" distR="0" wp14:anchorId="162E54A9" wp14:editId="0A72937E">
                  <wp:extent cx="828675" cy="295275"/>
                  <wp:effectExtent l="19050" t="0" r="9525" b="0"/>
                  <wp:docPr id="3" name="Picture 1"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3"/>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14:paraId="43F3F955" w14:textId="57B5CB77" w:rsidR="000E4971" w:rsidRPr="00CF1294" w:rsidRDefault="000E4971" w:rsidP="00195A2B">
            <w:pPr>
              <w:tabs>
                <w:tab w:val="clear" w:pos="567"/>
              </w:tabs>
            </w:pPr>
            <w:r w:rsidRPr="00CF1294">
              <w:t xml:space="preserve">Further information on the CC BY licence </w:t>
            </w:r>
            <w:r w:rsidR="00EF4D79">
              <w:t>is available at</w:t>
            </w:r>
            <w:r w:rsidR="006D3D61">
              <w:br/>
            </w:r>
            <w:hyperlink r:id="rId14" w:history="1">
              <w:r w:rsidR="00BB54A6" w:rsidRPr="00BB54A6">
                <w:rPr>
                  <w:rStyle w:val="Hyperlink"/>
                  <w:lang w:val="en-US"/>
                </w:rPr>
                <w:t>Creative Commons Attribution 4.0</w:t>
              </w:r>
            </w:hyperlink>
            <w:r w:rsidR="00BB54A6" w:rsidRPr="00BB54A6">
              <w:rPr>
                <w:lang w:val="en-US"/>
              </w:rPr>
              <w:t xml:space="preserve"> (https://creativecommons.org/licenses/by/4.0/) licence.</w:t>
            </w:r>
          </w:p>
          <w:p w14:paraId="01B10CD9" w14:textId="77777777" w:rsidR="000E4971" w:rsidRPr="00970E6D" w:rsidRDefault="000E4971" w:rsidP="00195A2B">
            <w:pPr>
              <w:tabs>
                <w:tab w:val="clear" w:pos="567"/>
              </w:tabs>
            </w:pPr>
            <w:r w:rsidRPr="00CF1294">
              <w:t>Confidential material contained in submissions must be clearly identified or included in separate attachment/s, and details provided in the covering email. Identified confidential material will not be published on the commission’s website.</w:t>
            </w:r>
          </w:p>
        </w:tc>
      </w:tr>
    </w:tbl>
    <w:p w14:paraId="2BE5CCB5" w14:textId="77777777" w:rsidR="000E4971" w:rsidRPr="00970E6D" w:rsidRDefault="000E4971" w:rsidP="000E4971">
      <w:pPr>
        <w:tabs>
          <w:tab w:val="clear" w:pos="567"/>
        </w:tabs>
        <w:sectPr w:rsidR="000E4971" w:rsidRPr="00970E6D" w:rsidSect="00195A2B">
          <w:headerReference w:type="first" r:id="rId15"/>
          <w:footerReference w:type="first" r:id="rId16"/>
          <w:pgSz w:w="11899" w:h="16840" w:code="9"/>
          <w:pgMar w:top="1418" w:right="1474" w:bottom="1418" w:left="1474" w:header="709" w:footer="709" w:gutter="0"/>
          <w:cols w:space="708"/>
          <w:titlePg/>
          <w:docGrid w:linePitch="299"/>
        </w:sectPr>
      </w:pPr>
    </w:p>
    <w:p w14:paraId="017CB7F9" w14:textId="77777777" w:rsidR="001E6379" w:rsidRDefault="00B936B2" w:rsidP="000E491E">
      <w:pPr>
        <w:pStyle w:val="TOCtitle"/>
        <w:rPr>
          <w:noProof/>
        </w:rPr>
      </w:pPr>
      <w:bookmarkStart w:id="9" w:name="_Toc106707122"/>
      <w:bookmarkStart w:id="10" w:name="_Toc155675722"/>
      <w:bookmarkStart w:id="11" w:name="_Toc155675934"/>
      <w:bookmarkStart w:id="12" w:name="_Toc155675975"/>
      <w:bookmarkStart w:id="13" w:name="_Toc155676245"/>
      <w:bookmarkStart w:id="14" w:name="_Toc174415768"/>
      <w:bookmarkEnd w:id="0"/>
      <w:r w:rsidRPr="00E674AF">
        <w:lastRenderedPageBreak/>
        <w:t>C</w:t>
      </w:r>
      <w:bookmarkEnd w:id="9"/>
      <w:bookmarkEnd w:id="10"/>
      <w:bookmarkEnd w:id="11"/>
      <w:bookmarkEnd w:id="12"/>
      <w:bookmarkEnd w:id="13"/>
      <w:bookmarkEnd w:id="14"/>
      <w:r>
        <w:t>ontents</w:t>
      </w:r>
      <w:r>
        <w:rPr>
          <w:rFonts w:ascii="Open Sans" w:hAnsi="Open Sans"/>
          <w:b/>
          <w:bCs/>
          <w:color w:val="636466"/>
          <w:szCs w:val="20"/>
        </w:rPr>
        <w:fldChar w:fldCharType="begin"/>
      </w:r>
      <w:r>
        <w:instrText xml:space="preserve"> TOC \f \h \z \u \t "Heading 2,1,Heading 3,1,Heading 4,3" </w:instrText>
      </w:r>
      <w:r>
        <w:rPr>
          <w:rFonts w:ascii="Open Sans" w:hAnsi="Open Sans"/>
          <w:b/>
          <w:bCs/>
          <w:color w:val="636466"/>
          <w:szCs w:val="20"/>
        </w:rPr>
        <w:fldChar w:fldCharType="separate"/>
      </w:r>
    </w:p>
    <w:p w14:paraId="28AA8B4C" w14:textId="3208DAFE" w:rsidR="001E6379" w:rsidRDefault="00233B5E">
      <w:pPr>
        <w:pStyle w:val="TOC1"/>
        <w:rPr>
          <w:rFonts w:asciiTheme="minorHAnsi" w:eastAsiaTheme="minorEastAsia" w:hAnsiTheme="minorHAnsi"/>
          <w:b w:val="0"/>
          <w:bCs w:val="0"/>
          <w:noProof/>
          <w:color w:val="auto"/>
          <w:sz w:val="22"/>
          <w:szCs w:val="22"/>
          <w:lang w:eastAsia="en-AU"/>
        </w:rPr>
      </w:pPr>
      <w:hyperlink w:anchor="_Toc49170275" w:history="1">
        <w:r w:rsidR="001E6379" w:rsidRPr="00DB3580">
          <w:rPr>
            <w:rStyle w:val="Hyperlink"/>
            <w:noProof/>
          </w:rPr>
          <w:t>Background</w:t>
        </w:r>
        <w:r w:rsidR="001E6379">
          <w:rPr>
            <w:noProof/>
            <w:webHidden/>
          </w:rPr>
          <w:tab/>
        </w:r>
        <w:r w:rsidR="001E6379">
          <w:rPr>
            <w:noProof/>
            <w:webHidden/>
          </w:rPr>
          <w:fldChar w:fldCharType="begin"/>
        </w:r>
        <w:r w:rsidR="001E6379">
          <w:rPr>
            <w:noProof/>
            <w:webHidden/>
          </w:rPr>
          <w:instrText xml:space="preserve"> PAGEREF _Toc49170275 \h </w:instrText>
        </w:r>
        <w:r w:rsidR="001E6379">
          <w:rPr>
            <w:noProof/>
            <w:webHidden/>
          </w:rPr>
        </w:r>
        <w:r w:rsidR="001E6379">
          <w:rPr>
            <w:noProof/>
            <w:webHidden/>
          </w:rPr>
          <w:fldChar w:fldCharType="separate"/>
        </w:r>
        <w:r w:rsidR="00A46D6F">
          <w:rPr>
            <w:noProof/>
            <w:webHidden/>
          </w:rPr>
          <w:t>1</w:t>
        </w:r>
        <w:r w:rsidR="001E6379">
          <w:rPr>
            <w:noProof/>
            <w:webHidden/>
          </w:rPr>
          <w:fldChar w:fldCharType="end"/>
        </w:r>
      </w:hyperlink>
    </w:p>
    <w:p w14:paraId="31AEB329" w14:textId="04D7FD85" w:rsidR="001E6379" w:rsidRDefault="00233B5E">
      <w:pPr>
        <w:pStyle w:val="TOC1"/>
        <w:rPr>
          <w:rFonts w:asciiTheme="minorHAnsi" w:eastAsiaTheme="minorEastAsia" w:hAnsiTheme="minorHAnsi"/>
          <w:b w:val="0"/>
          <w:bCs w:val="0"/>
          <w:noProof/>
          <w:color w:val="auto"/>
          <w:sz w:val="22"/>
          <w:szCs w:val="22"/>
          <w:lang w:eastAsia="en-AU"/>
        </w:rPr>
      </w:pPr>
      <w:hyperlink w:anchor="_Toc49170276" w:history="1">
        <w:r w:rsidR="001E6379" w:rsidRPr="00DB3580">
          <w:rPr>
            <w:rStyle w:val="Hyperlink"/>
            <w:noProof/>
          </w:rPr>
          <w:t>Response to the COVID-19 pandemic</w:t>
        </w:r>
        <w:r w:rsidR="001E6379">
          <w:rPr>
            <w:noProof/>
            <w:webHidden/>
          </w:rPr>
          <w:tab/>
        </w:r>
        <w:r w:rsidR="001E6379">
          <w:rPr>
            <w:noProof/>
            <w:webHidden/>
          </w:rPr>
          <w:fldChar w:fldCharType="begin"/>
        </w:r>
        <w:r w:rsidR="001E6379">
          <w:rPr>
            <w:noProof/>
            <w:webHidden/>
          </w:rPr>
          <w:instrText xml:space="preserve"> PAGEREF _Toc49170276 \h </w:instrText>
        </w:r>
        <w:r w:rsidR="001E6379">
          <w:rPr>
            <w:noProof/>
            <w:webHidden/>
          </w:rPr>
        </w:r>
        <w:r w:rsidR="001E6379">
          <w:rPr>
            <w:noProof/>
            <w:webHidden/>
          </w:rPr>
          <w:fldChar w:fldCharType="separate"/>
        </w:r>
        <w:r w:rsidR="00A46D6F">
          <w:rPr>
            <w:noProof/>
            <w:webHidden/>
          </w:rPr>
          <w:t>1</w:t>
        </w:r>
        <w:r w:rsidR="001E6379">
          <w:rPr>
            <w:noProof/>
            <w:webHidden/>
          </w:rPr>
          <w:fldChar w:fldCharType="end"/>
        </w:r>
      </w:hyperlink>
    </w:p>
    <w:p w14:paraId="161BF4FD" w14:textId="55D42DB3" w:rsidR="001E6379" w:rsidRDefault="00233B5E">
      <w:pPr>
        <w:pStyle w:val="TOC3"/>
        <w:rPr>
          <w:rFonts w:asciiTheme="minorHAnsi" w:eastAsiaTheme="minorEastAsia" w:hAnsiTheme="minorHAnsi"/>
          <w:bCs w:val="0"/>
          <w:iCs w:val="0"/>
          <w:noProof/>
          <w:color w:val="auto"/>
          <w:sz w:val="22"/>
          <w:szCs w:val="22"/>
          <w:lang w:eastAsia="en-AU"/>
        </w:rPr>
      </w:pPr>
      <w:hyperlink w:anchor="_Toc49170277" w:history="1">
        <w:r w:rsidR="001E6379" w:rsidRPr="00DB3580">
          <w:rPr>
            <w:rStyle w:val="Hyperlink"/>
            <w:noProof/>
          </w:rPr>
          <w:t>Policy differences</w:t>
        </w:r>
        <w:r w:rsidR="001E6379">
          <w:rPr>
            <w:noProof/>
            <w:webHidden/>
          </w:rPr>
          <w:tab/>
        </w:r>
        <w:r w:rsidR="001E6379">
          <w:rPr>
            <w:noProof/>
            <w:webHidden/>
          </w:rPr>
          <w:fldChar w:fldCharType="begin"/>
        </w:r>
        <w:r w:rsidR="001E6379">
          <w:rPr>
            <w:noProof/>
            <w:webHidden/>
          </w:rPr>
          <w:instrText xml:space="preserve"> PAGEREF _Toc49170277 \h </w:instrText>
        </w:r>
        <w:r w:rsidR="001E6379">
          <w:rPr>
            <w:noProof/>
            <w:webHidden/>
          </w:rPr>
        </w:r>
        <w:r w:rsidR="001E6379">
          <w:rPr>
            <w:noProof/>
            <w:webHidden/>
          </w:rPr>
          <w:fldChar w:fldCharType="separate"/>
        </w:r>
        <w:r w:rsidR="00A46D6F">
          <w:rPr>
            <w:noProof/>
            <w:webHidden/>
          </w:rPr>
          <w:t>1</w:t>
        </w:r>
        <w:r w:rsidR="001E6379">
          <w:rPr>
            <w:noProof/>
            <w:webHidden/>
          </w:rPr>
          <w:fldChar w:fldCharType="end"/>
        </w:r>
      </w:hyperlink>
    </w:p>
    <w:p w14:paraId="49925BDF" w14:textId="79825536" w:rsidR="001E6379" w:rsidRDefault="00233B5E">
      <w:pPr>
        <w:pStyle w:val="TOC3"/>
        <w:rPr>
          <w:rFonts w:asciiTheme="minorHAnsi" w:eastAsiaTheme="minorEastAsia" w:hAnsiTheme="minorHAnsi"/>
          <w:bCs w:val="0"/>
          <w:iCs w:val="0"/>
          <w:noProof/>
          <w:color w:val="auto"/>
          <w:sz w:val="22"/>
          <w:szCs w:val="22"/>
          <w:lang w:eastAsia="en-AU"/>
        </w:rPr>
      </w:pPr>
      <w:hyperlink w:anchor="_Toc49170278" w:history="1">
        <w:r w:rsidR="001E6379" w:rsidRPr="00DB3580">
          <w:rPr>
            <w:rStyle w:val="Hyperlink"/>
            <w:noProof/>
          </w:rPr>
          <w:t>Method changes</w:t>
        </w:r>
        <w:r w:rsidR="001E6379">
          <w:rPr>
            <w:noProof/>
            <w:webHidden/>
          </w:rPr>
          <w:tab/>
        </w:r>
        <w:r w:rsidR="001E6379">
          <w:rPr>
            <w:noProof/>
            <w:webHidden/>
          </w:rPr>
          <w:fldChar w:fldCharType="begin"/>
        </w:r>
        <w:r w:rsidR="001E6379">
          <w:rPr>
            <w:noProof/>
            <w:webHidden/>
          </w:rPr>
          <w:instrText xml:space="preserve"> PAGEREF _Toc49170278 \h </w:instrText>
        </w:r>
        <w:r w:rsidR="001E6379">
          <w:rPr>
            <w:noProof/>
            <w:webHidden/>
          </w:rPr>
        </w:r>
        <w:r w:rsidR="001E6379">
          <w:rPr>
            <w:noProof/>
            <w:webHidden/>
          </w:rPr>
          <w:fldChar w:fldCharType="separate"/>
        </w:r>
        <w:r w:rsidR="00A46D6F">
          <w:rPr>
            <w:noProof/>
            <w:webHidden/>
          </w:rPr>
          <w:t>2</w:t>
        </w:r>
        <w:r w:rsidR="001E6379">
          <w:rPr>
            <w:noProof/>
            <w:webHidden/>
          </w:rPr>
          <w:fldChar w:fldCharType="end"/>
        </w:r>
      </w:hyperlink>
    </w:p>
    <w:p w14:paraId="0EDB66EC" w14:textId="1E0AA567" w:rsidR="001E6379" w:rsidRDefault="00233B5E">
      <w:pPr>
        <w:pStyle w:val="TOC3"/>
        <w:rPr>
          <w:rFonts w:asciiTheme="minorHAnsi" w:eastAsiaTheme="minorEastAsia" w:hAnsiTheme="minorHAnsi"/>
          <w:bCs w:val="0"/>
          <w:iCs w:val="0"/>
          <w:noProof/>
          <w:color w:val="auto"/>
          <w:sz w:val="22"/>
          <w:szCs w:val="22"/>
          <w:lang w:eastAsia="en-AU"/>
        </w:rPr>
      </w:pPr>
      <w:hyperlink w:anchor="_Toc49170279" w:history="1">
        <w:r w:rsidR="001E6379" w:rsidRPr="00DB3580">
          <w:rPr>
            <w:rStyle w:val="Hyperlink"/>
            <w:noProof/>
            <w:lang w:val="en-GB"/>
          </w:rPr>
          <w:t>Revenue issues</w:t>
        </w:r>
        <w:r w:rsidR="001E6379">
          <w:rPr>
            <w:noProof/>
            <w:webHidden/>
          </w:rPr>
          <w:tab/>
        </w:r>
        <w:r w:rsidR="001E6379">
          <w:rPr>
            <w:noProof/>
            <w:webHidden/>
          </w:rPr>
          <w:fldChar w:fldCharType="begin"/>
        </w:r>
        <w:r w:rsidR="001E6379">
          <w:rPr>
            <w:noProof/>
            <w:webHidden/>
          </w:rPr>
          <w:instrText xml:space="preserve"> PAGEREF _Toc49170279 \h </w:instrText>
        </w:r>
        <w:r w:rsidR="001E6379">
          <w:rPr>
            <w:noProof/>
            <w:webHidden/>
          </w:rPr>
        </w:r>
        <w:r w:rsidR="001E6379">
          <w:rPr>
            <w:noProof/>
            <w:webHidden/>
          </w:rPr>
          <w:fldChar w:fldCharType="separate"/>
        </w:r>
        <w:r w:rsidR="00A46D6F">
          <w:rPr>
            <w:noProof/>
            <w:webHidden/>
          </w:rPr>
          <w:t>2</w:t>
        </w:r>
        <w:r w:rsidR="001E6379">
          <w:rPr>
            <w:noProof/>
            <w:webHidden/>
          </w:rPr>
          <w:fldChar w:fldCharType="end"/>
        </w:r>
      </w:hyperlink>
    </w:p>
    <w:p w14:paraId="120832EB" w14:textId="2E696C52" w:rsidR="001E6379" w:rsidRDefault="00233B5E">
      <w:pPr>
        <w:pStyle w:val="TOC3"/>
        <w:rPr>
          <w:rFonts w:asciiTheme="minorHAnsi" w:eastAsiaTheme="minorEastAsia" w:hAnsiTheme="minorHAnsi"/>
          <w:bCs w:val="0"/>
          <w:iCs w:val="0"/>
          <w:noProof/>
          <w:color w:val="auto"/>
          <w:sz w:val="22"/>
          <w:szCs w:val="22"/>
          <w:lang w:eastAsia="en-AU"/>
        </w:rPr>
      </w:pPr>
      <w:hyperlink w:anchor="_Toc49170280" w:history="1">
        <w:r w:rsidR="001E6379" w:rsidRPr="00DB3580">
          <w:rPr>
            <w:rStyle w:val="Hyperlink"/>
            <w:noProof/>
          </w:rPr>
          <w:t>Expense issues</w:t>
        </w:r>
        <w:r w:rsidR="001E6379">
          <w:rPr>
            <w:noProof/>
            <w:webHidden/>
          </w:rPr>
          <w:tab/>
        </w:r>
        <w:r w:rsidR="001E6379">
          <w:rPr>
            <w:noProof/>
            <w:webHidden/>
          </w:rPr>
          <w:fldChar w:fldCharType="begin"/>
        </w:r>
        <w:r w:rsidR="001E6379">
          <w:rPr>
            <w:noProof/>
            <w:webHidden/>
          </w:rPr>
          <w:instrText xml:space="preserve"> PAGEREF _Toc49170280 \h </w:instrText>
        </w:r>
        <w:r w:rsidR="001E6379">
          <w:rPr>
            <w:noProof/>
            <w:webHidden/>
          </w:rPr>
        </w:r>
        <w:r w:rsidR="001E6379">
          <w:rPr>
            <w:noProof/>
            <w:webHidden/>
          </w:rPr>
          <w:fldChar w:fldCharType="separate"/>
        </w:r>
        <w:r w:rsidR="00A46D6F">
          <w:rPr>
            <w:noProof/>
            <w:webHidden/>
          </w:rPr>
          <w:t>4</w:t>
        </w:r>
        <w:r w:rsidR="001E6379">
          <w:rPr>
            <w:noProof/>
            <w:webHidden/>
          </w:rPr>
          <w:fldChar w:fldCharType="end"/>
        </w:r>
      </w:hyperlink>
    </w:p>
    <w:p w14:paraId="5F962A46" w14:textId="08259339" w:rsidR="001E6379" w:rsidRDefault="00233B5E">
      <w:pPr>
        <w:pStyle w:val="TOC3"/>
        <w:rPr>
          <w:rFonts w:asciiTheme="minorHAnsi" w:eastAsiaTheme="minorEastAsia" w:hAnsiTheme="minorHAnsi"/>
          <w:bCs w:val="0"/>
          <w:iCs w:val="0"/>
          <w:noProof/>
          <w:color w:val="auto"/>
          <w:sz w:val="22"/>
          <w:szCs w:val="22"/>
          <w:lang w:eastAsia="en-AU"/>
        </w:rPr>
      </w:pPr>
      <w:hyperlink w:anchor="_Toc49170281" w:history="1">
        <w:r w:rsidR="001E6379" w:rsidRPr="00DB3580">
          <w:rPr>
            <w:rStyle w:val="Hyperlink"/>
            <w:noProof/>
          </w:rPr>
          <w:t>Recommendations</w:t>
        </w:r>
        <w:r w:rsidR="001E6379">
          <w:rPr>
            <w:noProof/>
            <w:webHidden/>
          </w:rPr>
          <w:tab/>
        </w:r>
        <w:r w:rsidR="001E6379">
          <w:rPr>
            <w:noProof/>
            <w:webHidden/>
          </w:rPr>
          <w:fldChar w:fldCharType="begin"/>
        </w:r>
        <w:r w:rsidR="001E6379">
          <w:rPr>
            <w:noProof/>
            <w:webHidden/>
          </w:rPr>
          <w:instrText xml:space="preserve"> PAGEREF _Toc49170281 \h </w:instrText>
        </w:r>
        <w:r w:rsidR="001E6379">
          <w:rPr>
            <w:noProof/>
            <w:webHidden/>
          </w:rPr>
        </w:r>
        <w:r w:rsidR="001E6379">
          <w:rPr>
            <w:noProof/>
            <w:webHidden/>
          </w:rPr>
          <w:fldChar w:fldCharType="separate"/>
        </w:r>
        <w:r w:rsidR="00A46D6F">
          <w:rPr>
            <w:noProof/>
            <w:webHidden/>
          </w:rPr>
          <w:t>7</w:t>
        </w:r>
        <w:r w:rsidR="001E6379">
          <w:rPr>
            <w:noProof/>
            <w:webHidden/>
          </w:rPr>
          <w:fldChar w:fldCharType="end"/>
        </w:r>
      </w:hyperlink>
    </w:p>
    <w:p w14:paraId="1EE0B585" w14:textId="6B3194C9" w:rsidR="001E6379" w:rsidRDefault="00233B5E">
      <w:pPr>
        <w:pStyle w:val="TOC1"/>
        <w:rPr>
          <w:rFonts w:asciiTheme="minorHAnsi" w:eastAsiaTheme="minorEastAsia" w:hAnsiTheme="minorHAnsi"/>
          <w:b w:val="0"/>
          <w:bCs w:val="0"/>
          <w:noProof/>
          <w:color w:val="auto"/>
          <w:sz w:val="22"/>
          <w:szCs w:val="22"/>
          <w:lang w:eastAsia="en-AU"/>
        </w:rPr>
      </w:pPr>
      <w:hyperlink w:anchor="_Toc49170282" w:history="1">
        <w:r w:rsidR="001E6379" w:rsidRPr="00DB3580">
          <w:rPr>
            <w:rStyle w:val="Hyperlink"/>
            <w:noProof/>
          </w:rPr>
          <w:t>Implementation of the new HFE arrangements for 2021-22</w:t>
        </w:r>
        <w:r w:rsidR="001E6379">
          <w:rPr>
            <w:noProof/>
            <w:webHidden/>
          </w:rPr>
          <w:tab/>
        </w:r>
        <w:r w:rsidR="001E6379">
          <w:rPr>
            <w:noProof/>
            <w:webHidden/>
          </w:rPr>
          <w:fldChar w:fldCharType="begin"/>
        </w:r>
        <w:r w:rsidR="001E6379">
          <w:rPr>
            <w:noProof/>
            <w:webHidden/>
          </w:rPr>
          <w:instrText xml:space="preserve"> PAGEREF _Toc49170282 \h </w:instrText>
        </w:r>
        <w:r w:rsidR="001E6379">
          <w:rPr>
            <w:noProof/>
            <w:webHidden/>
          </w:rPr>
        </w:r>
        <w:r w:rsidR="001E6379">
          <w:rPr>
            <w:noProof/>
            <w:webHidden/>
          </w:rPr>
          <w:fldChar w:fldCharType="separate"/>
        </w:r>
        <w:r w:rsidR="00A46D6F">
          <w:rPr>
            <w:noProof/>
            <w:webHidden/>
          </w:rPr>
          <w:t>8</w:t>
        </w:r>
        <w:r w:rsidR="001E6379">
          <w:rPr>
            <w:noProof/>
            <w:webHidden/>
          </w:rPr>
          <w:fldChar w:fldCharType="end"/>
        </w:r>
      </w:hyperlink>
    </w:p>
    <w:p w14:paraId="2DA06CFC" w14:textId="0C43A4CE" w:rsidR="001E6379" w:rsidRDefault="00233B5E">
      <w:pPr>
        <w:pStyle w:val="TOC3"/>
        <w:rPr>
          <w:rFonts w:asciiTheme="minorHAnsi" w:eastAsiaTheme="minorEastAsia" w:hAnsiTheme="minorHAnsi"/>
          <w:bCs w:val="0"/>
          <w:iCs w:val="0"/>
          <w:noProof/>
          <w:color w:val="auto"/>
          <w:sz w:val="22"/>
          <w:szCs w:val="22"/>
          <w:lang w:eastAsia="en-AU"/>
        </w:rPr>
      </w:pPr>
      <w:hyperlink w:anchor="_Toc49170283" w:history="1">
        <w:r w:rsidR="001E6379" w:rsidRPr="00DB3580">
          <w:rPr>
            <w:rStyle w:val="Hyperlink"/>
            <w:noProof/>
          </w:rPr>
          <w:t>Giving effect to the new legislation</w:t>
        </w:r>
        <w:r w:rsidR="001E6379">
          <w:rPr>
            <w:noProof/>
            <w:webHidden/>
          </w:rPr>
          <w:tab/>
        </w:r>
        <w:r w:rsidR="001E6379">
          <w:rPr>
            <w:noProof/>
            <w:webHidden/>
          </w:rPr>
          <w:fldChar w:fldCharType="begin"/>
        </w:r>
        <w:r w:rsidR="001E6379">
          <w:rPr>
            <w:noProof/>
            <w:webHidden/>
          </w:rPr>
          <w:instrText xml:space="preserve"> PAGEREF _Toc49170283 \h </w:instrText>
        </w:r>
        <w:r w:rsidR="001E6379">
          <w:rPr>
            <w:noProof/>
            <w:webHidden/>
          </w:rPr>
        </w:r>
        <w:r w:rsidR="001E6379">
          <w:rPr>
            <w:noProof/>
            <w:webHidden/>
          </w:rPr>
          <w:fldChar w:fldCharType="separate"/>
        </w:r>
        <w:r w:rsidR="00A46D6F">
          <w:rPr>
            <w:noProof/>
            <w:webHidden/>
          </w:rPr>
          <w:t>9</w:t>
        </w:r>
        <w:r w:rsidR="001E6379">
          <w:rPr>
            <w:noProof/>
            <w:webHidden/>
          </w:rPr>
          <w:fldChar w:fldCharType="end"/>
        </w:r>
      </w:hyperlink>
    </w:p>
    <w:p w14:paraId="7E81C5D3" w14:textId="6063AA3D" w:rsidR="001E6379" w:rsidRDefault="00233B5E">
      <w:pPr>
        <w:pStyle w:val="TOC3"/>
        <w:rPr>
          <w:rFonts w:asciiTheme="minorHAnsi" w:eastAsiaTheme="minorEastAsia" w:hAnsiTheme="minorHAnsi"/>
          <w:bCs w:val="0"/>
          <w:iCs w:val="0"/>
          <w:noProof/>
          <w:color w:val="auto"/>
          <w:sz w:val="22"/>
          <w:szCs w:val="22"/>
          <w:lang w:eastAsia="en-AU"/>
        </w:rPr>
      </w:pPr>
      <w:hyperlink w:anchor="_Toc49170284" w:history="1">
        <w:r w:rsidR="001E6379" w:rsidRPr="00DB3580">
          <w:rPr>
            <w:rStyle w:val="Hyperlink"/>
            <w:noProof/>
          </w:rPr>
          <w:t>Presentation of results</w:t>
        </w:r>
        <w:r w:rsidR="001E6379">
          <w:rPr>
            <w:noProof/>
            <w:webHidden/>
          </w:rPr>
          <w:tab/>
        </w:r>
        <w:r w:rsidR="001E6379">
          <w:rPr>
            <w:noProof/>
            <w:webHidden/>
          </w:rPr>
          <w:fldChar w:fldCharType="begin"/>
        </w:r>
        <w:r w:rsidR="001E6379">
          <w:rPr>
            <w:noProof/>
            <w:webHidden/>
          </w:rPr>
          <w:instrText xml:space="preserve"> PAGEREF _Toc49170284 \h </w:instrText>
        </w:r>
        <w:r w:rsidR="001E6379">
          <w:rPr>
            <w:noProof/>
            <w:webHidden/>
          </w:rPr>
        </w:r>
        <w:r w:rsidR="001E6379">
          <w:rPr>
            <w:noProof/>
            <w:webHidden/>
          </w:rPr>
          <w:fldChar w:fldCharType="separate"/>
        </w:r>
        <w:r w:rsidR="00A46D6F">
          <w:rPr>
            <w:noProof/>
            <w:webHidden/>
          </w:rPr>
          <w:t>10</w:t>
        </w:r>
        <w:r w:rsidR="001E6379">
          <w:rPr>
            <w:noProof/>
            <w:webHidden/>
          </w:rPr>
          <w:fldChar w:fldCharType="end"/>
        </w:r>
      </w:hyperlink>
    </w:p>
    <w:p w14:paraId="538F3E64" w14:textId="521B4828" w:rsidR="001E6379" w:rsidRDefault="00233B5E">
      <w:pPr>
        <w:pStyle w:val="TOC1"/>
        <w:rPr>
          <w:rFonts w:asciiTheme="minorHAnsi" w:eastAsiaTheme="minorEastAsia" w:hAnsiTheme="minorHAnsi"/>
          <w:b w:val="0"/>
          <w:bCs w:val="0"/>
          <w:noProof/>
          <w:color w:val="auto"/>
          <w:sz w:val="22"/>
          <w:szCs w:val="22"/>
          <w:lang w:eastAsia="en-AU"/>
        </w:rPr>
      </w:pPr>
      <w:hyperlink w:anchor="_Toc49170285" w:history="1">
        <w:r w:rsidR="001E6379" w:rsidRPr="00DB3580">
          <w:rPr>
            <w:rStyle w:val="Hyperlink"/>
            <w:noProof/>
          </w:rPr>
          <w:t>New data for the non-admitted patient component</w:t>
        </w:r>
        <w:r w:rsidR="001E6379">
          <w:rPr>
            <w:noProof/>
            <w:webHidden/>
          </w:rPr>
          <w:tab/>
        </w:r>
        <w:r w:rsidR="001E6379">
          <w:rPr>
            <w:noProof/>
            <w:webHidden/>
          </w:rPr>
          <w:fldChar w:fldCharType="begin"/>
        </w:r>
        <w:r w:rsidR="001E6379">
          <w:rPr>
            <w:noProof/>
            <w:webHidden/>
          </w:rPr>
          <w:instrText xml:space="preserve"> PAGEREF _Toc49170285 \h </w:instrText>
        </w:r>
        <w:r w:rsidR="001E6379">
          <w:rPr>
            <w:noProof/>
            <w:webHidden/>
          </w:rPr>
        </w:r>
        <w:r w:rsidR="001E6379">
          <w:rPr>
            <w:noProof/>
            <w:webHidden/>
          </w:rPr>
          <w:fldChar w:fldCharType="separate"/>
        </w:r>
        <w:r w:rsidR="00A46D6F">
          <w:rPr>
            <w:noProof/>
            <w:webHidden/>
          </w:rPr>
          <w:t>10</w:t>
        </w:r>
        <w:r w:rsidR="001E6379">
          <w:rPr>
            <w:noProof/>
            <w:webHidden/>
          </w:rPr>
          <w:fldChar w:fldCharType="end"/>
        </w:r>
      </w:hyperlink>
    </w:p>
    <w:p w14:paraId="39595D38" w14:textId="137F8CB1" w:rsidR="001E6379" w:rsidRDefault="00233B5E">
      <w:pPr>
        <w:pStyle w:val="TOC3"/>
        <w:rPr>
          <w:rFonts w:asciiTheme="minorHAnsi" w:eastAsiaTheme="minorEastAsia" w:hAnsiTheme="minorHAnsi"/>
          <w:bCs w:val="0"/>
          <w:iCs w:val="0"/>
          <w:noProof/>
          <w:color w:val="auto"/>
          <w:sz w:val="22"/>
          <w:szCs w:val="22"/>
          <w:lang w:eastAsia="en-AU"/>
        </w:rPr>
      </w:pPr>
      <w:hyperlink w:anchor="_Toc49170286" w:history="1">
        <w:r w:rsidR="001E6379" w:rsidRPr="00DB3580">
          <w:rPr>
            <w:rStyle w:val="Hyperlink"/>
            <w:noProof/>
          </w:rPr>
          <w:t>Background</w:t>
        </w:r>
        <w:r w:rsidR="001E6379">
          <w:rPr>
            <w:noProof/>
            <w:webHidden/>
          </w:rPr>
          <w:tab/>
        </w:r>
        <w:r w:rsidR="001E6379">
          <w:rPr>
            <w:noProof/>
            <w:webHidden/>
          </w:rPr>
          <w:fldChar w:fldCharType="begin"/>
        </w:r>
        <w:r w:rsidR="001E6379">
          <w:rPr>
            <w:noProof/>
            <w:webHidden/>
          </w:rPr>
          <w:instrText xml:space="preserve"> PAGEREF _Toc49170286 \h </w:instrText>
        </w:r>
        <w:r w:rsidR="001E6379">
          <w:rPr>
            <w:noProof/>
            <w:webHidden/>
          </w:rPr>
        </w:r>
        <w:r w:rsidR="001E6379">
          <w:rPr>
            <w:noProof/>
            <w:webHidden/>
          </w:rPr>
          <w:fldChar w:fldCharType="separate"/>
        </w:r>
        <w:r w:rsidR="00A46D6F">
          <w:rPr>
            <w:noProof/>
            <w:webHidden/>
          </w:rPr>
          <w:t>10</w:t>
        </w:r>
        <w:r w:rsidR="001E6379">
          <w:rPr>
            <w:noProof/>
            <w:webHidden/>
          </w:rPr>
          <w:fldChar w:fldCharType="end"/>
        </w:r>
      </w:hyperlink>
    </w:p>
    <w:p w14:paraId="3459ED7C" w14:textId="395879D8" w:rsidR="001E6379" w:rsidRDefault="00233B5E">
      <w:pPr>
        <w:pStyle w:val="TOC3"/>
        <w:rPr>
          <w:rFonts w:asciiTheme="minorHAnsi" w:eastAsiaTheme="minorEastAsia" w:hAnsiTheme="minorHAnsi"/>
          <w:bCs w:val="0"/>
          <w:iCs w:val="0"/>
          <w:noProof/>
          <w:color w:val="auto"/>
          <w:sz w:val="22"/>
          <w:szCs w:val="22"/>
          <w:lang w:eastAsia="en-AU"/>
        </w:rPr>
      </w:pPr>
      <w:hyperlink w:anchor="_Toc49170287" w:history="1">
        <w:r w:rsidR="001E6379" w:rsidRPr="00DB3580">
          <w:rPr>
            <w:rStyle w:val="Hyperlink"/>
            <w:noProof/>
          </w:rPr>
          <w:t>Overview</w:t>
        </w:r>
        <w:r w:rsidR="001E6379">
          <w:rPr>
            <w:noProof/>
            <w:webHidden/>
          </w:rPr>
          <w:tab/>
        </w:r>
        <w:r w:rsidR="001E6379">
          <w:rPr>
            <w:noProof/>
            <w:webHidden/>
          </w:rPr>
          <w:fldChar w:fldCharType="begin"/>
        </w:r>
        <w:r w:rsidR="001E6379">
          <w:rPr>
            <w:noProof/>
            <w:webHidden/>
          </w:rPr>
          <w:instrText xml:space="preserve"> PAGEREF _Toc49170287 \h </w:instrText>
        </w:r>
        <w:r w:rsidR="001E6379">
          <w:rPr>
            <w:noProof/>
            <w:webHidden/>
          </w:rPr>
        </w:r>
        <w:r w:rsidR="001E6379">
          <w:rPr>
            <w:noProof/>
            <w:webHidden/>
          </w:rPr>
          <w:fldChar w:fldCharType="separate"/>
        </w:r>
        <w:r w:rsidR="00A46D6F">
          <w:rPr>
            <w:noProof/>
            <w:webHidden/>
          </w:rPr>
          <w:t>11</w:t>
        </w:r>
        <w:r w:rsidR="001E6379">
          <w:rPr>
            <w:noProof/>
            <w:webHidden/>
          </w:rPr>
          <w:fldChar w:fldCharType="end"/>
        </w:r>
      </w:hyperlink>
    </w:p>
    <w:p w14:paraId="78F8741A" w14:textId="4E3211ED" w:rsidR="001E6379" w:rsidRDefault="00233B5E">
      <w:pPr>
        <w:pStyle w:val="TOC3"/>
        <w:rPr>
          <w:rFonts w:asciiTheme="minorHAnsi" w:eastAsiaTheme="minorEastAsia" w:hAnsiTheme="minorHAnsi"/>
          <w:bCs w:val="0"/>
          <w:iCs w:val="0"/>
          <w:noProof/>
          <w:color w:val="auto"/>
          <w:sz w:val="22"/>
          <w:szCs w:val="22"/>
          <w:lang w:eastAsia="en-AU"/>
        </w:rPr>
      </w:pPr>
      <w:hyperlink w:anchor="_Toc49170288" w:history="1">
        <w:r w:rsidR="001E6379" w:rsidRPr="00DB3580">
          <w:rPr>
            <w:rStyle w:val="Hyperlink"/>
            <w:noProof/>
          </w:rPr>
          <w:t>Analysis</w:t>
        </w:r>
        <w:r w:rsidR="001E6379">
          <w:rPr>
            <w:noProof/>
            <w:webHidden/>
          </w:rPr>
          <w:tab/>
        </w:r>
        <w:r w:rsidR="001E6379">
          <w:rPr>
            <w:noProof/>
            <w:webHidden/>
          </w:rPr>
          <w:fldChar w:fldCharType="begin"/>
        </w:r>
        <w:r w:rsidR="001E6379">
          <w:rPr>
            <w:noProof/>
            <w:webHidden/>
          </w:rPr>
          <w:instrText xml:space="preserve"> PAGEREF _Toc49170288 \h </w:instrText>
        </w:r>
        <w:r w:rsidR="001E6379">
          <w:rPr>
            <w:noProof/>
            <w:webHidden/>
          </w:rPr>
        </w:r>
        <w:r w:rsidR="001E6379">
          <w:rPr>
            <w:noProof/>
            <w:webHidden/>
          </w:rPr>
          <w:fldChar w:fldCharType="separate"/>
        </w:r>
        <w:r w:rsidR="00A46D6F">
          <w:rPr>
            <w:noProof/>
            <w:webHidden/>
          </w:rPr>
          <w:t>13</w:t>
        </w:r>
        <w:r w:rsidR="001E6379">
          <w:rPr>
            <w:noProof/>
            <w:webHidden/>
          </w:rPr>
          <w:fldChar w:fldCharType="end"/>
        </w:r>
      </w:hyperlink>
    </w:p>
    <w:p w14:paraId="6E8B0347" w14:textId="32EBBC31" w:rsidR="001E6379" w:rsidRDefault="00233B5E">
      <w:pPr>
        <w:pStyle w:val="TOC3"/>
        <w:rPr>
          <w:rFonts w:asciiTheme="minorHAnsi" w:eastAsiaTheme="minorEastAsia" w:hAnsiTheme="minorHAnsi"/>
          <w:bCs w:val="0"/>
          <w:iCs w:val="0"/>
          <w:noProof/>
          <w:color w:val="auto"/>
          <w:sz w:val="22"/>
          <w:szCs w:val="22"/>
          <w:lang w:eastAsia="en-AU"/>
        </w:rPr>
      </w:pPr>
      <w:hyperlink w:anchor="_Toc49170289" w:history="1">
        <w:r w:rsidR="001E6379" w:rsidRPr="00DB3580">
          <w:rPr>
            <w:rStyle w:val="Hyperlink"/>
            <w:noProof/>
          </w:rPr>
          <w:t>Summary and way forward</w:t>
        </w:r>
        <w:r w:rsidR="001E6379">
          <w:rPr>
            <w:noProof/>
            <w:webHidden/>
          </w:rPr>
          <w:tab/>
        </w:r>
        <w:r w:rsidR="001E6379">
          <w:rPr>
            <w:noProof/>
            <w:webHidden/>
          </w:rPr>
          <w:fldChar w:fldCharType="begin"/>
        </w:r>
        <w:r w:rsidR="001E6379">
          <w:rPr>
            <w:noProof/>
            <w:webHidden/>
          </w:rPr>
          <w:instrText xml:space="preserve"> PAGEREF _Toc49170289 \h </w:instrText>
        </w:r>
        <w:r w:rsidR="001E6379">
          <w:rPr>
            <w:noProof/>
            <w:webHidden/>
          </w:rPr>
        </w:r>
        <w:r w:rsidR="001E6379">
          <w:rPr>
            <w:noProof/>
            <w:webHidden/>
          </w:rPr>
          <w:fldChar w:fldCharType="separate"/>
        </w:r>
        <w:r w:rsidR="00A46D6F">
          <w:rPr>
            <w:noProof/>
            <w:webHidden/>
          </w:rPr>
          <w:t>19</w:t>
        </w:r>
        <w:r w:rsidR="001E6379">
          <w:rPr>
            <w:noProof/>
            <w:webHidden/>
          </w:rPr>
          <w:fldChar w:fldCharType="end"/>
        </w:r>
      </w:hyperlink>
    </w:p>
    <w:p w14:paraId="6609A21E" w14:textId="3617771E" w:rsidR="001E6379" w:rsidRDefault="00233B5E">
      <w:pPr>
        <w:pStyle w:val="TOC3"/>
        <w:rPr>
          <w:rFonts w:asciiTheme="minorHAnsi" w:eastAsiaTheme="minorEastAsia" w:hAnsiTheme="minorHAnsi"/>
          <w:bCs w:val="0"/>
          <w:iCs w:val="0"/>
          <w:noProof/>
          <w:color w:val="auto"/>
          <w:sz w:val="22"/>
          <w:szCs w:val="22"/>
          <w:lang w:eastAsia="en-AU"/>
        </w:rPr>
      </w:pPr>
      <w:hyperlink w:anchor="_Toc49170290" w:history="1">
        <w:r w:rsidR="001E6379" w:rsidRPr="00DB3580">
          <w:rPr>
            <w:rStyle w:val="Hyperlink"/>
            <w:noProof/>
          </w:rPr>
          <w:t>Recommendation</w:t>
        </w:r>
        <w:r w:rsidR="001E6379">
          <w:rPr>
            <w:noProof/>
            <w:webHidden/>
          </w:rPr>
          <w:tab/>
        </w:r>
        <w:r w:rsidR="001E6379">
          <w:rPr>
            <w:noProof/>
            <w:webHidden/>
          </w:rPr>
          <w:fldChar w:fldCharType="begin"/>
        </w:r>
        <w:r w:rsidR="001E6379">
          <w:rPr>
            <w:noProof/>
            <w:webHidden/>
          </w:rPr>
          <w:instrText xml:space="preserve"> PAGEREF _Toc49170290 \h </w:instrText>
        </w:r>
        <w:r w:rsidR="001E6379">
          <w:rPr>
            <w:noProof/>
            <w:webHidden/>
          </w:rPr>
        </w:r>
        <w:r w:rsidR="001E6379">
          <w:rPr>
            <w:noProof/>
            <w:webHidden/>
          </w:rPr>
          <w:fldChar w:fldCharType="separate"/>
        </w:r>
        <w:r w:rsidR="00A46D6F">
          <w:rPr>
            <w:noProof/>
            <w:webHidden/>
          </w:rPr>
          <w:t>20</w:t>
        </w:r>
        <w:r w:rsidR="001E6379">
          <w:rPr>
            <w:noProof/>
            <w:webHidden/>
          </w:rPr>
          <w:fldChar w:fldCharType="end"/>
        </w:r>
      </w:hyperlink>
    </w:p>
    <w:p w14:paraId="1A9D4553" w14:textId="176BCFBB" w:rsidR="001E6379" w:rsidRDefault="00233B5E">
      <w:pPr>
        <w:pStyle w:val="TOC1"/>
        <w:rPr>
          <w:rFonts w:asciiTheme="minorHAnsi" w:eastAsiaTheme="minorEastAsia" w:hAnsiTheme="minorHAnsi"/>
          <w:b w:val="0"/>
          <w:bCs w:val="0"/>
          <w:noProof/>
          <w:color w:val="auto"/>
          <w:sz w:val="22"/>
          <w:szCs w:val="22"/>
          <w:lang w:eastAsia="en-AU"/>
        </w:rPr>
      </w:pPr>
      <w:hyperlink w:anchor="_Toc49170291" w:history="1">
        <w:r w:rsidR="001E6379" w:rsidRPr="00DB3580">
          <w:rPr>
            <w:rStyle w:val="Hyperlink"/>
            <w:noProof/>
          </w:rPr>
          <w:t>Revisions to stamp duty on conveyances and land tax data</w:t>
        </w:r>
        <w:r w:rsidR="001E6379">
          <w:rPr>
            <w:noProof/>
            <w:webHidden/>
          </w:rPr>
          <w:tab/>
        </w:r>
        <w:r w:rsidR="001E6379">
          <w:rPr>
            <w:noProof/>
            <w:webHidden/>
          </w:rPr>
          <w:fldChar w:fldCharType="begin"/>
        </w:r>
        <w:r w:rsidR="001E6379">
          <w:rPr>
            <w:noProof/>
            <w:webHidden/>
          </w:rPr>
          <w:instrText xml:space="preserve"> PAGEREF _Toc49170291 \h </w:instrText>
        </w:r>
        <w:r w:rsidR="001E6379">
          <w:rPr>
            <w:noProof/>
            <w:webHidden/>
          </w:rPr>
        </w:r>
        <w:r w:rsidR="001E6379">
          <w:rPr>
            <w:noProof/>
            <w:webHidden/>
          </w:rPr>
          <w:fldChar w:fldCharType="separate"/>
        </w:r>
        <w:r w:rsidR="00A46D6F">
          <w:rPr>
            <w:noProof/>
            <w:webHidden/>
          </w:rPr>
          <w:t>20</w:t>
        </w:r>
        <w:r w:rsidR="001E6379">
          <w:rPr>
            <w:noProof/>
            <w:webHidden/>
          </w:rPr>
          <w:fldChar w:fldCharType="end"/>
        </w:r>
      </w:hyperlink>
    </w:p>
    <w:p w14:paraId="1E792E43" w14:textId="74851F65" w:rsidR="001E6379" w:rsidRDefault="00233B5E">
      <w:pPr>
        <w:pStyle w:val="TOC3"/>
        <w:rPr>
          <w:rFonts w:asciiTheme="minorHAnsi" w:eastAsiaTheme="minorEastAsia" w:hAnsiTheme="minorHAnsi"/>
          <w:bCs w:val="0"/>
          <w:iCs w:val="0"/>
          <w:noProof/>
          <w:color w:val="auto"/>
          <w:sz w:val="22"/>
          <w:szCs w:val="22"/>
          <w:lang w:eastAsia="en-AU"/>
        </w:rPr>
      </w:pPr>
      <w:hyperlink w:anchor="_Toc49170292" w:history="1">
        <w:r w:rsidR="001E6379" w:rsidRPr="00DB3580">
          <w:rPr>
            <w:rStyle w:val="Hyperlink"/>
            <w:noProof/>
          </w:rPr>
          <w:t>Recommendations</w:t>
        </w:r>
        <w:r w:rsidR="001E6379">
          <w:rPr>
            <w:noProof/>
            <w:webHidden/>
          </w:rPr>
          <w:tab/>
        </w:r>
        <w:r w:rsidR="001E6379">
          <w:rPr>
            <w:noProof/>
            <w:webHidden/>
          </w:rPr>
          <w:fldChar w:fldCharType="begin"/>
        </w:r>
        <w:r w:rsidR="001E6379">
          <w:rPr>
            <w:noProof/>
            <w:webHidden/>
          </w:rPr>
          <w:instrText xml:space="preserve"> PAGEREF _Toc49170292 \h </w:instrText>
        </w:r>
        <w:r w:rsidR="001E6379">
          <w:rPr>
            <w:noProof/>
            <w:webHidden/>
          </w:rPr>
        </w:r>
        <w:r w:rsidR="001E6379">
          <w:rPr>
            <w:noProof/>
            <w:webHidden/>
          </w:rPr>
          <w:fldChar w:fldCharType="separate"/>
        </w:r>
        <w:r w:rsidR="00A46D6F">
          <w:rPr>
            <w:noProof/>
            <w:webHidden/>
          </w:rPr>
          <w:t>21</w:t>
        </w:r>
        <w:r w:rsidR="001E6379">
          <w:rPr>
            <w:noProof/>
            <w:webHidden/>
          </w:rPr>
          <w:fldChar w:fldCharType="end"/>
        </w:r>
      </w:hyperlink>
    </w:p>
    <w:p w14:paraId="29F08128" w14:textId="0571A43D" w:rsidR="001E6379" w:rsidRDefault="00233B5E">
      <w:pPr>
        <w:pStyle w:val="TOC1"/>
        <w:rPr>
          <w:rFonts w:asciiTheme="minorHAnsi" w:eastAsiaTheme="minorEastAsia" w:hAnsiTheme="minorHAnsi"/>
          <w:b w:val="0"/>
          <w:bCs w:val="0"/>
          <w:noProof/>
          <w:color w:val="auto"/>
          <w:sz w:val="22"/>
          <w:szCs w:val="22"/>
          <w:lang w:eastAsia="en-AU"/>
        </w:rPr>
      </w:pPr>
      <w:hyperlink w:anchor="_Toc49170293" w:history="1">
        <w:r w:rsidR="001E6379" w:rsidRPr="00DB3580">
          <w:rPr>
            <w:rStyle w:val="Hyperlink"/>
            <w:noProof/>
          </w:rPr>
          <w:t>Revised data in the wage costs assessment</w:t>
        </w:r>
        <w:r w:rsidR="001E6379">
          <w:rPr>
            <w:noProof/>
            <w:webHidden/>
          </w:rPr>
          <w:tab/>
        </w:r>
        <w:r w:rsidR="001E6379">
          <w:rPr>
            <w:noProof/>
            <w:webHidden/>
          </w:rPr>
          <w:fldChar w:fldCharType="begin"/>
        </w:r>
        <w:r w:rsidR="001E6379">
          <w:rPr>
            <w:noProof/>
            <w:webHidden/>
          </w:rPr>
          <w:instrText xml:space="preserve"> PAGEREF _Toc49170293 \h </w:instrText>
        </w:r>
        <w:r w:rsidR="001E6379">
          <w:rPr>
            <w:noProof/>
            <w:webHidden/>
          </w:rPr>
        </w:r>
        <w:r w:rsidR="001E6379">
          <w:rPr>
            <w:noProof/>
            <w:webHidden/>
          </w:rPr>
          <w:fldChar w:fldCharType="separate"/>
        </w:r>
        <w:r w:rsidR="00A46D6F">
          <w:rPr>
            <w:noProof/>
            <w:webHidden/>
          </w:rPr>
          <w:t>21</w:t>
        </w:r>
        <w:r w:rsidR="001E6379">
          <w:rPr>
            <w:noProof/>
            <w:webHidden/>
          </w:rPr>
          <w:fldChar w:fldCharType="end"/>
        </w:r>
      </w:hyperlink>
    </w:p>
    <w:p w14:paraId="0A979395" w14:textId="369A116A" w:rsidR="001E6379" w:rsidRDefault="00233B5E">
      <w:pPr>
        <w:pStyle w:val="TOC3"/>
        <w:rPr>
          <w:rFonts w:asciiTheme="minorHAnsi" w:eastAsiaTheme="minorEastAsia" w:hAnsiTheme="minorHAnsi"/>
          <w:bCs w:val="0"/>
          <w:iCs w:val="0"/>
          <w:noProof/>
          <w:color w:val="auto"/>
          <w:sz w:val="22"/>
          <w:szCs w:val="22"/>
          <w:lang w:eastAsia="en-AU"/>
        </w:rPr>
      </w:pPr>
      <w:hyperlink w:anchor="_Toc49170294" w:history="1">
        <w:r w:rsidR="001E6379" w:rsidRPr="00DB3580">
          <w:rPr>
            <w:rStyle w:val="Hyperlink"/>
            <w:noProof/>
          </w:rPr>
          <w:t>Recommendations</w:t>
        </w:r>
        <w:r w:rsidR="001E6379">
          <w:rPr>
            <w:noProof/>
            <w:webHidden/>
          </w:rPr>
          <w:tab/>
        </w:r>
        <w:r w:rsidR="001E6379">
          <w:rPr>
            <w:noProof/>
            <w:webHidden/>
          </w:rPr>
          <w:fldChar w:fldCharType="begin"/>
        </w:r>
        <w:r w:rsidR="001E6379">
          <w:rPr>
            <w:noProof/>
            <w:webHidden/>
          </w:rPr>
          <w:instrText xml:space="preserve"> PAGEREF _Toc49170294 \h </w:instrText>
        </w:r>
        <w:r w:rsidR="001E6379">
          <w:rPr>
            <w:noProof/>
            <w:webHidden/>
          </w:rPr>
        </w:r>
        <w:r w:rsidR="001E6379">
          <w:rPr>
            <w:noProof/>
            <w:webHidden/>
          </w:rPr>
          <w:fldChar w:fldCharType="separate"/>
        </w:r>
        <w:r w:rsidR="00A46D6F">
          <w:rPr>
            <w:noProof/>
            <w:webHidden/>
          </w:rPr>
          <w:t>22</w:t>
        </w:r>
        <w:r w:rsidR="001E6379">
          <w:rPr>
            <w:noProof/>
            <w:webHidden/>
          </w:rPr>
          <w:fldChar w:fldCharType="end"/>
        </w:r>
      </w:hyperlink>
    </w:p>
    <w:p w14:paraId="74056982" w14:textId="062D3F0A" w:rsidR="001E6379" w:rsidRDefault="00233B5E">
      <w:pPr>
        <w:pStyle w:val="TOC1"/>
        <w:rPr>
          <w:rFonts w:asciiTheme="minorHAnsi" w:eastAsiaTheme="minorEastAsia" w:hAnsiTheme="minorHAnsi"/>
          <w:b w:val="0"/>
          <w:bCs w:val="0"/>
          <w:noProof/>
          <w:color w:val="auto"/>
          <w:sz w:val="22"/>
          <w:szCs w:val="22"/>
          <w:lang w:eastAsia="en-AU"/>
        </w:rPr>
      </w:pPr>
      <w:hyperlink w:anchor="_Toc49170295" w:history="1">
        <w:r w:rsidR="001E6379" w:rsidRPr="00DB3580">
          <w:rPr>
            <w:rStyle w:val="Hyperlink"/>
            <w:noProof/>
          </w:rPr>
          <w:t>Changes to the compilation of the adjusted budget</w:t>
        </w:r>
        <w:r w:rsidR="001E6379">
          <w:rPr>
            <w:noProof/>
            <w:webHidden/>
          </w:rPr>
          <w:tab/>
        </w:r>
        <w:r w:rsidR="001E6379">
          <w:rPr>
            <w:noProof/>
            <w:webHidden/>
          </w:rPr>
          <w:fldChar w:fldCharType="begin"/>
        </w:r>
        <w:r w:rsidR="001E6379">
          <w:rPr>
            <w:noProof/>
            <w:webHidden/>
          </w:rPr>
          <w:instrText xml:space="preserve"> PAGEREF _Toc49170295 \h </w:instrText>
        </w:r>
        <w:r w:rsidR="001E6379">
          <w:rPr>
            <w:noProof/>
            <w:webHidden/>
          </w:rPr>
        </w:r>
        <w:r w:rsidR="001E6379">
          <w:rPr>
            <w:noProof/>
            <w:webHidden/>
          </w:rPr>
          <w:fldChar w:fldCharType="separate"/>
        </w:r>
        <w:r w:rsidR="00A46D6F">
          <w:rPr>
            <w:noProof/>
            <w:webHidden/>
          </w:rPr>
          <w:t>23</w:t>
        </w:r>
        <w:r w:rsidR="001E6379">
          <w:rPr>
            <w:noProof/>
            <w:webHidden/>
          </w:rPr>
          <w:fldChar w:fldCharType="end"/>
        </w:r>
      </w:hyperlink>
    </w:p>
    <w:p w14:paraId="0EAD8AC7" w14:textId="4F0E283D" w:rsidR="001E6379" w:rsidRDefault="00233B5E">
      <w:pPr>
        <w:pStyle w:val="TOC3"/>
        <w:rPr>
          <w:rFonts w:asciiTheme="minorHAnsi" w:eastAsiaTheme="minorEastAsia" w:hAnsiTheme="minorHAnsi"/>
          <w:bCs w:val="0"/>
          <w:iCs w:val="0"/>
          <w:noProof/>
          <w:color w:val="auto"/>
          <w:sz w:val="22"/>
          <w:szCs w:val="22"/>
          <w:lang w:eastAsia="en-AU"/>
        </w:rPr>
      </w:pPr>
      <w:hyperlink w:anchor="_Toc49170296" w:history="1">
        <w:r w:rsidR="001E6379" w:rsidRPr="00DB3580">
          <w:rPr>
            <w:rStyle w:val="Hyperlink"/>
            <w:noProof/>
          </w:rPr>
          <w:t>Recommendations</w:t>
        </w:r>
        <w:r w:rsidR="001E6379">
          <w:rPr>
            <w:noProof/>
            <w:webHidden/>
          </w:rPr>
          <w:tab/>
        </w:r>
        <w:r w:rsidR="001E6379">
          <w:rPr>
            <w:noProof/>
            <w:webHidden/>
          </w:rPr>
          <w:fldChar w:fldCharType="begin"/>
        </w:r>
        <w:r w:rsidR="001E6379">
          <w:rPr>
            <w:noProof/>
            <w:webHidden/>
          </w:rPr>
          <w:instrText xml:space="preserve"> PAGEREF _Toc49170296 \h </w:instrText>
        </w:r>
        <w:r w:rsidR="001E6379">
          <w:rPr>
            <w:noProof/>
            <w:webHidden/>
          </w:rPr>
        </w:r>
        <w:r w:rsidR="001E6379">
          <w:rPr>
            <w:noProof/>
            <w:webHidden/>
          </w:rPr>
          <w:fldChar w:fldCharType="separate"/>
        </w:r>
        <w:r w:rsidR="00A46D6F">
          <w:rPr>
            <w:noProof/>
            <w:webHidden/>
          </w:rPr>
          <w:t>24</w:t>
        </w:r>
        <w:r w:rsidR="001E6379">
          <w:rPr>
            <w:noProof/>
            <w:webHidden/>
          </w:rPr>
          <w:fldChar w:fldCharType="end"/>
        </w:r>
      </w:hyperlink>
    </w:p>
    <w:p w14:paraId="32B1B329" w14:textId="11C5924C" w:rsidR="001E6379" w:rsidRDefault="00233B5E">
      <w:pPr>
        <w:pStyle w:val="TOC1"/>
        <w:rPr>
          <w:rFonts w:asciiTheme="minorHAnsi" w:eastAsiaTheme="minorEastAsia" w:hAnsiTheme="minorHAnsi"/>
          <w:b w:val="0"/>
          <w:bCs w:val="0"/>
          <w:noProof/>
          <w:color w:val="auto"/>
          <w:sz w:val="22"/>
          <w:szCs w:val="22"/>
          <w:lang w:eastAsia="en-AU"/>
        </w:rPr>
      </w:pPr>
      <w:hyperlink w:anchor="_Toc49170297" w:history="1">
        <w:r w:rsidR="001E6379" w:rsidRPr="00DB3580">
          <w:rPr>
            <w:rStyle w:val="Hyperlink"/>
            <w:noProof/>
          </w:rPr>
          <w:t>Assessing loans under natural disaster relief expenses</w:t>
        </w:r>
        <w:r w:rsidR="001E6379">
          <w:rPr>
            <w:noProof/>
            <w:webHidden/>
          </w:rPr>
          <w:tab/>
        </w:r>
        <w:r w:rsidR="001E6379">
          <w:rPr>
            <w:noProof/>
            <w:webHidden/>
          </w:rPr>
          <w:fldChar w:fldCharType="begin"/>
        </w:r>
        <w:r w:rsidR="001E6379">
          <w:rPr>
            <w:noProof/>
            <w:webHidden/>
          </w:rPr>
          <w:instrText xml:space="preserve"> PAGEREF _Toc49170297 \h </w:instrText>
        </w:r>
        <w:r w:rsidR="001E6379">
          <w:rPr>
            <w:noProof/>
            <w:webHidden/>
          </w:rPr>
        </w:r>
        <w:r w:rsidR="001E6379">
          <w:rPr>
            <w:noProof/>
            <w:webHidden/>
          </w:rPr>
          <w:fldChar w:fldCharType="separate"/>
        </w:r>
        <w:r w:rsidR="00A46D6F">
          <w:rPr>
            <w:noProof/>
            <w:webHidden/>
          </w:rPr>
          <w:t>24</w:t>
        </w:r>
        <w:r w:rsidR="001E6379">
          <w:rPr>
            <w:noProof/>
            <w:webHidden/>
          </w:rPr>
          <w:fldChar w:fldCharType="end"/>
        </w:r>
      </w:hyperlink>
    </w:p>
    <w:p w14:paraId="6632EE94" w14:textId="47CA7C25" w:rsidR="001E6379" w:rsidRDefault="00233B5E">
      <w:pPr>
        <w:pStyle w:val="TOC3"/>
        <w:rPr>
          <w:rFonts w:asciiTheme="minorHAnsi" w:eastAsiaTheme="minorEastAsia" w:hAnsiTheme="minorHAnsi"/>
          <w:bCs w:val="0"/>
          <w:iCs w:val="0"/>
          <w:noProof/>
          <w:color w:val="auto"/>
          <w:sz w:val="22"/>
          <w:szCs w:val="22"/>
          <w:lang w:eastAsia="en-AU"/>
        </w:rPr>
      </w:pPr>
      <w:hyperlink w:anchor="_Toc49170298" w:history="1">
        <w:r w:rsidR="001E6379" w:rsidRPr="00DB3580">
          <w:rPr>
            <w:rStyle w:val="Hyperlink"/>
            <w:noProof/>
          </w:rPr>
          <w:t>Recommendations</w:t>
        </w:r>
        <w:r w:rsidR="001E6379">
          <w:rPr>
            <w:noProof/>
            <w:webHidden/>
          </w:rPr>
          <w:tab/>
        </w:r>
        <w:r w:rsidR="001E6379">
          <w:rPr>
            <w:noProof/>
            <w:webHidden/>
          </w:rPr>
          <w:fldChar w:fldCharType="begin"/>
        </w:r>
        <w:r w:rsidR="001E6379">
          <w:rPr>
            <w:noProof/>
            <w:webHidden/>
          </w:rPr>
          <w:instrText xml:space="preserve"> PAGEREF _Toc49170298 \h </w:instrText>
        </w:r>
        <w:r w:rsidR="001E6379">
          <w:rPr>
            <w:noProof/>
            <w:webHidden/>
          </w:rPr>
        </w:r>
        <w:r w:rsidR="001E6379">
          <w:rPr>
            <w:noProof/>
            <w:webHidden/>
          </w:rPr>
          <w:fldChar w:fldCharType="separate"/>
        </w:r>
        <w:r w:rsidR="00A46D6F">
          <w:rPr>
            <w:noProof/>
            <w:webHidden/>
          </w:rPr>
          <w:t>25</w:t>
        </w:r>
        <w:r w:rsidR="001E6379">
          <w:rPr>
            <w:noProof/>
            <w:webHidden/>
          </w:rPr>
          <w:fldChar w:fldCharType="end"/>
        </w:r>
      </w:hyperlink>
    </w:p>
    <w:p w14:paraId="5E4ACC0C" w14:textId="502DBCB2" w:rsidR="009E52FC" w:rsidRDefault="00B936B2" w:rsidP="00B936B2">
      <w:pPr>
        <w:tabs>
          <w:tab w:val="clear" w:pos="567"/>
        </w:tabs>
        <w:spacing w:before="0" w:after="200" w:line="276" w:lineRule="auto"/>
      </w:pPr>
      <w:r>
        <w:fldChar w:fldCharType="end"/>
      </w:r>
    </w:p>
    <w:p w14:paraId="09D6A021" w14:textId="77777777" w:rsidR="009E52FC" w:rsidRDefault="009E52FC">
      <w:pPr>
        <w:tabs>
          <w:tab w:val="clear" w:pos="567"/>
        </w:tabs>
        <w:spacing w:before="0" w:after="200" w:line="276" w:lineRule="auto"/>
        <w:sectPr w:rsidR="009E52FC" w:rsidSect="004133B8">
          <w:footerReference w:type="default" r:id="rId17"/>
          <w:footerReference w:type="first" r:id="rId18"/>
          <w:pgSz w:w="11899" w:h="16838" w:code="9"/>
          <w:pgMar w:top="1418" w:right="1474" w:bottom="1418" w:left="1474" w:header="709" w:footer="567" w:gutter="0"/>
          <w:pgNumType w:start="1"/>
          <w:cols w:space="708"/>
          <w:titlePg/>
          <w:docGrid w:linePitch="299"/>
        </w:sectPr>
      </w:pPr>
    </w:p>
    <w:p w14:paraId="71DD20BF" w14:textId="5A0D2086" w:rsidR="00532D10" w:rsidRPr="00E674AF" w:rsidRDefault="00532D10" w:rsidP="00532D10">
      <w:pPr>
        <w:pStyle w:val="Heading3"/>
      </w:pPr>
      <w:bookmarkStart w:id="15" w:name="_Toc49170275"/>
      <w:r w:rsidRPr="00E674AF">
        <w:lastRenderedPageBreak/>
        <w:t>B</w:t>
      </w:r>
      <w:bookmarkEnd w:id="1"/>
      <w:bookmarkEnd w:id="2"/>
      <w:bookmarkEnd w:id="3"/>
      <w:bookmarkEnd w:id="4"/>
      <w:bookmarkEnd w:id="5"/>
      <w:bookmarkEnd w:id="6"/>
      <w:bookmarkEnd w:id="7"/>
      <w:bookmarkEnd w:id="8"/>
      <w:r w:rsidR="00612904">
        <w:t>ackground</w:t>
      </w:r>
      <w:bookmarkEnd w:id="15"/>
      <w:r>
        <w:t xml:space="preserve"> </w:t>
      </w:r>
    </w:p>
    <w:p w14:paraId="71DD20C0" w14:textId="5FC83AF8" w:rsidR="00532D10" w:rsidRPr="00E674AF" w:rsidRDefault="00AD4A9D" w:rsidP="003174A7">
      <w:pPr>
        <w:pStyle w:val="CGCParaNumber"/>
      </w:pPr>
      <w:bookmarkStart w:id="16" w:name="_Toc155675723"/>
      <w:bookmarkEnd w:id="16"/>
      <w:r>
        <w:t xml:space="preserve">In expectation that the Commission will receive terms of reference for a 2021 Update, this paper sets out </w:t>
      </w:r>
      <w:r w:rsidR="00031DF8">
        <w:t>new issues identified by Commission staff as relevant to the up</w:t>
      </w:r>
      <w:r w:rsidR="009027D9">
        <w:t xml:space="preserve">date. </w:t>
      </w:r>
      <w:r w:rsidR="003D15E8" w:rsidRPr="0069517C">
        <w:t>The Commission seeks</w:t>
      </w:r>
      <w:r w:rsidR="009027D9">
        <w:t xml:space="preserve"> State and Commonwealth treasuries’ views on staff proposals. </w:t>
      </w:r>
    </w:p>
    <w:p w14:paraId="1A4A3E91" w14:textId="6A0178FD" w:rsidR="00E26D53" w:rsidRDefault="00525E69" w:rsidP="00FF165D">
      <w:pPr>
        <w:pStyle w:val="CGCParaNumber"/>
      </w:pPr>
      <w:r>
        <w:t xml:space="preserve">In previous </w:t>
      </w:r>
      <w:r w:rsidR="00E26D53">
        <w:t>updates</w:t>
      </w:r>
      <w:r>
        <w:t xml:space="preserve">, </w:t>
      </w:r>
      <w:r w:rsidR="007B166B" w:rsidRPr="00CB4F19">
        <w:t>the Commission has</w:t>
      </w:r>
      <w:r w:rsidR="00640F82">
        <w:t xml:space="preserve"> sent States a New </w:t>
      </w:r>
      <w:r w:rsidR="00DA4D12">
        <w:t>i</w:t>
      </w:r>
      <w:r w:rsidR="00640F82">
        <w:t>ssues paper around October, following the release of</w:t>
      </w:r>
      <w:r>
        <w:t xml:space="preserve"> </w:t>
      </w:r>
      <w:r w:rsidR="00E96168">
        <w:t xml:space="preserve">the </w:t>
      </w:r>
      <w:r w:rsidR="008453BB" w:rsidRPr="00CB4F19">
        <w:t xml:space="preserve">Commonwealth’s </w:t>
      </w:r>
      <w:r w:rsidR="00E96168">
        <w:t xml:space="preserve">final budget outcome. </w:t>
      </w:r>
      <w:r w:rsidR="00E26D53">
        <w:t xml:space="preserve">To give States a greater opportunity to consider some of the new issues raised this year, </w:t>
      </w:r>
      <w:r w:rsidR="00367C6A" w:rsidRPr="00CB4F19">
        <w:t xml:space="preserve">the Commission </w:t>
      </w:r>
      <w:r w:rsidR="00BE546A" w:rsidRPr="00CB4F19">
        <w:t>is providing</w:t>
      </w:r>
      <w:r w:rsidR="00D402B4">
        <w:t xml:space="preserve"> a first </w:t>
      </w:r>
      <w:r w:rsidR="00C960AE">
        <w:t>N</w:t>
      </w:r>
      <w:r w:rsidR="00D402B4">
        <w:t xml:space="preserve">ew issues paper earlier. </w:t>
      </w:r>
      <w:r w:rsidR="008135A5">
        <w:t xml:space="preserve">A </w:t>
      </w:r>
      <w:r w:rsidR="005662ED">
        <w:t xml:space="preserve">second new issues paper, considering the </w:t>
      </w:r>
      <w:r w:rsidR="00B04BDC">
        <w:t xml:space="preserve">treatment of new Commonwealth payments, will be </w:t>
      </w:r>
      <w:r w:rsidR="00DD4163">
        <w:t xml:space="preserve">sent in October. </w:t>
      </w:r>
    </w:p>
    <w:p w14:paraId="294CFC21" w14:textId="44FE5FCD" w:rsidR="00F577EA" w:rsidRPr="00E674AF" w:rsidRDefault="00F577EA" w:rsidP="00F577EA">
      <w:pPr>
        <w:pStyle w:val="CGCParaNumber"/>
      </w:pPr>
      <w:r>
        <w:t>States are asked to</w:t>
      </w:r>
      <w:r w:rsidDel="00F577EA">
        <w:t xml:space="preserve"> </w:t>
      </w:r>
      <w:r>
        <w:t xml:space="preserve">provide comments </w:t>
      </w:r>
      <w:r w:rsidR="003D7F44">
        <w:t xml:space="preserve">and raise any other issues relevant to this update </w:t>
      </w:r>
      <w:r>
        <w:t>by Friday 2 October 2020.</w:t>
      </w:r>
      <w:r w:rsidR="00D35A34" w:rsidRPr="00D35A34">
        <w:t xml:space="preserve"> </w:t>
      </w:r>
      <w:r w:rsidR="00D35A34">
        <w:t>States should upload their submissions</w:t>
      </w:r>
      <w:r>
        <w:t xml:space="preserve"> to </w:t>
      </w:r>
      <w:r w:rsidR="00D35A34">
        <w:t>the CGC Engagement channel in Microsoft Teams.</w:t>
      </w:r>
      <w:r>
        <w:t xml:space="preserve"> </w:t>
      </w:r>
      <w:r w:rsidR="008F137F">
        <w:t xml:space="preserve">State views on the treatment of </w:t>
      </w:r>
      <w:r w:rsidR="00474F67">
        <w:t xml:space="preserve">Commonwealth payments will be </w:t>
      </w:r>
      <w:r w:rsidR="00090626">
        <w:t xml:space="preserve">required </w:t>
      </w:r>
      <w:r w:rsidR="00561570">
        <w:t xml:space="preserve">by late November. </w:t>
      </w:r>
      <w:r>
        <w:t>The contact officer for queries is Tim Carlton (</w:t>
      </w:r>
      <w:hyperlink r:id="rId19" w:history="1">
        <w:r w:rsidRPr="00D90267">
          <w:rPr>
            <w:rStyle w:val="Hyperlink"/>
          </w:rPr>
          <w:t>Tim.Carlton@cgc.gov.au</w:t>
        </w:r>
      </w:hyperlink>
      <w:r>
        <w:t xml:space="preserve"> or 02 6218 5728). </w:t>
      </w:r>
    </w:p>
    <w:p w14:paraId="71DD20C2" w14:textId="1CF82462" w:rsidR="00532D10" w:rsidRPr="00E674AF" w:rsidRDefault="00F83EC1" w:rsidP="00532D10">
      <w:pPr>
        <w:pStyle w:val="Heading3"/>
      </w:pPr>
      <w:bookmarkStart w:id="17" w:name="_Toc49170276"/>
      <w:r>
        <w:t>Response to the COVID-19 pandemic</w:t>
      </w:r>
      <w:bookmarkEnd w:id="17"/>
    </w:p>
    <w:p w14:paraId="38480832" w14:textId="66C2473F" w:rsidR="008D6742" w:rsidRDefault="003B5A18" w:rsidP="00AA1926">
      <w:pPr>
        <w:pStyle w:val="CGCParaNumber"/>
      </w:pPr>
      <w:bookmarkStart w:id="18" w:name="_Ref42848025"/>
      <w:r>
        <w:t xml:space="preserve">The </w:t>
      </w:r>
      <w:r w:rsidR="00F40393">
        <w:t xml:space="preserve">COVID-19 </w:t>
      </w:r>
      <w:r>
        <w:t xml:space="preserve">pandemic, and </w:t>
      </w:r>
      <w:r w:rsidR="009E333F">
        <w:t>Commonwealth</w:t>
      </w:r>
      <w:r w:rsidR="009A5DDD">
        <w:t xml:space="preserve"> and State government responses to </w:t>
      </w:r>
      <w:r>
        <w:t>it,</w:t>
      </w:r>
      <w:r w:rsidR="007A6A4E">
        <w:t xml:space="preserve"> have</w:t>
      </w:r>
      <w:r w:rsidR="00F40393">
        <w:t xml:space="preserve"> </w:t>
      </w:r>
      <w:r w:rsidR="007533D9">
        <w:t xml:space="preserve">led to </w:t>
      </w:r>
      <w:r w:rsidR="00F40393">
        <w:t xml:space="preserve">major </w:t>
      </w:r>
      <w:r w:rsidR="007533D9">
        <w:t xml:space="preserve">changes </w:t>
      </w:r>
      <w:r w:rsidR="00701B16">
        <w:t xml:space="preserve">to </w:t>
      </w:r>
      <w:r w:rsidR="007A774F">
        <w:t xml:space="preserve">the </w:t>
      </w:r>
      <w:r w:rsidR="007756D7">
        <w:t>Australian economy and society</w:t>
      </w:r>
      <w:r w:rsidR="007A6A4E">
        <w:t>.</w:t>
      </w:r>
      <w:r w:rsidR="007756D7">
        <w:t xml:space="preserve"> </w:t>
      </w:r>
      <w:r w:rsidR="00F24E66">
        <w:t xml:space="preserve">These changes are continuing to evolve. </w:t>
      </w:r>
      <w:r w:rsidR="007F5F5F">
        <w:t>An</w:t>
      </w:r>
      <w:r w:rsidR="00EA14DA">
        <w:t xml:space="preserve"> issue for the Commission is whether, and</w:t>
      </w:r>
      <w:r w:rsidR="00313351">
        <w:t xml:space="preserve"> if so </w:t>
      </w:r>
      <w:r w:rsidR="00EA14DA">
        <w:t xml:space="preserve">to what extent, these </w:t>
      </w:r>
      <w:r w:rsidR="00951A09">
        <w:t>government</w:t>
      </w:r>
      <w:r w:rsidR="00EA14DA">
        <w:t xml:space="preserve"> responses have resulted in changes to State fiscal capacities</w:t>
      </w:r>
      <w:r w:rsidR="002E5FFC">
        <w:t xml:space="preserve"> that would not </w:t>
      </w:r>
      <w:r w:rsidR="00D127EA">
        <w:t xml:space="preserve">otherwise </w:t>
      </w:r>
      <w:r w:rsidR="002E5FFC">
        <w:t xml:space="preserve">be </w:t>
      </w:r>
      <w:r w:rsidR="00D127EA">
        <w:t>recognised</w:t>
      </w:r>
      <w:r w:rsidR="002E5FFC">
        <w:t xml:space="preserve"> using the 2020 Review methods</w:t>
      </w:r>
      <w:r w:rsidR="00EA14DA">
        <w:t xml:space="preserve">. </w:t>
      </w:r>
    </w:p>
    <w:p w14:paraId="53B4430E" w14:textId="5C8567A1" w:rsidR="00AA1926" w:rsidRDefault="007B4B4C" w:rsidP="00AA1926">
      <w:pPr>
        <w:pStyle w:val="CGCParaNumber"/>
      </w:pPr>
      <w:r w:rsidRPr="0004043D">
        <w:t xml:space="preserve">Note that, for the 2021 Update, the Commission is concerned only with </w:t>
      </w:r>
      <w:r w:rsidR="5D63B8BC" w:rsidRPr="6199143C">
        <w:t xml:space="preserve">COVID-19 related </w:t>
      </w:r>
      <w:r w:rsidRPr="0004043D">
        <w:t xml:space="preserve">changes </w:t>
      </w:r>
      <w:r w:rsidR="00985F13">
        <w:t>and their effect in</w:t>
      </w:r>
      <w:r w:rsidRPr="0004043D">
        <w:t xml:space="preserve"> 2019-20. Any effects after 30 June 2020 will be considered in future updates</w:t>
      </w:r>
      <w:r>
        <w:t xml:space="preserve">. </w:t>
      </w:r>
      <w:r w:rsidR="0076496F">
        <w:t xml:space="preserve">State circumstances for the </w:t>
      </w:r>
      <w:r w:rsidR="00680CBA">
        <w:t>36 months</w:t>
      </w:r>
      <w:r w:rsidR="008354D7" w:rsidDel="0076496F">
        <w:t xml:space="preserve"> </w:t>
      </w:r>
      <w:r w:rsidR="008354D7">
        <w:t xml:space="preserve">from July </w:t>
      </w:r>
      <w:r w:rsidR="00E81AEC">
        <w:t xml:space="preserve">2017 to </w:t>
      </w:r>
      <w:r w:rsidR="009A19BD">
        <w:t xml:space="preserve">June 2020 will </w:t>
      </w:r>
      <w:r w:rsidR="00282BFD">
        <w:t xml:space="preserve">contribute to </w:t>
      </w:r>
      <w:r w:rsidR="00E31AAD">
        <w:t>this update</w:t>
      </w:r>
      <w:r w:rsidR="007A6138">
        <w:t xml:space="preserve">, but </w:t>
      </w:r>
      <w:r w:rsidR="44CE70C2">
        <w:t>o</w:t>
      </w:r>
      <w:r w:rsidR="66DB0915">
        <w:t>nly</w:t>
      </w:r>
      <w:r w:rsidR="00E31AAD">
        <w:t xml:space="preserve"> the last 4 of these months </w:t>
      </w:r>
      <w:r w:rsidR="0069510C">
        <w:t xml:space="preserve">were </w:t>
      </w:r>
      <w:r w:rsidR="0037349F">
        <w:t xml:space="preserve">significantly </w:t>
      </w:r>
      <w:r w:rsidR="00E31AAD">
        <w:t>affected by COVID-19</w:t>
      </w:r>
      <w:r w:rsidR="00771EA8">
        <w:t xml:space="preserve">. </w:t>
      </w:r>
      <w:r w:rsidR="6FBA3D4E">
        <w:t>T</w:t>
      </w:r>
      <w:r w:rsidR="0D0A4D36">
        <w:t xml:space="preserve">his </w:t>
      </w:r>
      <w:r w:rsidR="6F54074D">
        <w:t>may</w:t>
      </w:r>
      <w:r w:rsidR="00DE67EB">
        <w:t xml:space="preserve"> mean that some </w:t>
      </w:r>
      <w:r w:rsidR="00E82D60">
        <w:t xml:space="preserve">effects may </w:t>
      </w:r>
      <w:r w:rsidR="00DE023E">
        <w:t>not be material in this update but may be in future updates</w:t>
      </w:r>
      <w:r w:rsidR="004658C7">
        <w:t>, a</w:t>
      </w:r>
      <w:r w:rsidR="00985E35">
        <w:t xml:space="preserve">lthough </w:t>
      </w:r>
      <w:r w:rsidR="00AF25AB">
        <w:t xml:space="preserve">the size and interstate distribution of pandemic effects in 2020-21 and beyond </w:t>
      </w:r>
      <w:r w:rsidR="00716CFE">
        <w:t xml:space="preserve">cannot yet be determined. </w:t>
      </w:r>
      <w:r w:rsidR="005C40C7">
        <w:t xml:space="preserve">Staff intend to recommend the Commission only consider </w:t>
      </w:r>
      <w:r w:rsidR="00CF7384">
        <w:t>issues currently known to be material</w:t>
      </w:r>
      <w:r w:rsidR="002F118C">
        <w:t xml:space="preserve"> and affecting 2019-</w:t>
      </w:r>
      <w:r w:rsidR="003D7D99">
        <w:t>20</w:t>
      </w:r>
      <w:r w:rsidR="00CF7384">
        <w:t xml:space="preserve">, not those which may potentially be material in future </w:t>
      </w:r>
      <w:r w:rsidR="003D174E">
        <w:t>updates.</w:t>
      </w:r>
      <w:r w:rsidR="00AA2221">
        <w:t xml:space="preserve"> </w:t>
      </w:r>
    </w:p>
    <w:p w14:paraId="2D639351" w14:textId="7947991A" w:rsidR="004C6476" w:rsidRDefault="00C90289" w:rsidP="00504008">
      <w:pPr>
        <w:pStyle w:val="CGCParaNumber"/>
      </w:pPr>
      <w:r>
        <w:t xml:space="preserve">Any changes to the Commission’s overall approach or methods </w:t>
      </w:r>
      <w:r w:rsidR="00E74FE4">
        <w:t xml:space="preserve">in response to the pandemic are a matter for governments. In an update inquiry, the Commission </w:t>
      </w:r>
      <w:r w:rsidR="00BA13DE">
        <w:t>has been historically</w:t>
      </w:r>
      <w:r w:rsidR="00E30151">
        <w:t xml:space="preserve"> </w:t>
      </w:r>
      <w:r w:rsidR="00E74FE4">
        <w:t>constrained to a</w:t>
      </w:r>
      <w:r w:rsidR="00E30151">
        <w:t xml:space="preserve">pplying </w:t>
      </w:r>
      <w:r w:rsidR="004C3AC9">
        <w:t xml:space="preserve">the methods developed in </w:t>
      </w:r>
      <w:r w:rsidR="00592E0D">
        <w:t xml:space="preserve">its most recent </w:t>
      </w:r>
      <w:r w:rsidR="004C3AC9">
        <w:t>review</w:t>
      </w:r>
      <w:r w:rsidR="008A73D7">
        <w:t xml:space="preserve">. </w:t>
      </w:r>
      <w:r w:rsidR="001E2307">
        <w:t>A</w:t>
      </w:r>
      <w:r w:rsidR="00F56600">
        <w:t xml:space="preserve">ny changes to </w:t>
      </w:r>
      <w:r w:rsidR="007A7623">
        <w:t xml:space="preserve">those </w:t>
      </w:r>
      <w:r w:rsidR="00F56600">
        <w:t>methods the Commission may consider</w:t>
      </w:r>
      <w:r w:rsidR="007A7623">
        <w:t>,</w:t>
      </w:r>
      <w:r w:rsidR="00F56600">
        <w:t xml:space="preserve"> to reflect the new </w:t>
      </w:r>
      <w:r w:rsidR="00E90CE7">
        <w:t>and evolving situation</w:t>
      </w:r>
      <w:r w:rsidR="00236283">
        <w:t>,</w:t>
      </w:r>
      <w:r w:rsidR="00E90CE7">
        <w:t xml:space="preserve"> </w:t>
      </w:r>
      <w:r w:rsidR="000A50EA">
        <w:t>would require</w:t>
      </w:r>
      <w:r w:rsidR="00E90CE7">
        <w:t xml:space="preserve"> </w:t>
      </w:r>
      <w:r w:rsidR="001E2307">
        <w:t>t</w:t>
      </w:r>
      <w:r w:rsidR="00E90CE7">
        <w:t xml:space="preserve">erms of reference </w:t>
      </w:r>
      <w:r w:rsidR="001E2307">
        <w:t xml:space="preserve">(ToR) </w:t>
      </w:r>
      <w:r w:rsidR="00FE3D64">
        <w:t xml:space="preserve">allowing the Commission </w:t>
      </w:r>
      <w:r w:rsidR="000A50EA">
        <w:t xml:space="preserve">to modify </w:t>
      </w:r>
      <w:r w:rsidR="00236283">
        <w:t xml:space="preserve">its </w:t>
      </w:r>
      <w:r w:rsidR="0042141F">
        <w:t>2020 Review methods</w:t>
      </w:r>
      <w:r w:rsidR="00E90CE7">
        <w:t xml:space="preserve">. </w:t>
      </w:r>
    </w:p>
    <w:p w14:paraId="3DB76290" w14:textId="6FD183A5" w:rsidR="0021650E" w:rsidRPr="00E674AF" w:rsidRDefault="0021650E" w:rsidP="0021650E">
      <w:pPr>
        <w:pStyle w:val="Heading4"/>
      </w:pPr>
      <w:bookmarkStart w:id="19" w:name="_Toc49170277"/>
      <w:r>
        <w:t>Policy differences</w:t>
      </w:r>
      <w:bookmarkEnd w:id="18"/>
      <w:bookmarkEnd w:id="19"/>
    </w:p>
    <w:p w14:paraId="3F4D0D79" w14:textId="24AD0625" w:rsidR="0021650E" w:rsidRDefault="0021650E" w:rsidP="0021650E">
      <w:pPr>
        <w:pStyle w:val="CGCParaNumber"/>
      </w:pPr>
      <w:r>
        <w:t>The health and economic effects of COVID-19 and the reaction to it have affected different States to different extents. This reflects issues over which States have little or no policy control (such as their level of exposure to overseas travellers) as well as issues over which they have significant policy control (such as the extent to which they have enforced a lockdown</w:t>
      </w:r>
      <w:r w:rsidR="00592F94">
        <w:t xml:space="preserve"> or closed borders</w:t>
      </w:r>
      <w:r>
        <w:t>). This may lead to variation in the levels of economic activity of each State and in the health needs of each State’s population.</w:t>
      </w:r>
      <w:r w:rsidR="00160CDD">
        <w:t xml:space="preserve"> </w:t>
      </w:r>
    </w:p>
    <w:p w14:paraId="1B16DD0C" w14:textId="77777777" w:rsidR="00C333AA" w:rsidRDefault="009F4262" w:rsidP="00F84F92">
      <w:pPr>
        <w:pStyle w:val="CGCParaNumber"/>
      </w:pPr>
      <w:r>
        <w:lastRenderedPageBreak/>
        <w:t xml:space="preserve">While States did have significant policy control over the extent of their lockdown, this does not necessarily mean </w:t>
      </w:r>
      <w:r w:rsidR="00685351">
        <w:t>that</w:t>
      </w:r>
      <w:r>
        <w:t xml:space="preserve"> there were significant policy differences</w:t>
      </w:r>
      <w:r w:rsidR="00685351">
        <w:t xml:space="preserve"> between them</w:t>
      </w:r>
      <w:r>
        <w:t xml:space="preserve">. </w:t>
      </w:r>
      <w:r w:rsidR="00A95BC9">
        <w:t>S</w:t>
      </w:r>
      <w:r w:rsidR="00CA1100">
        <w:t xml:space="preserve">taff </w:t>
      </w:r>
      <w:r w:rsidR="003E281E">
        <w:t xml:space="preserve">have formed a tentative view that </w:t>
      </w:r>
      <w:r w:rsidR="0021650E">
        <w:t xml:space="preserve">policy differences between States </w:t>
      </w:r>
      <w:r w:rsidR="00FB2243">
        <w:t xml:space="preserve">were relatively small </w:t>
      </w:r>
      <w:r w:rsidR="00C44C5B">
        <w:t>up</w:t>
      </w:r>
      <w:r w:rsidR="003D6910">
        <w:t xml:space="preserve"> to </w:t>
      </w:r>
      <w:r w:rsidR="00C44C5B">
        <w:t>30</w:t>
      </w:r>
      <w:r w:rsidR="00FE25BB">
        <w:t> </w:t>
      </w:r>
      <w:r w:rsidR="00C44C5B">
        <w:t>June 2020</w:t>
      </w:r>
      <w:r w:rsidR="003262B0">
        <w:t xml:space="preserve">. </w:t>
      </w:r>
    </w:p>
    <w:p w14:paraId="637B62BC" w14:textId="04FDE3C0" w:rsidR="00F84F92" w:rsidRPr="00F84F92" w:rsidRDefault="00FE25BB" w:rsidP="00F84F92">
      <w:pPr>
        <w:pStyle w:val="CGCParaNumber"/>
      </w:pPr>
      <w:r>
        <w:t>Staff</w:t>
      </w:r>
      <w:r w:rsidR="0057711D">
        <w:t xml:space="preserve"> observe that a</w:t>
      </w:r>
      <w:r w:rsidR="00434CB3">
        <w:t xml:space="preserve">ll States went into broadly similar levels of lockdown within a relatively short period of time. </w:t>
      </w:r>
      <w:r w:rsidR="0021650E">
        <w:t>Under the National Cabinet, States agreed on 8 May to the 3</w:t>
      </w:r>
      <w:r w:rsidR="00CA79B6">
        <w:noBreakHyphen/>
      </w:r>
      <w:r w:rsidR="0021650E">
        <w:t xml:space="preserve">step framework for a COVIDSafe Australia, which details the steps for the opening up of social interactions and the economy. States have </w:t>
      </w:r>
      <w:r w:rsidR="00A67EF2">
        <w:t>had</w:t>
      </w:r>
      <w:r w:rsidR="0021650E">
        <w:t xml:space="preserve"> discretion on how to implement the framework, which resulted in some States lifting restrictions sooner than others</w:t>
      </w:r>
      <w:r w:rsidR="00942394">
        <w:t xml:space="preserve"> and more recently, variations in the restric</w:t>
      </w:r>
      <w:r w:rsidR="00CF5EEC">
        <w:t>tion</w:t>
      </w:r>
      <w:r w:rsidR="00C83903">
        <w:t>s</w:t>
      </w:r>
      <w:r w:rsidR="00CF5EEC">
        <w:t xml:space="preserve"> imposed</w:t>
      </w:r>
      <w:r w:rsidR="0021650E">
        <w:t xml:space="preserve">. </w:t>
      </w:r>
      <w:r w:rsidR="0021650E" w:rsidDel="008D41E5">
        <w:t xml:space="preserve">Arguably </w:t>
      </w:r>
      <w:r w:rsidR="009C5219">
        <w:t>t</w:t>
      </w:r>
      <w:r w:rsidR="0021650E">
        <w:t xml:space="preserve">his </w:t>
      </w:r>
      <w:r w:rsidR="009C5219">
        <w:t>has</w:t>
      </w:r>
      <w:r w:rsidR="00B25B31">
        <w:t xml:space="preserve"> </w:t>
      </w:r>
      <w:r w:rsidR="008D41E5">
        <w:t>be</w:t>
      </w:r>
      <w:r w:rsidR="00827774">
        <w:t>en</w:t>
      </w:r>
      <w:r w:rsidR="0021650E">
        <w:t xml:space="preserve"> driven more by different circumstances between States than different risk appetite or policy intent of governments.</w:t>
      </w:r>
    </w:p>
    <w:p w14:paraId="473A30A7" w14:textId="16AB75DF" w:rsidR="002613B0" w:rsidRPr="005B0B4B" w:rsidRDefault="002613B0" w:rsidP="002613B0">
      <w:pPr>
        <w:pStyle w:val="CGCParaNumber"/>
      </w:pPr>
      <w:r>
        <w:t xml:space="preserve">In the absence of a method for measuring the policy effects, staff consider that the actual </w:t>
      </w:r>
      <w:r w:rsidR="00C86877">
        <w:t xml:space="preserve">level of </w:t>
      </w:r>
      <w:r w:rsidR="00C54D00" w:rsidRPr="005B0B4B">
        <w:t xml:space="preserve">economic </w:t>
      </w:r>
      <w:r w:rsidRPr="005B0B4B">
        <w:t>activity</w:t>
      </w:r>
      <w:r w:rsidR="00386F93" w:rsidRPr="005B0B4B">
        <w:t xml:space="preserve"> and </w:t>
      </w:r>
      <w:r w:rsidR="00C86877" w:rsidRPr="005B0B4B">
        <w:t>health</w:t>
      </w:r>
      <w:r w:rsidR="00050D4B" w:rsidRPr="005B0B4B">
        <w:t xml:space="preserve"> </w:t>
      </w:r>
      <w:r w:rsidR="00C86877" w:rsidRPr="005B0B4B">
        <w:t>services</w:t>
      </w:r>
      <w:r w:rsidRPr="005B0B4B">
        <w:t xml:space="preserve"> is the best available measure of the level of activity that would have occurred under a nationally </w:t>
      </w:r>
      <w:r w:rsidR="00A03256" w:rsidRPr="005B0B4B">
        <w:t>consistent</w:t>
      </w:r>
      <w:r w:rsidRPr="005B0B4B">
        <w:t xml:space="preserve"> policy framework. </w:t>
      </w:r>
    </w:p>
    <w:p w14:paraId="0B27BAF7" w14:textId="2373D7E9" w:rsidR="00B54ACF" w:rsidRPr="005B0B4B" w:rsidRDefault="00EA5E29" w:rsidP="00EA5E29">
      <w:pPr>
        <w:pStyle w:val="Heading4"/>
      </w:pPr>
      <w:bookmarkStart w:id="20" w:name="_Toc49170278"/>
      <w:r w:rsidRPr="005B0B4B">
        <w:t>Method changes</w:t>
      </w:r>
      <w:bookmarkEnd w:id="20"/>
    </w:p>
    <w:p w14:paraId="64E60391" w14:textId="72B5C70B" w:rsidR="000D3F62" w:rsidRDefault="004625BF" w:rsidP="001E5614">
      <w:pPr>
        <w:pStyle w:val="CGCParaNumber"/>
      </w:pPr>
      <w:r w:rsidRPr="005B0B4B">
        <w:t xml:space="preserve">Under </w:t>
      </w:r>
      <w:r w:rsidR="002E0CD7" w:rsidRPr="005B0B4B">
        <w:t xml:space="preserve">ToR </w:t>
      </w:r>
      <w:r w:rsidR="00CA7D78" w:rsidRPr="005B0B4B">
        <w:t xml:space="preserve">in </w:t>
      </w:r>
      <w:r w:rsidR="00323905" w:rsidRPr="005B0B4B">
        <w:t>recent updates</w:t>
      </w:r>
      <w:r w:rsidRPr="005B0B4B">
        <w:t xml:space="preserve">, the Commission can </w:t>
      </w:r>
      <w:r w:rsidR="00323905" w:rsidRPr="005B0B4B">
        <w:t xml:space="preserve">only </w:t>
      </w:r>
      <w:r w:rsidRPr="005B0B4B">
        <w:t xml:space="preserve">change methods from its latest review if “data problems necessitate changes” or there is “a significant change in arrangements which govern Commonwealth-State relations”. </w:t>
      </w:r>
      <w:r w:rsidR="00C83662" w:rsidRPr="005B0B4B">
        <w:t xml:space="preserve">Staff consider </w:t>
      </w:r>
      <w:r w:rsidR="0020503A" w:rsidRPr="005B0B4B">
        <w:t>it doubtful</w:t>
      </w:r>
      <w:r w:rsidR="00C83662" w:rsidRPr="005B0B4B">
        <w:t xml:space="preserve"> that </w:t>
      </w:r>
      <w:r w:rsidR="00AA1386" w:rsidRPr="005B0B4B">
        <w:t xml:space="preserve">such terms of reference would give the Commission </w:t>
      </w:r>
      <w:r w:rsidR="003922E7" w:rsidRPr="005B0B4B">
        <w:t xml:space="preserve">scope to change </w:t>
      </w:r>
      <w:r w:rsidR="00076688" w:rsidRPr="005B0B4B">
        <w:t xml:space="preserve">methods </w:t>
      </w:r>
      <w:r w:rsidR="009256A9" w:rsidRPr="005B0B4B">
        <w:t xml:space="preserve">in response to COVID-19. </w:t>
      </w:r>
    </w:p>
    <w:p w14:paraId="0634F65F" w14:textId="3D9DAC41" w:rsidR="00FF7355" w:rsidRPr="005B0B4B" w:rsidRDefault="00E76948" w:rsidP="001E5614">
      <w:pPr>
        <w:pStyle w:val="CGCParaNumber"/>
      </w:pPr>
      <w:r w:rsidRPr="005B0B4B">
        <w:t>I</w:t>
      </w:r>
      <w:r w:rsidR="00667B08" w:rsidRPr="005B0B4B">
        <w:t xml:space="preserve">n some cases, </w:t>
      </w:r>
      <w:r w:rsidR="006C157C" w:rsidRPr="005B0B4B">
        <w:t xml:space="preserve">the </w:t>
      </w:r>
      <w:r w:rsidR="004A1CD7" w:rsidRPr="005B0B4B">
        <w:t xml:space="preserve">effect </w:t>
      </w:r>
      <w:r w:rsidR="00082540" w:rsidRPr="005B0B4B">
        <w:t xml:space="preserve">COVID-19 </w:t>
      </w:r>
      <w:r w:rsidR="006C157C" w:rsidRPr="005B0B4B">
        <w:t xml:space="preserve">has had </w:t>
      </w:r>
      <w:r w:rsidR="00B8633E" w:rsidRPr="005B0B4B">
        <w:t xml:space="preserve">on State fiscal circumstances </w:t>
      </w:r>
      <w:r w:rsidR="00446E0C" w:rsidRPr="005B0B4B">
        <w:t xml:space="preserve">is captured well by the </w:t>
      </w:r>
      <w:r w:rsidR="00AB08D4" w:rsidRPr="005B0B4B">
        <w:t xml:space="preserve">2020 </w:t>
      </w:r>
      <w:r w:rsidR="00575687" w:rsidRPr="005B0B4B">
        <w:t>R</w:t>
      </w:r>
      <w:r w:rsidR="00AB08D4" w:rsidRPr="005B0B4B">
        <w:t>eview methods</w:t>
      </w:r>
      <w:r w:rsidR="00446E0C" w:rsidRPr="005B0B4B">
        <w:t xml:space="preserve">, and they </w:t>
      </w:r>
      <w:r w:rsidR="006A63B1" w:rsidRPr="005B0B4B">
        <w:t>remain appropriate</w:t>
      </w:r>
      <w:r w:rsidR="009526D8" w:rsidRPr="005B0B4B">
        <w:t xml:space="preserve">. In other cases, the </w:t>
      </w:r>
      <w:r w:rsidR="00E81961" w:rsidRPr="005B0B4B">
        <w:t xml:space="preserve">effect </w:t>
      </w:r>
      <w:r w:rsidR="000F1413" w:rsidRPr="005B0B4B">
        <w:t xml:space="preserve">of the COVID-19 pandemic </w:t>
      </w:r>
      <w:r w:rsidR="00E81961" w:rsidRPr="005B0B4B">
        <w:t xml:space="preserve">on State fiscal capacities </w:t>
      </w:r>
      <w:r w:rsidR="00D57336" w:rsidRPr="005B0B4B">
        <w:t>may</w:t>
      </w:r>
      <w:r w:rsidR="00E81961" w:rsidRPr="005B0B4B">
        <w:t xml:space="preserve"> not </w:t>
      </w:r>
      <w:r w:rsidR="00D650DB" w:rsidRPr="005B0B4B">
        <w:t>be</w:t>
      </w:r>
      <w:r w:rsidR="00E81961" w:rsidRPr="005B0B4B">
        <w:t xml:space="preserve"> </w:t>
      </w:r>
      <w:r w:rsidR="006616FC" w:rsidRPr="005B0B4B">
        <w:t>captured by 2020</w:t>
      </w:r>
      <w:r w:rsidR="00057708" w:rsidRPr="005B0B4B">
        <w:rPr>
          <w:lang w:val="en-US"/>
        </w:rPr>
        <w:t> </w:t>
      </w:r>
      <w:r w:rsidR="00575687" w:rsidRPr="005B0B4B">
        <w:t>R</w:t>
      </w:r>
      <w:r w:rsidR="006616FC" w:rsidRPr="005B0B4B">
        <w:t>eview methods</w:t>
      </w:r>
      <w:r w:rsidR="00D37EEA" w:rsidRPr="005B0B4B">
        <w:t>,</w:t>
      </w:r>
      <w:r w:rsidR="006616FC" w:rsidRPr="005B0B4B">
        <w:t xml:space="preserve"> which did not anticipate such an event. </w:t>
      </w:r>
      <w:r w:rsidR="00864B53" w:rsidRPr="005B0B4B">
        <w:t xml:space="preserve">While it is not yet clear whether </w:t>
      </w:r>
      <w:r w:rsidR="001B6462" w:rsidRPr="005B0B4B">
        <w:t>any</w:t>
      </w:r>
      <w:r w:rsidR="00ED5527" w:rsidRPr="005B0B4B">
        <w:t xml:space="preserve"> COVID-19 specific </w:t>
      </w:r>
      <w:r w:rsidR="006F4829" w:rsidRPr="005B0B4B">
        <w:t xml:space="preserve">disabilities are </w:t>
      </w:r>
      <w:r w:rsidR="00FB313F" w:rsidRPr="005B0B4B">
        <w:t>material</w:t>
      </w:r>
      <w:r w:rsidR="00E1737B" w:rsidRPr="005B0B4B">
        <w:t xml:space="preserve"> or </w:t>
      </w:r>
      <w:r w:rsidR="000E6FCF" w:rsidRPr="005B0B4B">
        <w:t>could</w:t>
      </w:r>
      <w:r w:rsidR="00E1737B" w:rsidRPr="005B0B4B">
        <w:t xml:space="preserve"> be reliably measured</w:t>
      </w:r>
      <w:r w:rsidR="00EE6061" w:rsidRPr="005B0B4B">
        <w:t xml:space="preserve">, </w:t>
      </w:r>
      <w:r w:rsidR="007D6629" w:rsidRPr="005B0B4B">
        <w:t>States may consider</w:t>
      </w:r>
      <w:r w:rsidR="00EE6061" w:rsidRPr="005B0B4B">
        <w:t xml:space="preserve"> that </w:t>
      </w:r>
      <w:r w:rsidR="00220F53" w:rsidRPr="005B0B4B">
        <w:t>horizontal fiscal equalisation</w:t>
      </w:r>
      <w:r w:rsidR="00EE6061" w:rsidRPr="005B0B4B">
        <w:t xml:space="preserve"> </w:t>
      </w:r>
      <w:r w:rsidR="00220F53" w:rsidRPr="005B0B4B">
        <w:t>(</w:t>
      </w:r>
      <w:r w:rsidR="0091110F" w:rsidRPr="005B0B4B">
        <w:t>HFE</w:t>
      </w:r>
      <w:r w:rsidR="00220F53" w:rsidRPr="005B0B4B">
        <w:t>)</w:t>
      </w:r>
      <w:r w:rsidR="0091110F" w:rsidRPr="005B0B4B">
        <w:t xml:space="preserve"> would be best served </w:t>
      </w:r>
      <w:r w:rsidR="005114B1" w:rsidRPr="005B0B4B">
        <w:t>if To</w:t>
      </w:r>
      <w:r w:rsidR="002F4064" w:rsidRPr="005B0B4B">
        <w:t>R</w:t>
      </w:r>
      <w:r w:rsidR="005114B1" w:rsidRPr="005B0B4B">
        <w:t xml:space="preserve"> afforded</w:t>
      </w:r>
      <w:r w:rsidR="0091110F" w:rsidRPr="005B0B4B">
        <w:t xml:space="preserve"> the Commission the capacity to make such a change if it deems it necessary. </w:t>
      </w:r>
    </w:p>
    <w:p w14:paraId="3CD9AA68" w14:textId="77777777" w:rsidR="001D3A2C" w:rsidRDefault="009B64D6" w:rsidP="004625BF">
      <w:pPr>
        <w:pStyle w:val="CGCParaNumber"/>
      </w:pPr>
      <w:r w:rsidRPr="005B0B4B">
        <w:t>In this paper</w:t>
      </w:r>
      <w:r w:rsidR="00FF7355" w:rsidRPr="005B0B4B">
        <w:t>,</w:t>
      </w:r>
      <w:r w:rsidRPr="005B0B4B">
        <w:t xml:space="preserve"> </w:t>
      </w:r>
      <w:r w:rsidR="000B4223" w:rsidRPr="005B0B4B">
        <w:t xml:space="preserve">staff </w:t>
      </w:r>
      <w:r w:rsidR="00326975" w:rsidRPr="005B0B4B">
        <w:t xml:space="preserve">foreshadow an intention </w:t>
      </w:r>
      <w:r w:rsidR="000B4223" w:rsidRPr="005B0B4B">
        <w:t xml:space="preserve">to </w:t>
      </w:r>
      <w:r w:rsidRPr="005B0B4B">
        <w:t xml:space="preserve">recommend </w:t>
      </w:r>
      <w:r w:rsidR="000B4223" w:rsidRPr="005B0B4B">
        <w:t xml:space="preserve">the Commission </w:t>
      </w:r>
      <w:r w:rsidRPr="005B0B4B">
        <w:t xml:space="preserve">make </w:t>
      </w:r>
      <w:r w:rsidR="006E6022" w:rsidRPr="005B0B4B">
        <w:t>certain method changes to health and services to industry</w:t>
      </w:r>
      <w:r w:rsidR="007B273F" w:rsidRPr="005B0B4B">
        <w:t xml:space="preserve">, subject to the changes being material. </w:t>
      </w:r>
      <w:r w:rsidR="00E16058" w:rsidRPr="005B0B4B">
        <w:t xml:space="preserve">Such recommendations </w:t>
      </w:r>
      <w:r w:rsidR="006560F9" w:rsidRPr="005B0B4B">
        <w:t xml:space="preserve">are subject to the </w:t>
      </w:r>
      <w:r w:rsidR="008F1D8A" w:rsidRPr="005B0B4B">
        <w:t xml:space="preserve">ToR </w:t>
      </w:r>
      <w:r w:rsidR="006560F9" w:rsidRPr="005B0B4B">
        <w:t xml:space="preserve">allowing the Commission to implement </w:t>
      </w:r>
      <w:r w:rsidR="0078261E" w:rsidRPr="005B0B4B">
        <w:t xml:space="preserve">them. If no changes are made </w:t>
      </w:r>
      <w:r w:rsidR="00B75174" w:rsidRPr="005B0B4B">
        <w:t xml:space="preserve">to </w:t>
      </w:r>
      <w:r w:rsidR="008F1D8A" w:rsidRPr="005B0B4B">
        <w:t>ToR</w:t>
      </w:r>
      <w:r w:rsidR="00BE0F27" w:rsidRPr="005B0B4B">
        <w:t xml:space="preserve">, staff </w:t>
      </w:r>
      <w:r w:rsidR="00CE499F" w:rsidRPr="005B0B4B">
        <w:t xml:space="preserve">anticipate the Commission </w:t>
      </w:r>
      <w:r w:rsidR="00874E5F" w:rsidRPr="005B0B4B">
        <w:t xml:space="preserve">would </w:t>
      </w:r>
      <w:r w:rsidR="00CE499F" w:rsidRPr="005B0B4B">
        <w:t xml:space="preserve">make </w:t>
      </w:r>
      <w:r w:rsidR="00C10643" w:rsidRPr="005B0B4B">
        <w:t xml:space="preserve">no change to expense assessments </w:t>
      </w:r>
      <w:r w:rsidR="00EA3BA1" w:rsidRPr="005B0B4B">
        <w:t xml:space="preserve">but could make </w:t>
      </w:r>
      <w:r w:rsidR="0034449B" w:rsidRPr="005B0B4B">
        <w:t>minor data adjustments to revenue assessments.</w:t>
      </w:r>
    </w:p>
    <w:p w14:paraId="11A410A6" w14:textId="42A1F791" w:rsidR="00E76948" w:rsidRPr="005B0B4B" w:rsidRDefault="008C7DF8" w:rsidP="004625BF">
      <w:pPr>
        <w:pStyle w:val="CGCParaNumber"/>
      </w:pPr>
      <w:r>
        <w:t xml:space="preserve">The </w:t>
      </w:r>
      <w:r w:rsidR="0076306F">
        <w:t>following sections discuss the main</w:t>
      </w:r>
      <w:r w:rsidR="00977C74">
        <w:t xml:space="preserve"> </w:t>
      </w:r>
      <w:r>
        <w:t>revenue and expens</w:t>
      </w:r>
      <w:r w:rsidR="00977C74">
        <w:t>e issues</w:t>
      </w:r>
      <w:r w:rsidR="0076306F">
        <w:t xml:space="preserve"> identified by staff to date</w:t>
      </w:r>
      <w:r w:rsidR="00977C74">
        <w:t xml:space="preserve">. </w:t>
      </w:r>
      <w:r w:rsidR="00937DDF">
        <w:t xml:space="preserve">When making submissions, </w:t>
      </w:r>
      <w:r w:rsidR="00977C74">
        <w:t xml:space="preserve">States may wish to </w:t>
      </w:r>
      <w:r w:rsidR="00224FB6">
        <w:t>comment on other</w:t>
      </w:r>
      <w:r w:rsidR="007008CC" w:rsidRPr="007008CC">
        <w:t xml:space="preserve"> </w:t>
      </w:r>
      <w:r w:rsidR="007008CC">
        <w:t xml:space="preserve">implications of </w:t>
      </w:r>
      <w:r w:rsidR="007008CC" w:rsidRPr="6199143C">
        <w:t>COVID</w:t>
      </w:r>
      <w:r w:rsidR="0076306F">
        <w:noBreakHyphen/>
      </w:r>
      <w:r w:rsidR="007008CC" w:rsidRPr="6199143C">
        <w:t xml:space="preserve">19 </w:t>
      </w:r>
      <w:r w:rsidR="007008CC">
        <w:t>for the Commission’s assessments</w:t>
      </w:r>
      <w:r w:rsidR="00937DDF">
        <w:t>.</w:t>
      </w:r>
    </w:p>
    <w:p w14:paraId="486AE9A4" w14:textId="77777777" w:rsidR="00D649E1" w:rsidRPr="005B0B4B" w:rsidRDefault="00D649E1" w:rsidP="00D649E1">
      <w:pPr>
        <w:pStyle w:val="Heading4"/>
        <w:rPr>
          <w:lang w:val="en-GB"/>
        </w:rPr>
      </w:pPr>
      <w:bookmarkStart w:id="21" w:name="_Toc49170279"/>
      <w:r w:rsidRPr="005B0B4B">
        <w:rPr>
          <w:lang w:val="en-GB"/>
        </w:rPr>
        <w:t>Revenue issues</w:t>
      </w:r>
      <w:bookmarkEnd w:id="21"/>
    </w:p>
    <w:p w14:paraId="489215A4" w14:textId="464F51B4" w:rsidR="00D649E1" w:rsidRDefault="00B23F90" w:rsidP="00D649E1">
      <w:pPr>
        <w:pStyle w:val="CGCParaNumber"/>
        <w:rPr>
          <w:lang w:val="en-GB"/>
        </w:rPr>
      </w:pPr>
      <w:r>
        <w:rPr>
          <w:lang w:val="en-GB"/>
        </w:rPr>
        <w:t xml:space="preserve">To a significant extent, </w:t>
      </w:r>
      <w:r w:rsidR="006525D6" w:rsidRPr="005B0B4B">
        <w:rPr>
          <w:lang w:val="en-GB"/>
        </w:rPr>
        <w:t xml:space="preserve">differential </w:t>
      </w:r>
      <w:r w:rsidR="000865AE" w:rsidRPr="005B0B4B">
        <w:rPr>
          <w:lang w:val="en-GB"/>
        </w:rPr>
        <w:t>effects on State</w:t>
      </w:r>
      <w:r w:rsidR="008A15FA">
        <w:rPr>
          <w:lang w:val="en-GB"/>
        </w:rPr>
        <w:t xml:space="preserve"> revenue raising capacity due to the response to the COVID-19 pandemic w</w:t>
      </w:r>
      <w:r w:rsidR="005E67A4">
        <w:rPr>
          <w:lang w:val="en-GB"/>
        </w:rPr>
        <w:t>ill be captured</w:t>
      </w:r>
      <w:r w:rsidR="00D51167">
        <w:rPr>
          <w:lang w:val="en-GB"/>
        </w:rPr>
        <w:t xml:space="preserve"> (although not be able to be separately identified) </w:t>
      </w:r>
      <w:r w:rsidR="00B90120">
        <w:rPr>
          <w:lang w:val="en-GB"/>
        </w:rPr>
        <w:t xml:space="preserve">through the existing revenue assessments. </w:t>
      </w:r>
      <w:r w:rsidR="005B13E0">
        <w:rPr>
          <w:lang w:val="en-GB"/>
        </w:rPr>
        <w:t xml:space="preserve">However, </w:t>
      </w:r>
      <w:r w:rsidR="00D649E1">
        <w:rPr>
          <w:lang w:val="en-GB"/>
        </w:rPr>
        <w:t>States</w:t>
      </w:r>
      <w:r w:rsidR="005B13E0">
        <w:rPr>
          <w:lang w:val="en-GB"/>
        </w:rPr>
        <w:t>’</w:t>
      </w:r>
      <w:r w:rsidR="00D649E1">
        <w:rPr>
          <w:lang w:val="en-GB"/>
        </w:rPr>
        <w:t xml:space="preserve"> responses to COVID-19 raise four revenue issues:</w:t>
      </w:r>
    </w:p>
    <w:p w14:paraId="2754FEFC" w14:textId="77777777" w:rsidR="00D649E1" w:rsidRDefault="00D649E1" w:rsidP="00D649E1">
      <w:pPr>
        <w:pStyle w:val="CGCBullet1"/>
      </w:pPr>
      <w:r>
        <w:t>whether adjustments are required to revenue assessment methods</w:t>
      </w:r>
    </w:p>
    <w:p w14:paraId="02C6CB30" w14:textId="77777777" w:rsidR="00D649E1" w:rsidRDefault="00D649E1" w:rsidP="00D649E1">
      <w:pPr>
        <w:pStyle w:val="CGCBullet1"/>
      </w:pPr>
      <w:r>
        <w:t>the appropriate treatment to apply to waivers</w:t>
      </w:r>
    </w:p>
    <w:p w14:paraId="1F6DA869" w14:textId="77777777" w:rsidR="00D649E1" w:rsidRDefault="00D649E1" w:rsidP="00D649E1">
      <w:pPr>
        <w:pStyle w:val="CGCBullet1"/>
      </w:pPr>
      <w:r>
        <w:lastRenderedPageBreak/>
        <w:t>the appropriate treatment to apply to deferrals</w:t>
      </w:r>
    </w:p>
    <w:p w14:paraId="4CE291EC" w14:textId="4636B816" w:rsidR="00D649E1" w:rsidRDefault="00D649E1" w:rsidP="00D649E1">
      <w:pPr>
        <w:pStyle w:val="CGCBullet1"/>
      </w:pPr>
      <w:r>
        <w:t>the appropriate treatment to apply to Job</w:t>
      </w:r>
      <w:r w:rsidR="00A65594">
        <w:t>K</w:t>
      </w:r>
      <w:r>
        <w:t>eeper payments.</w:t>
      </w:r>
    </w:p>
    <w:p w14:paraId="2B04EA0B" w14:textId="77777777" w:rsidR="00D649E1" w:rsidRPr="00D36B0B" w:rsidRDefault="00D649E1" w:rsidP="000D3F62">
      <w:pPr>
        <w:pStyle w:val="Heading5"/>
        <w:spacing w:before="200"/>
        <w:rPr>
          <w:lang w:val="en-GB"/>
        </w:rPr>
      </w:pPr>
      <w:r>
        <w:rPr>
          <w:lang w:val="en-GB"/>
        </w:rPr>
        <w:t>Are adjustments required to revenue assessment methods?</w:t>
      </w:r>
    </w:p>
    <w:p w14:paraId="769383A1" w14:textId="12F01091" w:rsidR="00D649E1" w:rsidRDefault="00D649E1" w:rsidP="00D649E1">
      <w:pPr>
        <w:pStyle w:val="CGCParaNumber"/>
        <w:rPr>
          <w:lang w:val="en-GB"/>
        </w:rPr>
      </w:pPr>
      <w:r>
        <w:rPr>
          <w:lang w:val="en-GB"/>
        </w:rPr>
        <w:t xml:space="preserve">The Commission </w:t>
      </w:r>
      <w:proofErr w:type="gramStart"/>
      <w:r>
        <w:rPr>
          <w:lang w:val="en-GB"/>
        </w:rPr>
        <w:t>makes adjustments to</w:t>
      </w:r>
      <w:proofErr w:type="gramEnd"/>
      <w:r>
        <w:rPr>
          <w:lang w:val="en-GB"/>
        </w:rPr>
        <w:t xml:space="preserve"> its revenue assessments when it accepts there are State policy differences that materially affect </w:t>
      </w:r>
      <w:r w:rsidR="00E977B2">
        <w:rPr>
          <w:lang w:val="en-GB"/>
        </w:rPr>
        <w:t>a State’s</w:t>
      </w:r>
      <w:r>
        <w:rPr>
          <w:lang w:val="en-GB"/>
        </w:rPr>
        <w:t xml:space="preserve"> revenue capacity measures. A COVID-19 adjustment could be considered for a revenue assessment if it was established that State policy responses to COVID-19 were different and those differences had materially affected economic activity and, in turn, </w:t>
      </w:r>
      <w:r w:rsidR="007F27F5">
        <w:rPr>
          <w:lang w:val="en-GB"/>
        </w:rPr>
        <w:t>a</w:t>
      </w:r>
      <w:r>
        <w:rPr>
          <w:lang w:val="en-GB"/>
        </w:rPr>
        <w:t xml:space="preserve"> capacity measure </w:t>
      </w:r>
      <w:r w:rsidR="007F27F5">
        <w:rPr>
          <w:lang w:val="en-GB"/>
        </w:rPr>
        <w:t xml:space="preserve">used by </w:t>
      </w:r>
      <w:r>
        <w:rPr>
          <w:lang w:val="en-GB"/>
        </w:rPr>
        <w:t>the Commission to assess revenue capacity.</w:t>
      </w:r>
    </w:p>
    <w:p w14:paraId="61747427" w14:textId="5DA0F566" w:rsidR="009E6C97" w:rsidRPr="00EF7E4C" w:rsidRDefault="00D649E1" w:rsidP="000D3F62">
      <w:pPr>
        <w:pStyle w:val="CGCParaNumber"/>
        <w:keepNext/>
        <w:keepLines/>
        <w:rPr>
          <w:lang w:val="en-GB"/>
        </w:rPr>
      </w:pPr>
      <w:r>
        <w:t xml:space="preserve">Commission staff consider that State policy responses in the </w:t>
      </w:r>
      <w:r w:rsidR="00E44D42">
        <w:t>assessment period</w:t>
      </w:r>
      <w:r w:rsidR="009E6C97">
        <w:t xml:space="preserve"> </w:t>
      </w:r>
      <w:r w:rsidR="009E6C97" w:rsidRPr="00EF7E4C">
        <w:t xml:space="preserve">have been broadly comparable. Any differences in the duration and level of lockdowns etc have </w:t>
      </w:r>
      <w:r w:rsidR="00252F4F" w:rsidRPr="00EF7E4C">
        <w:t xml:space="preserve">primarily </w:t>
      </w:r>
      <w:r w:rsidR="009E6C97" w:rsidRPr="00EF7E4C">
        <w:t xml:space="preserve">reflected differences in State circumstances, rather than differences in policy choice. </w:t>
      </w:r>
      <w:r w:rsidR="009E6C97" w:rsidRPr="00EF7E4C">
        <w:rPr>
          <w:lang w:val="en-GB"/>
        </w:rPr>
        <w:t>Commission staff do not consider there have been material differences in States</w:t>
      </w:r>
      <w:r w:rsidR="001E42C9" w:rsidRPr="00EF7E4C">
        <w:rPr>
          <w:lang w:val="en-GB"/>
        </w:rPr>
        <w:t>’</w:t>
      </w:r>
      <w:r w:rsidR="009E6C97" w:rsidRPr="00EF7E4C">
        <w:rPr>
          <w:lang w:val="en-GB"/>
        </w:rPr>
        <w:t xml:space="preserve"> approach</w:t>
      </w:r>
      <w:r w:rsidR="001E42C9" w:rsidRPr="00EF7E4C">
        <w:rPr>
          <w:lang w:val="en-GB"/>
        </w:rPr>
        <w:t>es</w:t>
      </w:r>
      <w:r w:rsidR="009E6C97" w:rsidRPr="00EF7E4C">
        <w:rPr>
          <w:lang w:val="en-GB"/>
        </w:rPr>
        <w:t xml:space="preserve"> to COVID-19 from a revenue perspective.</w:t>
      </w:r>
      <w:r w:rsidR="00AF3227" w:rsidRPr="00EF7E4C">
        <w:rPr>
          <w:lang w:val="en-GB"/>
        </w:rPr>
        <w:t xml:space="preserve"> </w:t>
      </w:r>
      <w:r w:rsidR="008E6A6B">
        <w:rPr>
          <w:lang w:val="en-GB"/>
        </w:rPr>
        <w:t>E</w:t>
      </w:r>
      <w:r w:rsidR="00AF3227" w:rsidRPr="00EF7E4C">
        <w:rPr>
          <w:lang w:val="en-GB"/>
        </w:rPr>
        <w:t>ven if</w:t>
      </w:r>
      <w:r w:rsidR="0098302C" w:rsidRPr="00EF7E4C">
        <w:rPr>
          <w:lang w:val="en-GB"/>
        </w:rPr>
        <w:t xml:space="preserve"> differences in policy did result in </w:t>
      </w:r>
      <w:r w:rsidR="00D85ACB" w:rsidRPr="00EF7E4C">
        <w:rPr>
          <w:lang w:val="en-GB"/>
        </w:rPr>
        <w:t xml:space="preserve">material differences </w:t>
      </w:r>
      <w:r w:rsidR="003062DB">
        <w:rPr>
          <w:lang w:val="en-GB"/>
        </w:rPr>
        <w:t>between States</w:t>
      </w:r>
      <w:r w:rsidR="00D85ACB" w:rsidRPr="00EF7E4C">
        <w:rPr>
          <w:lang w:val="en-GB"/>
        </w:rPr>
        <w:t xml:space="preserve"> </w:t>
      </w:r>
      <w:r w:rsidR="0098302C" w:rsidRPr="00EF7E4C">
        <w:rPr>
          <w:lang w:val="en-GB"/>
        </w:rPr>
        <w:t xml:space="preserve">in revenue raising capacity, the Commission has no viable approach to adjusting for such differences. </w:t>
      </w:r>
    </w:p>
    <w:p w14:paraId="39C4696C" w14:textId="142ED17F" w:rsidR="00D649E1" w:rsidRPr="00EF7E4C" w:rsidRDefault="00D649E1" w:rsidP="00D649E1">
      <w:pPr>
        <w:pStyle w:val="CGCParaNumber"/>
        <w:rPr>
          <w:lang w:val="en-GB"/>
        </w:rPr>
      </w:pPr>
      <w:r w:rsidRPr="00EF7E4C">
        <w:t xml:space="preserve">Commission staff propose to recommend the Commission not </w:t>
      </w:r>
      <w:proofErr w:type="gramStart"/>
      <w:r w:rsidRPr="00EF7E4C">
        <w:t>make adjustments to</w:t>
      </w:r>
      <w:proofErr w:type="gramEnd"/>
      <w:r w:rsidRPr="00EF7E4C">
        <w:t xml:space="preserve"> revenue assessment methods.</w:t>
      </w:r>
      <w:r w:rsidR="00174161" w:rsidRPr="00EF7E4C">
        <w:t xml:space="preserve"> However, some data adjustments are necessary to ensure that data remain comparable.</w:t>
      </w:r>
    </w:p>
    <w:p w14:paraId="3F0D3963" w14:textId="77777777" w:rsidR="00D649E1" w:rsidRPr="00D36B0B" w:rsidRDefault="00D649E1" w:rsidP="00D649E1">
      <w:pPr>
        <w:pStyle w:val="Heading5"/>
        <w:rPr>
          <w:lang w:val="en-GB"/>
        </w:rPr>
      </w:pPr>
      <w:r>
        <w:rPr>
          <w:lang w:val="en-GB"/>
        </w:rPr>
        <w:t>The treatment to apply to waivers</w:t>
      </w:r>
    </w:p>
    <w:p w14:paraId="795F6D0B" w14:textId="77777777" w:rsidR="00D649E1" w:rsidRPr="00D36B0B" w:rsidRDefault="00D649E1" w:rsidP="00D649E1">
      <w:pPr>
        <w:pStyle w:val="CGCParaNumber"/>
        <w:rPr>
          <w:lang w:val="en-GB"/>
        </w:rPr>
      </w:pPr>
      <w:r>
        <w:rPr>
          <w:lang w:val="en-GB"/>
        </w:rPr>
        <w:t>States have announced decisions to waive, in whole or in part, tax liabilities for the 2019</w:t>
      </w:r>
      <w:r>
        <w:rPr>
          <w:lang w:val="en-GB"/>
        </w:rPr>
        <w:noBreakHyphen/>
        <w:t>20 year. These waivers will reduce the revenue collected and, therefore, the effective rate of tax for different revenue streams.</w:t>
      </w:r>
    </w:p>
    <w:p w14:paraId="5CE73648" w14:textId="77777777" w:rsidR="00D649E1" w:rsidRPr="00D36B0B" w:rsidRDefault="00D649E1" w:rsidP="00D649E1">
      <w:pPr>
        <w:pStyle w:val="CGCParaNumber"/>
        <w:rPr>
          <w:lang w:val="en-GB"/>
        </w:rPr>
      </w:pPr>
      <w:r>
        <w:rPr>
          <w:lang w:val="en-GB"/>
        </w:rPr>
        <w:t>Commission staff propose to recommend to the Commission that it capture waivers as lower effective rates of tax.</w:t>
      </w:r>
    </w:p>
    <w:p w14:paraId="2D1A4897" w14:textId="3B859A9B" w:rsidR="00D649E1" w:rsidRPr="00D36B0B" w:rsidRDefault="00D649E1" w:rsidP="00D649E1">
      <w:pPr>
        <w:pStyle w:val="CGCParaNumber"/>
        <w:rPr>
          <w:lang w:val="en-GB"/>
        </w:rPr>
      </w:pPr>
      <w:r>
        <w:rPr>
          <w:lang w:val="en-GB"/>
        </w:rPr>
        <w:t>However, some waivers may be processed as rebates (State spending). In such cases, it would be preferable to apply the same treatment to rebates as to waivers</w:t>
      </w:r>
      <w:r w:rsidR="00F707F8">
        <w:rPr>
          <w:lang w:val="en-GB"/>
        </w:rPr>
        <w:t xml:space="preserve"> </w:t>
      </w:r>
      <w:r w:rsidR="00E45AE1" w:rsidRPr="00F57BCF">
        <w:t xml:space="preserve">— </w:t>
      </w:r>
      <w:r w:rsidR="00F707F8">
        <w:rPr>
          <w:lang w:val="en-GB"/>
        </w:rPr>
        <w:t>that</w:t>
      </w:r>
      <w:r>
        <w:rPr>
          <w:lang w:val="en-GB"/>
        </w:rPr>
        <w:t xml:space="preserve"> is, to apply the relevant revenue disabilities to the rebates. This could be achieved by offsetting the rebates against the relevant revenue category. The Commission will seek rebate data from States to determine whether it is material to offset rebates.</w:t>
      </w:r>
    </w:p>
    <w:p w14:paraId="645F99ED" w14:textId="26F5CA84" w:rsidR="00D649E1" w:rsidRPr="00D36B0B" w:rsidRDefault="00D649E1" w:rsidP="00D649E1">
      <w:pPr>
        <w:pStyle w:val="CGCParaNumber"/>
        <w:rPr>
          <w:lang w:val="en-GB"/>
        </w:rPr>
      </w:pPr>
      <w:r>
        <w:rPr>
          <w:lang w:val="en-GB"/>
        </w:rPr>
        <w:t>Commission staff propose to recommend to the Commission that it offset rebates against the relevant revenue category if it is material to do so.</w:t>
      </w:r>
    </w:p>
    <w:p w14:paraId="42A10778" w14:textId="77777777" w:rsidR="00D649E1" w:rsidRPr="00D36B0B" w:rsidRDefault="00D649E1" w:rsidP="00D649E1">
      <w:pPr>
        <w:pStyle w:val="Heading5"/>
        <w:rPr>
          <w:lang w:val="en-GB"/>
        </w:rPr>
      </w:pPr>
      <w:r>
        <w:rPr>
          <w:lang w:val="en-GB"/>
        </w:rPr>
        <w:t>The treatment to apply to deferrals</w:t>
      </w:r>
    </w:p>
    <w:p w14:paraId="36A84F6D" w14:textId="77777777" w:rsidR="00D649E1" w:rsidRDefault="00D649E1" w:rsidP="00D649E1">
      <w:pPr>
        <w:pStyle w:val="CGCParaNumber"/>
        <w:rPr>
          <w:lang w:val="en-GB"/>
        </w:rPr>
      </w:pPr>
      <w:r w:rsidRPr="00CA7C70">
        <w:rPr>
          <w:lang w:val="en-GB"/>
        </w:rPr>
        <w:t>States have announced decisions to defer tax liabilities for the 2019</w:t>
      </w:r>
      <w:r w:rsidRPr="00CA7C70">
        <w:rPr>
          <w:lang w:val="en-GB"/>
        </w:rPr>
        <w:noBreakHyphen/>
        <w:t xml:space="preserve">20 year. </w:t>
      </w:r>
      <w:r>
        <w:rPr>
          <w:lang w:val="en-GB"/>
        </w:rPr>
        <w:t>D</w:t>
      </w:r>
      <w:r w:rsidRPr="00CA7C70">
        <w:rPr>
          <w:lang w:val="en-GB"/>
        </w:rPr>
        <w:t xml:space="preserve">eferrals do not affect the amount of revenue collected, only its timing. </w:t>
      </w:r>
      <w:r>
        <w:rPr>
          <w:lang w:val="en-GB"/>
        </w:rPr>
        <w:t>Deferrals could be assessed in the year they are collected or the year in which the tax liability arose.</w:t>
      </w:r>
    </w:p>
    <w:p w14:paraId="71FBD15A" w14:textId="77777777" w:rsidR="00D649E1" w:rsidRPr="00CA7C70" w:rsidRDefault="00D649E1" w:rsidP="00D649E1">
      <w:pPr>
        <w:pStyle w:val="CGCParaNumber"/>
        <w:rPr>
          <w:lang w:val="en-GB"/>
        </w:rPr>
      </w:pPr>
      <w:r w:rsidRPr="00CA7C70">
        <w:rPr>
          <w:lang w:val="en-GB"/>
        </w:rPr>
        <w:t xml:space="preserve">It is possible States’ assessed revenue capacities </w:t>
      </w:r>
      <w:r>
        <w:rPr>
          <w:lang w:val="en-GB"/>
        </w:rPr>
        <w:t>could be materially affected depending on which year deferrals are assessed</w:t>
      </w:r>
      <w:r w:rsidRPr="00CA7C70">
        <w:rPr>
          <w:lang w:val="en-GB"/>
        </w:rPr>
        <w:t>. I</w:t>
      </w:r>
      <w:r>
        <w:rPr>
          <w:lang w:val="en-GB"/>
        </w:rPr>
        <w:t>n these circumstances, i</w:t>
      </w:r>
      <w:r w:rsidRPr="00CA7C70">
        <w:rPr>
          <w:lang w:val="en-GB"/>
        </w:rPr>
        <w:t xml:space="preserve">t would be preferable to </w:t>
      </w:r>
      <w:r>
        <w:rPr>
          <w:lang w:val="en-GB"/>
        </w:rPr>
        <w:t>assess them in the year in which the liability arose</w:t>
      </w:r>
      <w:r w:rsidRPr="00CA7C70">
        <w:rPr>
          <w:lang w:val="en-GB"/>
        </w:rPr>
        <w:t xml:space="preserve">. The Commission will seek </w:t>
      </w:r>
      <w:r>
        <w:rPr>
          <w:lang w:val="en-GB"/>
        </w:rPr>
        <w:t>deferral</w:t>
      </w:r>
      <w:r w:rsidRPr="00CA7C70">
        <w:rPr>
          <w:lang w:val="en-GB"/>
        </w:rPr>
        <w:t xml:space="preserve"> data from States to </w:t>
      </w:r>
      <w:r>
        <w:rPr>
          <w:lang w:val="en-GB"/>
        </w:rPr>
        <w:t xml:space="preserve">allow it to </w:t>
      </w:r>
      <w:r w:rsidRPr="00CA7C70">
        <w:rPr>
          <w:lang w:val="en-GB"/>
        </w:rPr>
        <w:t xml:space="preserve">determine whether it is material to </w:t>
      </w:r>
      <w:r>
        <w:rPr>
          <w:lang w:val="en-GB"/>
        </w:rPr>
        <w:t>assess</w:t>
      </w:r>
      <w:r w:rsidRPr="00CA7C70">
        <w:rPr>
          <w:lang w:val="en-GB"/>
        </w:rPr>
        <w:t xml:space="preserve"> them</w:t>
      </w:r>
      <w:r>
        <w:rPr>
          <w:lang w:val="en-GB"/>
        </w:rPr>
        <w:t xml:space="preserve"> in the year the liability arose</w:t>
      </w:r>
      <w:r w:rsidRPr="00CA7C70">
        <w:rPr>
          <w:lang w:val="en-GB"/>
        </w:rPr>
        <w:t>.</w:t>
      </w:r>
    </w:p>
    <w:p w14:paraId="649B51D8" w14:textId="3E67031E" w:rsidR="00D649E1" w:rsidRPr="00D36B0B" w:rsidRDefault="00D649E1" w:rsidP="00D649E1">
      <w:pPr>
        <w:pStyle w:val="CGCParaNumber"/>
        <w:rPr>
          <w:lang w:val="en-GB"/>
        </w:rPr>
      </w:pPr>
      <w:r>
        <w:rPr>
          <w:lang w:val="en-GB"/>
        </w:rPr>
        <w:t>Commission staff propose to recommend to the Commission that it assess deferred revenue in the year in which the liability arose if it is material to do so.</w:t>
      </w:r>
    </w:p>
    <w:p w14:paraId="359FB7E4" w14:textId="77777777" w:rsidR="00D649E1" w:rsidRPr="00D36B0B" w:rsidRDefault="00D649E1" w:rsidP="00D649E1">
      <w:pPr>
        <w:pStyle w:val="Heading5"/>
        <w:rPr>
          <w:lang w:val="en-GB"/>
        </w:rPr>
      </w:pPr>
      <w:r>
        <w:rPr>
          <w:lang w:val="en-GB"/>
        </w:rPr>
        <w:lastRenderedPageBreak/>
        <w:t>The treatment to apply to JobKeeper payments</w:t>
      </w:r>
    </w:p>
    <w:p w14:paraId="4B5E794C" w14:textId="762F888B" w:rsidR="00D649E1" w:rsidRDefault="00D649E1" w:rsidP="00D649E1">
      <w:pPr>
        <w:pStyle w:val="CGCParaNumber"/>
        <w:rPr>
          <w:lang w:val="en-GB"/>
        </w:rPr>
      </w:pPr>
      <w:r>
        <w:rPr>
          <w:lang w:val="en-GB"/>
        </w:rPr>
        <w:t xml:space="preserve">JobKeeper payments are </w:t>
      </w:r>
      <w:r w:rsidR="007035C1">
        <w:rPr>
          <w:lang w:val="en-GB"/>
        </w:rPr>
        <w:t xml:space="preserve">a </w:t>
      </w:r>
      <w:r>
        <w:rPr>
          <w:lang w:val="en-GB"/>
        </w:rPr>
        <w:t xml:space="preserve">fortnightly payment from the Commonwealth to eligible employers who must fully pass on the payments </w:t>
      </w:r>
      <w:r w:rsidR="00502829">
        <w:rPr>
          <w:lang w:val="en-GB"/>
        </w:rPr>
        <w:t xml:space="preserve">of $1,500 </w:t>
      </w:r>
      <w:r>
        <w:rPr>
          <w:lang w:val="en-GB"/>
        </w:rPr>
        <w:t>to eligible employees.</w:t>
      </w:r>
    </w:p>
    <w:p w14:paraId="02603FCA" w14:textId="1470DE69" w:rsidR="00D649E1" w:rsidRPr="00D36B0B" w:rsidRDefault="00D649E1" w:rsidP="00D649E1">
      <w:pPr>
        <w:pStyle w:val="CGCParaNumber"/>
        <w:rPr>
          <w:lang w:val="en-GB"/>
        </w:rPr>
      </w:pPr>
      <w:r>
        <w:rPr>
          <w:lang w:val="en-GB"/>
        </w:rPr>
        <w:t xml:space="preserve">Most States will exempt JobKeeper payments from payroll tax. </w:t>
      </w:r>
      <w:r w:rsidR="00510716">
        <w:rPr>
          <w:lang w:val="en-GB"/>
        </w:rPr>
        <w:t xml:space="preserve">However, </w:t>
      </w:r>
      <w:r>
        <w:rPr>
          <w:lang w:val="en-US"/>
        </w:rPr>
        <w:t>New South Wales and Victoria will exempt ‘top-up payments’ only. Top-up payments are amounts above the employee’s standard salary.</w:t>
      </w:r>
    </w:p>
    <w:p w14:paraId="417BE06E" w14:textId="4188F14B" w:rsidR="00D649E1" w:rsidRPr="00B765DB" w:rsidRDefault="00D649E1" w:rsidP="00D649E1">
      <w:pPr>
        <w:pStyle w:val="CGCParaNumber"/>
        <w:rPr>
          <w:lang w:val="en-GB"/>
        </w:rPr>
      </w:pPr>
      <w:r w:rsidRPr="00794F1E">
        <w:rPr>
          <w:lang w:val="en-US"/>
        </w:rPr>
        <w:t xml:space="preserve">The Australian Bureau of Statistics </w:t>
      </w:r>
      <w:r w:rsidR="009D0618">
        <w:rPr>
          <w:lang w:val="en-US"/>
        </w:rPr>
        <w:t>(ABS)</w:t>
      </w:r>
      <w:r w:rsidRPr="00794F1E">
        <w:rPr>
          <w:lang w:val="en-US"/>
        </w:rPr>
        <w:t xml:space="preserve"> is classifying these payments as wages and salary</w:t>
      </w:r>
      <w:r>
        <w:rPr>
          <w:lang w:val="en-US"/>
        </w:rPr>
        <w:t>, but it</w:t>
      </w:r>
      <w:r w:rsidRPr="00794F1E">
        <w:rPr>
          <w:lang w:val="en-US"/>
        </w:rPr>
        <w:t xml:space="preserve"> </w:t>
      </w:r>
      <w:r>
        <w:rPr>
          <w:lang w:val="en-US"/>
        </w:rPr>
        <w:t>is</w:t>
      </w:r>
      <w:r w:rsidRPr="00794F1E">
        <w:rPr>
          <w:lang w:val="en-US"/>
        </w:rPr>
        <w:t xml:space="preserve"> unable to separate the</w:t>
      </w:r>
      <w:r>
        <w:rPr>
          <w:lang w:val="en-US"/>
        </w:rPr>
        <w:t>m</w:t>
      </w:r>
      <w:r w:rsidRPr="00794F1E">
        <w:rPr>
          <w:lang w:val="en-US"/>
        </w:rPr>
        <w:t xml:space="preserve"> from other wages and salaries. As</w:t>
      </w:r>
      <w:r>
        <w:rPr>
          <w:lang w:val="en-US"/>
        </w:rPr>
        <w:t xml:space="preserve"> </w:t>
      </w:r>
      <w:r w:rsidR="0077081E">
        <w:rPr>
          <w:lang w:val="en-US"/>
        </w:rPr>
        <w:t>the ABS</w:t>
      </w:r>
      <w:r>
        <w:rPr>
          <w:lang w:val="en-US"/>
        </w:rPr>
        <w:t xml:space="preserve"> is the Commission’s</w:t>
      </w:r>
      <w:r w:rsidRPr="00794F1E">
        <w:rPr>
          <w:lang w:val="en-US"/>
        </w:rPr>
        <w:t xml:space="preserve"> </w:t>
      </w:r>
      <w:r>
        <w:rPr>
          <w:lang w:val="en-US"/>
        </w:rPr>
        <w:t>data source, the Commission will be unable to identify and remove these payments. While this may inflate the payroll tax base, staff expect any impacts to be lessened for the following reasons:</w:t>
      </w:r>
    </w:p>
    <w:p w14:paraId="485DB0B5" w14:textId="77777777" w:rsidR="00D649E1" w:rsidRDefault="00D649E1" w:rsidP="00D649E1">
      <w:pPr>
        <w:pStyle w:val="CGCBullet1"/>
        <w:rPr>
          <w:lang w:val="en-US"/>
        </w:rPr>
      </w:pPr>
      <w:r>
        <w:rPr>
          <w:lang w:val="en-US"/>
        </w:rPr>
        <w:t>business eligibility requirements mean only a portion of businesses will be affected</w:t>
      </w:r>
    </w:p>
    <w:p w14:paraId="4D50EAF1" w14:textId="6174259A" w:rsidR="00D649E1" w:rsidRPr="005157BD" w:rsidRDefault="00D649E1" w:rsidP="00D649E1">
      <w:pPr>
        <w:pStyle w:val="CGCBullet1"/>
        <w:rPr>
          <w:lang w:val="en-GB"/>
        </w:rPr>
      </w:pPr>
      <w:r w:rsidRPr="005157BD">
        <w:rPr>
          <w:lang w:val="en-US"/>
        </w:rPr>
        <w:t xml:space="preserve">many eligible businesses have a payroll </w:t>
      </w:r>
      <w:r>
        <w:rPr>
          <w:lang w:val="en-US"/>
        </w:rPr>
        <w:t xml:space="preserve">below the </w:t>
      </w:r>
      <w:r w:rsidR="00A65594">
        <w:rPr>
          <w:lang w:val="en-US"/>
        </w:rPr>
        <w:t>average</w:t>
      </w:r>
      <w:r>
        <w:rPr>
          <w:lang w:val="en-US"/>
        </w:rPr>
        <w:t xml:space="preserve"> threshold</w:t>
      </w:r>
      <w:r w:rsidRPr="005157BD">
        <w:rPr>
          <w:lang w:val="en-US"/>
        </w:rPr>
        <w:t xml:space="preserve"> and </w:t>
      </w:r>
      <w:r>
        <w:rPr>
          <w:lang w:val="en-US"/>
        </w:rPr>
        <w:t>so will</w:t>
      </w:r>
      <w:r w:rsidRPr="005157BD">
        <w:rPr>
          <w:lang w:val="en-US"/>
        </w:rPr>
        <w:t xml:space="preserve"> not </w:t>
      </w:r>
      <w:r>
        <w:rPr>
          <w:lang w:val="en-US"/>
        </w:rPr>
        <w:t>be included in</w:t>
      </w:r>
      <w:r w:rsidRPr="005157BD">
        <w:rPr>
          <w:lang w:val="en-US"/>
        </w:rPr>
        <w:t xml:space="preserve"> the base</w:t>
      </w:r>
    </w:p>
    <w:p w14:paraId="3451FB90" w14:textId="058AB47E" w:rsidR="00D649E1" w:rsidRPr="005157BD" w:rsidRDefault="00D649E1" w:rsidP="00D649E1">
      <w:pPr>
        <w:pStyle w:val="CGCBullet1"/>
        <w:rPr>
          <w:lang w:val="en-GB"/>
        </w:rPr>
      </w:pPr>
      <w:r w:rsidRPr="005157BD">
        <w:rPr>
          <w:lang w:val="en-US"/>
        </w:rPr>
        <w:t>New South Wales and Victoria</w:t>
      </w:r>
      <w:r w:rsidR="00473A31">
        <w:rPr>
          <w:lang w:val="en-US"/>
        </w:rPr>
        <w:t xml:space="preserve">, which </w:t>
      </w:r>
      <w:r w:rsidR="00A65594">
        <w:rPr>
          <w:lang w:val="en-US"/>
        </w:rPr>
        <w:t>appear to</w:t>
      </w:r>
      <w:r w:rsidRPr="005157BD">
        <w:rPr>
          <w:lang w:val="en-US"/>
        </w:rPr>
        <w:t xml:space="preserve"> account for nearly two-thirds of JobKeeper payments</w:t>
      </w:r>
      <w:r w:rsidR="00473A31">
        <w:rPr>
          <w:lang w:val="en-US"/>
        </w:rPr>
        <w:t>,</w:t>
      </w:r>
      <w:r w:rsidRPr="005157BD">
        <w:rPr>
          <w:lang w:val="en-US"/>
        </w:rPr>
        <w:t xml:space="preserve"> are not fully exempting JobKeeper payments.</w:t>
      </w:r>
    </w:p>
    <w:p w14:paraId="482C9F40" w14:textId="425AACC4" w:rsidR="00D649E1" w:rsidRDefault="00D649E1" w:rsidP="00D649E1">
      <w:pPr>
        <w:pStyle w:val="CGCParaNumber"/>
      </w:pPr>
      <w:r>
        <w:t>Commission staff propose to recommend that</w:t>
      </w:r>
      <w:r w:rsidR="00473A31">
        <w:t>, on practicality grounds,</w:t>
      </w:r>
      <w:r>
        <w:t xml:space="preserve"> the Commission </w:t>
      </w:r>
      <w:r w:rsidR="00473A31">
        <w:t>not attempt to remove</w:t>
      </w:r>
      <w:r>
        <w:t xml:space="preserve"> JobKeeper payments </w:t>
      </w:r>
      <w:r w:rsidR="00473A31">
        <w:t>from</w:t>
      </w:r>
      <w:r>
        <w:t xml:space="preserve"> its payroll tax base.</w:t>
      </w:r>
    </w:p>
    <w:p w14:paraId="1D23F335" w14:textId="464F34C8" w:rsidR="00DB47CC" w:rsidRPr="00D9419A" w:rsidRDefault="006529F0" w:rsidP="00595D5E">
      <w:pPr>
        <w:pStyle w:val="Heading4"/>
      </w:pPr>
      <w:bookmarkStart w:id="22" w:name="_Toc49170280"/>
      <w:r>
        <w:t>Expens</w:t>
      </w:r>
      <w:r w:rsidR="00CC454A">
        <w:t>e issues</w:t>
      </w:r>
      <w:bookmarkEnd w:id="22"/>
    </w:p>
    <w:p w14:paraId="1AFB018E" w14:textId="2CE7546D" w:rsidR="007862E2" w:rsidRDefault="00400545" w:rsidP="00D7384F">
      <w:pPr>
        <w:pStyle w:val="CGCParaNumber"/>
      </w:pPr>
      <w:r>
        <w:t xml:space="preserve">States have announced </w:t>
      </w:r>
      <w:r w:rsidR="008C5DC6">
        <w:t>new spending ini</w:t>
      </w:r>
      <w:r w:rsidR="00E35D03">
        <w:t xml:space="preserve">tiatives in response to COVID-19 in all expense categories. </w:t>
      </w:r>
      <w:r w:rsidR="00E45E47">
        <w:t xml:space="preserve">In some categories, service delivery </w:t>
      </w:r>
      <w:r w:rsidR="005D5FE8">
        <w:t>arrangements</w:t>
      </w:r>
      <w:r w:rsidR="00E45E47">
        <w:t xml:space="preserve"> changed significantly</w:t>
      </w:r>
      <w:r w:rsidR="00603300">
        <w:t xml:space="preserve"> (</w:t>
      </w:r>
      <w:r w:rsidR="00E45E47">
        <w:t>for example school education was delivered remotely for many students for some period</w:t>
      </w:r>
      <w:r w:rsidR="00603300">
        <w:t>)</w:t>
      </w:r>
      <w:r w:rsidR="00E45E47">
        <w:t>. Similarly</w:t>
      </w:r>
      <w:r w:rsidR="00E47BA8">
        <w:t>,</w:t>
      </w:r>
      <w:r w:rsidR="00E45E47">
        <w:t xml:space="preserve"> the </w:t>
      </w:r>
      <w:r w:rsidR="00200EF1" w:rsidRPr="00D7384F">
        <w:t>socio</w:t>
      </w:r>
      <w:r w:rsidR="00200EF1">
        <w:t>-</w:t>
      </w:r>
      <w:r w:rsidR="00E45E47">
        <w:t xml:space="preserve">demographic profile of people targeted by police may have changed. </w:t>
      </w:r>
      <w:r w:rsidR="00275479">
        <w:t xml:space="preserve">For most categories, </w:t>
      </w:r>
      <w:r w:rsidR="004D1C24">
        <w:t>COVID-19</w:t>
      </w:r>
      <w:r w:rsidR="00C601FE">
        <w:t xml:space="preserve"> </w:t>
      </w:r>
      <w:r w:rsidR="004D1C24">
        <w:t xml:space="preserve">related </w:t>
      </w:r>
      <w:r w:rsidR="00275479">
        <w:t>spending is relatively small</w:t>
      </w:r>
      <w:r w:rsidR="00FA41CD">
        <w:t xml:space="preserve">, </w:t>
      </w:r>
      <w:r w:rsidR="003D0BAF">
        <w:t xml:space="preserve">and the drivers of </w:t>
      </w:r>
      <w:r w:rsidR="008152CE">
        <w:t xml:space="preserve">need have not significantly changed. </w:t>
      </w:r>
      <w:r w:rsidR="001769B4">
        <w:t>Generally</w:t>
      </w:r>
      <w:r w:rsidR="007B16DC">
        <w:t>, s</w:t>
      </w:r>
      <w:r w:rsidR="008152CE">
        <w:t xml:space="preserve">taff consider that </w:t>
      </w:r>
      <w:r w:rsidR="00EB7260">
        <w:t xml:space="preserve">applying the 2020 methods to the new </w:t>
      </w:r>
      <w:r w:rsidR="00DB421E">
        <w:t xml:space="preserve">and existing </w:t>
      </w:r>
      <w:r w:rsidR="00EB7260">
        <w:t xml:space="preserve">spending remains appropriate. </w:t>
      </w:r>
    </w:p>
    <w:p w14:paraId="43DDD95B" w14:textId="0F62B770" w:rsidR="00DB47CC" w:rsidRDefault="00222D3F" w:rsidP="00FC377C">
      <w:pPr>
        <w:pStyle w:val="CGCParaNumber"/>
      </w:pPr>
      <w:r>
        <w:t xml:space="preserve">There are </w:t>
      </w:r>
      <w:r w:rsidR="003A6302">
        <w:t xml:space="preserve">two </w:t>
      </w:r>
      <w:r>
        <w:t xml:space="preserve">categories </w:t>
      </w:r>
      <w:r w:rsidR="00117D2D">
        <w:t>(</w:t>
      </w:r>
      <w:r w:rsidR="00344C30">
        <w:t>health</w:t>
      </w:r>
      <w:r w:rsidR="00117D2D">
        <w:t xml:space="preserve"> and </w:t>
      </w:r>
      <w:r w:rsidR="00344C30">
        <w:t>services</w:t>
      </w:r>
      <w:r w:rsidR="00117D2D">
        <w:t xml:space="preserve"> to industry) </w:t>
      </w:r>
      <w:r w:rsidR="00DB47CC">
        <w:t xml:space="preserve">where significant additional spending has been announced, </w:t>
      </w:r>
      <w:r w:rsidR="005E036C">
        <w:t xml:space="preserve">and </w:t>
      </w:r>
      <w:r w:rsidR="00DB47CC">
        <w:t xml:space="preserve">where there is a potential argument that COVID-19 may result in different needs from those assessed by the 2020 Review methods. </w:t>
      </w:r>
    </w:p>
    <w:p w14:paraId="15BC0673" w14:textId="77777777" w:rsidR="00DB47CC" w:rsidRDefault="00DB47CC" w:rsidP="00C03302">
      <w:pPr>
        <w:pStyle w:val="Heading5"/>
      </w:pPr>
      <w:bookmarkStart w:id="23" w:name="_Ref42617650"/>
      <w:r>
        <w:t>Health</w:t>
      </w:r>
      <w:bookmarkEnd w:id="23"/>
    </w:p>
    <w:p w14:paraId="69501F46" w14:textId="77777777" w:rsidR="00DB47CC" w:rsidRDefault="00DB47CC" w:rsidP="00C03302">
      <w:pPr>
        <w:pStyle w:val="Heading6"/>
      </w:pPr>
      <w:r>
        <w:t>State budgets</w:t>
      </w:r>
    </w:p>
    <w:p w14:paraId="5A140639" w14:textId="12B21CBA" w:rsidR="00E91504" w:rsidRDefault="00E91504" w:rsidP="00E91504">
      <w:pPr>
        <w:pStyle w:val="CGCParaNumber"/>
      </w:pPr>
      <w:bookmarkStart w:id="24" w:name="_Ref42670012"/>
      <w:r w:rsidRPr="00E91504">
        <w:t>The National Partnership on COVID-19 Response (NPCR) puts in place a 50:50 cost-sharing arrangement</w:t>
      </w:r>
      <w:r w:rsidR="002D35FF">
        <w:t xml:space="preserve"> </w:t>
      </w:r>
      <w:r w:rsidR="002D35FF" w:rsidRPr="002D35FF">
        <w:t>(apart from the private hospital viability payment which is 100% Commonwealth funded)</w:t>
      </w:r>
      <w:r w:rsidRPr="00E91504">
        <w:t xml:space="preserve"> for specific COVID-19 related hospital and public health expenditure incurred after 21</w:t>
      </w:r>
      <w:r w:rsidR="00243423">
        <w:t> </w:t>
      </w:r>
      <w:r w:rsidRPr="00E91504">
        <w:t>January 2020. The agreement complements the National Health Reform Agreement (NHRA). The agreement requires States to report actual hospital and public health activity to the National Health Funding Body (NHFB) within 90 days of the end of the quarter.</w:t>
      </w:r>
      <w:r w:rsidR="005D28D1" w:rsidRPr="00E91504" w:rsidDel="005D28D1">
        <w:t xml:space="preserve"> </w:t>
      </w:r>
    </w:p>
    <w:bookmarkEnd w:id="24"/>
    <w:p w14:paraId="41CCB4CB" w14:textId="6BFE343D" w:rsidR="00DB47CC" w:rsidRDefault="00F85E9D" w:rsidP="00DB47CC">
      <w:pPr>
        <w:pStyle w:val="CGCParaNumber"/>
      </w:pPr>
      <w:r>
        <w:t xml:space="preserve">The NHFB has advised </w:t>
      </w:r>
      <w:r w:rsidR="00DF3D20">
        <w:t xml:space="preserve">that States </w:t>
      </w:r>
      <w:r w:rsidR="003D2DAF">
        <w:t xml:space="preserve">incurred </w:t>
      </w:r>
      <w:r w:rsidR="00DF3D20">
        <w:t xml:space="preserve">around $1.7 billion </w:t>
      </w:r>
      <w:r w:rsidR="003D2DAF">
        <w:t>in COVID-19 related expenses</w:t>
      </w:r>
      <w:r w:rsidR="0034078B">
        <w:t xml:space="preserve"> in 2019-20</w:t>
      </w:r>
      <w:r w:rsidR="008B5F3F">
        <w:rPr>
          <w:rStyle w:val="FootnoteReference"/>
        </w:rPr>
        <w:footnoteReference w:id="2"/>
      </w:r>
      <w:r w:rsidR="006545CB">
        <w:t xml:space="preserve">. Most of this spending has been </w:t>
      </w:r>
      <w:r w:rsidR="00581A99">
        <w:t xml:space="preserve">on public health, </w:t>
      </w:r>
      <w:r w:rsidR="00C9765C">
        <w:t xml:space="preserve">including an estimated $900 </w:t>
      </w:r>
      <w:r w:rsidR="00C9765C">
        <w:lastRenderedPageBreak/>
        <w:t xml:space="preserve">million </w:t>
      </w:r>
      <w:r w:rsidR="00624519">
        <w:t xml:space="preserve">on </w:t>
      </w:r>
      <w:r w:rsidR="00346925">
        <w:t>personal protective equipment</w:t>
      </w:r>
      <w:r w:rsidR="00D830D1">
        <w:t xml:space="preserve"> (PPE)</w:t>
      </w:r>
      <w:r w:rsidR="00346925">
        <w:t xml:space="preserve">. </w:t>
      </w:r>
      <w:r w:rsidR="00D34A03">
        <w:t>COVID-19 related a</w:t>
      </w:r>
      <w:r w:rsidR="00D47D12">
        <w:t xml:space="preserve">dmitted patient costs </w:t>
      </w:r>
      <w:r w:rsidR="00D34A03">
        <w:t>totalled around $200 million</w:t>
      </w:r>
      <w:r w:rsidR="00B8174E">
        <w:t>.</w:t>
      </w:r>
      <w:r w:rsidR="003D2DAF">
        <w:t xml:space="preserve"> </w:t>
      </w:r>
    </w:p>
    <w:p w14:paraId="536ED17A" w14:textId="62993590" w:rsidR="00A32CC4" w:rsidRDefault="00DB47CC" w:rsidP="00DB47CC">
      <w:pPr>
        <w:pStyle w:val="CGCParaNumber"/>
      </w:pPr>
      <w:r>
        <w:t xml:space="preserve">Staff consider most new spending </w:t>
      </w:r>
      <w:r w:rsidR="00862629">
        <w:t>in 2019</w:t>
      </w:r>
      <w:r w:rsidR="00862629">
        <w:noBreakHyphen/>
        <w:t>20</w:t>
      </w:r>
      <w:r>
        <w:t xml:space="preserve"> will relate to the community and other health services </w:t>
      </w:r>
      <w:r w:rsidR="00FD070D">
        <w:t>component</w:t>
      </w:r>
      <w:r w:rsidR="00881F97">
        <w:t xml:space="preserve">, </w:t>
      </w:r>
      <w:r w:rsidR="0074735F">
        <w:t xml:space="preserve">such as </w:t>
      </w:r>
      <w:r w:rsidR="0010468A">
        <w:t>public</w:t>
      </w:r>
      <w:r>
        <w:t xml:space="preserve"> health expenses</w:t>
      </w:r>
      <w:r w:rsidR="00377746">
        <w:t xml:space="preserve"> associated with </w:t>
      </w:r>
      <w:r w:rsidR="00172DBA">
        <w:t>responding to</w:t>
      </w:r>
      <w:r w:rsidR="00A32CC4">
        <w:t xml:space="preserve"> the pandemic</w:t>
      </w:r>
      <w:r w:rsidR="00377746" w:rsidRPr="00377746">
        <w:t xml:space="preserve"> </w:t>
      </w:r>
      <w:r w:rsidR="00A32CC4">
        <w:t>and running health information campaigns</w:t>
      </w:r>
      <w:r w:rsidR="00377746">
        <w:t>, contact tracing</w:t>
      </w:r>
      <w:r w:rsidR="00262881">
        <w:t xml:space="preserve"> and</w:t>
      </w:r>
      <w:r w:rsidR="00377746">
        <w:t xml:space="preserve"> some testing services</w:t>
      </w:r>
      <w:r w:rsidR="00D51D7C">
        <w:t xml:space="preserve">. </w:t>
      </w:r>
      <w:r w:rsidR="00626565">
        <w:t>New</w:t>
      </w:r>
      <w:r w:rsidR="00F0597C">
        <w:t xml:space="preserve"> spending </w:t>
      </w:r>
      <w:r w:rsidR="00C92CD5">
        <w:t xml:space="preserve">is </w:t>
      </w:r>
      <w:r w:rsidR="00337050">
        <w:t>also expected</w:t>
      </w:r>
      <w:r w:rsidR="00A12F02">
        <w:t xml:space="preserve"> </w:t>
      </w:r>
      <w:r w:rsidR="0019254C">
        <w:t>in the</w:t>
      </w:r>
      <w:r w:rsidR="00377746">
        <w:t xml:space="preserve"> </w:t>
      </w:r>
      <w:r>
        <w:t>admitted patient</w:t>
      </w:r>
      <w:r w:rsidR="0041387D">
        <w:t xml:space="preserve"> and</w:t>
      </w:r>
      <w:r w:rsidR="009A732D">
        <w:t xml:space="preserve"> </w:t>
      </w:r>
      <w:r w:rsidR="00652EB3">
        <w:t>emergency department</w:t>
      </w:r>
      <w:r w:rsidR="0095164C">
        <w:t xml:space="preserve"> </w:t>
      </w:r>
      <w:r w:rsidR="00A40476">
        <w:t>components</w:t>
      </w:r>
      <w:r w:rsidR="00CF23F3">
        <w:t>,</w:t>
      </w:r>
      <w:r w:rsidR="0024283B">
        <w:t xml:space="preserve"> </w:t>
      </w:r>
      <w:r w:rsidR="0066401A">
        <w:t xml:space="preserve">likely in proportion to </w:t>
      </w:r>
      <w:r w:rsidR="007432E8">
        <w:t>the incidence of the virus in</w:t>
      </w:r>
      <w:r w:rsidR="00A61AF6">
        <w:t xml:space="preserve"> each </w:t>
      </w:r>
      <w:r w:rsidR="00143E9B">
        <w:t>S</w:t>
      </w:r>
      <w:r w:rsidR="00A61AF6">
        <w:t>tate</w:t>
      </w:r>
      <w:r w:rsidR="005955A4">
        <w:t xml:space="preserve">. </w:t>
      </w:r>
      <w:r w:rsidR="00FE247C">
        <w:t>The</w:t>
      </w:r>
      <w:r w:rsidR="0024283B">
        <w:t xml:space="preserve"> </w:t>
      </w:r>
      <w:r w:rsidR="00B43714">
        <w:t>n</w:t>
      </w:r>
      <w:r w:rsidR="0024283B">
        <w:t>on</w:t>
      </w:r>
      <w:r w:rsidR="00B7732A">
        <w:noBreakHyphen/>
      </w:r>
      <w:r w:rsidR="0024283B">
        <w:t>admitted patient</w:t>
      </w:r>
      <w:r>
        <w:t xml:space="preserve"> component</w:t>
      </w:r>
      <w:r w:rsidR="00FE247C">
        <w:t xml:space="preserve"> will capture </w:t>
      </w:r>
      <w:r w:rsidR="00AB2ED9">
        <w:t xml:space="preserve">spending on </w:t>
      </w:r>
      <w:r w:rsidR="006C4BB2">
        <w:t>testing and other services performed in COVID</w:t>
      </w:r>
      <w:r w:rsidR="006C4BB2">
        <w:noBreakHyphen/>
        <w:t xml:space="preserve">19 specific clinics. </w:t>
      </w:r>
      <w:r>
        <w:t xml:space="preserve"> </w:t>
      </w:r>
    </w:p>
    <w:p w14:paraId="6A180EBA" w14:textId="77777777" w:rsidR="00DB47CC" w:rsidRDefault="00DB47CC" w:rsidP="00671659">
      <w:pPr>
        <w:pStyle w:val="Heading6"/>
      </w:pPr>
      <w:r>
        <w:t>Does the current assessment method capture COVID-19 related drivers?</w:t>
      </w:r>
    </w:p>
    <w:p w14:paraId="7BC40B50" w14:textId="77777777" w:rsidR="00765A1F" w:rsidRPr="00D7384F" w:rsidRDefault="00B141F3" w:rsidP="00D7384F">
      <w:pPr>
        <w:pStyle w:val="CGCParaNumber"/>
        <w:rPr>
          <w:lang w:val="en-US"/>
        </w:rPr>
      </w:pPr>
      <w:r w:rsidRPr="00DD5F07">
        <w:t xml:space="preserve">The current assessment will capture the socio-demographic impact of COVID-19 on average, but not the differential incidence of the virus between States. </w:t>
      </w:r>
      <w:r w:rsidRPr="00D7384F" w:rsidDel="006F482C">
        <w:rPr>
          <w:lang w:val="en-US"/>
        </w:rPr>
        <w:t xml:space="preserve">The </w:t>
      </w:r>
      <w:r w:rsidRPr="00D7384F">
        <w:rPr>
          <w:lang w:val="en-US"/>
        </w:rPr>
        <w:t xml:space="preserve">2020 Review </w:t>
      </w:r>
      <w:r w:rsidRPr="00D7384F" w:rsidDel="006F482C">
        <w:rPr>
          <w:lang w:val="en-US"/>
        </w:rPr>
        <w:t>health assessments implicitly assume that a 70 year old</w:t>
      </w:r>
      <w:r w:rsidR="00ED07F0" w:rsidRPr="00D7384F">
        <w:rPr>
          <w:lang w:val="en-US"/>
        </w:rPr>
        <w:t>,</w:t>
      </w:r>
      <w:r w:rsidRPr="00D7384F" w:rsidDel="006F482C">
        <w:rPr>
          <w:lang w:val="en-US"/>
        </w:rPr>
        <w:t xml:space="preserve"> </w:t>
      </w:r>
      <w:r w:rsidRPr="00D7384F">
        <w:rPr>
          <w:lang w:val="en-US"/>
        </w:rPr>
        <w:t>low SES, non</w:t>
      </w:r>
      <w:r w:rsidR="00F10B8C" w:rsidRPr="00D7384F">
        <w:rPr>
          <w:lang w:val="en-US"/>
        </w:rPr>
        <w:noBreakHyphen/>
      </w:r>
      <w:r w:rsidRPr="00D7384F">
        <w:rPr>
          <w:lang w:val="en-US"/>
        </w:rPr>
        <w:t xml:space="preserve">Indigenous person </w:t>
      </w:r>
      <w:r w:rsidRPr="00D7384F" w:rsidDel="006F482C">
        <w:rPr>
          <w:lang w:val="en-US"/>
        </w:rPr>
        <w:t>in Sydney has the same health needs as a comparable person in Perth</w:t>
      </w:r>
      <w:r w:rsidRPr="00D7384F">
        <w:rPr>
          <w:lang w:val="en-US"/>
        </w:rPr>
        <w:t>, with the national average health needs related to all causes</w:t>
      </w:r>
      <w:r w:rsidR="00361BFF" w:rsidRPr="00D7384F">
        <w:rPr>
          <w:lang w:val="en-US"/>
        </w:rPr>
        <w:t>,</w:t>
      </w:r>
      <w:r w:rsidRPr="00D7384F">
        <w:rPr>
          <w:lang w:val="en-US"/>
        </w:rPr>
        <w:t xml:space="preserve"> including COVID-19</w:t>
      </w:r>
      <w:r w:rsidRPr="00D7384F" w:rsidDel="006F482C">
        <w:rPr>
          <w:lang w:val="en-US"/>
        </w:rPr>
        <w:t xml:space="preserve">. While this assumption is generally valid for most health conditions, </w:t>
      </w:r>
      <w:r w:rsidRPr="00D7384F">
        <w:rPr>
          <w:lang w:val="en-US"/>
        </w:rPr>
        <w:t xml:space="preserve">it </w:t>
      </w:r>
      <w:r w:rsidR="008D3E8C" w:rsidRPr="00D7384F">
        <w:rPr>
          <w:lang w:val="en-US"/>
        </w:rPr>
        <w:t>may not</w:t>
      </w:r>
      <w:r w:rsidR="0082217C" w:rsidRPr="00D7384F">
        <w:rPr>
          <w:lang w:val="en-US"/>
        </w:rPr>
        <w:t xml:space="preserve"> be</w:t>
      </w:r>
      <w:r w:rsidRPr="00D7384F">
        <w:rPr>
          <w:lang w:val="en-US"/>
        </w:rPr>
        <w:t xml:space="preserve"> valid for </w:t>
      </w:r>
      <w:r w:rsidRPr="00D7384F" w:rsidDel="006F482C">
        <w:rPr>
          <w:lang w:val="en-US"/>
        </w:rPr>
        <w:t>COVID</w:t>
      </w:r>
      <w:r w:rsidRPr="00D7384F">
        <w:rPr>
          <w:lang w:val="en-US"/>
        </w:rPr>
        <w:noBreakHyphen/>
      </w:r>
      <w:r w:rsidRPr="00D7384F" w:rsidDel="006F482C">
        <w:rPr>
          <w:lang w:val="en-US"/>
        </w:rPr>
        <w:t>19.</w:t>
      </w:r>
      <w:r w:rsidRPr="00D7384F">
        <w:rPr>
          <w:lang w:val="en-US"/>
        </w:rPr>
        <w:t xml:space="preserve"> </w:t>
      </w:r>
      <w:r w:rsidR="00691CA4" w:rsidRPr="00D7384F">
        <w:rPr>
          <w:lang w:val="en-US"/>
        </w:rPr>
        <w:t>Through to</w:t>
      </w:r>
      <w:r w:rsidR="00684484" w:rsidRPr="00D7384F">
        <w:rPr>
          <w:lang w:val="en-US"/>
        </w:rPr>
        <w:t xml:space="preserve"> </w:t>
      </w:r>
      <w:r w:rsidR="00AB2DB5" w:rsidRPr="00D7384F">
        <w:rPr>
          <w:lang w:val="en-US"/>
        </w:rPr>
        <w:t>30</w:t>
      </w:r>
      <w:r w:rsidR="00FB3375" w:rsidRPr="00D7384F">
        <w:rPr>
          <w:lang w:val="en-US"/>
        </w:rPr>
        <w:t> </w:t>
      </w:r>
      <w:r w:rsidR="00563D76" w:rsidRPr="00D7384F">
        <w:rPr>
          <w:lang w:val="en-US"/>
        </w:rPr>
        <w:t xml:space="preserve">June 2020, </w:t>
      </w:r>
      <w:r w:rsidRPr="00D7384F">
        <w:rPr>
          <w:lang w:val="en-US"/>
        </w:rPr>
        <w:t>New</w:t>
      </w:r>
      <w:r w:rsidR="00C03A62" w:rsidRPr="00D7384F">
        <w:rPr>
          <w:lang w:val="en-US"/>
        </w:rPr>
        <w:t> </w:t>
      </w:r>
      <w:r w:rsidRPr="00D7384F">
        <w:rPr>
          <w:lang w:val="en-US"/>
        </w:rPr>
        <w:t xml:space="preserve">South Wales had </w:t>
      </w:r>
      <w:r w:rsidR="00CC1117" w:rsidRPr="00D7384F">
        <w:rPr>
          <w:lang w:val="en-US"/>
        </w:rPr>
        <w:t>41</w:t>
      </w:r>
      <w:r w:rsidRPr="00D7384F">
        <w:rPr>
          <w:lang w:val="en-US"/>
        </w:rPr>
        <w:t xml:space="preserve">% of cases, with only 32% of the population, and 31% of assessed health needs. This difference does not reflect the socio-demographic differences between States, but differences in their exposure to the virus. </w:t>
      </w:r>
    </w:p>
    <w:p w14:paraId="6CAC9EEE" w14:textId="1C015FC7" w:rsidR="00814905" w:rsidRPr="00D7384F" w:rsidRDefault="00450119" w:rsidP="00D7384F">
      <w:pPr>
        <w:pStyle w:val="CGCParaNumber"/>
        <w:rPr>
          <w:lang w:val="en-US"/>
        </w:rPr>
      </w:pPr>
      <w:r w:rsidRPr="00D7384F">
        <w:rPr>
          <w:lang w:val="en-US"/>
        </w:rPr>
        <w:t xml:space="preserve">The fact that the current assessment does not </w:t>
      </w:r>
      <w:r w:rsidR="00AC7470" w:rsidRPr="00D7384F">
        <w:rPr>
          <w:lang w:val="en-US"/>
        </w:rPr>
        <w:t xml:space="preserve">capture the </w:t>
      </w:r>
      <w:r w:rsidR="005127C4" w:rsidRPr="00D7384F">
        <w:rPr>
          <w:lang w:val="en-US"/>
        </w:rPr>
        <w:t>differential incidence of COVID</w:t>
      </w:r>
      <w:r w:rsidR="00E432D4" w:rsidRPr="00D7384F">
        <w:rPr>
          <w:lang w:val="en-US"/>
        </w:rPr>
        <w:t xml:space="preserve">-19 is not </w:t>
      </w:r>
      <w:r w:rsidR="00E432D4" w:rsidRPr="00D7384F">
        <w:t>necessarily</w:t>
      </w:r>
      <w:r w:rsidR="00E432D4" w:rsidRPr="00D7384F">
        <w:rPr>
          <w:lang w:val="en-US"/>
        </w:rPr>
        <w:t xml:space="preserve"> a problem. </w:t>
      </w:r>
      <w:r w:rsidR="00343A0E" w:rsidRPr="00D7384F">
        <w:rPr>
          <w:lang w:val="en-US"/>
        </w:rPr>
        <w:t xml:space="preserve">To </w:t>
      </w:r>
      <w:r w:rsidR="00A13831" w:rsidRPr="00D7384F">
        <w:rPr>
          <w:lang w:val="en-US"/>
        </w:rPr>
        <w:t xml:space="preserve">have a </w:t>
      </w:r>
      <w:r w:rsidR="00A046A3" w:rsidRPr="00D7384F">
        <w:rPr>
          <w:lang w:val="en-US"/>
        </w:rPr>
        <w:t xml:space="preserve">specific </w:t>
      </w:r>
      <w:r w:rsidR="00A13831" w:rsidRPr="00D7384F">
        <w:rPr>
          <w:lang w:val="en-US"/>
        </w:rPr>
        <w:t xml:space="preserve">assessment for one </w:t>
      </w:r>
      <w:r w:rsidR="0070767D" w:rsidRPr="00D7384F">
        <w:rPr>
          <w:lang w:val="en-US"/>
        </w:rPr>
        <w:t xml:space="preserve">geographically concentrated condition but not </w:t>
      </w:r>
      <w:r w:rsidR="00291CA7" w:rsidRPr="00D7384F">
        <w:rPr>
          <w:lang w:val="en-US"/>
        </w:rPr>
        <w:t xml:space="preserve">for a normal </w:t>
      </w:r>
      <w:r w:rsidR="0074107B" w:rsidRPr="00D7384F">
        <w:rPr>
          <w:lang w:val="en-US"/>
        </w:rPr>
        <w:t>flu season</w:t>
      </w:r>
      <w:r w:rsidR="00834F35" w:rsidRPr="00D7384F">
        <w:rPr>
          <w:lang w:val="en-US"/>
        </w:rPr>
        <w:t>,</w:t>
      </w:r>
      <w:r w:rsidR="0074107B" w:rsidRPr="00D7384F">
        <w:rPr>
          <w:lang w:val="en-US"/>
        </w:rPr>
        <w:t xml:space="preserve"> </w:t>
      </w:r>
      <w:r w:rsidR="00834F35" w:rsidRPr="00D7384F">
        <w:rPr>
          <w:lang w:val="en-US"/>
        </w:rPr>
        <w:t>which</w:t>
      </w:r>
      <w:r w:rsidR="0074107B" w:rsidRPr="00D7384F">
        <w:rPr>
          <w:lang w:val="en-US"/>
        </w:rPr>
        <w:t xml:space="preserve"> </w:t>
      </w:r>
      <w:r w:rsidR="00BD3FD1" w:rsidRPr="00D7384F">
        <w:rPr>
          <w:lang w:val="en-US"/>
        </w:rPr>
        <w:t xml:space="preserve">may also have geographic concentrations, </w:t>
      </w:r>
      <w:r w:rsidR="00D94C1B" w:rsidRPr="00D7384F">
        <w:rPr>
          <w:lang w:val="en-US"/>
        </w:rPr>
        <w:t>is not necessarily appropriate.</w:t>
      </w:r>
      <w:r w:rsidR="000D3035" w:rsidRPr="00D7384F">
        <w:rPr>
          <w:lang w:val="en-US"/>
        </w:rPr>
        <w:t xml:space="preserve"> </w:t>
      </w:r>
    </w:p>
    <w:p w14:paraId="4BAA5EF0" w14:textId="7C38C926" w:rsidR="007B1D0F" w:rsidRPr="00D7384F" w:rsidDel="006F482C" w:rsidRDefault="004F6675" w:rsidP="00D7384F">
      <w:pPr>
        <w:pStyle w:val="CGCParaNumber"/>
        <w:rPr>
          <w:lang w:val="en-US"/>
        </w:rPr>
      </w:pPr>
      <w:r>
        <w:t xml:space="preserve">Adopting </w:t>
      </w:r>
      <w:r w:rsidRPr="00D7384F">
        <w:t>this</w:t>
      </w:r>
      <w:r>
        <w:t xml:space="preserve"> view </w:t>
      </w:r>
      <w:r w:rsidR="006C1804">
        <w:t>suggests</w:t>
      </w:r>
      <w:r>
        <w:t xml:space="preserve"> that the health assessment </w:t>
      </w:r>
      <w:r w:rsidR="006C1804">
        <w:t>should</w:t>
      </w:r>
      <w:r>
        <w:t xml:space="preserve"> remain unchanged </w:t>
      </w:r>
      <w:r w:rsidR="002C1AC2">
        <w:t>as</w:t>
      </w:r>
      <w:r>
        <w:t xml:space="preserve"> responses to the pandemic would be reflected in a change in the activity (case</w:t>
      </w:r>
      <w:r w:rsidR="0048507A">
        <w:t xml:space="preserve"> </w:t>
      </w:r>
      <w:r>
        <w:t xml:space="preserve">mix) and </w:t>
      </w:r>
      <w:r w:rsidR="00EF15D5">
        <w:t xml:space="preserve">any </w:t>
      </w:r>
      <w:r>
        <w:t xml:space="preserve">accompanying change in the </w:t>
      </w:r>
      <w:r w:rsidR="00A11137">
        <w:t>socio-</w:t>
      </w:r>
      <w:r>
        <w:t xml:space="preserve">demographic profile of hospital users. </w:t>
      </w:r>
      <w:r w:rsidR="000F219F">
        <w:t>For example, o</w:t>
      </w:r>
      <w:r>
        <w:t>lder people are much more likely to suffer serious effects from contracting COVID</w:t>
      </w:r>
      <w:r w:rsidR="00497C10">
        <w:t>-19</w:t>
      </w:r>
      <w:r>
        <w:t xml:space="preserve">, and the assessment incorporates age as a disability. </w:t>
      </w:r>
    </w:p>
    <w:p w14:paraId="3EC88ADB" w14:textId="278CF0FA" w:rsidR="00B7279F" w:rsidRPr="004B3A8F" w:rsidDel="006F482C" w:rsidRDefault="001B1E30" w:rsidP="00D7384F">
      <w:pPr>
        <w:pStyle w:val="CGCParaNumber"/>
        <w:rPr>
          <w:lang w:val="en-US"/>
        </w:rPr>
      </w:pPr>
      <w:r>
        <w:rPr>
          <w:lang w:val="en-US"/>
        </w:rPr>
        <w:t xml:space="preserve">Following </w:t>
      </w:r>
      <w:r w:rsidR="00272F2D">
        <w:rPr>
          <w:lang w:val="en-US"/>
        </w:rPr>
        <w:t>the</w:t>
      </w:r>
      <w:r w:rsidR="00315898">
        <w:rPr>
          <w:lang w:val="en-US"/>
        </w:rPr>
        <w:t xml:space="preserve"> multilateral meeting with States on </w:t>
      </w:r>
      <w:r w:rsidR="00811C33">
        <w:rPr>
          <w:lang w:val="en-US"/>
        </w:rPr>
        <w:t xml:space="preserve">29 July, </w:t>
      </w:r>
      <w:r w:rsidR="004B3953">
        <w:rPr>
          <w:lang w:val="en-US"/>
        </w:rPr>
        <w:t xml:space="preserve">staff </w:t>
      </w:r>
      <w:r w:rsidR="00832F39">
        <w:rPr>
          <w:lang w:val="en-US"/>
        </w:rPr>
        <w:t xml:space="preserve">consider </w:t>
      </w:r>
      <w:r w:rsidR="000F07E9">
        <w:rPr>
          <w:lang w:val="en-US"/>
        </w:rPr>
        <w:t xml:space="preserve">that </w:t>
      </w:r>
      <w:r w:rsidR="00832F39">
        <w:rPr>
          <w:lang w:val="en-US"/>
        </w:rPr>
        <w:t xml:space="preserve">only one </w:t>
      </w:r>
      <w:r w:rsidR="00854879">
        <w:rPr>
          <w:lang w:val="en-US"/>
        </w:rPr>
        <w:t xml:space="preserve">alternative </w:t>
      </w:r>
      <w:r w:rsidR="00270A2C">
        <w:rPr>
          <w:lang w:val="en-US"/>
        </w:rPr>
        <w:t xml:space="preserve">approach to </w:t>
      </w:r>
      <w:r w:rsidR="000F07E9">
        <w:rPr>
          <w:lang w:val="en-US"/>
        </w:rPr>
        <w:t xml:space="preserve">assessing COVID-19 specific disabilities </w:t>
      </w:r>
      <w:r w:rsidR="00313EA2">
        <w:rPr>
          <w:lang w:val="en-US"/>
        </w:rPr>
        <w:t xml:space="preserve">could feasibly produce a material assessment. </w:t>
      </w:r>
      <w:r w:rsidR="00037454">
        <w:rPr>
          <w:lang w:val="en-US"/>
        </w:rPr>
        <w:t xml:space="preserve">As such, this paper focuses consultation on the </w:t>
      </w:r>
      <w:r w:rsidR="003C1AF1">
        <w:rPr>
          <w:lang w:val="en-US"/>
        </w:rPr>
        <w:t>possib</w:t>
      </w:r>
      <w:r w:rsidR="00BD6E0F">
        <w:rPr>
          <w:lang w:val="en-US"/>
        </w:rPr>
        <w:t xml:space="preserve">ility of using </w:t>
      </w:r>
      <w:r w:rsidR="00692995">
        <w:rPr>
          <w:lang w:val="en-US"/>
        </w:rPr>
        <w:t xml:space="preserve">actual </w:t>
      </w:r>
      <w:r w:rsidR="0018368D">
        <w:rPr>
          <w:lang w:val="en-US"/>
        </w:rPr>
        <w:t xml:space="preserve">NPCR </w:t>
      </w:r>
      <w:r w:rsidR="009B722D">
        <w:rPr>
          <w:lang w:val="en-US"/>
        </w:rPr>
        <w:t>expenses</w:t>
      </w:r>
      <w:r w:rsidR="004A4DFB">
        <w:rPr>
          <w:lang w:val="en-US"/>
        </w:rPr>
        <w:t xml:space="preserve"> as the basis of an assessment</w:t>
      </w:r>
      <w:r w:rsidR="009B722D">
        <w:rPr>
          <w:lang w:val="en-US"/>
        </w:rPr>
        <w:t xml:space="preserve">. </w:t>
      </w:r>
    </w:p>
    <w:p w14:paraId="4C1781BF" w14:textId="77777777" w:rsidR="00BA7BAC" w:rsidRDefault="00DB47CC" w:rsidP="00BA7BAC">
      <w:pPr>
        <w:pStyle w:val="CGCParaNumber"/>
      </w:pPr>
      <w:r>
        <w:t>While the NPCR would appear to provide a common policy framework for identifying COVID</w:t>
      </w:r>
      <w:r>
        <w:noBreakHyphen/>
        <w:t xml:space="preserve">19 related health expenses, which could be assessed on an actual per capita (APC) basis, staff are concerned that there may be </w:t>
      </w:r>
      <w:r w:rsidR="00F42D05">
        <w:t>some</w:t>
      </w:r>
      <w:r>
        <w:t xml:space="preserve"> policy differences in the expenses States will be reporting to the NHFB, particularly for public health. It is not clear at this stage if the reported expenses will be sufficiently policy neutral to form the basis for an assessment of COVID-19 related expenses. </w:t>
      </w:r>
    </w:p>
    <w:p w14:paraId="2E2D1E19" w14:textId="58D809CE" w:rsidR="006513CC" w:rsidRDefault="000B0874" w:rsidP="009958E6">
      <w:pPr>
        <w:pStyle w:val="CGCParaNumber"/>
      </w:pPr>
      <w:r>
        <w:t xml:space="preserve">Some of the spending under the </w:t>
      </w:r>
      <w:r w:rsidR="008D726C">
        <w:t xml:space="preserve">NPRC for </w:t>
      </w:r>
      <w:r>
        <w:t>PPE, or bringing forward elective surgery to March</w:t>
      </w:r>
      <w:r w:rsidR="00DE75BC">
        <w:t> </w:t>
      </w:r>
      <w:r>
        <w:t xml:space="preserve">2020, has </w:t>
      </w:r>
      <w:r w:rsidR="00621A65">
        <w:t xml:space="preserve">potential </w:t>
      </w:r>
      <w:r>
        <w:t xml:space="preserve">benefits outside of the COVID-19 crisis, and a State with high levels of such spending may have lower needs for such spending in future periods. </w:t>
      </w:r>
      <w:r w:rsidR="00744658">
        <w:t xml:space="preserve">The accounting treatment of these expenses </w:t>
      </w:r>
      <w:r w:rsidR="002673EE">
        <w:t xml:space="preserve">may affect the </w:t>
      </w:r>
      <w:r w:rsidR="00063DC6">
        <w:t xml:space="preserve">Commission’s decision on whether </w:t>
      </w:r>
      <w:r w:rsidR="004741FD">
        <w:t>N</w:t>
      </w:r>
      <w:r w:rsidR="00475CB6">
        <w:t xml:space="preserve">PCR spending </w:t>
      </w:r>
      <w:r w:rsidR="00C46699">
        <w:t xml:space="preserve">is sufficiently </w:t>
      </w:r>
      <w:r w:rsidR="00C46699" w:rsidRPr="00050BB2">
        <w:t>policy</w:t>
      </w:r>
      <w:r w:rsidR="00C46699">
        <w:t xml:space="preserve"> neutral</w:t>
      </w:r>
      <w:r w:rsidR="002673EE">
        <w:t xml:space="preserve"> </w:t>
      </w:r>
      <w:r w:rsidR="00744658">
        <w:t>(</w:t>
      </w:r>
      <w:r w:rsidR="002673EE">
        <w:t xml:space="preserve">for example, </w:t>
      </w:r>
      <w:r w:rsidR="00D7402A">
        <w:t xml:space="preserve">whether PPE expenses are </w:t>
      </w:r>
      <w:r w:rsidR="00ED3B72">
        <w:t xml:space="preserve">accounted for in the period they are purchased, or </w:t>
      </w:r>
      <w:r w:rsidR="00F11620">
        <w:t>the period they are used).</w:t>
      </w:r>
      <w:r w:rsidR="006E5F5B">
        <w:t xml:space="preserve"> The NHFB advises that it is still considering </w:t>
      </w:r>
      <w:r w:rsidR="0065034C">
        <w:t>whether</w:t>
      </w:r>
      <w:r w:rsidR="00C00DD6">
        <w:t xml:space="preserve"> PPE expenses will be </w:t>
      </w:r>
      <w:r w:rsidR="00357033">
        <w:t>recognised</w:t>
      </w:r>
      <w:r w:rsidR="00F11620">
        <w:t xml:space="preserve"> </w:t>
      </w:r>
      <w:r w:rsidR="0065034C">
        <w:t xml:space="preserve">on a consumption or purchase basis. </w:t>
      </w:r>
      <w:r w:rsidR="0082791F">
        <w:t>Re</w:t>
      </w:r>
      <w:r w:rsidR="007D1584">
        <w:t>cognising the expenses on a consumption basis would be more policy neutral</w:t>
      </w:r>
      <w:r w:rsidR="00C56AD5">
        <w:t xml:space="preserve">. </w:t>
      </w:r>
    </w:p>
    <w:p w14:paraId="7E7D597D" w14:textId="661844E2" w:rsidR="00DB47CC" w:rsidRDefault="00DB47CC" w:rsidP="00235B12">
      <w:pPr>
        <w:pStyle w:val="Heading6"/>
      </w:pPr>
      <w:r>
        <w:lastRenderedPageBreak/>
        <w:t>Conclusions</w:t>
      </w:r>
    </w:p>
    <w:p w14:paraId="6D5C4B0E" w14:textId="0EC5189D" w:rsidR="00DB47CC" w:rsidRDefault="00DB47CC" w:rsidP="00DB47CC">
      <w:pPr>
        <w:pStyle w:val="CGCParaNumber"/>
      </w:pPr>
      <w:r>
        <w:t xml:space="preserve">Staff consider that the Commission has </w:t>
      </w:r>
      <w:r w:rsidR="00286537">
        <w:t xml:space="preserve">two </w:t>
      </w:r>
      <w:r w:rsidR="00F74254">
        <w:t>possible</w:t>
      </w:r>
      <w:r w:rsidR="00B57343">
        <w:t xml:space="preserve"> </w:t>
      </w:r>
      <w:r>
        <w:t>approaches to assessing health during the COVID-19 crisis:</w:t>
      </w:r>
    </w:p>
    <w:p w14:paraId="08B838BF" w14:textId="77777777" w:rsidR="00DB47CC" w:rsidRDefault="00DB47CC" w:rsidP="00DB47CC">
      <w:pPr>
        <w:pStyle w:val="CGCBullet1"/>
      </w:pPr>
      <w:r>
        <w:t>continue with the 2020 Review methods for all health expenditure</w:t>
      </w:r>
    </w:p>
    <w:p w14:paraId="3F301CBF" w14:textId="41412FE6" w:rsidR="00DB47CC" w:rsidRDefault="00DB47CC" w:rsidP="00DB47CC">
      <w:pPr>
        <w:pStyle w:val="CGCBullet1"/>
      </w:pPr>
      <w:r>
        <w:t>assess COVID-19 related expenses APC based on a nationally consistent framework for reporting eligible expenses</w:t>
      </w:r>
      <w:r w:rsidR="0082225F">
        <w:t>, similar to the natural disaster relief expenses assessment</w:t>
      </w:r>
      <w:r>
        <w:t xml:space="preserve">. The expenses reported by States to the </w:t>
      </w:r>
      <w:r w:rsidR="0023273B">
        <w:t>NHFB</w:t>
      </w:r>
      <w:r>
        <w:t xml:space="preserve"> under the NPCR may provide the data required for such an assessment.</w:t>
      </w:r>
      <w:r w:rsidR="00253435">
        <w:t xml:space="preserve"> </w:t>
      </w:r>
    </w:p>
    <w:p w14:paraId="33CBB377" w14:textId="22B25098" w:rsidR="00DB47CC" w:rsidRDefault="00DB47CC" w:rsidP="00DB47CC">
      <w:pPr>
        <w:pStyle w:val="CGCParaNumber"/>
      </w:pPr>
      <w:r>
        <w:t xml:space="preserve">The choice between these options would be guided by consideration of the Commission’s principles including policy neutrality and practicality.  </w:t>
      </w:r>
    </w:p>
    <w:p w14:paraId="28B09B2C" w14:textId="152EAF63" w:rsidR="00DB47CC" w:rsidRDefault="00F4034F" w:rsidP="00DB47CC">
      <w:pPr>
        <w:pStyle w:val="CGCBullet1"/>
      </w:pPr>
      <w:r>
        <w:t>Retaining the 2020 Review methods for all health expenditure</w:t>
      </w:r>
      <w:r w:rsidR="00DB47CC">
        <w:t xml:space="preserve"> </w:t>
      </w:r>
      <w:r w:rsidR="00894792">
        <w:t>would</w:t>
      </w:r>
      <w:r w:rsidR="00DB47CC">
        <w:t xml:space="preserve"> not recognise the differential incidence of COVID-19 between States. This will not be an issue if the level of additional spending on COVID-19 patients is relatively small. This approach is valid if the health assessment disabilities sufficiently capture COVID-19 related activity (for example, older people are significantly more susceptible to adverse COVID-19 reactions and the existing assessment includes an age disability).  </w:t>
      </w:r>
    </w:p>
    <w:p w14:paraId="21CB79B0" w14:textId="31248950" w:rsidR="00C657D0" w:rsidRDefault="00F4034F" w:rsidP="00DB47CC">
      <w:pPr>
        <w:pStyle w:val="CGCBullet1"/>
      </w:pPr>
      <w:r>
        <w:t>A</w:t>
      </w:r>
      <w:r w:rsidR="004E27BC">
        <w:t>s</w:t>
      </w:r>
      <w:r>
        <w:t xml:space="preserve">sessing COVID-19 expenses APC based on the NPCR </w:t>
      </w:r>
      <w:r w:rsidR="002B6BFD">
        <w:t>would</w:t>
      </w:r>
      <w:r w:rsidR="000504E5">
        <w:t xml:space="preserve"> </w:t>
      </w:r>
      <w:r w:rsidR="0074064C">
        <w:t>recognise that the incidence of COVID</w:t>
      </w:r>
      <w:r w:rsidR="007220E3">
        <w:noBreakHyphen/>
      </w:r>
      <w:r w:rsidR="0074064C">
        <w:t xml:space="preserve">19 may be influenced by factors outside the </w:t>
      </w:r>
      <w:r w:rsidR="001837F5">
        <w:t>h</w:t>
      </w:r>
      <w:r w:rsidR="0074064C">
        <w:t>ealth assessment, such as population density</w:t>
      </w:r>
      <w:r w:rsidR="002328BA">
        <w:t>, or the effectively random location of COVID-19 outbreaks</w:t>
      </w:r>
      <w:r w:rsidR="00DB47CC">
        <w:t xml:space="preserve">. However, it is likely that even this would be incomplete as States </w:t>
      </w:r>
      <w:r w:rsidR="0080144E">
        <w:t xml:space="preserve">may </w:t>
      </w:r>
      <w:r w:rsidR="00DB47CC">
        <w:t>have some COVID</w:t>
      </w:r>
      <w:r w:rsidR="00FD6094">
        <w:noBreakHyphen/>
      </w:r>
      <w:r w:rsidR="00DB47CC">
        <w:t xml:space="preserve">19 related spending that does not meet the NPCR criteria. </w:t>
      </w:r>
      <w:r w:rsidR="003C40CE">
        <w:t>Some States may not consider spending under the NPCR to be sufficiently policy neutral.</w:t>
      </w:r>
    </w:p>
    <w:p w14:paraId="5ACC477B" w14:textId="3947340D" w:rsidR="00CE0022" w:rsidRDefault="00545468" w:rsidP="00DB47CC">
      <w:pPr>
        <w:pStyle w:val="CGCBullet1"/>
      </w:pPr>
      <w:r>
        <w:t xml:space="preserve">As the pandemic is changing rapidly, the Commission’s </w:t>
      </w:r>
      <w:r w:rsidR="00BC05A0">
        <w:t>decision</w:t>
      </w:r>
      <w:r w:rsidR="00D12434">
        <w:t>s</w:t>
      </w:r>
      <w:r w:rsidR="00BC05A0">
        <w:t xml:space="preserve"> on this </w:t>
      </w:r>
      <w:r w:rsidR="00176A01">
        <w:t xml:space="preserve">issue for the 2021 Update </w:t>
      </w:r>
      <w:r w:rsidR="00D14A7F">
        <w:t>m</w:t>
      </w:r>
      <w:r w:rsidR="00E9047F">
        <w:t>ay</w:t>
      </w:r>
      <w:r w:rsidR="00835238">
        <w:t xml:space="preserve"> </w:t>
      </w:r>
      <w:r w:rsidR="00026DA8">
        <w:t xml:space="preserve">not </w:t>
      </w:r>
      <w:r w:rsidR="00B2366B">
        <w:t xml:space="preserve">be </w:t>
      </w:r>
      <w:r w:rsidR="00026DA8">
        <w:t xml:space="preserve">the </w:t>
      </w:r>
      <w:r w:rsidR="00210890">
        <w:t>most appropriate decision</w:t>
      </w:r>
      <w:r w:rsidR="00D12434">
        <w:t>s</w:t>
      </w:r>
      <w:r w:rsidR="00210890">
        <w:t xml:space="preserve"> in future updates.</w:t>
      </w:r>
    </w:p>
    <w:p w14:paraId="55EED162" w14:textId="0824222C" w:rsidR="00F3076D" w:rsidRDefault="000E021C" w:rsidP="0087670A">
      <w:pPr>
        <w:pStyle w:val="CGCParaNumber"/>
      </w:pPr>
      <w:r>
        <w:t xml:space="preserve">On balance, staff consider that </w:t>
      </w:r>
      <w:r w:rsidR="0026520A">
        <w:t xml:space="preserve">for the 2021 Update, </w:t>
      </w:r>
      <w:r w:rsidR="006C2DB7">
        <w:t xml:space="preserve">the APC assessment </w:t>
      </w:r>
      <w:r w:rsidR="00BE7C85">
        <w:t xml:space="preserve">would be more consistent with </w:t>
      </w:r>
      <w:proofErr w:type="gramStart"/>
      <w:r w:rsidR="00BE7C85">
        <w:t>HFE, if</w:t>
      </w:r>
      <w:proofErr w:type="gramEnd"/>
      <w:r w:rsidR="00BE7C85">
        <w:t xml:space="preserve"> this assessment </w:t>
      </w:r>
      <w:r w:rsidR="00EB4D1A">
        <w:t xml:space="preserve">is material and the data are considered reliable. Staff </w:t>
      </w:r>
      <w:r w:rsidR="00CF42BB">
        <w:t xml:space="preserve">intend to </w:t>
      </w:r>
      <w:r w:rsidR="00F3076D">
        <w:t xml:space="preserve">seek information from </w:t>
      </w:r>
      <w:r w:rsidR="00B620DE">
        <w:t xml:space="preserve">the </w:t>
      </w:r>
      <w:r w:rsidR="00345682">
        <w:t>NHFB</w:t>
      </w:r>
      <w:r w:rsidR="00F3076D">
        <w:t xml:space="preserve"> on whether the NPCR expenses are considered </w:t>
      </w:r>
      <w:r w:rsidR="00F3076D" w:rsidRPr="00563CCA">
        <w:t>reliab</w:t>
      </w:r>
      <w:r w:rsidR="00F3076D">
        <w:t>le and comparable.</w:t>
      </w:r>
      <w:r w:rsidR="0060200B">
        <w:t xml:space="preserve"> States are invited to comment on this issue.</w:t>
      </w:r>
    </w:p>
    <w:p w14:paraId="218C2BED" w14:textId="77777777" w:rsidR="00DB47CC" w:rsidRDefault="00DB47CC" w:rsidP="00235B12">
      <w:pPr>
        <w:pStyle w:val="Heading5"/>
      </w:pPr>
      <w:r>
        <w:t>Services to industry</w:t>
      </w:r>
    </w:p>
    <w:p w14:paraId="197DE842" w14:textId="77777777" w:rsidR="00DB47CC" w:rsidRDefault="00DB47CC" w:rsidP="00235B12">
      <w:pPr>
        <w:pStyle w:val="Heading6"/>
      </w:pPr>
      <w:r>
        <w:t>State budgets</w:t>
      </w:r>
    </w:p>
    <w:p w14:paraId="2BA40AB7" w14:textId="7E173E96" w:rsidR="00A4755D" w:rsidRDefault="00DB47CC" w:rsidP="00DB47CC">
      <w:pPr>
        <w:pStyle w:val="CGCParaNumber"/>
      </w:pPr>
      <w:r w:rsidRPr="005D4F01">
        <w:t>States have announced new spending measures of around $</w:t>
      </w:r>
      <w:r>
        <w:t>4.7</w:t>
      </w:r>
      <w:r w:rsidR="009842C1">
        <w:t> </w:t>
      </w:r>
      <w:r w:rsidRPr="005D4F01">
        <w:t>billion</w:t>
      </w:r>
      <w:r w:rsidR="00A20F23">
        <w:rPr>
          <w:rStyle w:val="FootnoteReference"/>
        </w:rPr>
        <w:footnoteReference w:id="3"/>
      </w:r>
      <w:r w:rsidRPr="005D4F01">
        <w:t xml:space="preserve"> to support businesses and industries, compared to the category spend of $5.2</w:t>
      </w:r>
      <w:r w:rsidR="009842C1">
        <w:t> </w:t>
      </w:r>
      <w:r w:rsidRPr="005D4F01">
        <w:t xml:space="preserve">billion in 2018-19. However, </w:t>
      </w:r>
      <w:r w:rsidR="00300482">
        <w:t xml:space="preserve">it is not clear that all of this announced spending represents </w:t>
      </w:r>
      <w:r w:rsidR="00682143">
        <w:t xml:space="preserve">new </w:t>
      </w:r>
      <w:r w:rsidR="00300482">
        <w:t xml:space="preserve">additional </w:t>
      </w:r>
      <w:r w:rsidR="00530288">
        <w:t xml:space="preserve">spending </w:t>
      </w:r>
      <w:r w:rsidR="001F503A">
        <w:t xml:space="preserve">in the </w:t>
      </w:r>
      <w:r w:rsidR="00762CF7">
        <w:t>20</w:t>
      </w:r>
      <w:r w:rsidR="001F503A">
        <w:t>19-</w:t>
      </w:r>
      <w:r w:rsidR="00762CF7">
        <w:t>20</w:t>
      </w:r>
      <w:r w:rsidR="001F503A">
        <w:t xml:space="preserve"> financial year</w:t>
      </w:r>
      <w:r w:rsidR="00764141">
        <w:t xml:space="preserve"> </w:t>
      </w:r>
      <w:r w:rsidR="00C617A8">
        <w:t>that would be classified as expenses in government finance statistics</w:t>
      </w:r>
      <w:r w:rsidR="00432F1A">
        <w:t>.</w:t>
      </w:r>
      <w:r w:rsidR="00D45BAE">
        <w:rPr>
          <w:rStyle w:val="FootnoteReference"/>
        </w:rPr>
        <w:footnoteReference w:id="4"/>
      </w:r>
      <w:r w:rsidR="00764141">
        <w:t xml:space="preserve"> However, it </w:t>
      </w:r>
      <w:r w:rsidR="00FB21C4">
        <w:t>indicates</w:t>
      </w:r>
      <w:r w:rsidR="00603C71">
        <w:t xml:space="preserve"> that the </w:t>
      </w:r>
      <w:r w:rsidR="00A4755D">
        <w:t xml:space="preserve">magnitude of spending in this category could </w:t>
      </w:r>
      <w:r w:rsidR="00F11E1F">
        <w:t>increase</w:t>
      </w:r>
      <w:r w:rsidR="00AB6A25">
        <w:t xml:space="preserve"> </w:t>
      </w:r>
      <w:r w:rsidR="00F11E1F">
        <w:t>significantly</w:t>
      </w:r>
      <w:r w:rsidR="00A4755D">
        <w:t xml:space="preserve">. </w:t>
      </w:r>
    </w:p>
    <w:p w14:paraId="60A32B7D" w14:textId="77777777" w:rsidR="00DB47CC" w:rsidRPr="005D4F01" w:rsidRDefault="00DB47CC" w:rsidP="00235B12">
      <w:pPr>
        <w:pStyle w:val="Heading6"/>
      </w:pPr>
      <w:r w:rsidRPr="005D4F01">
        <w:t>Does the current assessment method capture COVID-19 related drivers?</w:t>
      </w:r>
    </w:p>
    <w:p w14:paraId="118C2CCC" w14:textId="20826111" w:rsidR="00DB47CC" w:rsidRPr="005D4F01" w:rsidRDefault="00DB47CC" w:rsidP="00784168">
      <w:pPr>
        <w:pStyle w:val="CGCParaNumber"/>
      </w:pPr>
      <w:r w:rsidRPr="005D4F01">
        <w:t xml:space="preserve">The </w:t>
      </w:r>
      <w:r w:rsidR="003928B2">
        <w:t>s</w:t>
      </w:r>
      <w:r w:rsidRPr="005D4F01">
        <w:t xml:space="preserve">ervices to industry category </w:t>
      </w:r>
      <w:r>
        <w:t>include</w:t>
      </w:r>
      <w:r w:rsidRPr="005D4F01">
        <w:t xml:space="preserve">s State spending on the regulation and development of businesses and industries. The Commission uses </w:t>
      </w:r>
      <w:r w:rsidR="00D55CCF">
        <w:rPr>
          <w:lang w:val="en-US"/>
        </w:rPr>
        <w:t>Government Financial Statistics</w:t>
      </w:r>
      <w:r w:rsidR="00D55CCF" w:rsidRPr="005D4F01">
        <w:t xml:space="preserve"> </w:t>
      </w:r>
      <w:r w:rsidR="00D55CCF">
        <w:t>(</w:t>
      </w:r>
      <w:r w:rsidRPr="005D4F01">
        <w:t>GFS</w:t>
      </w:r>
      <w:r w:rsidR="00D55CCF">
        <w:t>)</w:t>
      </w:r>
      <w:r w:rsidRPr="005D4F01">
        <w:t xml:space="preserve"> and State data collected during the 2020 Review to </w:t>
      </w:r>
      <w:r w:rsidR="00F6621E">
        <w:t>estimate</w:t>
      </w:r>
      <w:r w:rsidRPr="005D4F01">
        <w:t xml:space="preserve"> business development expenses </w:t>
      </w:r>
      <w:r w:rsidRPr="005D4F01">
        <w:lastRenderedPageBreak/>
        <w:t xml:space="preserve">targeting agriculture, mining and other industries. This facilitates separate assessments of regulation and business development expenses. </w:t>
      </w:r>
    </w:p>
    <w:p w14:paraId="499F3D17" w14:textId="11330AF5" w:rsidR="00DB47CC" w:rsidRPr="005D4F01" w:rsidDel="00D203B6" w:rsidRDefault="00DB47CC" w:rsidP="00DB47CC">
      <w:pPr>
        <w:pStyle w:val="CGCParaNumber"/>
      </w:pPr>
      <w:r w:rsidRPr="005D4F01" w:rsidDel="00D203B6">
        <w:t xml:space="preserve">The splits between regulation and business development </w:t>
      </w:r>
      <w:r w:rsidR="003573C0">
        <w:t xml:space="preserve">expenses </w:t>
      </w:r>
      <w:r w:rsidR="00843467">
        <w:t>for each broad</w:t>
      </w:r>
      <w:r w:rsidR="00843467" w:rsidRPr="005D4F01" w:rsidDel="00D203B6">
        <w:t xml:space="preserve"> </w:t>
      </w:r>
      <w:r w:rsidRPr="005D4F01" w:rsidDel="00D203B6">
        <w:t xml:space="preserve">industry </w:t>
      </w:r>
      <w:r w:rsidR="00843467">
        <w:t>group</w:t>
      </w:r>
      <w:r w:rsidRPr="005D4F01" w:rsidDel="00D203B6">
        <w:t xml:space="preserve"> </w:t>
      </w:r>
      <w:r w:rsidRPr="005D4F01">
        <w:t xml:space="preserve">that were calculated in the 2020 Review </w:t>
      </w:r>
      <w:r w:rsidRPr="005D4F01" w:rsidDel="00D203B6">
        <w:t>were intended to be fixed, being 53% regulation/47% business development for other industries, 80%/20% for mining</w:t>
      </w:r>
      <w:r w:rsidRPr="005D4F01">
        <w:t xml:space="preserve"> and 50%/50% for agriculture. </w:t>
      </w:r>
    </w:p>
    <w:p w14:paraId="4A1B9DF1" w14:textId="1382DC06" w:rsidR="0015631F" w:rsidRDefault="00DB47CC" w:rsidP="00DB47CC">
      <w:pPr>
        <w:pStyle w:val="CGCParaNumber"/>
      </w:pPr>
      <w:r w:rsidRPr="005D4F01">
        <w:t xml:space="preserve">Most COVID-19 spending is expected to relate to </w:t>
      </w:r>
      <w:r w:rsidR="00622C7D">
        <w:t xml:space="preserve">other industry </w:t>
      </w:r>
      <w:r w:rsidRPr="005D4F01">
        <w:t>business development</w:t>
      </w:r>
      <w:r>
        <w:t xml:space="preserve"> (mainly job creation programs</w:t>
      </w:r>
      <w:r w:rsidRPr="005D4F01">
        <w:t xml:space="preserve"> and </w:t>
      </w:r>
      <w:r>
        <w:t>grants to businesses</w:t>
      </w:r>
      <w:r w:rsidRPr="005D4F01">
        <w:t xml:space="preserve"> and </w:t>
      </w:r>
      <w:r w:rsidR="004733F5">
        <w:t>households</w:t>
      </w:r>
      <w:r>
        <w:t>)</w:t>
      </w:r>
      <w:r w:rsidR="00A372A2">
        <w:t>.</w:t>
      </w:r>
      <w:r w:rsidRPr="005D4F01">
        <w:t xml:space="preserve"> </w:t>
      </w:r>
      <w:r w:rsidR="00A372A2">
        <w:t>T</w:t>
      </w:r>
      <w:r w:rsidR="00733A6F">
        <w:t>herefore</w:t>
      </w:r>
      <w:r w:rsidR="002C4BC2">
        <w:t>,</w:t>
      </w:r>
      <w:r w:rsidR="00733A6F">
        <w:t xml:space="preserve"> </w:t>
      </w:r>
      <w:r w:rsidRPr="005D4F01">
        <w:t>the regulation</w:t>
      </w:r>
      <w:r w:rsidR="00A372A2">
        <w:t>/</w:t>
      </w:r>
      <w:r w:rsidRPr="005D4F01">
        <w:t xml:space="preserve">business development </w:t>
      </w:r>
      <w:r w:rsidR="00A372A2">
        <w:t>split for other industries</w:t>
      </w:r>
      <w:r w:rsidRPr="005D4F01">
        <w:t xml:space="preserve"> </w:t>
      </w:r>
      <w:r>
        <w:t>may</w:t>
      </w:r>
      <w:r w:rsidRPr="005D4F01">
        <w:t xml:space="preserve"> </w:t>
      </w:r>
      <w:r w:rsidR="00A372A2">
        <w:t>not</w:t>
      </w:r>
      <w:r w:rsidRPr="005D4F01">
        <w:t xml:space="preserve"> be </w:t>
      </w:r>
      <w:r w:rsidR="00B76A6F">
        <w:t>appropriate</w:t>
      </w:r>
      <w:r w:rsidRPr="005D4F01">
        <w:t xml:space="preserve"> for 2019</w:t>
      </w:r>
      <w:r w:rsidR="00983E49" w:rsidRPr="00615993">
        <w:noBreakHyphen/>
      </w:r>
      <w:r w:rsidRPr="005D4F01">
        <w:t xml:space="preserve">20 and </w:t>
      </w:r>
      <w:r w:rsidR="00435EE6">
        <w:t>future years</w:t>
      </w:r>
      <w:r>
        <w:t xml:space="preserve">. </w:t>
      </w:r>
      <w:r w:rsidR="006604F5">
        <w:t>Recalcul</w:t>
      </w:r>
      <w:r w:rsidR="00F65952">
        <w:t xml:space="preserve">ating the split between </w:t>
      </w:r>
      <w:r w:rsidR="00D309F3">
        <w:t>sub-</w:t>
      </w:r>
      <w:r w:rsidR="00F65952">
        <w:t xml:space="preserve">components </w:t>
      </w:r>
      <w:r w:rsidR="00937798">
        <w:t>would involve indexing 2018-19 business regulation expenses</w:t>
      </w:r>
      <w:r w:rsidR="003C258D">
        <w:t>.</w:t>
      </w:r>
      <w:r w:rsidR="00C759F1">
        <w:rPr>
          <w:rStyle w:val="FootnoteReference"/>
        </w:rPr>
        <w:footnoteReference w:id="5"/>
      </w:r>
      <w:r w:rsidR="00937798">
        <w:t xml:space="preserve"> Any </w:t>
      </w:r>
      <w:r w:rsidR="007C0F5F">
        <w:t xml:space="preserve">other </w:t>
      </w:r>
      <w:r w:rsidR="00937798">
        <w:t xml:space="preserve">growth in </w:t>
      </w:r>
      <w:r w:rsidR="003C258D">
        <w:t>other industry expenses</w:t>
      </w:r>
      <w:r w:rsidR="007C0F5F">
        <w:t xml:space="preserve"> </w:t>
      </w:r>
      <w:r w:rsidR="00937798">
        <w:t xml:space="preserve">would be assessed as part of the business development </w:t>
      </w:r>
      <w:r w:rsidR="003C258D">
        <w:t>sub-</w:t>
      </w:r>
      <w:r w:rsidR="00937798">
        <w:t>component.</w:t>
      </w:r>
      <w:r w:rsidR="00632ACF">
        <w:t xml:space="preserve"> </w:t>
      </w:r>
    </w:p>
    <w:p w14:paraId="7CF770EC" w14:textId="5CC8F65A" w:rsidR="00DB47CC" w:rsidRDefault="00DB47CC" w:rsidP="00DB47CC">
      <w:pPr>
        <w:pStyle w:val="CGCParaNumber"/>
      </w:pPr>
      <w:r>
        <w:t>Changing the split</w:t>
      </w:r>
      <w:r w:rsidRPr="005D4F01">
        <w:t xml:space="preserve"> would </w:t>
      </w:r>
      <w:r w:rsidR="004014EC">
        <w:t>constitute</w:t>
      </w:r>
      <w:r w:rsidRPr="005D4F01">
        <w:t xml:space="preserve"> a method change</w:t>
      </w:r>
      <w:r w:rsidR="004B6477">
        <w:t>, and</w:t>
      </w:r>
      <w:r w:rsidR="00E2674B">
        <w:t xml:space="preserve"> </w:t>
      </w:r>
      <w:r w:rsidR="00856A5D">
        <w:t xml:space="preserve">may </w:t>
      </w:r>
      <w:r w:rsidR="00336501">
        <w:t>need to occur on an annual basis, at least for the duration of the pandemic.</w:t>
      </w:r>
      <w:r w:rsidR="006E4EC5">
        <w:t xml:space="preserve"> </w:t>
      </w:r>
      <w:r w:rsidR="008913FC">
        <w:t>Preliminary staff calculation</w:t>
      </w:r>
      <w:r w:rsidR="00E81781">
        <w:t>s</w:t>
      </w:r>
      <w:r w:rsidR="008913FC">
        <w:t xml:space="preserve"> indicate that r</w:t>
      </w:r>
      <w:r w:rsidR="009116E1">
        <w:t xml:space="preserve">ecalculating the splits is </w:t>
      </w:r>
      <w:r w:rsidR="006E4EC5">
        <w:t xml:space="preserve">unlikely to be material </w:t>
      </w:r>
      <w:r w:rsidR="008913FC">
        <w:t>in</w:t>
      </w:r>
      <w:r w:rsidR="006E4EC5">
        <w:t xml:space="preserve"> the 2021 Update, </w:t>
      </w:r>
      <w:r w:rsidR="000B6C80">
        <w:t>but</w:t>
      </w:r>
      <w:r w:rsidR="006E4EC5">
        <w:t xml:space="preserve"> final data have not yet been received.</w:t>
      </w:r>
    </w:p>
    <w:p w14:paraId="760BE86F" w14:textId="5006C467" w:rsidR="002F1D24" w:rsidRPr="005B0B4B" w:rsidRDefault="002B1BA8" w:rsidP="00DB47CC">
      <w:pPr>
        <w:pStyle w:val="CGCParaNumber"/>
      </w:pPr>
      <w:r>
        <w:t xml:space="preserve">Staff propose to </w:t>
      </w:r>
      <w:r w:rsidR="008913FC">
        <w:t>test</w:t>
      </w:r>
      <w:r w:rsidR="002F1D24">
        <w:t xml:space="preserve"> the </w:t>
      </w:r>
      <w:r w:rsidR="008913FC">
        <w:t xml:space="preserve">materiality of </w:t>
      </w:r>
      <w:r w:rsidR="00B90D88">
        <w:t xml:space="preserve">re-estimating the </w:t>
      </w:r>
      <w:r w:rsidR="002F1D24">
        <w:t>regulation</w:t>
      </w:r>
      <w:r w:rsidR="00B14A02">
        <w:t>/</w:t>
      </w:r>
      <w:r w:rsidR="002F1D24">
        <w:t xml:space="preserve">business development </w:t>
      </w:r>
      <w:r w:rsidR="00B14A02">
        <w:t xml:space="preserve">split </w:t>
      </w:r>
      <w:r w:rsidR="002F1D24">
        <w:t>for other industries</w:t>
      </w:r>
      <w:r w:rsidR="00854022">
        <w:t xml:space="preserve"> when </w:t>
      </w:r>
      <w:r w:rsidR="00BA5FE0">
        <w:t xml:space="preserve">State </w:t>
      </w:r>
      <w:r w:rsidR="00D44859">
        <w:t xml:space="preserve">budget </w:t>
      </w:r>
      <w:r w:rsidR="00BA5FE0">
        <w:t xml:space="preserve">data </w:t>
      </w:r>
      <w:r w:rsidR="00131D8F">
        <w:t>becomes available later this year</w:t>
      </w:r>
      <w:r w:rsidR="00232AC6">
        <w:t xml:space="preserve">. If </w:t>
      </w:r>
      <w:r w:rsidR="001B0CD3">
        <w:t>the</w:t>
      </w:r>
      <w:r w:rsidR="00232AC6">
        <w:t xml:space="preserve"> change</w:t>
      </w:r>
      <w:r w:rsidR="001B0CD3">
        <w:t xml:space="preserve"> </w:t>
      </w:r>
      <w:r w:rsidR="00801211">
        <w:t xml:space="preserve">in the </w:t>
      </w:r>
      <w:r w:rsidR="00801211" w:rsidRPr="005B0B4B">
        <w:t xml:space="preserve">redistribution </w:t>
      </w:r>
      <w:r w:rsidR="002D456E" w:rsidRPr="005B0B4B">
        <w:t>resulting</w:t>
      </w:r>
      <w:r w:rsidR="00F1565C" w:rsidRPr="005B0B4B">
        <w:t xml:space="preserve"> from the </w:t>
      </w:r>
      <w:r w:rsidR="00DA1309" w:rsidRPr="005B0B4B">
        <w:t>revised</w:t>
      </w:r>
      <w:r w:rsidR="00F1565C" w:rsidRPr="005B0B4B">
        <w:t xml:space="preserve"> </w:t>
      </w:r>
      <w:r w:rsidR="00E93AF5" w:rsidRPr="005B0B4B">
        <w:t>split</w:t>
      </w:r>
      <w:r w:rsidR="002F1D24" w:rsidRPr="005B0B4B">
        <w:t xml:space="preserve"> is material</w:t>
      </w:r>
      <w:r w:rsidR="00863CF6" w:rsidRPr="005B0B4B">
        <w:t xml:space="preserve">, staff propose to recommend </w:t>
      </w:r>
      <w:r w:rsidR="001409B1" w:rsidRPr="005B0B4B">
        <w:t>that</w:t>
      </w:r>
      <w:r w:rsidR="001C1728" w:rsidRPr="005B0B4B">
        <w:t>, subject</w:t>
      </w:r>
      <w:r w:rsidR="002F1D24" w:rsidRPr="005B0B4B">
        <w:t xml:space="preserve"> to </w:t>
      </w:r>
      <w:r w:rsidR="001C1728" w:rsidRPr="005B0B4B">
        <w:t xml:space="preserve">terms of </w:t>
      </w:r>
      <w:r w:rsidR="004D1A27" w:rsidRPr="005B0B4B">
        <w:t>reference,</w:t>
      </w:r>
      <w:r w:rsidR="00863CF6" w:rsidRPr="005B0B4B">
        <w:t xml:space="preserve"> the Commission</w:t>
      </w:r>
      <w:r w:rsidR="007653C4" w:rsidRPr="005B0B4B">
        <w:t xml:space="preserve"> adopt </w:t>
      </w:r>
      <w:r w:rsidR="00AF0F20" w:rsidRPr="005B0B4B">
        <w:t>the revised split</w:t>
      </w:r>
      <w:r w:rsidR="002F1D24" w:rsidRPr="005B0B4B">
        <w:t xml:space="preserve"> for the 2021 Update.</w:t>
      </w:r>
      <w:r w:rsidR="00B85072" w:rsidRPr="005B0B4B">
        <w:t xml:space="preserve"> </w:t>
      </w:r>
    </w:p>
    <w:p w14:paraId="20B8879C" w14:textId="02902AEB" w:rsidR="00A174D4" w:rsidRDefault="00676B81" w:rsidP="00B82221">
      <w:pPr>
        <w:pStyle w:val="CGCParaNumber"/>
      </w:pPr>
      <w:r w:rsidRPr="005B0B4B">
        <w:t xml:space="preserve">In </w:t>
      </w:r>
      <w:r w:rsidR="001F43A0" w:rsidRPr="005B0B4B">
        <w:t>2019</w:t>
      </w:r>
      <w:r w:rsidRPr="005B0B4B">
        <w:t>-</w:t>
      </w:r>
      <w:r w:rsidR="001F43A0" w:rsidRPr="005B0B4B">
        <w:t>20</w:t>
      </w:r>
      <w:r w:rsidRPr="005B0B4B">
        <w:t xml:space="preserve">, some States </w:t>
      </w:r>
      <w:r w:rsidR="002B0351" w:rsidRPr="005B0B4B">
        <w:t xml:space="preserve">may </w:t>
      </w:r>
      <w:r w:rsidR="00725F65" w:rsidRPr="005B0B4B">
        <w:t xml:space="preserve">have </w:t>
      </w:r>
      <w:r w:rsidR="002B0351" w:rsidRPr="005B0B4B">
        <w:t>be</w:t>
      </w:r>
      <w:r w:rsidR="00725F65" w:rsidRPr="005B0B4B">
        <w:t>en</w:t>
      </w:r>
      <w:r w:rsidR="002B0351" w:rsidRPr="005B0B4B">
        <w:t xml:space="preserve"> </w:t>
      </w:r>
      <w:r w:rsidR="00791E3E" w:rsidRPr="005B0B4B">
        <w:t xml:space="preserve">more </w:t>
      </w:r>
      <w:r w:rsidRPr="005B0B4B">
        <w:t>affected than others by the COVID-19 economic shock</w:t>
      </w:r>
      <w:r w:rsidR="00DB1140" w:rsidRPr="005B0B4B">
        <w:t xml:space="preserve">. There </w:t>
      </w:r>
      <w:r w:rsidR="00203ECD" w:rsidRPr="005B0B4B">
        <w:t xml:space="preserve">may be </w:t>
      </w:r>
      <w:r w:rsidR="00DB1140" w:rsidRPr="005B0B4B">
        <w:t xml:space="preserve">an argument that this could </w:t>
      </w:r>
      <w:r w:rsidR="00203ECD" w:rsidRPr="005B0B4B">
        <w:t>warrant</w:t>
      </w:r>
      <w:r w:rsidRPr="005B0B4B">
        <w:t xml:space="preserve"> a differential assessment of business development expenses. However, in the past, the Commission has not been able to identify any basis for a differential assessment of business development expenses. Some States have argued that the presence of certain industries</w:t>
      </w:r>
      <w:r w:rsidRPr="005D4F01">
        <w:t xml:space="preserve"> in their economy represents a need to support those industries, while other States argue that having a weak economy is the disability that drives the need for business development spending. </w:t>
      </w:r>
      <w:r>
        <w:t xml:space="preserve">Conversely, some States argue that the presence of a strong and well-established industry drives the need for spending. </w:t>
      </w:r>
      <w:r w:rsidRPr="005D4F01">
        <w:t>Despite States having different economic structures, and different rates of growth, previous Commissions have not identified an appropriate differential assessment for business development</w:t>
      </w:r>
      <w:r w:rsidR="001613E1">
        <w:t xml:space="preserve"> expenses</w:t>
      </w:r>
      <w:r w:rsidRPr="005D4F01">
        <w:t>. While the scale of the COVID-19 response</w:t>
      </w:r>
      <w:r w:rsidR="00DD4186">
        <w:t xml:space="preserve"> to the decline in economic act</w:t>
      </w:r>
      <w:r w:rsidR="00E714AF">
        <w:t>ivity</w:t>
      </w:r>
      <w:r w:rsidRPr="005D4F01">
        <w:t xml:space="preserve"> is </w:t>
      </w:r>
      <w:r w:rsidR="00CB3BA7">
        <w:t>likely to be</w:t>
      </w:r>
      <w:r w:rsidRPr="005D4F01">
        <w:t xml:space="preserve"> large by historical standards, staff do not consider that it has any unique features that warrant a change to the Commission’s</w:t>
      </w:r>
      <w:r>
        <w:t xml:space="preserve"> approach</w:t>
      </w:r>
      <w:r w:rsidR="009D3A97">
        <w:t xml:space="preserve"> to the assessment of business development expenses</w:t>
      </w:r>
      <w:r>
        <w:t>.</w:t>
      </w:r>
    </w:p>
    <w:p w14:paraId="581A6DDD" w14:textId="295AFCCA" w:rsidR="007F1B24" w:rsidRPr="00E674AF" w:rsidRDefault="007F1B24" w:rsidP="00C42F1F">
      <w:pPr>
        <w:pStyle w:val="Heading4"/>
      </w:pPr>
      <w:bookmarkStart w:id="25" w:name="_Toc49170281"/>
      <w:r w:rsidRPr="00E674AF">
        <w:t>Recommendations</w:t>
      </w:r>
      <w:bookmarkEnd w:id="25"/>
    </w:p>
    <w:tbl>
      <w:tblPr>
        <w:tblW w:w="0" w:type="auto"/>
        <w:shd w:val="clear" w:color="auto" w:fill="EBF3F5"/>
        <w:tblLook w:val="0000" w:firstRow="0" w:lastRow="0" w:firstColumn="0" w:lastColumn="0" w:noHBand="0" w:noVBand="0"/>
      </w:tblPr>
      <w:tblGrid>
        <w:gridCol w:w="8931"/>
      </w:tblGrid>
      <w:tr w:rsidR="007F1B24" w:rsidRPr="00E674AF" w14:paraId="7773B862" w14:textId="77777777" w:rsidTr="00784168">
        <w:tc>
          <w:tcPr>
            <w:tcW w:w="8931" w:type="dxa"/>
            <w:shd w:val="clear" w:color="auto" w:fill="EBF3F5"/>
            <w:tcMar>
              <w:left w:w="28" w:type="dxa"/>
            </w:tcMar>
          </w:tcPr>
          <w:p w14:paraId="3F35405F" w14:textId="534F24D4" w:rsidR="007F1B24" w:rsidRPr="00E674AF" w:rsidRDefault="007F1B24" w:rsidP="007F1B24">
            <w:pPr>
              <w:tabs>
                <w:tab w:val="clear" w:pos="567"/>
              </w:tabs>
              <w:rPr>
                <w:bCs/>
              </w:rPr>
            </w:pPr>
            <w:r w:rsidRPr="00E674AF">
              <w:rPr>
                <w:bCs/>
              </w:rPr>
              <w:t xml:space="preserve">Staff </w:t>
            </w:r>
            <w:r>
              <w:rPr>
                <w:bCs/>
              </w:rPr>
              <w:t xml:space="preserve">propose to </w:t>
            </w:r>
            <w:r w:rsidRPr="00E674AF">
              <w:rPr>
                <w:bCs/>
              </w:rPr>
              <w:t>recommend that</w:t>
            </w:r>
            <w:r w:rsidR="00313437">
              <w:rPr>
                <w:bCs/>
              </w:rPr>
              <w:t xml:space="preserve">, subject to </w:t>
            </w:r>
            <w:r w:rsidR="0069344C">
              <w:rPr>
                <w:bCs/>
              </w:rPr>
              <w:t>Update terms of reference,</w:t>
            </w:r>
            <w:r w:rsidRPr="00E674AF">
              <w:rPr>
                <w:bCs/>
              </w:rPr>
              <w:t xml:space="preserve"> the </w:t>
            </w:r>
            <w:r>
              <w:rPr>
                <w:bCs/>
              </w:rPr>
              <w:t>Commission</w:t>
            </w:r>
            <w:r w:rsidR="00842ADE">
              <w:rPr>
                <w:bCs/>
              </w:rPr>
              <w:t>:</w:t>
            </w:r>
          </w:p>
          <w:p w14:paraId="78F3596B" w14:textId="34162D86" w:rsidR="007F1B24" w:rsidRDefault="00842ADE">
            <w:pPr>
              <w:pStyle w:val="CGCBullet1"/>
            </w:pPr>
            <w:proofErr w:type="gramStart"/>
            <w:r w:rsidRPr="00563CCA">
              <w:t>m</w:t>
            </w:r>
            <w:r w:rsidR="007F1B24" w:rsidRPr="00563CCA">
              <w:t>ake</w:t>
            </w:r>
            <w:r w:rsidR="007F1B24">
              <w:t xml:space="preserve"> adjustments to</w:t>
            </w:r>
            <w:proofErr w:type="gramEnd"/>
            <w:r w:rsidR="007F1B24">
              <w:t xml:space="preserve"> revenue datasets to ensure comparability, if such adjustments are material: </w:t>
            </w:r>
          </w:p>
          <w:p w14:paraId="2ABA6711" w14:textId="77777777" w:rsidR="007F1B24" w:rsidRPr="00132B15" w:rsidRDefault="007F1B24" w:rsidP="007F1B24">
            <w:pPr>
              <w:pStyle w:val="CGCBullet2"/>
            </w:pPr>
            <w:r>
              <w:rPr>
                <w:lang w:val="en-GB"/>
              </w:rPr>
              <w:t>offset rebates against the relevant revenue category</w:t>
            </w:r>
          </w:p>
          <w:p w14:paraId="4C10C121" w14:textId="77777777" w:rsidR="007F1B24" w:rsidRPr="00982B3E" w:rsidRDefault="007F1B24" w:rsidP="007F1B24">
            <w:pPr>
              <w:pStyle w:val="CGCBullet2"/>
              <w:rPr>
                <w:lang w:val="en-GB"/>
              </w:rPr>
            </w:pPr>
            <w:r>
              <w:rPr>
                <w:lang w:val="en-GB"/>
              </w:rPr>
              <w:t>assess deferred revenue in the year in which the liability arose</w:t>
            </w:r>
          </w:p>
          <w:p w14:paraId="39CDF38B" w14:textId="77777777" w:rsidR="007F1B24" w:rsidRDefault="007F1B24" w:rsidP="007F1B24">
            <w:pPr>
              <w:pStyle w:val="CGCBullet1"/>
            </w:pPr>
            <w:r>
              <w:lastRenderedPageBreak/>
              <w:t>not attempt to remove JobKeeper payments from its payroll tax base on practicality grounds</w:t>
            </w:r>
          </w:p>
          <w:p w14:paraId="41AA5D48" w14:textId="2DD2B872" w:rsidR="00F3076D" w:rsidRDefault="00F3076D" w:rsidP="00F3076D">
            <w:pPr>
              <w:pStyle w:val="CGCBullet1"/>
            </w:pPr>
            <w:r>
              <w:t xml:space="preserve">assess COVID-19 </w:t>
            </w:r>
            <w:r w:rsidR="00344C30">
              <w:t>h</w:t>
            </w:r>
            <w:r w:rsidRPr="007044F7">
              <w:t>ealth</w:t>
            </w:r>
            <w:r>
              <w:t xml:space="preserve"> expenses from the NPCR on an APC basis, if it is material and reliable to do so</w:t>
            </w:r>
          </w:p>
          <w:p w14:paraId="364C1C24" w14:textId="77777777" w:rsidR="007F1B24" w:rsidRDefault="007F1B24" w:rsidP="002E1E47">
            <w:pPr>
              <w:pStyle w:val="CGCBullet1"/>
            </w:pPr>
            <w:r>
              <w:t xml:space="preserve">use State </w:t>
            </w:r>
            <w:r w:rsidR="00A42C71">
              <w:t xml:space="preserve">budget </w:t>
            </w:r>
            <w:r>
              <w:t>data to recalculate the split between regulation and business development for other industries</w:t>
            </w:r>
            <w:r w:rsidR="00A105EE">
              <w:t xml:space="preserve"> and adopt the revised split</w:t>
            </w:r>
            <w:r>
              <w:t xml:space="preserve"> if it is material to do so for the 2021 Update</w:t>
            </w:r>
          </w:p>
          <w:p w14:paraId="1D699B33" w14:textId="2B67CD1E" w:rsidR="007F1B24" w:rsidRPr="00E674AF" w:rsidRDefault="002B6DCA" w:rsidP="008C0460">
            <w:pPr>
              <w:pStyle w:val="CGCBullet1"/>
              <w:spacing w:after="120"/>
            </w:pPr>
            <w:r>
              <w:t xml:space="preserve">not </w:t>
            </w:r>
            <w:r w:rsidR="00E3798A">
              <w:t xml:space="preserve">introduce a differential assessment of business development expenses </w:t>
            </w:r>
            <w:r w:rsidR="00EC6233">
              <w:t xml:space="preserve">due to the </w:t>
            </w:r>
            <w:r w:rsidR="008A1CAD">
              <w:t>COVID-19 induced economic shock.</w:t>
            </w:r>
          </w:p>
        </w:tc>
      </w:tr>
    </w:tbl>
    <w:p w14:paraId="23F9A5A7" w14:textId="74201F80" w:rsidR="002543C8" w:rsidRDefault="002543C8" w:rsidP="002543C8">
      <w:pPr>
        <w:pStyle w:val="Heading3"/>
      </w:pPr>
      <w:bookmarkStart w:id="26" w:name="_Toc49170282"/>
      <w:r>
        <w:lastRenderedPageBreak/>
        <w:t>Implementation of the new HFE arrangements for 2021-22</w:t>
      </w:r>
      <w:bookmarkEnd w:id="26"/>
    </w:p>
    <w:p w14:paraId="3B54BCD4" w14:textId="77777777" w:rsidR="002543C8" w:rsidRDefault="002543C8" w:rsidP="005E5747">
      <w:pPr>
        <w:pStyle w:val="CGCParaNumber"/>
      </w:pPr>
      <w:r w:rsidRPr="00034E9B">
        <w:t xml:space="preserve">The </w:t>
      </w:r>
      <w:r w:rsidRPr="00763F55">
        <w:t>Commission</w:t>
      </w:r>
      <w:r w:rsidRPr="00034E9B">
        <w:t xml:space="preserve"> </w:t>
      </w:r>
      <w:r>
        <w:t xml:space="preserve">outlined its </w:t>
      </w:r>
      <w:r w:rsidRPr="00034E9B">
        <w:t xml:space="preserve">preliminary understanding of the requirements for its future work in relation to the Commonwealth’s new equalisation arrangements enacted in the </w:t>
      </w:r>
      <w:r w:rsidRPr="00034E9B">
        <w:rPr>
          <w:i/>
        </w:rPr>
        <w:t>Treasury Laws Amendment (Making Sure Every State and Territory Gets Their Fair Share of GST) Act 2018</w:t>
      </w:r>
      <w:r>
        <w:rPr>
          <w:i/>
        </w:rPr>
        <w:t xml:space="preserve">, </w:t>
      </w:r>
      <w:r>
        <w:t>in Volume 2, Part A, Chapter 4 of its final 2020 methodology review report.</w:t>
      </w:r>
    </w:p>
    <w:p w14:paraId="3CDCDD98" w14:textId="26F4FF15" w:rsidR="002543C8" w:rsidRPr="00034E9B" w:rsidRDefault="002543C8" w:rsidP="005E5747">
      <w:pPr>
        <w:pStyle w:val="CGCParaNumber"/>
      </w:pPr>
      <w:r>
        <w:t xml:space="preserve">The </w:t>
      </w:r>
      <w:r w:rsidRPr="00055292">
        <w:t>elements</w:t>
      </w:r>
      <w:r>
        <w:t xml:space="preserve"> to the changes to the distribution of general revenue assistance grants are </w:t>
      </w:r>
      <w:r w:rsidR="00B34B7F">
        <w:t>shown</w:t>
      </w:r>
      <w:r>
        <w:t xml:space="preserve"> in </w:t>
      </w:r>
      <w:r>
        <w:fldChar w:fldCharType="begin"/>
      </w:r>
      <w:r>
        <w:instrText xml:space="preserve"> REF _Ref32408305 \h </w:instrText>
      </w:r>
      <w:r>
        <w:fldChar w:fldCharType="separate"/>
      </w:r>
      <w:r w:rsidR="00A46D6F" w:rsidRPr="00034E9B">
        <w:t xml:space="preserve">Table </w:t>
      </w:r>
      <w:r w:rsidR="00A46D6F">
        <w:rPr>
          <w:noProof/>
        </w:rPr>
        <w:t>1</w:t>
      </w:r>
      <w:r>
        <w:fldChar w:fldCharType="end"/>
      </w:r>
      <w:bookmarkStart w:id="27" w:name="_Toc7601616"/>
      <w:r w:rsidR="00A235E4">
        <w:t xml:space="preserve"> </w:t>
      </w:r>
      <w:r>
        <w:t>below.</w:t>
      </w:r>
    </w:p>
    <w:p w14:paraId="002DDC20" w14:textId="5AAF76A0" w:rsidR="002543C8" w:rsidRPr="00034E9B" w:rsidRDefault="002543C8" w:rsidP="002543C8">
      <w:pPr>
        <w:pStyle w:val="Caption"/>
        <w:spacing w:before="200" w:after="80"/>
      </w:pPr>
      <w:bookmarkStart w:id="28" w:name="_Ref22203254"/>
      <w:bookmarkStart w:id="29" w:name="_Ref32408305"/>
      <w:bookmarkEnd w:id="27"/>
      <w:r w:rsidRPr="00034E9B">
        <w:t xml:space="preserve">Table </w:t>
      </w:r>
      <w:bookmarkEnd w:id="28"/>
      <w:r>
        <w:fldChar w:fldCharType="begin"/>
      </w:r>
      <w:r>
        <w:instrText xml:space="preserve"> SEQ Table \* ARABIC \r 1 </w:instrText>
      </w:r>
      <w:r>
        <w:fldChar w:fldCharType="separate"/>
      </w:r>
      <w:r w:rsidR="00A46D6F">
        <w:rPr>
          <w:noProof/>
        </w:rPr>
        <w:t>1</w:t>
      </w:r>
      <w:r>
        <w:fldChar w:fldCharType="end"/>
      </w:r>
      <w:bookmarkEnd w:id="29"/>
      <w:r w:rsidRPr="00034E9B">
        <w:tab/>
        <w:t>Changes to the distribution of general revenue assistance grants</w:t>
      </w:r>
    </w:p>
    <w:tbl>
      <w:tblPr>
        <w:tblW w:w="8920" w:type="dxa"/>
        <w:tblBorders>
          <w:top w:val="single" w:sz="4" w:space="0" w:color="ADD6EA"/>
          <w:bottom w:val="single" w:sz="4" w:space="0" w:color="ADD6EA"/>
          <w:insideH w:val="single" w:sz="4" w:space="0" w:color="ADD6EA"/>
        </w:tblBorders>
        <w:tblLayout w:type="fixed"/>
        <w:tblCellMar>
          <w:left w:w="0" w:type="dxa"/>
          <w:right w:w="0" w:type="dxa"/>
        </w:tblCellMar>
        <w:tblLook w:val="04A0" w:firstRow="1" w:lastRow="0" w:firstColumn="1" w:lastColumn="0" w:noHBand="0" w:noVBand="1"/>
      </w:tblPr>
      <w:tblGrid>
        <w:gridCol w:w="2620"/>
        <w:gridCol w:w="900"/>
        <w:gridCol w:w="900"/>
        <w:gridCol w:w="900"/>
        <w:gridCol w:w="900"/>
        <w:gridCol w:w="900"/>
        <w:gridCol w:w="900"/>
        <w:gridCol w:w="900"/>
      </w:tblGrid>
      <w:tr w:rsidR="002543C8" w:rsidRPr="00034E9B" w14:paraId="429B821F" w14:textId="77777777" w:rsidTr="005E5747">
        <w:trPr>
          <w:trHeight w:val="315"/>
        </w:trPr>
        <w:tc>
          <w:tcPr>
            <w:tcW w:w="2620" w:type="dxa"/>
            <w:shd w:val="clear" w:color="auto" w:fill="006991"/>
            <w:noWrap/>
            <w:vAlign w:val="center"/>
            <w:hideMark/>
          </w:tcPr>
          <w:p w14:paraId="7A626B2C" w14:textId="77777777" w:rsidR="002543C8" w:rsidRPr="00034E9B" w:rsidRDefault="002543C8" w:rsidP="005E5747">
            <w:pPr>
              <w:pStyle w:val="CGCTableheader"/>
              <w:keepNext/>
              <w:keepLines/>
              <w:ind w:left="193" w:hanging="142"/>
              <w:rPr>
                <w:lang w:val="en-AU" w:eastAsia="en-AU"/>
              </w:rPr>
            </w:pPr>
            <w:bookmarkStart w:id="30" w:name="RANGE!A4:H13"/>
            <w:r w:rsidRPr="00034E9B">
              <w:rPr>
                <w:lang w:val="en-AU" w:eastAsia="en-AU"/>
              </w:rPr>
              <w:t>Inquiry</w:t>
            </w:r>
            <w:bookmarkEnd w:id="30"/>
          </w:p>
        </w:tc>
        <w:tc>
          <w:tcPr>
            <w:tcW w:w="900" w:type="dxa"/>
            <w:shd w:val="clear" w:color="auto" w:fill="006991"/>
            <w:noWrap/>
            <w:vAlign w:val="center"/>
            <w:hideMark/>
          </w:tcPr>
          <w:p w14:paraId="2CB675FE" w14:textId="77777777" w:rsidR="002543C8" w:rsidRPr="00034E9B" w:rsidRDefault="002543C8" w:rsidP="005E5747">
            <w:pPr>
              <w:pStyle w:val="CGCTableheader"/>
              <w:keepNext/>
              <w:keepLines/>
              <w:rPr>
                <w:lang w:val="en-AU" w:eastAsia="en-AU"/>
              </w:rPr>
            </w:pPr>
            <w:r w:rsidRPr="00034E9B">
              <w:rPr>
                <w:lang w:val="en-AU" w:eastAsia="en-AU"/>
              </w:rPr>
              <w:t>R2020</w:t>
            </w:r>
          </w:p>
        </w:tc>
        <w:tc>
          <w:tcPr>
            <w:tcW w:w="900" w:type="dxa"/>
            <w:shd w:val="clear" w:color="auto" w:fill="006991"/>
            <w:noWrap/>
            <w:vAlign w:val="center"/>
            <w:hideMark/>
          </w:tcPr>
          <w:p w14:paraId="6ED94EA3" w14:textId="77777777" w:rsidR="002543C8" w:rsidRPr="00034E9B" w:rsidRDefault="002543C8" w:rsidP="005E5747">
            <w:pPr>
              <w:pStyle w:val="CGCTableheader"/>
              <w:keepNext/>
              <w:keepLines/>
              <w:rPr>
                <w:lang w:val="en-AU" w:eastAsia="en-AU"/>
              </w:rPr>
            </w:pPr>
            <w:r w:rsidRPr="00034E9B">
              <w:rPr>
                <w:lang w:val="en-AU" w:eastAsia="en-AU"/>
              </w:rPr>
              <w:t>U2021</w:t>
            </w:r>
          </w:p>
        </w:tc>
        <w:tc>
          <w:tcPr>
            <w:tcW w:w="900" w:type="dxa"/>
            <w:shd w:val="clear" w:color="auto" w:fill="006991"/>
            <w:noWrap/>
            <w:vAlign w:val="center"/>
            <w:hideMark/>
          </w:tcPr>
          <w:p w14:paraId="21AABA5A" w14:textId="77777777" w:rsidR="002543C8" w:rsidRPr="00034E9B" w:rsidRDefault="002543C8" w:rsidP="005E5747">
            <w:pPr>
              <w:pStyle w:val="CGCTableheader"/>
              <w:keepNext/>
              <w:keepLines/>
              <w:rPr>
                <w:lang w:val="en-AU" w:eastAsia="en-AU"/>
              </w:rPr>
            </w:pPr>
            <w:r w:rsidRPr="00034E9B">
              <w:rPr>
                <w:lang w:val="en-AU" w:eastAsia="en-AU"/>
              </w:rPr>
              <w:t>U2022</w:t>
            </w:r>
          </w:p>
        </w:tc>
        <w:tc>
          <w:tcPr>
            <w:tcW w:w="900" w:type="dxa"/>
            <w:shd w:val="clear" w:color="auto" w:fill="006991"/>
            <w:noWrap/>
            <w:vAlign w:val="center"/>
            <w:hideMark/>
          </w:tcPr>
          <w:p w14:paraId="2DBBE158" w14:textId="77777777" w:rsidR="002543C8" w:rsidRPr="00034E9B" w:rsidRDefault="002543C8" w:rsidP="005E5747">
            <w:pPr>
              <w:pStyle w:val="CGCTableheader"/>
              <w:keepNext/>
              <w:keepLines/>
              <w:rPr>
                <w:lang w:val="en-AU" w:eastAsia="en-AU"/>
              </w:rPr>
            </w:pPr>
            <w:r w:rsidRPr="00034E9B">
              <w:rPr>
                <w:lang w:val="en-AU" w:eastAsia="en-AU"/>
              </w:rPr>
              <w:t>U2023</w:t>
            </w:r>
          </w:p>
        </w:tc>
        <w:tc>
          <w:tcPr>
            <w:tcW w:w="900" w:type="dxa"/>
            <w:shd w:val="clear" w:color="auto" w:fill="006991"/>
            <w:noWrap/>
            <w:vAlign w:val="center"/>
            <w:hideMark/>
          </w:tcPr>
          <w:p w14:paraId="1BC0ADDC" w14:textId="77777777" w:rsidR="002543C8" w:rsidRPr="00034E9B" w:rsidRDefault="002543C8" w:rsidP="005E5747">
            <w:pPr>
              <w:pStyle w:val="CGCTableheader"/>
              <w:keepNext/>
              <w:keepLines/>
              <w:rPr>
                <w:lang w:val="en-AU" w:eastAsia="en-AU"/>
              </w:rPr>
            </w:pPr>
            <w:r w:rsidRPr="00034E9B">
              <w:rPr>
                <w:lang w:val="en-AU" w:eastAsia="en-AU"/>
              </w:rPr>
              <w:t>U2024</w:t>
            </w:r>
          </w:p>
        </w:tc>
        <w:tc>
          <w:tcPr>
            <w:tcW w:w="900" w:type="dxa"/>
            <w:shd w:val="clear" w:color="auto" w:fill="006991"/>
            <w:noWrap/>
            <w:vAlign w:val="center"/>
            <w:hideMark/>
          </w:tcPr>
          <w:p w14:paraId="49DA8FF0" w14:textId="77777777" w:rsidR="002543C8" w:rsidRPr="00034E9B" w:rsidRDefault="002543C8" w:rsidP="005E5747">
            <w:pPr>
              <w:pStyle w:val="CGCTableheader"/>
              <w:keepNext/>
              <w:keepLines/>
              <w:rPr>
                <w:lang w:val="en-AU" w:eastAsia="en-AU"/>
              </w:rPr>
            </w:pPr>
            <w:r w:rsidRPr="00034E9B">
              <w:rPr>
                <w:lang w:val="en-AU" w:eastAsia="en-AU"/>
              </w:rPr>
              <w:t>U2025</w:t>
            </w:r>
          </w:p>
        </w:tc>
        <w:tc>
          <w:tcPr>
            <w:tcW w:w="900" w:type="dxa"/>
            <w:shd w:val="clear" w:color="auto" w:fill="006991"/>
            <w:noWrap/>
            <w:vAlign w:val="center"/>
            <w:hideMark/>
          </w:tcPr>
          <w:p w14:paraId="60D0BACF" w14:textId="77777777" w:rsidR="002543C8" w:rsidRPr="00034E9B" w:rsidRDefault="002543C8" w:rsidP="005E5747">
            <w:pPr>
              <w:pStyle w:val="CGCTableheader"/>
              <w:keepNext/>
              <w:keepLines/>
              <w:rPr>
                <w:lang w:val="en-AU" w:eastAsia="en-AU"/>
              </w:rPr>
            </w:pPr>
            <w:r w:rsidRPr="00034E9B">
              <w:rPr>
                <w:lang w:val="en-AU" w:eastAsia="en-AU"/>
              </w:rPr>
              <w:t>U2026</w:t>
            </w:r>
          </w:p>
        </w:tc>
      </w:tr>
      <w:tr w:rsidR="002543C8" w:rsidRPr="00034E9B" w14:paraId="4BD292F4" w14:textId="77777777" w:rsidTr="005E5747">
        <w:trPr>
          <w:trHeight w:val="261"/>
        </w:trPr>
        <w:tc>
          <w:tcPr>
            <w:tcW w:w="2620" w:type="dxa"/>
            <w:shd w:val="clear" w:color="auto" w:fill="B6D5E4"/>
            <w:noWrap/>
            <w:vAlign w:val="bottom"/>
            <w:hideMark/>
          </w:tcPr>
          <w:p w14:paraId="62DBC0D1" w14:textId="77777777" w:rsidR="002543C8" w:rsidRPr="00034E9B" w:rsidRDefault="002543C8" w:rsidP="005E5747">
            <w:pPr>
              <w:pStyle w:val="CGCTablesubhead1"/>
              <w:keepNext/>
              <w:keepLines/>
              <w:ind w:left="193" w:hanging="142"/>
              <w:rPr>
                <w:lang w:val="en-AU" w:eastAsia="en-AU"/>
              </w:rPr>
            </w:pPr>
            <w:r w:rsidRPr="00034E9B">
              <w:rPr>
                <w:lang w:val="en-AU" w:eastAsia="en-AU"/>
              </w:rPr>
              <w:t>Application year</w:t>
            </w:r>
          </w:p>
        </w:tc>
        <w:tc>
          <w:tcPr>
            <w:tcW w:w="900" w:type="dxa"/>
            <w:shd w:val="clear" w:color="auto" w:fill="B6D5E4"/>
            <w:noWrap/>
            <w:vAlign w:val="bottom"/>
            <w:hideMark/>
          </w:tcPr>
          <w:p w14:paraId="2380FECC" w14:textId="77777777" w:rsidR="002543C8" w:rsidRPr="00034E9B" w:rsidRDefault="002543C8" w:rsidP="005E5747">
            <w:pPr>
              <w:pStyle w:val="CGCTablesubhead1"/>
              <w:keepNext/>
              <w:keepLines/>
              <w:jc w:val="right"/>
              <w:rPr>
                <w:lang w:val="en-AU" w:eastAsia="en-AU"/>
              </w:rPr>
            </w:pPr>
            <w:r w:rsidRPr="00034E9B">
              <w:rPr>
                <w:lang w:val="en-AU" w:eastAsia="en-AU"/>
              </w:rPr>
              <w:t>2020-21</w:t>
            </w:r>
          </w:p>
        </w:tc>
        <w:tc>
          <w:tcPr>
            <w:tcW w:w="900" w:type="dxa"/>
            <w:shd w:val="clear" w:color="auto" w:fill="B6D5E4"/>
            <w:noWrap/>
            <w:vAlign w:val="bottom"/>
            <w:hideMark/>
          </w:tcPr>
          <w:p w14:paraId="26BBAF07" w14:textId="77777777" w:rsidR="002543C8" w:rsidRPr="00034E9B" w:rsidRDefault="002543C8" w:rsidP="005E5747">
            <w:pPr>
              <w:pStyle w:val="CGCTablesubhead1"/>
              <w:keepNext/>
              <w:keepLines/>
              <w:jc w:val="right"/>
              <w:rPr>
                <w:lang w:val="en-AU" w:eastAsia="en-AU"/>
              </w:rPr>
            </w:pPr>
            <w:r w:rsidRPr="00034E9B">
              <w:rPr>
                <w:lang w:val="en-AU" w:eastAsia="en-AU"/>
              </w:rPr>
              <w:t>2021-22</w:t>
            </w:r>
          </w:p>
        </w:tc>
        <w:tc>
          <w:tcPr>
            <w:tcW w:w="900" w:type="dxa"/>
            <w:shd w:val="clear" w:color="auto" w:fill="B6D5E4"/>
            <w:noWrap/>
            <w:vAlign w:val="bottom"/>
            <w:hideMark/>
          </w:tcPr>
          <w:p w14:paraId="09366DFF" w14:textId="77777777" w:rsidR="002543C8" w:rsidRPr="00034E9B" w:rsidRDefault="002543C8" w:rsidP="005E5747">
            <w:pPr>
              <w:pStyle w:val="CGCTablesubhead1"/>
              <w:keepNext/>
              <w:keepLines/>
              <w:jc w:val="right"/>
              <w:rPr>
                <w:lang w:val="en-AU" w:eastAsia="en-AU"/>
              </w:rPr>
            </w:pPr>
            <w:r w:rsidRPr="00034E9B">
              <w:rPr>
                <w:lang w:val="en-AU" w:eastAsia="en-AU"/>
              </w:rPr>
              <w:t>2022-23</w:t>
            </w:r>
          </w:p>
        </w:tc>
        <w:tc>
          <w:tcPr>
            <w:tcW w:w="900" w:type="dxa"/>
            <w:shd w:val="clear" w:color="auto" w:fill="B6D5E4"/>
            <w:noWrap/>
            <w:vAlign w:val="bottom"/>
            <w:hideMark/>
          </w:tcPr>
          <w:p w14:paraId="082689EF" w14:textId="77777777" w:rsidR="002543C8" w:rsidRPr="00034E9B" w:rsidRDefault="002543C8" w:rsidP="005E5747">
            <w:pPr>
              <w:pStyle w:val="CGCTablesubhead1"/>
              <w:keepNext/>
              <w:keepLines/>
              <w:jc w:val="right"/>
              <w:rPr>
                <w:lang w:val="en-AU" w:eastAsia="en-AU"/>
              </w:rPr>
            </w:pPr>
            <w:r w:rsidRPr="00034E9B">
              <w:rPr>
                <w:lang w:val="en-AU" w:eastAsia="en-AU"/>
              </w:rPr>
              <w:t>2023-24</w:t>
            </w:r>
          </w:p>
        </w:tc>
        <w:tc>
          <w:tcPr>
            <w:tcW w:w="900" w:type="dxa"/>
            <w:shd w:val="clear" w:color="auto" w:fill="B6D5E4"/>
            <w:noWrap/>
            <w:vAlign w:val="bottom"/>
            <w:hideMark/>
          </w:tcPr>
          <w:p w14:paraId="49865570" w14:textId="77777777" w:rsidR="002543C8" w:rsidRPr="00034E9B" w:rsidRDefault="002543C8" w:rsidP="005E5747">
            <w:pPr>
              <w:pStyle w:val="CGCTablesubhead1"/>
              <w:keepNext/>
              <w:keepLines/>
              <w:jc w:val="right"/>
              <w:rPr>
                <w:lang w:val="en-AU" w:eastAsia="en-AU"/>
              </w:rPr>
            </w:pPr>
            <w:r w:rsidRPr="00034E9B">
              <w:rPr>
                <w:lang w:val="en-AU" w:eastAsia="en-AU"/>
              </w:rPr>
              <w:t>2024-25</w:t>
            </w:r>
          </w:p>
        </w:tc>
        <w:tc>
          <w:tcPr>
            <w:tcW w:w="900" w:type="dxa"/>
            <w:shd w:val="clear" w:color="auto" w:fill="B6D5E4"/>
            <w:noWrap/>
            <w:vAlign w:val="bottom"/>
            <w:hideMark/>
          </w:tcPr>
          <w:p w14:paraId="41888BB2" w14:textId="77777777" w:rsidR="002543C8" w:rsidRPr="00034E9B" w:rsidRDefault="002543C8" w:rsidP="005E5747">
            <w:pPr>
              <w:pStyle w:val="CGCTablesubhead1"/>
              <w:keepNext/>
              <w:keepLines/>
              <w:jc w:val="right"/>
              <w:rPr>
                <w:lang w:val="en-AU" w:eastAsia="en-AU"/>
              </w:rPr>
            </w:pPr>
            <w:r w:rsidRPr="00034E9B">
              <w:rPr>
                <w:lang w:val="en-AU" w:eastAsia="en-AU"/>
              </w:rPr>
              <w:t>2025-26</w:t>
            </w:r>
          </w:p>
        </w:tc>
        <w:tc>
          <w:tcPr>
            <w:tcW w:w="900" w:type="dxa"/>
            <w:shd w:val="clear" w:color="auto" w:fill="B6D5E4"/>
            <w:noWrap/>
            <w:vAlign w:val="bottom"/>
            <w:hideMark/>
          </w:tcPr>
          <w:p w14:paraId="2E63F59F" w14:textId="77777777" w:rsidR="002543C8" w:rsidRPr="00034E9B" w:rsidRDefault="002543C8" w:rsidP="005E5747">
            <w:pPr>
              <w:pStyle w:val="CGCTablesubhead1"/>
              <w:keepNext/>
              <w:keepLines/>
              <w:jc w:val="right"/>
              <w:rPr>
                <w:lang w:val="en-AU" w:eastAsia="en-AU"/>
              </w:rPr>
            </w:pPr>
            <w:r w:rsidRPr="00034E9B">
              <w:rPr>
                <w:lang w:val="en-AU" w:eastAsia="en-AU"/>
              </w:rPr>
              <w:t>2026-27</w:t>
            </w:r>
          </w:p>
        </w:tc>
      </w:tr>
      <w:tr w:rsidR="002543C8" w:rsidRPr="00034E9B" w14:paraId="59F54A72" w14:textId="77777777" w:rsidTr="005E5747">
        <w:trPr>
          <w:trHeight w:val="284"/>
        </w:trPr>
        <w:tc>
          <w:tcPr>
            <w:tcW w:w="2620" w:type="dxa"/>
            <w:shd w:val="clear" w:color="auto" w:fill="auto"/>
            <w:noWrap/>
            <w:vAlign w:val="bottom"/>
            <w:hideMark/>
          </w:tcPr>
          <w:p w14:paraId="685C6B56" w14:textId="77777777" w:rsidR="002543C8" w:rsidRPr="00034E9B" w:rsidRDefault="002543C8" w:rsidP="005E5747">
            <w:pPr>
              <w:pStyle w:val="CGCTablerow"/>
              <w:keepNext/>
              <w:keepLines/>
              <w:ind w:left="193" w:hanging="142"/>
              <w:rPr>
                <w:rFonts w:ascii="Open Sans Semibold" w:hAnsi="Open Sans Semibold" w:cs="Open Sans Semibold"/>
                <w:lang w:eastAsia="en-AU"/>
              </w:rPr>
            </w:pPr>
            <w:r w:rsidRPr="00034E9B">
              <w:rPr>
                <w:rFonts w:ascii="Open Sans Semibold" w:hAnsi="Open Sans Semibold" w:cs="Open Sans Semibold"/>
                <w:lang w:eastAsia="en-AU"/>
              </w:rPr>
              <w:t>Relativities transition</w:t>
            </w:r>
          </w:p>
        </w:tc>
        <w:tc>
          <w:tcPr>
            <w:tcW w:w="900" w:type="dxa"/>
            <w:shd w:val="clear" w:color="auto" w:fill="auto"/>
            <w:noWrap/>
            <w:vAlign w:val="bottom"/>
            <w:hideMark/>
          </w:tcPr>
          <w:p w14:paraId="3C8EB422" w14:textId="77777777" w:rsidR="002543C8" w:rsidRPr="00034E9B" w:rsidRDefault="002543C8" w:rsidP="005E5747">
            <w:pPr>
              <w:pStyle w:val="CGCTablerow"/>
              <w:keepNext/>
              <w:keepLines/>
              <w:jc w:val="right"/>
              <w:rPr>
                <w:rFonts w:ascii="Open Sans Semibold" w:hAnsi="Open Sans Semibold" w:cs="Open Sans Semibold"/>
                <w:lang w:eastAsia="en-AU"/>
              </w:rPr>
            </w:pPr>
          </w:p>
        </w:tc>
        <w:tc>
          <w:tcPr>
            <w:tcW w:w="900" w:type="dxa"/>
            <w:shd w:val="clear" w:color="auto" w:fill="auto"/>
            <w:noWrap/>
            <w:vAlign w:val="bottom"/>
            <w:hideMark/>
          </w:tcPr>
          <w:p w14:paraId="49A159C9" w14:textId="77777777" w:rsidR="002543C8" w:rsidRPr="00034E9B" w:rsidRDefault="002543C8" w:rsidP="005E5747">
            <w:pPr>
              <w:pStyle w:val="CGCTablerow"/>
              <w:keepNext/>
              <w:keepLines/>
              <w:jc w:val="right"/>
              <w:rPr>
                <w:rFonts w:ascii="Open Sans Semibold" w:hAnsi="Open Sans Semibold" w:cs="Open Sans Semibold"/>
                <w:lang w:eastAsia="en-AU"/>
              </w:rPr>
            </w:pPr>
          </w:p>
        </w:tc>
        <w:tc>
          <w:tcPr>
            <w:tcW w:w="900" w:type="dxa"/>
            <w:shd w:val="clear" w:color="auto" w:fill="auto"/>
            <w:noWrap/>
            <w:vAlign w:val="bottom"/>
            <w:hideMark/>
          </w:tcPr>
          <w:p w14:paraId="4DFE6144" w14:textId="77777777" w:rsidR="002543C8" w:rsidRPr="00034E9B" w:rsidRDefault="002543C8" w:rsidP="005E5747">
            <w:pPr>
              <w:pStyle w:val="CGCTablerow"/>
              <w:keepNext/>
              <w:keepLines/>
              <w:jc w:val="right"/>
              <w:rPr>
                <w:rFonts w:ascii="Open Sans Semibold" w:hAnsi="Open Sans Semibold" w:cs="Open Sans Semibold"/>
                <w:lang w:eastAsia="en-AU"/>
              </w:rPr>
            </w:pPr>
          </w:p>
        </w:tc>
        <w:tc>
          <w:tcPr>
            <w:tcW w:w="900" w:type="dxa"/>
            <w:shd w:val="clear" w:color="auto" w:fill="auto"/>
            <w:noWrap/>
            <w:vAlign w:val="bottom"/>
            <w:hideMark/>
          </w:tcPr>
          <w:p w14:paraId="32E64119" w14:textId="77777777" w:rsidR="002543C8" w:rsidRPr="00034E9B" w:rsidRDefault="002543C8" w:rsidP="005E5747">
            <w:pPr>
              <w:pStyle w:val="CGCTablerow"/>
              <w:keepNext/>
              <w:keepLines/>
              <w:jc w:val="right"/>
              <w:rPr>
                <w:rFonts w:ascii="Open Sans Semibold" w:hAnsi="Open Sans Semibold" w:cs="Open Sans Semibold"/>
                <w:lang w:eastAsia="en-AU"/>
              </w:rPr>
            </w:pPr>
          </w:p>
        </w:tc>
        <w:tc>
          <w:tcPr>
            <w:tcW w:w="900" w:type="dxa"/>
            <w:shd w:val="clear" w:color="auto" w:fill="auto"/>
            <w:noWrap/>
            <w:vAlign w:val="bottom"/>
            <w:hideMark/>
          </w:tcPr>
          <w:p w14:paraId="465C3C4A" w14:textId="77777777" w:rsidR="002543C8" w:rsidRPr="00034E9B" w:rsidRDefault="002543C8" w:rsidP="005E5747">
            <w:pPr>
              <w:pStyle w:val="CGCTablerow"/>
              <w:keepNext/>
              <w:keepLines/>
              <w:jc w:val="right"/>
              <w:rPr>
                <w:rFonts w:ascii="Open Sans Semibold" w:hAnsi="Open Sans Semibold" w:cs="Open Sans Semibold"/>
                <w:lang w:eastAsia="en-AU"/>
              </w:rPr>
            </w:pPr>
          </w:p>
        </w:tc>
        <w:tc>
          <w:tcPr>
            <w:tcW w:w="900" w:type="dxa"/>
            <w:shd w:val="clear" w:color="auto" w:fill="auto"/>
            <w:noWrap/>
            <w:vAlign w:val="bottom"/>
            <w:hideMark/>
          </w:tcPr>
          <w:p w14:paraId="5B81C56A" w14:textId="77777777" w:rsidR="002543C8" w:rsidRPr="00034E9B" w:rsidRDefault="002543C8" w:rsidP="005E5747">
            <w:pPr>
              <w:pStyle w:val="CGCTablerow"/>
              <w:keepNext/>
              <w:keepLines/>
              <w:jc w:val="right"/>
              <w:rPr>
                <w:rFonts w:ascii="Open Sans Semibold" w:hAnsi="Open Sans Semibold" w:cs="Open Sans Semibold"/>
                <w:lang w:eastAsia="en-AU"/>
              </w:rPr>
            </w:pPr>
          </w:p>
        </w:tc>
        <w:tc>
          <w:tcPr>
            <w:tcW w:w="900" w:type="dxa"/>
            <w:shd w:val="clear" w:color="auto" w:fill="auto"/>
            <w:noWrap/>
            <w:vAlign w:val="bottom"/>
            <w:hideMark/>
          </w:tcPr>
          <w:p w14:paraId="1C7F47E1" w14:textId="77777777" w:rsidR="002543C8" w:rsidRPr="00034E9B" w:rsidRDefault="002543C8" w:rsidP="005E5747">
            <w:pPr>
              <w:pStyle w:val="CGCTablerow"/>
              <w:keepNext/>
              <w:keepLines/>
              <w:jc w:val="right"/>
              <w:rPr>
                <w:rFonts w:ascii="Open Sans Semibold" w:hAnsi="Open Sans Semibold" w:cs="Open Sans Semibold"/>
                <w:lang w:eastAsia="en-AU"/>
              </w:rPr>
            </w:pPr>
          </w:p>
        </w:tc>
      </w:tr>
      <w:tr w:rsidR="002543C8" w:rsidRPr="00034E9B" w14:paraId="417EDDB5" w14:textId="77777777" w:rsidTr="005E5747">
        <w:trPr>
          <w:trHeight w:val="284"/>
        </w:trPr>
        <w:tc>
          <w:tcPr>
            <w:tcW w:w="2620" w:type="dxa"/>
            <w:shd w:val="clear" w:color="auto" w:fill="auto"/>
            <w:noWrap/>
            <w:vAlign w:val="bottom"/>
            <w:hideMark/>
          </w:tcPr>
          <w:p w14:paraId="3235CABC" w14:textId="77777777" w:rsidR="002543C8" w:rsidRPr="00034E9B" w:rsidRDefault="002543C8" w:rsidP="005E5747">
            <w:pPr>
              <w:pStyle w:val="CGCTablerow"/>
              <w:keepNext/>
              <w:keepLines/>
              <w:ind w:left="193" w:hanging="142"/>
              <w:rPr>
                <w:lang w:eastAsia="en-AU"/>
              </w:rPr>
            </w:pPr>
            <w:r w:rsidRPr="00034E9B">
              <w:rPr>
                <w:lang w:eastAsia="en-AU"/>
              </w:rPr>
              <w:t>Relative fiscal capacities (a)</w:t>
            </w:r>
          </w:p>
        </w:tc>
        <w:tc>
          <w:tcPr>
            <w:tcW w:w="900" w:type="dxa"/>
            <w:shd w:val="clear" w:color="auto" w:fill="auto"/>
            <w:noWrap/>
            <w:vAlign w:val="bottom"/>
            <w:hideMark/>
          </w:tcPr>
          <w:p w14:paraId="54AF6789" w14:textId="77777777" w:rsidR="002543C8" w:rsidRPr="00034E9B" w:rsidRDefault="002543C8" w:rsidP="005E5747">
            <w:pPr>
              <w:pStyle w:val="CGCTablerow"/>
              <w:keepNext/>
              <w:keepLines/>
              <w:jc w:val="right"/>
              <w:rPr>
                <w:lang w:eastAsia="en-AU"/>
              </w:rPr>
            </w:pPr>
            <w:r w:rsidRPr="00034E9B">
              <w:rPr>
                <w:lang w:eastAsia="en-AU"/>
              </w:rPr>
              <w:t>6/6ths</w:t>
            </w:r>
          </w:p>
        </w:tc>
        <w:tc>
          <w:tcPr>
            <w:tcW w:w="900" w:type="dxa"/>
            <w:shd w:val="clear" w:color="auto" w:fill="auto"/>
            <w:noWrap/>
            <w:vAlign w:val="bottom"/>
            <w:hideMark/>
          </w:tcPr>
          <w:p w14:paraId="6823D96B" w14:textId="77777777" w:rsidR="002543C8" w:rsidRPr="00034E9B" w:rsidRDefault="002543C8" w:rsidP="005E5747">
            <w:pPr>
              <w:pStyle w:val="CGCTablerow"/>
              <w:keepNext/>
              <w:keepLines/>
              <w:jc w:val="right"/>
              <w:rPr>
                <w:lang w:eastAsia="en-AU"/>
              </w:rPr>
            </w:pPr>
            <w:r w:rsidRPr="00034E9B">
              <w:rPr>
                <w:lang w:eastAsia="en-AU"/>
              </w:rPr>
              <w:t>5/6ths</w:t>
            </w:r>
          </w:p>
        </w:tc>
        <w:tc>
          <w:tcPr>
            <w:tcW w:w="900" w:type="dxa"/>
            <w:shd w:val="clear" w:color="auto" w:fill="auto"/>
            <w:noWrap/>
            <w:vAlign w:val="bottom"/>
            <w:hideMark/>
          </w:tcPr>
          <w:p w14:paraId="4258D83B" w14:textId="77777777" w:rsidR="002543C8" w:rsidRPr="00034E9B" w:rsidRDefault="002543C8" w:rsidP="005E5747">
            <w:pPr>
              <w:pStyle w:val="CGCTablerow"/>
              <w:keepNext/>
              <w:keepLines/>
              <w:jc w:val="right"/>
              <w:rPr>
                <w:lang w:eastAsia="en-AU"/>
              </w:rPr>
            </w:pPr>
            <w:r w:rsidRPr="00034E9B">
              <w:rPr>
                <w:lang w:eastAsia="en-AU"/>
              </w:rPr>
              <w:t>4/6ths</w:t>
            </w:r>
          </w:p>
        </w:tc>
        <w:tc>
          <w:tcPr>
            <w:tcW w:w="900" w:type="dxa"/>
            <w:shd w:val="clear" w:color="auto" w:fill="auto"/>
            <w:noWrap/>
            <w:vAlign w:val="bottom"/>
            <w:hideMark/>
          </w:tcPr>
          <w:p w14:paraId="656C1AA9" w14:textId="77777777" w:rsidR="002543C8" w:rsidRPr="00034E9B" w:rsidRDefault="002543C8" w:rsidP="005E5747">
            <w:pPr>
              <w:pStyle w:val="CGCTablerow"/>
              <w:keepNext/>
              <w:keepLines/>
              <w:jc w:val="right"/>
              <w:rPr>
                <w:lang w:eastAsia="en-AU"/>
              </w:rPr>
            </w:pPr>
            <w:r w:rsidRPr="00034E9B">
              <w:rPr>
                <w:lang w:eastAsia="en-AU"/>
              </w:rPr>
              <w:t>3/6ths</w:t>
            </w:r>
          </w:p>
        </w:tc>
        <w:tc>
          <w:tcPr>
            <w:tcW w:w="900" w:type="dxa"/>
            <w:shd w:val="clear" w:color="auto" w:fill="auto"/>
            <w:noWrap/>
            <w:vAlign w:val="bottom"/>
            <w:hideMark/>
          </w:tcPr>
          <w:p w14:paraId="7F47AD51" w14:textId="77777777" w:rsidR="002543C8" w:rsidRPr="00034E9B" w:rsidRDefault="002543C8" w:rsidP="005E5747">
            <w:pPr>
              <w:pStyle w:val="CGCTablerow"/>
              <w:keepNext/>
              <w:keepLines/>
              <w:jc w:val="right"/>
              <w:rPr>
                <w:lang w:eastAsia="en-AU"/>
              </w:rPr>
            </w:pPr>
            <w:r w:rsidRPr="00034E9B">
              <w:rPr>
                <w:lang w:eastAsia="en-AU"/>
              </w:rPr>
              <w:t>2/6ths</w:t>
            </w:r>
          </w:p>
        </w:tc>
        <w:tc>
          <w:tcPr>
            <w:tcW w:w="900" w:type="dxa"/>
            <w:shd w:val="clear" w:color="auto" w:fill="auto"/>
            <w:noWrap/>
            <w:vAlign w:val="bottom"/>
            <w:hideMark/>
          </w:tcPr>
          <w:p w14:paraId="7BD0FA27" w14:textId="77777777" w:rsidR="002543C8" w:rsidRPr="00034E9B" w:rsidRDefault="002543C8" w:rsidP="005E5747">
            <w:pPr>
              <w:pStyle w:val="CGCTablerow"/>
              <w:keepNext/>
              <w:keepLines/>
              <w:jc w:val="right"/>
              <w:rPr>
                <w:lang w:eastAsia="en-AU"/>
              </w:rPr>
            </w:pPr>
            <w:r w:rsidRPr="00034E9B">
              <w:rPr>
                <w:lang w:eastAsia="en-AU"/>
              </w:rPr>
              <w:t>1/6th</w:t>
            </w:r>
          </w:p>
        </w:tc>
        <w:tc>
          <w:tcPr>
            <w:tcW w:w="900" w:type="dxa"/>
            <w:shd w:val="clear" w:color="auto" w:fill="auto"/>
            <w:noWrap/>
            <w:vAlign w:val="bottom"/>
            <w:hideMark/>
          </w:tcPr>
          <w:p w14:paraId="1B19A295" w14:textId="77777777" w:rsidR="002543C8" w:rsidRPr="00034E9B" w:rsidRDefault="002543C8" w:rsidP="005E5747">
            <w:pPr>
              <w:pStyle w:val="CGCTablerow"/>
              <w:keepNext/>
              <w:keepLines/>
              <w:jc w:val="right"/>
              <w:rPr>
                <w:lang w:eastAsia="en-AU"/>
              </w:rPr>
            </w:pPr>
            <w:r w:rsidRPr="00034E9B">
              <w:rPr>
                <w:lang w:eastAsia="en-AU"/>
              </w:rPr>
              <w:t>0/6ths</w:t>
            </w:r>
          </w:p>
        </w:tc>
      </w:tr>
      <w:tr w:rsidR="002543C8" w:rsidRPr="00034E9B" w14:paraId="1F49FCA4" w14:textId="77777777" w:rsidTr="005E5747">
        <w:trPr>
          <w:trHeight w:val="284"/>
        </w:trPr>
        <w:tc>
          <w:tcPr>
            <w:tcW w:w="2620" w:type="dxa"/>
            <w:shd w:val="clear" w:color="auto" w:fill="auto"/>
            <w:noWrap/>
            <w:vAlign w:val="bottom"/>
            <w:hideMark/>
          </w:tcPr>
          <w:p w14:paraId="3B0C4FB5" w14:textId="77777777" w:rsidR="002543C8" w:rsidRPr="00034E9B" w:rsidRDefault="002543C8" w:rsidP="005E5747">
            <w:pPr>
              <w:pStyle w:val="CGCTablerow"/>
              <w:keepNext/>
              <w:keepLines/>
              <w:ind w:left="193" w:hanging="142"/>
              <w:rPr>
                <w:lang w:eastAsia="en-AU"/>
              </w:rPr>
            </w:pPr>
            <w:r w:rsidRPr="00034E9B">
              <w:rPr>
                <w:lang w:eastAsia="en-AU"/>
              </w:rPr>
              <w:t>Standard State capacities (b)</w:t>
            </w:r>
          </w:p>
        </w:tc>
        <w:tc>
          <w:tcPr>
            <w:tcW w:w="900" w:type="dxa"/>
            <w:shd w:val="clear" w:color="auto" w:fill="auto"/>
            <w:noWrap/>
            <w:vAlign w:val="bottom"/>
            <w:hideMark/>
          </w:tcPr>
          <w:p w14:paraId="625A9C42" w14:textId="77777777" w:rsidR="002543C8" w:rsidRPr="00034E9B" w:rsidRDefault="002543C8" w:rsidP="005E5747">
            <w:pPr>
              <w:pStyle w:val="CGCTablerow"/>
              <w:keepNext/>
              <w:keepLines/>
              <w:jc w:val="right"/>
              <w:rPr>
                <w:lang w:eastAsia="en-AU"/>
              </w:rPr>
            </w:pPr>
            <w:r w:rsidRPr="00034E9B">
              <w:rPr>
                <w:lang w:eastAsia="en-AU"/>
              </w:rPr>
              <w:t>0/6ths</w:t>
            </w:r>
          </w:p>
        </w:tc>
        <w:tc>
          <w:tcPr>
            <w:tcW w:w="900" w:type="dxa"/>
            <w:shd w:val="clear" w:color="auto" w:fill="auto"/>
            <w:noWrap/>
            <w:vAlign w:val="bottom"/>
            <w:hideMark/>
          </w:tcPr>
          <w:p w14:paraId="49297115" w14:textId="77777777" w:rsidR="002543C8" w:rsidRPr="00034E9B" w:rsidRDefault="002543C8" w:rsidP="005E5747">
            <w:pPr>
              <w:pStyle w:val="CGCTablerow"/>
              <w:keepNext/>
              <w:keepLines/>
              <w:jc w:val="right"/>
              <w:rPr>
                <w:lang w:eastAsia="en-AU"/>
              </w:rPr>
            </w:pPr>
            <w:r w:rsidRPr="00034E9B">
              <w:rPr>
                <w:lang w:eastAsia="en-AU"/>
              </w:rPr>
              <w:t>1/6th</w:t>
            </w:r>
          </w:p>
        </w:tc>
        <w:tc>
          <w:tcPr>
            <w:tcW w:w="900" w:type="dxa"/>
            <w:shd w:val="clear" w:color="auto" w:fill="auto"/>
            <w:noWrap/>
            <w:vAlign w:val="bottom"/>
            <w:hideMark/>
          </w:tcPr>
          <w:p w14:paraId="55E41C0D" w14:textId="77777777" w:rsidR="002543C8" w:rsidRPr="00034E9B" w:rsidRDefault="002543C8" w:rsidP="005E5747">
            <w:pPr>
              <w:pStyle w:val="CGCTablerow"/>
              <w:keepNext/>
              <w:keepLines/>
              <w:jc w:val="right"/>
              <w:rPr>
                <w:lang w:eastAsia="en-AU"/>
              </w:rPr>
            </w:pPr>
            <w:r w:rsidRPr="00034E9B">
              <w:rPr>
                <w:lang w:eastAsia="en-AU"/>
              </w:rPr>
              <w:t>2/6ths</w:t>
            </w:r>
          </w:p>
        </w:tc>
        <w:tc>
          <w:tcPr>
            <w:tcW w:w="900" w:type="dxa"/>
            <w:shd w:val="clear" w:color="auto" w:fill="auto"/>
            <w:noWrap/>
            <w:vAlign w:val="bottom"/>
            <w:hideMark/>
          </w:tcPr>
          <w:p w14:paraId="2B150E5E" w14:textId="77777777" w:rsidR="002543C8" w:rsidRPr="00034E9B" w:rsidRDefault="002543C8" w:rsidP="005E5747">
            <w:pPr>
              <w:pStyle w:val="CGCTablerow"/>
              <w:keepNext/>
              <w:keepLines/>
              <w:jc w:val="right"/>
              <w:rPr>
                <w:lang w:eastAsia="en-AU"/>
              </w:rPr>
            </w:pPr>
            <w:r w:rsidRPr="00034E9B">
              <w:rPr>
                <w:lang w:eastAsia="en-AU"/>
              </w:rPr>
              <w:t>3/6ths</w:t>
            </w:r>
          </w:p>
        </w:tc>
        <w:tc>
          <w:tcPr>
            <w:tcW w:w="900" w:type="dxa"/>
            <w:shd w:val="clear" w:color="auto" w:fill="auto"/>
            <w:noWrap/>
            <w:vAlign w:val="bottom"/>
            <w:hideMark/>
          </w:tcPr>
          <w:p w14:paraId="61D4F859" w14:textId="77777777" w:rsidR="002543C8" w:rsidRPr="00034E9B" w:rsidRDefault="002543C8" w:rsidP="005E5747">
            <w:pPr>
              <w:pStyle w:val="CGCTablerow"/>
              <w:keepNext/>
              <w:keepLines/>
              <w:jc w:val="right"/>
              <w:rPr>
                <w:lang w:eastAsia="en-AU"/>
              </w:rPr>
            </w:pPr>
            <w:r w:rsidRPr="00034E9B">
              <w:rPr>
                <w:lang w:eastAsia="en-AU"/>
              </w:rPr>
              <w:t>4/6ths</w:t>
            </w:r>
          </w:p>
        </w:tc>
        <w:tc>
          <w:tcPr>
            <w:tcW w:w="900" w:type="dxa"/>
            <w:shd w:val="clear" w:color="auto" w:fill="auto"/>
            <w:noWrap/>
            <w:vAlign w:val="bottom"/>
            <w:hideMark/>
          </w:tcPr>
          <w:p w14:paraId="4248641F" w14:textId="77777777" w:rsidR="002543C8" w:rsidRPr="00034E9B" w:rsidRDefault="002543C8" w:rsidP="005E5747">
            <w:pPr>
              <w:pStyle w:val="CGCTablerow"/>
              <w:keepNext/>
              <w:keepLines/>
              <w:jc w:val="right"/>
              <w:rPr>
                <w:lang w:eastAsia="en-AU"/>
              </w:rPr>
            </w:pPr>
            <w:r w:rsidRPr="00034E9B">
              <w:rPr>
                <w:lang w:eastAsia="en-AU"/>
              </w:rPr>
              <w:t>5/6ths</w:t>
            </w:r>
          </w:p>
        </w:tc>
        <w:tc>
          <w:tcPr>
            <w:tcW w:w="900" w:type="dxa"/>
            <w:shd w:val="clear" w:color="auto" w:fill="auto"/>
            <w:noWrap/>
            <w:vAlign w:val="bottom"/>
            <w:hideMark/>
          </w:tcPr>
          <w:p w14:paraId="6E35C16A" w14:textId="77777777" w:rsidR="002543C8" w:rsidRPr="00034E9B" w:rsidRDefault="002543C8" w:rsidP="005E5747">
            <w:pPr>
              <w:pStyle w:val="CGCTablerow"/>
              <w:keepNext/>
              <w:keepLines/>
              <w:jc w:val="right"/>
              <w:rPr>
                <w:lang w:eastAsia="en-AU"/>
              </w:rPr>
            </w:pPr>
            <w:r w:rsidRPr="00034E9B">
              <w:rPr>
                <w:lang w:eastAsia="en-AU"/>
              </w:rPr>
              <w:t>6/6ths</w:t>
            </w:r>
          </w:p>
        </w:tc>
      </w:tr>
      <w:tr w:rsidR="002543C8" w:rsidRPr="00034E9B" w14:paraId="1C884541" w14:textId="77777777" w:rsidTr="005E5747">
        <w:trPr>
          <w:trHeight w:val="284"/>
        </w:trPr>
        <w:tc>
          <w:tcPr>
            <w:tcW w:w="2620" w:type="dxa"/>
            <w:shd w:val="clear" w:color="auto" w:fill="auto"/>
            <w:noWrap/>
            <w:vAlign w:val="bottom"/>
            <w:hideMark/>
          </w:tcPr>
          <w:p w14:paraId="746DE03D" w14:textId="77777777" w:rsidR="002543C8" w:rsidRPr="00034E9B" w:rsidRDefault="002543C8" w:rsidP="005E5747">
            <w:pPr>
              <w:pStyle w:val="CGCTablerow"/>
              <w:keepNext/>
              <w:keepLines/>
              <w:ind w:left="193" w:hanging="142"/>
              <w:rPr>
                <w:lang w:eastAsia="en-AU"/>
              </w:rPr>
            </w:pPr>
            <w:r w:rsidRPr="00034E9B">
              <w:rPr>
                <w:lang w:eastAsia="en-AU"/>
              </w:rPr>
              <w:t>Relativity floor (c)</w:t>
            </w:r>
          </w:p>
        </w:tc>
        <w:tc>
          <w:tcPr>
            <w:tcW w:w="900" w:type="dxa"/>
            <w:shd w:val="clear" w:color="auto" w:fill="auto"/>
            <w:noWrap/>
            <w:vAlign w:val="bottom"/>
            <w:hideMark/>
          </w:tcPr>
          <w:p w14:paraId="36407AFF" w14:textId="77777777" w:rsidR="002543C8" w:rsidRPr="00034E9B" w:rsidRDefault="002543C8" w:rsidP="005E5747">
            <w:pPr>
              <w:pStyle w:val="CGCTablerow"/>
              <w:keepNext/>
              <w:keepLines/>
              <w:jc w:val="right"/>
              <w:rPr>
                <w:lang w:eastAsia="en-AU"/>
              </w:rPr>
            </w:pPr>
            <w:r w:rsidRPr="00034E9B">
              <w:rPr>
                <w:lang w:eastAsia="en-AU"/>
              </w:rPr>
              <w:t>External</w:t>
            </w:r>
          </w:p>
        </w:tc>
        <w:tc>
          <w:tcPr>
            <w:tcW w:w="900" w:type="dxa"/>
            <w:shd w:val="clear" w:color="auto" w:fill="auto"/>
            <w:noWrap/>
            <w:vAlign w:val="bottom"/>
            <w:hideMark/>
          </w:tcPr>
          <w:p w14:paraId="62BB65C5" w14:textId="77777777" w:rsidR="002543C8" w:rsidRPr="00034E9B" w:rsidRDefault="002543C8" w:rsidP="005E5747">
            <w:pPr>
              <w:pStyle w:val="CGCTablerow"/>
              <w:keepNext/>
              <w:keepLines/>
              <w:jc w:val="right"/>
              <w:rPr>
                <w:lang w:eastAsia="en-AU"/>
              </w:rPr>
            </w:pPr>
            <w:r w:rsidRPr="00034E9B">
              <w:rPr>
                <w:lang w:eastAsia="en-AU"/>
              </w:rPr>
              <w:t>External</w:t>
            </w:r>
          </w:p>
        </w:tc>
        <w:tc>
          <w:tcPr>
            <w:tcW w:w="900" w:type="dxa"/>
            <w:shd w:val="clear" w:color="auto" w:fill="auto"/>
            <w:noWrap/>
            <w:vAlign w:val="bottom"/>
            <w:hideMark/>
          </w:tcPr>
          <w:p w14:paraId="4A3C2E4D" w14:textId="77777777" w:rsidR="002543C8" w:rsidRPr="00034E9B" w:rsidRDefault="002543C8" w:rsidP="005E5747">
            <w:pPr>
              <w:pStyle w:val="CGCTablerow"/>
              <w:keepNext/>
              <w:keepLines/>
              <w:jc w:val="right"/>
              <w:rPr>
                <w:lang w:eastAsia="en-AU"/>
              </w:rPr>
            </w:pPr>
            <w:r w:rsidRPr="00034E9B">
              <w:rPr>
                <w:lang w:eastAsia="en-AU"/>
              </w:rPr>
              <w:t>0.70</w:t>
            </w:r>
          </w:p>
        </w:tc>
        <w:tc>
          <w:tcPr>
            <w:tcW w:w="900" w:type="dxa"/>
            <w:shd w:val="clear" w:color="auto" w:fill="auto"/>
            <w:noWrap/>
            <w:vAlign w:val="bottom"/>
            <w:hideMark/>
          </w:tcPr>
          <w:p w14:paraId="01C923DB" w14:textId="77777777" w:rsidR="002543C8" w:rsidRPr="00034E9B" w:rsidRDefault="002543C8" w:rsidP="005E5747">
            <w:pPr>
              <w:pStyle w:val="CGCTablerow"/>
              <w:keepNext/>
              <w:keepLines/>
              <w:jc w:val="right"/>
              <w:rPr>
                <w:lang w:eastAsia="en-AU"/>
              </w:rPr>
            </w:pPr>
            <w:r w:rsidRPr="00034E9B">
              <w:rPr>
                <w:lang w:eastAsia="en-AU"/>
              </w:rPr>
              <w:t>0.70</w:t>
            </w:r>
          </w:p>
        </w:tc>
        <w:tc>
          <w:tcPr>
            <w:tcW w:w="900" w:type="dxa"/>
            <w:shd w:val="clear" w:color="auto" w:fill="auto"/>
            <w:noWrap/>
            <w:vAlign w:val="bottom"/>
            <w:hideMark/>
          </w:tcPr>
          <w:p w14:paraId="1C7140E8" w14:textId="77777777" w:rsidR="002543C8" w:rsidRPr="00034E9B" w:rsidRDefault="002543C8" w:rsidP="005E5747">
            <w:pPr>
              <w:pStyle w:val="CGCTablerow"/>
              <w:keepNext/>
              <w:keepLines/>
              <w:jc w:val="right"/>
              <w:rPr>
                <w:lang w:eastAsia="en-AU"/>
              </w:rPr>
            </w:pPr>
            <w:r w:rsidRPr="00034E9B">
              <w:rPr>
                <w:lang w:eastAsia="en-AU"/>
              </w:rPr>
              <w:t>0.75</w:t>
            </w:r>
          </w:p>
        </w:tc>
        <w:tc>
          <w:tcPr>
            <w:tcW w:w="900" w:type="dxa"/>
            <w:shd w:val="clear" w:color="auto" w:fill="auto"/>
            <w:noWrap/>
            <w:vAlign w:val="bottom"/>
            <w:hideMark/>
          </w:tcPr>
          <w:p w14:paraId="3FD3CE8A" w14:textId="77777777" w:rsidR="002543C8" w:rsidRPr="00034E9B" w:rsidRDefault="002543C8" w:rsidP="005E5747">
            <w:pPr>
              <w:pStyle w:val="CGCTablerow"/>
              <w:keepNext/>
              <w:keepLines/>
              <w:jc w:val="right"/>
              <w:rPr>
                <w:lang w:eastAsia="en-AU"/>
              </w:rPr>
            </w:pPr>
            <w:r w:rsidRPr="00034E9B">
              <w:rPr>
                <w:lang w:eastAsia="en-AU"/>
              </w:rPr>
              <w:t>0.75</w:t>
            </w:r>
          </w:p>
        </w:tc>
        <w:tc>
          <w:tcPr>
            <w:tcW w:w="900" w:type="dxa"/>
            <w:shd w:val="clear" w:color="auto" w:fill="auto"/>
            <w:noWrap/>
            <w:vAlign w:val="bottom"/>
            <w:hideMark/>
          </w:tcPr>
          <w:p w14:paraId="3BA74ED6" w14:textId="77777777" w:rsidR="002543C8" w:rsidRPr="00034E9B" w:rsidRDefault="002543C8" w:rsidP="005E5747">
            <w:pPr>
              <w:pStyle w:val="CGCTablerow"/>
              <w:keepNext/>
              <w:keepLines/>
              <w:jc w:val="right"/>
              <w:rPr>
                <w:lang w:eastAsia="en-AU"/>
              </w:rPr>
            </w:pPr>
            <w:r w:rsidRPr="00034E9B">
              <w:rPr>
                <w:lang w:eastAsia="en-AU"/>
              </w:rPr>
              <w:t>0.75</w:t>
            </w:r>
          </w:p>
        </w:tc>
      </w:tr>
      <w:tr w:rsidR="002543C8" w:rsidRPr="00034E9B" w14:paraId="121C45EE" w14:textId="77777777" w:rsidTr="005E5747">
        <w:trPr>
          <w:trHeight w:val="284"/>
        </w:trPr>
        <w:tc>
          <w:tcPr>
            <w:tcW w:w="2620" w:type="dxa"/>
            <w:shd w:val="clear" w:color="auto" w:fill="auto"/>
            <w:noWrap/>
            <w:vAlign w:val="bottom"/>
            <w:hideMark/>
          </w:tcPr>
          <w:p w14:paraId="32D59C77" w14:textId="77777777" w:rsidR="002543C8" w:rsidRPr="00034E9B" w:rsidRDefault="002543C8" w:rsidP="005E5747">
            <w:pPr>
              <w:pStyle w:val="CGCTablerow"/>
              <w:keepNext/>
              <w:keepLines/>
              <w:ind w:left="193" w:hanging="142"/>
              <w:rPr>
                <w:rFonts w:ascii="Open Sans Semibold" w:hAnsi="Open Sans Semibold" w:cs="Open Sans Semibold"/>
                <w:lang w:eastAsia="en-AU"/>
              </w:rPr>
            </w:pPr>
            <w:r w:rsidRPr="00034E9B">
              <w:rPr>
                <w:rFonts w:ascii="Open Sans Semibold" w:hAnsi="Open Sans Semibold" w:cs="Open Sans Semibold"/>
                <w:lang w:eastAsia="en-AU"/>
              </w:rPr>
              <w:t>Grant pool</w:t>
            </w:r>
          </w:p>
        </w:tc>
        <w:tc>
          <w:tcPr>
            <w:tcW w:w="900" w:type="dxa"/>
            <w:shd w:val="clear" w:color="auto" w:fill="auto"/>
            <w:noWrap/>
            <w:vAlign w:val="bottom"/>
            <w:hideMark/>
          </w:tcPr>
          <w:p w14:paraId="47E05081" w14:textId="77777777" w:rsidR="002543C8" w:rsidRPr="00034E9B" w:rsidRDefault="002543C8" w:rsidP="005E5747">
            <w:pPr>
              <w:pStyle w:val="CGCTablerow"/>
              <w:keepNext/>
              <w:keepLines/>
              <w:jc w:val="right"/>
              <w:rPr>
                <w:rFonts w:ascii="Open Sans Semibold" w:hAnsi="Open Sans Semibold" w:cs="Open Sans Semibold"/>
                <w:lang w:eastAsia="en-AU"/>
              </w:rPr>
            </w:pPr>
          </w:p>
        </w:tc>
        <w:tc>
          <w:tcPr>
            <w:tcW w:w="900" w:type="dxa"/>
            <w:shd w:val="clear" w:color="auto" w:fill="auto"/>
            <w:noWrap/>
            <w:vAlign w:val="bottom"/>
            <w:hideMark/>
          </w:tcPr>
          <w:p w14:paraId="037D4573" w14:textId="77777777" w:rsidR="002543C8" w:rsidRPr="00034E9B" w:rsidRDefault="002543C8" w:rsidP="005E5747">
            <w:pPr>
              <w:pStyle w:val="CGCTablerow"/>
              <w:keepNext/>
              <w:keepLines/>
              <w:jc w:val="right"/>
              <w:rPr>
                <w:rFonts w:ascii="Open Sans Semibold" w:hAnsi="Open Sans Semibold" w:cs="Open Sans Semibold"/>
                <w:lang w:eastAsia="en-AU"/>
              </w:rPr>
            </w:pPr>
          </w:p>
        </w:tc>
        <w:tc>
          <w:tcPr>
            <w:tcW w:w="900" w:type="dxa"/>
            <w:shd w:val="clear" w:color="auto" w:fill="auto"/>
            <w:noWrap/>
            <w:vAlign w:val="bottom"/>
            <w:hideMark/>
          </w:tcPr>
          <w:p w14:paraId="77DE056C" w14:textId="77777777" w:rsidR="002543C8" w:rsidRPr="00034E9B" w:rsidRDefault="002543C8" w:rsidP="005E5747">
            <w:pPr>
              <w:pStyle w:val="CGCTablerow"/>
              <w:keepNext/>
              <w:keepLines/>
              <w:jc w:val="right"/>
              <w:rPr>
                <w:rFonts w:ascii="Open Sans Semibold" w:hAnsi="Open Sans Semibold" w:cs="Open Sans Semibold"/>
                <w:lang w:eastAsia="en-AU"/>
              </w:rPr>
            </w:pPr>
          </w:p>
        </w:tc>
        <w:tc>
          <w:tcPr>
            <w:tcW w:w="900" w:type="dxa"/>
            <w:shd w:val="clear" w:color="auto" w:fill="auto"/>
            <w:noWrap/>
            <w:vAlign w:val="bottom"/>
            <w:hideMark/>
          </w:tcPr>
          <w:p w14:paraId="1B82E65D" w14:textId="77777777" w:rsidR="002543C8" w:rsidRPr="00034E9B" w:rsidRDefault="002543C8" w:rsidP="005E5747">
            <w:pPr>
              <w:pStyle w:val="CGCTablerow"/>
              <w:keepNext/>
              <w:keepLines/>
              <w:jc w:val="right"/>
              <w:rPr>
                <w:rFonts w:ascii="Open Sans Semibold" w:hAnsi="Open Sans Semibold" w:cs="Open Sans Semibold"/>
                <w:lang w:eastAsia="en-AU"/>
              </w:rPr>
            </w:pPr>
          </w:p>
        </w:tc>
        <w:tc>
          <w:tcPr>
            <w:tcW w:w="900" w:type="dxa"/>
            <w:shd w:val="clear" w:color="auto" w:fill="auto"/>
            <w:noWrap/>
            <w:vAlign w:val="bottom"/>
            <w:hideMark/>
          </w:tcPr>
          <w:p w14:paraId="07CC4772" w14:textId="77777777" w:rsidR="002543C8" w:rsidRPr="00034E9B" w:rsidRDefault="002543C8" w:rsidP="005E5747">
            <w:pPr>
              <w:pStyle w:val="CGCTablerow"/>
              <w:keepNext/>
              <w:keepLines/>
              <w:jc w:val="right"/>
              <w:rPr>
                <w:rFonts w:ascii="Open Sans Semibold" w:hAnsi="Open Sans Semibold" w:cs="Open Sans Semibold"/>
                <w:lang w:eastAsia="en-AU"/>
              </w:rPr>
            </w:pPr>
          </w:p>
        </w:tc>
        <w:tc>
          <w:tcPr>
            <w:tcW w:w="900" w:type="dxa"/>
            <w:shd w:val="clear" w:color="auto" w:fill="auto"/>
            <w:noWrap/>
            <w:vAlign w:val="bottom"/>
            <w:hideMark/>
          </w:tcPr>
          <w:p w14:paraId="42DD82BB" w14:textId="77777777" w:rsidR="002543C8" w:rsidRPr="00034E9B" w:rsidRDefault="002543C8" w:rsidP="005E5747">
            <w:pPr>
              <w:pStyle w:val="CGCTablerow"/>
              <w:keepNext/>
              <w:keepLines/>
              <w:jc w:val="right"/>
              <w:rPr>
                <w:rFonts w:ascii="Open Sans Semibold" w:hAnsi="Open Sans Semibold" w:cs="Open Sans Semibold"/>
                <w:lang w:eastAsia="en-AU"/>
              </w:rPr>
            </w:pPr>
          </w:p>
        </w:tc>
        <w:tc>
          <w:tcPr>
            <w:tcW w:w="900" w:type="dxa"/>
            <w:shd w:val="clear" w:color="auto" w:fill="auto"/>
            <w:noWrap/>
            <w:vAlign w:val="bottom"/>
            <w:hideMark/>
          </w:tcPr>
          <w:p w14:paraId="46ED211E" w14:textId="77777777" w:rsidR="002543C8" w:rsidRPr="00034E9B" w:rsidRDefault="002543C8" w:rsidP="005E5747">
            <w:pPr>
              <w:pStyle w:val="CGCTablerow"/>
              <w:keepNext/>
              <w:keepLines/>
              <w:jc w:val="right"/>
              <w:rPr>
                <w:rFonts w:ascii="Open Sans Semibold" w:hAnsi="Open Sans Semibold" w:cs="Open Sans Semibold"/>
                <w:lang w:eastAsia="en-AU"/>
              </w:rPr>
            </w:pPr>
          </w:p>
        </w:tc>
      </w:tr>
      <w:tr w:rsidR="002543C8" w:rsidRPr="00034E9B" w14:paraId="5C91E1A6" w14:textId="77777777" w:rsidTr="005E5747">
        <w:trPr>
          <w:trHeight w:val="284"/>
        </w:trPr>
        <w:tc>
          <w:tcPr>
            <w:tcW w:w="2620" w:type="dxa"/>
            <w:shd w:val="clear" w:color="auto" w:fill="auto"/>
            <w:noWrap/>
            <w:vAlign w:val="bottom"/>
            <w:hideMark/>
          </w:tcPr>
          <w:p w14:paraId="61B3809E" w14:textId="77777777" w:rsidR="002543C8" w:rsidRPr="00034E9B" w:rsidRDefault="002543C8" w:rsidP="005E5747">
            <w:pPr>
              <w:pStyle w:val="CGCTablerow"/>
              <w:keepNext/>
              <w:keepLines/>
              <w:ind w:left="193" w:hanging="142"/>
              <w:rPr>
                <w:lang w:eastAsia="en-AU"/>
              </w:rPr>
            </w:pPr>
            <w:r w:rsidRPr="00034E9B">
              <w:rPr>
                <w:lang w:eastAsia="en-AU"/>
              </w:rPr>
              <w:t>GST revenue</w:t>
            </w:r>
          </w:p>
        </w:tc>
        <w:tc>
          <w:tcPr>
            <w:tcW w:w="900" w:type="dxa"/>
            <w:shd w:val="clear" w:color="auto" w:fill="auto"/>
            <w:noWrap/>
            <w:vAlign w:val="bottom"/>
            <w:hideMark/>
          </w:tcPr>
          <w:p w14:paraId="3E5A2057" w14:textId="77777777" w:rsidR="002543C8" w:rsidRPr="00034E9B" w:rsidRDefault="002543C8" w:rsidP="005E5747">
            <w:pPr>
              <w:pStyle w:val="CGCTablerow"/>
              <w:keepNext/>
              <w:keepLines/>
              <w:jc w:val="right"/>
              <w:rPr>
                <w:lang w:eastAsia="en-AU"/>
              </w:rPr>
            </w:pPr>
            <w:r w:rsidRPr="00034E9B">
              <w:rPr>
                <w:lang w:eastAsia="en-AU"/>
              </w:rPr>
              <w:t>Yes</w:t>
            </w:r>
          </w:p>
        </w:tc>
        <w:tc>
          <w:tcPr>
            <w:tcW w:w="900" w:type="dxa"/>
            <w:shd w:val="clear" w:color="auto" w:fill="auto"/>
            <w:noWrap/>
            <w:vAlign w:val="bottom"/>
            <w:hideMark/>
          </w:tcPr>
          <w:p w14:paraId="22977583" w14:textId="77777777" w:rsidR="002543C8" w:rsidRPr="00034E9B" w:rsidRDefault="002543C8" w:rsidP="005E5747">
            <w:pPr>
              <w:pStyle w:val="CGCTablerow"/>
              <w:keepNext/>
              <w:keepLines/>
              <w:jc w:val="right"/>
              <w:rPr>
                <w:lang w:eastAsia="en-AU"/>
              </w:rPr>
            </w:pPr>
            <w:r w:rsidRPr="00034E9B">
              <w:rPr>
                <w:lang w:eastAsia="en-AU"/>
              </w:rPr>
              <w:t>Yes</w:t>
            </w:r>
          </w:p>
        </w:tc>
        <w:tc>
          <w:tcPr>
            <w:tcW w:w="900" w:type="dxa"/>
            <w:shd w:val="clear" w:color="auto" w:fill="auto"/>
            <w:noWrap/>
            <w:vAlign w:val="bottom"/>
            <w:hideMark/>
          </w:tcPr>
          <w:p w14:paraId="2783D624" w14:textId="77777777" w:rsidR="002543C8" w:rsidRPr="00034E9B" w:rsidRDefault="002543C8" w:rsidP="005E5747">
            <w:pPr>
              <w:pStyle w:val="CGCTablerow"/>
              <w:keepNext/>
              <w:keepLines/>
              <w:jc w:val="right"/>
              <w:rPr>
                <w:lang w:eastAsia="en-AU"/>
              </w:rPr>
            </w:pPr>
            <w:r w:rsidRPr="00034E9B">
              <w:rPr>
                <w:lang w:eastAsia="en-AU"/>
              </w:rPr>
              <w:t>Yes</w:t>
            </w:r>
          </w:p>
        </w:tc>
        <w:tc>
          <w:tcPr>
            <w:tcW w:w="900" w:type="dxa"/>
            <w:shd w:val="clear" w:color="auto" w:fill="auto"/>
            <w:noWrap/>
            <w:vAlign w:val="bottom"/>
            <w:hideMark/>
          </w:tcPr>
          <w:p w14:paraId="07BAFBB9" w14:textId="77777777" w:rsidR="002543C8" w:rsidRPr="00034E9B" w:rsidRDefault="002543C8" w:rsidP="005E5747">
            <w:pPr>
              <w:pStyle w:val="CGCTablerow"/>
              <w:keepNext/>
              <w:keepLines/>
              <w:jc w:val="right"/>
              <w:rPr>
                <w:lang w:eastAsia="en-AU"/>
              </w:rPr>
            </w:pPr>
            <w:r w:rsidRPr="00034E9B">
              <w:rPr>
                <w:lang w:eastAsia="en-AU"/>
              </w:rPr>
              <w:t>Yes</w:t>
            </w:r>
          </w:p>
        </w:tc>
        <w:tc>
          <w:tcPr>
            <w:tcW w:w="900" w:type="dxa"/>
            <w:shd w:val="clear" w:color="auto" w:fill="auto"/>
            <w:noWrap/>
            <w:vAlign w:val="bottom"/>
            <w:hideMark/>
          </w:tcPr>
          <w:p w14:paraId="2B57971D" w14:textId="77777777" w:rsidR="002543C8" w:rsidRPr="00034E9B" w:rsidRDefault="002543C8" w:rsidP="005E5747">
            <w:pPr>
              <w:pStyle w:val="CGCTablerow"/>
              <w:keepNext/>
              <w:keepLines/>
              <w:jc w:val="right"/>
              <w:rPr>
                <w:lang w:eastAsia="en-AU"/>
              </w:rPr>
            </w:pPr>
            <w:r w:rsidRPr="00034E9B">
              <w:rPr>
                <w:lang w:eastAsia="en-AU"/>
              </w:rPr>
              <w:t>Yes</w:t>
            </w:r>
          </w:p>
        </w:tc>
        <w:tc>
          <w:tcPr>
            <w:tcW w:w="900" w:type="dxa"/>
            <w:shd w:val="clear" w:color="auto" w:fill="auto"/>
            <w:noWrap/>
            <w:vAlign w:val="bottom"/>
            <w:hideMark/>
          </w:tcPr>
          <w:p w14:paraId="5A4D0222" w14:textId="77777777" w:rsidR="002543C8" w:rsidRPr="00034E9B" w:rsidRDefault="002543C8" w:rsidP="005E5747">
            <w:pPr>
              <w:pStyle w:val="CGCTablerow"/>
              <w:keepNext/>
              <w:keepLines/>
              <w:jc w:val="right"/>
              <w:rPr>
                <w:lang w:eastAsia="en-AU"/>
              </w:rPr>
            </w:pPr>
            <w:r w:rsidRPr="00034E9B">
              <w:rPr>
                <w:lang w:eastAsia="en-AU"/>
              </w:rPr>
              <w:t>Yes</w:t>
            </w:r>
          </w:p>
        </w:tc>
        <w:tc>
          <w:tcPr>
            <w:tcW w:w="900" w:type="dxa"/>
            <w:shd w:val="clear" w:color="auto" w:fill="auto"/>
            <w:noWrap/>
            <w:vAlign w:val="bottom"/>
            <w:hideMark/>
          </w:tcPr>
          <w:p w14:paraId="5757C0F2" w14:textId="77777777" w:rsidR="002543C8" w:rsidRPr="00034E9B" w:rsidRDefault="002543C8" w:rsidP="005E5747">
            <w:pPr>
              <w:pStyle w:val="CGCTablerow"/>
              <w:keepNext/>
              <w:keepLines/>
              <w:jc w:val="right"/>
              <w:rPr>
                <w:lang w:eastAsia="en-AU"/>
              </w:rPr>
            </w:pPr>
            <w:r w:rsidRPr="00034E9B">
              <w:rPr>
                <w:lang w:eastAsia="en-AU"/>
              </w:rPr>
              <w:t>Yes</w:t>
            </w:r>
          </w:p>
        </w:tc>
      </w:tr>
      <w:tr w:rsidR="002543C8" w:rsidRPr="00034E9B" w14:paraId="1D4B5D1E" w14:textId="77777777" w:rsidTr="005E5747">
        <w:trPr>
          <w:trHeight w:val="284"/>
        </w:trPr>
        <w:tc>
          <w:tcPr>
            <w:tcW w:w="2620" w:type="dxa"/>
            <w:shd w:val="clear" w:color="auto" w:fill="auto"/>
            <w:noWrap/>
            <w:vAlign w:val="bottom"/>
            <w:hideMark/>
          </w:tcPr>
          <w:p w14:paraId="638A800F" w14:textId="77777777" w:rsidR="002543C8" w:rsidRPr="00034E9B" w:rsidRDefault="002543C8" w:rsidP="005E5747">
            <w:pPr>
              <w:pStyle w:val="CGCTablerow"/>
              <w:keepNext/>
              <w:keepLines/>
              <w:ind w:left="193" w:hanging="142"/>
              <w:rPr>
                <w:lang w:eastAsia="en-AU"/>
              </w:rPr>
            </w:pPr>
            <w:r w:rsidRPr="00034E9B">
              <w:rPr>
                <w:lang w:eastAsia="en-AU"/>
              </w:rPr>
              <w:t>New pool top-up (d)</w:t>
            </w:r>
          </w:p>
        </w:tc>
        <w:tc>
          <w:tcPr>
            <w:tcW w:w="900" w:type="dxa"/>
            <w:shd w:val="clear" w:color="auto" w:fill="auto"/>
            <w:noWrap/>
            <w:vAlign w:val="bottom"/>
            <w:hideMark/>
          </w:tcPr>
          <w:p w14:paraId="535FA8B9" w14:textId="77777777" w:rsidR="002543C8" w:rsidRPr="00034E9B" w:rsidRDefault="002543C8" w:rsidP="005E5747">
            <w:pPr>
              <w:pStyle w:val="CGCTablerow"/>
              <w:keepNext/>
              <w:keepLines/>
              <w:jc w:val="right"/>
              <w:rPr>
                <w:lang w:eastAsia="en-AU"/>
              </w:rPr>
            </w:pPr>
            <w:r w:rsidRPr="00034E9B">
              <w:rPr>
                <w:lang w:eastAsia="en-AU"/>
              </w:rPr>
              <w:t>No</w:t>
            </w:r>
          </w:p>
        </w:tc>
        <w:tc>
          <w:tcPr>
            <w:tcW w:w="900" w:type="dxa"/>
            <w:shd w:val="clear" w:color="auto" w:fill="auto"/>
            <w:noWrap/>
            <w:vAlign w:val="bottom"/>
            <w:hideMark/>
          </w:tcPr>
          <w:p w14:paraId="17D8A2EB" w14:textId="77777777" w:rsidR="002543C8" w:rsidRPr="00034E9B" w:rsidRDefault="002543C8" w:rsidP="005E5747">
            <w:pPr>
              <w:pStyle w:val="CGCTablerow"/>
              <w:keepNext/>
              <w:keepLines/>
              <w:jc w:val="right"/>
              <w:rPr>
                <w:lang w:eastAsia="en-AU"/>
              </w:rPr>
            </w:pPr>
            <w:r w:rsidRPr="00034E9B">
              <w:rPr>
                <w:lang w:eastAsia="en-AU"/>
              </w:rPr>
              <w:t>$600m</w:t>
            </w:r>
          </w:p>
        </w:tc>
        <w:tc>
          <w:tcPr>
            <w:tcW w:w="900" w:type="dxa"/>
            <w:shd w:val="clear" w:color="auto" w:fill="auto"/>
            <w:noWrap/>
            <w:vAlign w:val="bottom"/>
            <w:hideMark/>
          </w:tcPr>
          <w:p w14:paraId="6CEEBF73" w14:textId="77777777" w:rsidR="002543C8" w:rsidRPr="00034E9B" w:rsidRDefault="002543C8" w:rsidP="005E5747">
            <w:pPr>
              <w:pStyle w:val="CGCTablerow"/>
              <w:keepNext/>
              <w:keepLines/>
              <w:jc w:val="right"/>
              <w:rPr>
                <w:lang w:eastAsia="en-AU"/>
              </w:rPr>
            </w:pPr>
            <w:r w:rsidRPr="00034E9B">
              <w:rPr>
                <w:lang w:eastAsia="en-AU"/>
              </w:rPr>
              <w:t>No</w:t>
            </w:r>
          </w:p>
        </w:tc>
        <w:tc>
          <w:tcPr>
            <w:tcW w:w="900" w:type="dxa"/>
            <w:shd w:val="clear" w:color="auto" w:fill="auto"/>
            <w:noWrap/>
            <w:vAlign w:val="bottom"/>
            <w:hideMark/>
          </w:tcPr>
          <w:p w14:paraId="1E3393D1" w14:textId="77777777" w:rsidR="002543C8" w:rsidRPr="00034E9B" w:rsidRDefault="002543C8" w:rsidP="005E5747">
            <w:pPr>
              <w:pStyle w:val="CGCTablerow"/>
              <w:keepNext/>
              <w:keepLines/>
              <w:jc w:val="right"/>
              <w:rPr>
                <w:lang w:eastAsia="en-AU"/>
              </w:rPr>
            </w:pPr>
            <w:r w:rsidRPr="00034E9B">
              <w:rPr>
                <w:lang w:eastAsia="en-AU"/>
              </w:rPr>
              <w:t>No</w:t>
            </w:r>
          </w:p>
        </w:tc>
        <w:tc>
          <w:tcPr>
            <w:tcW w:w="900" w:type="dxa"/>
            <w:shd w:val="clear" w:color="auto" w:fill="auto"/>
            <w:noWrap/>
            <w:vAlign w:val="bottom"/>
            <w:hideMark/>
          </w:tcPr>
          <w:p w14:paraId="3BBA8847" w14:textId="77777777" w:rsidR="002543C8" w:rsidRPr="00034E9B" w:rsidRDefault="002543C8" w:rsidP="005E5747">
            <w:pPr>
              <w:pStyle w:val="CGCTablerow"/>
              <w:keepNext/>
              <w:keepLines/>
              <w:jc w:val="right"/>
              <w:rPr>
                <w:lang w:eastAsia="en-AU"/>
              </w:rPr>
            </w:pPr>
            <w:r w:rsidRPr="00034E9B">
              <w:rPr>
                <w:lang w:eastAsia="en-AU"/>
              </w:rPr>
              <w:t>$250m</w:t>
            </w:r>
          </w:p>
        </w:tc>
        <w:tc>
          <w:tcPr>
            <w:tcW w:w="900" w:type="dxa"/>
            <w:shd w:val="clear" w:color="auto" w:fill="auto"/>
            <w:noWrap/>
            <w:vAlign w:val="bottom"/>
            <w:hideMark/>
          </w:tcPr>
          <w:p w14:paraId="7E0ACCFA" w14:textId="77777777" w:rsidR="002543C8" w:rsidRPr="00034E9B" w:rsidRDefault="002543C8" w:rsidP="005E5747">
            <w:pPr>
              <w:pStyle w:val="CGCTablerow"/>
              <w:keepNext/>
              <w:keepLines/>
              <w:jc w:val="right"/>
              <w:rPr>
                <w:lang w:eastAsia="en-AU"/>
              </w:rPr>
            </w:pPr>
            <w:r w:rsidRPr="00034E9B">
              <w:rPr>
                <w:lang w:eastAsia="en-AU"/>
              </w:rPr>
              <w:t>No</w:t>
            </w:r>
          </w:p>
        </w:tc>
        <w:tc>
          <w:tcPr>
            <w:tcW w:w="900" w:type="dxa"/>
            <w:shd w:val="clear" w:color="auto" w:fill="auto"/>
            <w:noWrap/>
            <w:vAlign w:val="bottom"/>
            <w:hideMark/>
          </w:tcPr>
          <w:p w14:paraId="7F669411" w14:textId="77777777" w:rsidR="002543C8" w:rsidRPr="00034E9B" w:rsidRDefault="002543C8" w:rsidP="005E5747">
            <w:pPr>
              <w:pStyle w:val="CGCTablerow"/>
              <w:keepNext/>
              <w:keepLines/>
              <w:jc w:val="right"/>
              <w:rPr>
                <w:lang w:eastAsia="en-AU"/>
              </w:rPr>
            </w:pPr>
            <w:r w:rsidRPr="00034E9B">
              <w:rPr>
                <w:lang w:eastAsia="en-AU"/>
              </w:rPr>
              <w:t>No</w:t>
            </w:r>
          </w:p>
        </w:tc>
      </w:tr>
      <w:tr w:rsidR="002543C8" w:rsidRPr="00034E9B" w14:paraId="71DBDAA7" w14:textId="77777777" w:rsidTr="005E5747">
        <w:trPr>
          <w:trHeight w:val="284"/>
        </w:trPr>
        <w:tc>
          <w:tcPr>
            <w:tcW w:w="2620" w:type="dxa"/>
            <w:shd w:val="clear" w:color="auto" w:fill="auto"/>
            <w:noWrap/>
            <w:vAlign w:val="bottom"/>
            <w:hideMark/>
          </w:tcPr>
          <w:p w14:paraId="6F4014FF" w14:textId="77777777" w:rsidR="002543C8" w:rsidRPr="00034E9B" w:rsidRDefault="002543C8" w:rsidP="005E5747">
            <w:pPr>
              <w:pStyle w:val="CGCTablerow"/>
              <w:keepNext/>
              <w:keepLines/>
              <w:ind w:left="193" w:hanging="142"/>
              <w:rPr>
                <w:lang w:eastAsia="en-AU"/>
              </w:rPr>
            </w:pPr>
            <w:r w:rsidRPr="00034E9B">
              <w:rPr>
                <w:lang w:eastAsia="en-AU"/>
              </w:rPr>
              <w:t>Indexation of top-up (e)</w:t>
            </w:r>
          </w:p>
        </w:tc>
        <w:tc>
          <w:tcPr>
            <w:tcW w:w="900" w:type="dxa"/>
            <w:shd w:val="clear" w:color="auto" w:fill="auto"/>
            <w:noWrap/>
            <w:vAlign w:val="bottom"/>
            <w:hideMark/>
          </w:tcPr>
          <w:p w14:paraId="08727752" w14:textId="77777777" w:rsidR="002543C8" w:rsidRPr="00034E9B" w:rsidRDefault="002543C8" w:rsidP="005E5747">
            <w:pPr>
              <w:pStyle w:val="CGCTablerow"/>
              <w:keepNext/>
              <w:keepLines/>
              <w:jc w:val="right"/>
              <w:rPr>
                <w:lang w:eastAsia="en-AU"/>
              </w:rPr>
            </w:pPr>
            <w:r w:rsidRPr="00034E9B">
              <w:rPr>
                <w:lang w:eastAsia="en-AU"/>
              </w:rPr>
              <w:t>No</w:t>
            </w:r>
          </w:p>
        </w:tc>
        <w:tc>
          <w:tcPr>
            <w:tcW w:w="900" w:type="dxa"/>
            <w:shd w:val="clear" w:color="auto" w:fill="auto"/>
            <w:noWrap/>
            <w:vAlign w:val="bottom"/>
            <w:hideMark/>
          </w:tcPr>
          <w:p w14:paraId="2A5841DB" w14:textId="77777777" w:rsidR="002543C8" w:rsidRPr="00034E9B" w:rsidRDefault="002543C8" w:rsidP="005E5747">
            <w:pPr>
              <w:pStyle w:val="CGCTablerow"/>
              <w:keepNext/>
              <w:keepLines/>
              <w:jc w:val="right"/>
              <w:rPr>
                <w:lang w:eastAsia="en-AU"/>
              </w:rPr>
            </w:pPr>
            <w:r w:rsidRPr="00034E9B">
              <w:rPr>
                <w:lang w:eastAsia="en-AU"/>
              </w:rPr>
              <w:t>No</w:t>
            </w:r>
          </w:p>
        </w:tc>
        <w:tc>
          <w:tcPr>
            <w:tcW w:w="900" w:type="dxa"/>
            <w:shd w:val="clear" w:color="auto" w:fill="auto"/>
            <w:noWrap/>
            <w:vAlign w:val="bottom"/>
            <w:hideMark/>
          </w:tcPr>
          <w:p w14:paraId="16E349D3" w14:textId="77777777" w:rsidR="002543C8" w:rsidRPr="00034E9B" w:rsidRDefault="002543C8" w:rsidP="005E5747">
            <w:pPr>
              <w:pStyle w:val="CGCTablerow"/>
              <w:keepNext/>
              <w:keepLines/>
              <w:jc w:val="right"/>
              <w:rPr>
                <w:lang w:eastAsia="en-AU"/>
              </w:rPr>
            </w:pPr>
            <w:r w:rsidRPr="00034E9B">
              <w:rPr>
                <w:lang w:eastAsia="en-AU"/>
              </w:rPr>
              <w:t>Yes</w:t>
            </w:r>
          </w:p>
        </w:tc>
        <w:tc>
          <w:tcPr>
            <w:tcW w:w="900" w:type="dxa"/>
            <w:shd w:val="clear" w:color="auto" w:fill="auto"/>
            <w:noWrap/>
            <w:vAlign w:val="bottom"/>
            <w:hideMark/>
          </w:tcPr>
          <w:p w14:paraId="2893E045" w14:textId="77777777" w:rsidR="002543C8" w:rsidRPr="00034E9B" w:rsidRDefault="002543C8" w:rsidP="005E5747">
            <w:pPr>
              <w:pStyle w:val="CGCTablerow"/>
              <w:keepNext/>
              <w:keepLines/>
              <w:jc w:val="right"/>
              <w:rPr>
                <w:lang w:eastAsia="en-AU"/>
              </w:rPr>
            </w:pPr>
            <w:r w:rsidRPr="00034E9B">
              <w:rPr>
                <w:lang w:eastAsia="en-AU"/>
              </w:rPr>
              <w:t>Yes</w:t>
            </w:r>
          </w:p>
        </w:tc>
        <w:tc>
          <w:tcPr>
            <w:tcW w:w="900" w:type="dxa"/>
            <w:shd w:val="clear" w:color="auto" w:fill="auto"/>
            <w:noWrap/>
            <w:vAlign w:val="bottom"/>
            <w:hideMark/>
          </w:tcPr>
          <w:p w14:paraId="4C0F8EE2" w14:textId="77777777" w:rsidR="002543C8" w:rsidRPr="00034E9B" w:rsidRDefault="002543C8" w:rsidP="005E5747">
            <w:pPr>
              <w:pStyle w:val="CGCTablerow"/>
              <w:keepNext/>
              <w:keepLines/>
              <w:jc w:val="right"/>
              <w:rPr>
                <w:lang w:eastAsia="en-AU"/>
              </w:rPr>
            </w:pPr>
            <w:r w:rsidRPr="00034E9B">
              <w:rPr>
                <w:lang w:eastAsia="en-AU"/>
              </w:rPr>
              <w:t>Yes</w:t>
            </w:r>
          </w:p>
        </w:tc>
        <w:tc>
          <w:tcPr>
            <w:tcW w:w="900" w:type="dxa"/>
            <w:shd w:val="clear" w:color="auto" w:fill="auto"/>
            <w:noWrap/>
            <w:vAlign w:val="bottom"/>
            <w:hideMark/>
          </w:tcPr>
          <w:p w14:paraId="0BE94973" w14:textId="77777777" w:rsidR="002543C8" w:rsidRPr="00034E9B" w:rsidRDefault="002543C8" w:rsidP="005E5747">
            <w:pPr>
              <w:pStyle w:val="CGCTablerow"/>
              <w:keepNext/>
              <w:keepLines/>
              <w:jc w:val="right"/>
              <w:rPr>
                <w:lang w:eastAsia="en-AU"/>
              </w:rPr>
            </w:pPr>
            <w:r w:rsidRPr="00034E9B">
              <w:rPr>
                <w:lang w:eastAsia="en-AU"/>
              </w:rPr>
              <w:t>Yes</w:t>
            </w:r>
          </w:p>
        </w:tc>
        <w:tc>
          <w:tcPr>
            <w:tcW w:w="900" w:type="dxa"/>
            <w:shd w:val="clear" w:color="auto" w:fill="auto"/>
            <w:noWrap/>
            <w:vAlign w:val="bottom"/>
            <w:hideMark/>
          </w:tcPr>
          <w:p w14:paraId="0FB36FFC" w14:textId="77777777" w:rsidR="002543C8" w:rsidRPr="00034E9B" w:rsidRDefault="002543C8" w:rsidP="005E5747">
            <w:pPr>
              <w:pStyle w:val="CGCTablerow"/>
              <w:keepNext/>
              <w:keepLines/>
              <w:jc w:val="right"/>
              <w:rPr>
                <w:lang w:eastAsia="en-AU"/>
              </w:rPr>
            </w:pPr>
            <w:r w:rsidRPr="00034E9B">
              <w:rPr>
                <w:lang w:eastAsia="en-AU"/>
              </w:rPr>
              <w:t>Yes</w:t>
            </w:r>
          </w:p>
        </w:tc>
      </w:tr>
    </w:tbl>
    <w:p w14:paraId="1A603D25" w14:textId="77777777" w:rsidR="002543C8" w:rsidRPr="00B13375" w:rsidRDefault="002543C8" w:rsidP="002543C8">
      <w:pPr>
        <w:pStyle w:val="CGCTablenote"/>
      </w:pPr>
      <w:r w:rsidRPr="00B13375">
        <w:t xml:space="preserve">(a) </w:t>
      </w:r>
      <w:r>
        <w:tab/>
      </w:r>
      <w:r w:rsidRPr="00B13375">
        <w:t xml:space="preserve">Relative fiscal capacities refers to the previous </w:t>
      </w:r>
      <w:proofErr w:type="gramStart"/>
      <w:r w:rsidRPr="00B13375">
        <w:t>arrangements, or</w:t>
      </w:r>
      <w:proofErr w:type="gramEnd"/>
      <w:r w:rsidRPr="00B13375">
        <w:t xml:space="preserve"> applying a full equalisation standard.</w:t>
      </w:r>
    </w:p>
    <w:p w14:paraId="79166D4F" w14:textId="77777777" w:rsidR="002543C8" w:rsidRPr="00B13375" w:rsidRDefault="002543C8" w:rsidP="002543C8">
      <w:pPr>
        <w:pStyle w:val="CGCTablenote"/>
      </w:pPr>
      <w:r w:rsidRPr="00B13375">
        <w:t xml:space="preserve">(b) </w:t>
      </w:r>
      <w:r>
        <w:tab/>
      </w:r>
      <w:r w:rsidRPr="00B13375">
        <w:t xml:space="preserve">Standard State capacities refers to the new </w:t>
      </w:r>
      <w:proofErr w:type="gramStart"/>
      <w:r w:rsidRPr="00B13375">
        <w:t>arrangements, or</w:t>
      </w:r>
      <w:proofErr w:type="gramEnd"/>
      <w:r w:rsidRPr="00B13375">
        <w:t xml:space="preserve"> equalising to the stronger of New South Wales and Victoria.</w:t>
      </w:r>
    </w:p>
    <w:p w14:paraId="6C6C6ABB" w14:textId="77777777" w:rsidR="002543C8" w:rsidRPr="00B13375" w:rsidRDefault="002543C8" w:rsidP="002543C8">
      <w:pPr>
        <w:pStyle w:val="CGCTablenote"/>
      </w:pPr>
      <w:r w:rsidRPr="00B13375">
        <w:t xml:space="preserve">(c) </w:t>
      </w:r>
      <w:r>
        <w:tab/>
      </w:r>
      <w:r w:rsidRPr="00B13375">
        <w:t>Commonwealth funding external to the GST pool (if required) will ensure in 2020-21 and 2021-22 Western Australia’s grant share is</w:t>
      </w:r>
      <w:r>
        <w:t xml:space="preserve"> </w:t>
      </w:r>
      <w:r w:rsidRPr="00B13375">
        <w:t>equivalent to a relativity of 0.7 and the Northern Territory’s grant share equivalent to a relativity of 4.66. From 2022-23, the floor will be funded from the expanded pool.</w:t>
      </w:r>
    </w:p>
    <w:p w14:paraId="16476BAB" w14:textId="77777777" w:rsidR="002543C8" w:rsidRPr="00B13375" w:rsidRDefault="002543C8" w:rsidP="002543C8">
      <w:pPr>
        <w:pStyle w:val="CGCTablenote"/>
      </w:pPr>
      <w:r w:rsidRPr="00B13375">
        <w:t xml:space="preserve">(d) </w:t>
      </w:r>
      <w:r>
        <w:tab/>
      </w:r>
      <w:r w:rsidRPr="00B13375">
        <w:t>New pool top-ups represent ongoing top-ups to the general revenue assistance grant pool.</w:t>
      </w:r>
    </w:p>
    <w:p w14:paraId="4CFA299B" w14:textId="77777777" w:rsidR="002543C8" w:rsidRPr="00B13375" w:rsidRDefault="002543C8" w:rsidP="002543C8">
      <w:pPr>
        <w:pStyle w:val="CGCTablenote"/>
      </w:pPr>
      <w:r w:rsidRPr="00B13375">
        <w:t xml:space="preserve">(e) </w:t>
      </w:r>
      <w:r>
        <w:tab/>
      </w:r>
      <w:r w:rsidRPr="00B13375">
        <w:t>Once commenced, pool top-ups are indexed by the growth in GST revenue.</w:t>
      </w:r>
    </w:p>
    <w:p w14:paraId="341AF8C6" w14:textId="0F375F75" w:rsidR="002543C8" w:rsidRPr="00055292" w:rsidRDefault="002543C8" w:rsidP="005E5747">
      <w:pPr>
        <w:pStyle w:val="CGCParaNumber"/>
      </w:pPr>
      <w:bookmarkStart w:id="31" w:name="_Toc26890328"/>
      <w:r>
        <w:t xml:space="preserve">From </w:t>
      </w:r>
      <w:r w:rsidRPr="00784DAE">
        <w:fldChar w:fldCharType="begin"/>
      </w:r>
      <w:r w:rsidRPr="00055292">
        <w:instrText xml:space="preserve"> REF _Ref32408305 \h </w:instrText>
      </w:r>
      <w:r w:rsidR="00055292">
        <w:instrText xml:space="preserve"> \* MERGEFORMAT </w:instrText>
      </w:r>
      <w:r w:rsidRPr="00784DAE">
        <w:fldChar w:fldCharType="separate"/>
      </w:r>
      <w:r w:rsidR="00A46D6F" w:rsidRPr="00034E9B">
        <w:t xml:space="preserve">Table </w:t>
      </w:r>
      <w:r w:rsidR="00A46D6F">
        <w:t>1</w:t>
      </w:r>
      <w:r w:rsidRPr="00784DAE">
        <w:fldChar w:fldCharType="end"/>
      </w:r>
      <w:r w:rsidRPr="00055292">
        <w:t>, it can be seen that the changes for the 2021 Update inquiry are that the recommended relativities for use in distributing general revenue assistance grants for 2021</w:t>
      </w:r>
      <w:r w:rsidR="00893C8D">
        <w:noBreakHyphen/>
      </w:r>
      <w:r w:rsidRPr="00055292">
        <w:t>22 will be a 5/6ths</w:t>
      </w:r>
      <w:r w:rsidR="00A077F3">
        <w:t xml:space="preserve"> to</w:t>
      </w:r>
      <w:r w:rsidRPr="00055292">
        <w:t xml:space="preserve"> 1/6th blend of the previous and new arrangements, with the grants being a pool comprising GST revenue along with a $600 million top-up (boost) payment.</w:t>
      </w:r>
    </w:p>
    <w:p w14:paraId="09C69920" w14:textId="2051DB85" w:rsidR="002543C8" w:rsidRPr="00E7077A" w:rsidRDefault="002543C8" w:rsidP="005E5747">
      <w:pPr>
        <w:pStyle w:val="CGCParaNumber"/>
      </w:pPr>
      <w:r w:rsidRPr="00055292">
        <w:t>The rel</w:t>
      </w:r>
      <w:r>
        <w:t xml:space="preserve">ativity floor will be funded by the Commonwealth from outside the grant pool and need not be considered further in this inquiry. </w:t>
      </w:r>
    </w:p>
    <w:p w14:paraId="22ED2842" w14:textId="28935BD6" w:rsidR="002543C8" w:rsidRPr="00034E9B" w:rsidRDefault="002543C8" w:rsidP="002543C8">
      <w:pPr>
        <w:pStyle w:val="Heading4"/>
      </w:pPr>
      <w:bookmarkStart w:id="32" w:name="_Toc49170283"/>
      <w:r w:rsidRPr="00034E9B">
        <w:lastRenderedPageBreak/>
        <w:t>Giving effect to the new legislation</w:t>
      </w:r>
      <w:bookmarkEnd w:id="31"/>
      <w:bookmarkEnd w:id="32"/>
    </w:p>
    <w:p w14:paraId="7F2E3853" w14:textId="77777777" w:rsidR="002543C8" w:rsidRPr="00034E9B" w:rsidRDefault="002543C8" w:rsidP="005E5747">
      <w:pPr>
        <w:pStyle w:val="CGCParaNumber"/>
      </w:pPr>
      <w:r>
        <w:t>I</w:t>
      </w:r>
      <w:r w:rsidRPr="00034E9B">
        <w:t xml:space="preserve">n </w:t>
      </w:r>
      <w:r w:rsidRPr="00055292">
        <w:t>preparing</w:t>
      </w:r>
      <w:r w:rsidRPr="00034E9B">
        <w:t xml:space="preserve"> its recommended GST revenue sharing relativities</w:t>
      </w:r>
      <w:r w:rsidRPr="00B84687">
        <w:t xml:space="preserve"> </w:t>
      </w:r>
      <w:r>
        <w:t>for</w:t>
      </w:r>
      <w:r w:rsidRPr="00034E9B">
        <w:t xml:space="preserve"> 2021-22, and subject to terms of reference from the Treasurer, the Commission proposes to do the following:</w:t>
      </w:r>
    </w:p>
    <w:p w14:paraId="2B33CBE1" w14:textId="77777777" w:rsidR="002543C8" w:rsidRPr="00034E9B" w:rsidRDefault="002543C8" w:rsidP="002543C8">
      <w:pPr>
        <w:pStyle w:val="CGCBullet1"/>
      </w:pPr>
      <w:r w:rsidRPr="00034E9B">
        <w:t>measure State relative fiscal capacities (as per the previous arrangements)</w:t>
      </w:r>
    </w:p>
    <w:p w14:paraId="7D2136CC" w14:textId="77777777" w:rsidR="002543C8" w:rsidRPr="00034E9B" w:rsidRDefault="002543C8" w:rsidP="002543C8">
      <w:pPr>
        <w:pStyle w:val="CGCBullet1"/>
      </w:pPr>
      <w:r w:rsidRPr="00034E9B">
        <w:t>from these relative fiscal capacity measures, derive the corresponding standard State capacities (new arrangements)</w:t>
      </w:r>
    </w:p>
    <w:p w14:paraId="7E403BEC" w14:textId="77777777" w:rsidR="002543C8" w:rsidRPr="00034E9B" w:rsidRDefault="002543C8" w:rsidP="002543C8">
      <w:pPr>
        <w:pStyle w:val="CGCBullet1"/>
      </w:pPr>
      <w:r w:rsidRPr="00034E9B">
        <w:t>blend the previous and new fiscal capacity measures as prescribed in the legislation</w:t>
      </w:r>
      <w:r>
        <w:t>.</w:t>
      </w:r>
    </w:p>
    <w:p w14:paraId="0147CAD8" w14:textId="77777777" w:rsidR="002543C8" w:rsidRPr="00034E9B" w:rsidRDefault="002543C8" w:rsidP="00FC0EBD">
      <w:pPr>
        <w:pStyle w:val="Heading5"/>
        <w:keepLines/>
      </w:pPr>
      <w:r w:rsidRPr="00034E9B">
        <w:t xml:space="preserve">Previous arrangements </w:t>
      </w:r>
    </w:p>
    <w:p w14:paraId="3A3D688E" w14:textId="7F04AAC0" w:rsidR="002543C8" w:rsidRDefault="002543C8" w:rsidP="00FC0EBD">
      <w:pPr>
        <w:pStyle w:val="CGCParaNumber"/>
        <w:keepNext/>
        <w:keepLines/>
      </w:pPr>
      <w:r w:rsidRPr="00B54E13">
        <w:t xml:space="preserve">In </w:t>
      </w:r>
      <w:r>
        <w:t xml:space="preserve">the </w:t>
      </w:r>
      <w:r w:rsidRPr="00B54E13">
        <w:t>202</w:t>
      </w:r>
      <w:r>
        <w:t>1 Update inquiry</w:t>
      </w:r>
      <w:r w:rsidRPr="00B54E13">
        <w:t xml:space="preserve">, subject to terms of reference, the Commission will continue to </w:t>
      </w:r>
      <w:r w:rsidRPr="00055292">
        <w:t>calculate</w:t>
      </w:r>
      <w:r w:rsidRPr="00B54E13">
        <w:t xml:space="preserve"> State relative fiscal capacities using the methodology adopted in the 2020 Review</w:t>
      </w:r>
      <w:r w:rsidR="00B8506F">
        <w:t>, including averaging over three assessment years</w:t>
      </w:r>
      <w:r w:rsidRPr="00B54E13">
        <w:t>. The Commission indicated in its 2020</w:t>
      </w:r>
      <w:r w:rsidR="00FC0EBD">
        <w:t> </w:t>
      </w:r>
      <w:r w:rsidR="0002512D">
        <w:t>R</w:t>
      </w:r>
      <w:r w:rsidRPr="00B54E13">
        <w:t xml:space="preserve">eview report that it did not propose to backcast the </w:t>
      </w:r>
      <w:r>
        <w:t xml:space="preserve">application year </w:t>
      </w:r>
      <w:r w:rsidRPr="00B54E13">
        <w:t xml:space="preserve">top-up </w:t>
      </w:r>
      <w:r>
        <w:t xml:space="preserve">payment </w:t>
      </w:r>
      <w:r w:rsidRPr="00B54E13">
        <w:t xml:space="preserve">(as suggested by Western Australia), despite the assessment years for this inquiry not including </w:t>
      </w:r>
      <w:r>
        <w:t>such p</w:t>
      </w:r>
      <w:r w:rsidRPr="00B54E13">
        <w:t>ayments. The Commission’s view was that a 0.8% increase in the pool size is unlikely to be sufficiently large to have a distorting effect on the grant distributions. Annual growth in the GST revenue can vary by more than this and the Commission’s decisions on recommended relativities are not currently subject to expected growth rates in the GST pool.</w:t>
      </w:r>
      <w:r w:rsidRPr="00034E9B">
        <w:rPr>
          <w:vertAlign w:val="superscript"/>
        </w:rPr>
        <w:footnoteReference w:id="6"/>
      </w:r>
    </w:p>
    <w:p w14:paraId="60E0F03E" w14:textId="7E153D2C" w:rsidR="002543C8" w:rsidRDefault="002543C8" w:rsidP="005E5747">
      <w:pPr>
        <w:pStyle w:val="CGCParaNumber"/>
      </w:pPr>
      <w:r w:rsidRPr="00055292">
        <w:t>Further</w:t>
      </w:r>
      <w:r>
        <w:t>, the Commission said in its report that it would only undertake backcasting where it could be done reliably.</w:t>
      </w:r>
      <w:r>
        <w:rPr>
          <w:rStyle w:val="FootnoteReference"/>
        </w:rPr>
        <w:footnoteReference w:id="7"/>
      </w:r>
      <w:r>
        <w:t xml:space="preserve"> Staff consider there are </w:t>
      </w:r>
      <w:r w:rsidRPr="0036537D">
        <w:t xml:space="preserve">practical difficulties </w:t>
      </w:r>
      <w:r w:rsidR="002E3B66">
        <w:t>in</w:t>
      </w:r>
      <w:r>
        <w:t xml:space="preserve"> </w:t>
      </w:r>
      <w:r w:rsidRPr="0036537D">
        <w:t xml:space="preserve">attempting to backcast the </w:t>
      </w:r>
      <w:r>
        <w:t xml:space="preserve">top-up </w:t>
      </w:r>
      <w:r w:rsidRPr="0036537D">
        <w:t>payment</w:t>
      </w:r>
      <w:r>
        <w:t xml:space="preserve"> that mean backcasting cannot be done reliably. First, there are issues with what amount to backcast (either fixed dollar amount or proportion of the pool), while second</w:t>
      </w:r>
      <w:r w:rsidR="00D931EF">
        <w:t>ly</w:t>
      </w:r>
      <w:r>
        <w:t xml:space="preserve">, </w:t>
      </w:r>
      <w:r w:rsidRPr="001E5D1A">
        <w:t xml:space="preserve">if the </w:t>
      </w:r>
      <w:r w:rsidR="00266CB0">
        <w:t>Commission</w:t>
      </w:r>
      <w:r w:rsidRPr="001E5D1A">
        <w:t xml:space="preserve"> could decide on an amount of </w:t>
      </w:r>
      <w:r>
        <w:t>top-up</w:t>
      </w:r>
      <w:r w:rsidRPr="001E5D1A">
        <w:t xml:space="preserve"> payment to backcast to the assessment years, it would then have no way to reliably allocate this amount across State spending</w:t>
      </w:r>
      <w:r w:rsidR="007F05B4">
        <w:t xml:space="preserve"> categories</w:t>
      </w:r>
      <w:r w:rsidRPr="001E5D1A">
        <w:t xml:space="preserve">. </w:t>
      </w:r>
      <w:r w:rsidR="00457050">
        <w:t>I</w:t>
      </w:r>
      <w:r w:rsidRPr="001E5D1A">
        <w:t>t is likely that the Commission would assume that the spending of the boost is in the same proportion to existing spending across categories</w:t>
      </w:r>
      <w:r>
        <w:t>.</w:t>
      </w:r>
    </w:p>
    <w:p w14:paraId="306D6BF7" w14:textId="77777777" w:rsidR="002543C8" w:rsidRPr="00034E9B" w:rsidRDefault="002543C8" w:rsidP="005E5747">
      <w:pPr>
        <w:pStyle w:val="CGCParaNumber"/>
      </w:pPr>
      <w:r w:rsidRPr="00055292">
        <w:t>Section</w:t>
      </w:r>
      <w:r w:rsidRPr="00034E9B">
        <w:t xml:space="preserve"> 5 of the amended </w:t>
      </w:r>
      <w:r w:rsidRPr="006C4281">
        <w:rPr>
          <w:i/>
        </w:rPr>
        <w:t>Federal Financial Relation Act 2009</w:t>
      </w:r>
      <w:r w:rsidRPr="00034E9B">
        <w:t xml:space="preserve"> specifies the criteria for determining whether the ‘no worse off’ provisions will be triggered. It states that the ‘no worse off’ comparison over the transitional years be made on the basis of a comparison between the grants received by a State under the legislated changes and those it would have received if the </w:t>
      </w:r>
      <w:r w:rsidRPr="006C4281">
        <w:rPr>
          <w:i/>
        </w:rPr>
        <w:t>Treasury Laws Amendment (Making Sure Every State and Territory Gets Their Fair Share of GST) Act 2018</w:t>
      </w:r>
      <w:r w:rsidRPr="00034E9B">
        <w:t xml:space="preserve"> had not been enacted. </w:t>
      </w:r>
    </w:p>
    <w:p w14:paraId="70D3BCB7" w14:textId="77777777" w:rsidR="002543C8" w:rsidRPr="00B54E13" w:rsidRDefault="002543C8" w:rsidP="005E5747">
      <w:pPr>
        <w:pStyle w:val="CGCParaNumber"/>
      </w:pPr>
      <w:r>
        <w:t xml:space="preserve">As the assessment years </w:t>
      </w:r>
      <w:r w:rsidRPr="00055292">
        <w:t>do</w:t>
      </w:r>
      <w:r>
        <w:t xml:space="preserve"> not include any top-ups, the relative fiscal capacities calculated by the Commission under the previous arrangements will also represent the relativities associated with the ‘no worse off’ provision.</w:t>
      </w:r>
    </w:p>
    <w:p w14:paraId="05FBBE75" w14:textId="77777777" w:rsidR="002543C8" w:rsidRPr="00034E9B" w:rsidRDefault="002543C8" w:rsidP="002543C8">
      <w:pPr>
        <w:pStyle w:val="Heading5"/>
      </w:pPr>
      <w:r w:rsidRPr="00034E9B">
        <w:t xml:space="preserve">New arrangements </w:t>
      </w:r>
    </w:p>
    <w:p w14:paraId="25C6394A" w14:textId="77777777" w:rsidR="002543C8" w:rsidRPr="00034E9B" w:rsidRDefault="002543C8" w:rsidP="006C4281">
      <w:pPr>
        <w:pStyle w:val="CGCParaNumber"/>
      </w:pPr>
      <w:r w:rsidRPr="00034E9B">
        <w:t xml:space="preserve">The Commission will use its relative fiscal capacity measures based on the 2020 Review methods to identify the fiscally stronger State as between New South Wales and Victoria (the standard State). </w:t>
      </w:r>
      <w:r w:rsidRPr="00055292">
        <w:t>Having</w:t>
      </w:r>
      <w:r w:rsidRPr="00034E9B">
        <w:t xml:space="preserve"> identified the standard State in an assessment year, the Commission will then derive the corresponding standard State capacities for that assessment year by:</w:t>
      </w:r>
    </w:p>
    <w:p w14:paraId="40909ADC" w14:textId="77777777" w:rsidR="002543C8" w:rsidRPr="00034E9B" w:rsidRDefault="002543C8" w:rsidP="002543C8">
      <w:pPr>
        <w:pStyle w:val="CGCBullet1"/>
      </w:pPr>
      <w:r w:rsidRPr="00034E9B">
        <w:lastRenderedPageBreak/>
        <w:t>bringing States fiscally weaker than the standard State to the capacity of the standard State</w:t>
      </w:r>
      <w:r w:rsidRPr="00034E9B">
        <w:rPr>
          <w:vertAlign w:val="superscript"/>
        </w:rPr>
        <w:footnoteReference w:id="8"/>
      </w:r>
      <w:r w:rsidRPr="00034E9B">
        <w:t xml:space="preserve"> </w:t>
      </w:r>
    </w:p>
    <w:p w14:paraId="0691AEA3" w14:textId="77777777" w:rsidR="002543C8" w:rsidRPr="00034E9B" w:rsidRDefault="002543C8" w:rsidP="002543C8">
      <w:pPr>
        <w:pStyle w:val="CGCBullet1"/>
      </w:pPr>
      <w:r w:rsidRPr="00034E9B">
        <w:t>allocating the remainder of the GST revenue pool on an equal per capita (EPC) basis across all States</w:t>
      </w:r>
    </w:p>
    <w:p w14:paraId="1DE545FC" w14:textId="77777777" w:rsidR="002543C8" w:rsidRPr="00034E9B" w:rsidRDefault="002543C8" w:rsidP="002543C8">
      <w:pPr>
        <w:pStyle w:val="CGCBullet1"/>
      </w:pPr>
      <w:r w:rsidRPr="00034E9B">
        <w:t>dividing the resulting GST distributions by an EPC distribution.</w:t>
      </w:r>
    </w:p>
    <w:p w14:paraId="7FBA92CF" w14:textId="46FE3FA6" w:rsidR="002543C8" w:rsidRPr="00034E9B" w:rsidRDefault="002543C8" w:rsidP="006C4281">
      <w:pPr>
        <w:pStyle w:val="CGCParaNumber"/>
      </w:pPr>
      <w:r w:rsidRPr="00034E9B">
        <w:t xml:space="preserve">The Commission would derive standard State capacities from the same pool and population estimates used to </w:t>
      </w:r>
      <w:r w:rsidRPr="00055292">
        <w:t>calculate</w:t>
      </w:r>
      <w:r w:rsidRPr="00034E9B">
        <w:t xml:space="preserve"> the associated relative fiscal capacities.</w:t>
      </w:r>
      <w:r w:rsidRPr="00034E9B">
        <w:rPr>
          <w:vertAlign w:val="superscript"/>
        </w:rPr>
        <w:footnoteReference w:id="9"/>
      </w:r>
      <w:r w:rsidRPr="00034E9B">
        <w:t xml:space="preserve"> In the same way that the relative fiscal capacities are the average of three assessment years, the standard State capacities would similarly be calculated over the average of three assessment years.</w:t>
      </w:r>
    </w:p>
    <w:p w14:paraId="339F0D3B" w14:textId="77777777" w:rsidR="002543C8" w:rsidRPr="00034E9B" w:rsidRDefault="002543C8" w:rsidP="002543C8">
      <w:pPr>
        <w:pStyle w:val="Heading5"/>
      </w:pPr>
      <w:r>
        <w:t>Blending</w:t>
      </w:r>
    </w:p>
    <w:p w14:paraId="77CB57FD" w14:textId="22468CC1" w:rsidR="002543C8" w:rsidRPr="00034E9B" w:rsidRDefault="002543C8" w:rsidP="006C4281">
      <w:pPr>
        <w:pStyle w:val="CGCParaNumber"/>
      </w:pPr>
      <w:r w:rsidRPr="00034E9B">
        <w:t xml:space="preserve">Subsection 16AB(3) of the amended </w:t>
      </w:r>
      <w:r w:rsidRPr="00034E9B">
        <w:rPr>
          <w:i/>
        </w:rPr>
        <w:t>Commonwealth Grants Commission Act 1973</w:t>
      </w:r>
      <w:r w:rsidRPr="00034E9B">
        <w:t xml:space="preserve"> includes a </w:t>
      </w:r>
      <w:r w:rsidRPr="00055292">
        <w:t>schedule</w:t>
      </w:r>
      <w:r w:rsidRPr="00034E9B">
        <w:t xml:space="preserve"> which specifies the proportions of the previous and new arrangements to be blended over the transition years 2021</w:t>
      </w:r>
      <w:r w:rsidRPr="00034E9B">
        <w:noBreakHyphen/>
        <w:t>22 to 2025</w:t>
      </w:r>
      <w:r w:rsidRPr="00034E9B">
        <w:noBreakHyphen/>
        <w:t>26 to derive the GST revenue sharing relativities for those years. This schedule is shown in</w:t>
      </w:r>
      <w:r w:rsidR="00A44B4F">
        <w:t xml:space="preserve"> Table 4A-1 of </w:t>
      </w:r>
      <w:r w:rsidR="00E06C04">
        <w:t>Volume 1 of the 2020 Review report</w:t>
      </w:r>
      <w:r w:rsidRPr="00034E9B">
        <w:t>.</w:t>
      </w:r>
      <w:r>
        <w:t xml:space="preserve"> For the 2021 Update the blend will be 5/6ths</w:t>
      </w:r>
      <w:r w:rsidR="000A2044">
        <w:t xml:space="preserve"> to</w:t>
      </w:r>
      <w:r>
        <w:t xml:space="preserve"> 1/6</w:t>
      </w:r>
      <w:r w:rsidRPr="00AE629D">
        <w:t>th</w:t>
      </w:r>
      <w:r>
        <w:t xml:space="preserve"> of the previous and new arrangements. </w:t>
      </w:r>
    </w:p>
    <w:p w14:paraId="4EFB70A8" w14:textId="11605E78" w:rsidR="002543C8" w:rsidRPr="00034E9B" w:rsidRDefault="002543C8" w:rsidP="002543C8">
      <w:pPr>
        <w:pStyle w:val="Heading4"/>
      </w:pPr>
      <w:bookmarkStart w:id="33" w:name="_Toc26890330"/>
      <w:bookmarkStart w:id="34" w:name="_Toc49170284"/>
      <w:r w:rsidRPr="00034E9B">
        <w:t>Presentation of results</w:t>
      </w:r>
      <w:bookmarkEnd w:id="33"/>
      <w:bookmarkEnd w:id="34"/>
    </w:p>
    <w:p w14:paraId="53284D3C" w14:textId="36F74F3A" w:rsidR="002543C8" w:rsidRDefault="00605362" w:rsidP="006C4281">
      <w:pPr>
        <w:pStyle w:val="CGCParaNumber"/>
      </w:pPr>
      <w:r>
        <w:t>A</w:t>
      </w:r>
      <w:r w:rsidR="002543C8">
        <w:t xml:space="preserve">dditional tables would be added in the initial chapter of </w:t>
      </w:r>
      <w:r w:rsidR="00F95B97">
        <w:t>future</w:t>
      </w:r>
      <w:r w:rsidR="002543C8">
        <w:t xml:space="preserve"> inquiry report</w:t>
      </w:r>
      <w:r w:rsidR="0006756E">
        <w:t>s</w:t>
      </w:r>
      <w:r w:rsidR="002543C8">
        <w:t xml:space="preserve"> to:</w:t>
      </w:r>
    </w:p>
    <w:p w14:paraId="4C27C998" w14:textId="77777777" w:rsidR="002543C8" w:rsidRDefault="002543C8" w:rsidP="009958E6">
      <w:pPr>
        <w:pStyle w:val="CGCBullet1"/>
      </w:pPr>
      <w:r>
        <w:t xml:space="preserve">show the capacities derived under both the previous and new arrangements, how those were blended during the transition years, any floor adjustments if required, and hence the recommended relativities to be used in distributing the general revenue assistance grant pool </w:t>
      </w:r>
      <w:r w:rsidRPr="00034E9B">
        <w:t xml:space="preserve"> </w:t>
      </w:r>
    </w:p>
    <w:p w14:paraId="2D6D9B0B" w14:textId="77777777" w:rsidR="002543C8" w:rsidRDefault="002543C8" w:rsidP="002543C8">
      <w:pPr>
        <w:pStyle w:val="CGCBullet1"/>
      </w:pPr>
      <w:r>
        <w:t>describe the contribution of each of the change in fiscal capacities, transition blending and floor adjustment, to the change in the grant pool distribution due to the change in relativities from the previous inquiry.</w:t>
      </w:r>
    </w:p>
    <w:p w14:paraId="60E1D221" w14:textId="39078C7D" w:rsidR="002543C8" w:rsidRDefault="00925F0A" w:rsidP="00212283">
      <w:pPr>
        <w:pStyle w:val="CGCParaNumber"/>
      </w:pPr>
      <w:r>
        <w:t>Inquiry report c</w:t>
      </w:r>
      <w:r w:rsidR="002543C8">
        <w:t>hapters addressing changes since the previous inquiry, including th</w:t>
      </w:r>
      <w:r w:rsidR="002543C8" w:rsidRPr="00034E9B">
        <w:t>e State specific main changes tables</w:t>
      </w:r>
      <w:r w:rsidR="002543C8">
        <w:t>,</w:t>
      </w:r>
      <w:r w:rsidR="002543C8" w:rsidRPr="00034E9B">
        <w:t xml:space="preserve"> </w:t>
      </w:r>
      <w:r w:rsidR="002543C8" w:rsidRPr="00055292">
        <w:t>would</w:t>
      </w:r>
      <w:r w:rsidR="002543C8" w:rsidRPr="00034E9B">
        <w:t xml:space="preserve"> remain unchanged. They would continue to show the disabilities having the largest effects on State fiscal capacities, in application year dollars.</w:t>
      </w:r>
    </w:p>
    <w:p w14:paraId="524733B9" w14:textId="77777777" w:rsidR="002543C8" w:rsidRDefault="002543C8" w:rsidP="00212283">
      <w:pPr>
        <w:pStyle w:val="CGCParaNumber"/>
      </w:pPr>
      <w:r>
        <w:t xml:space="preserve">The </w:t>
      </w:r>
      <w:r w:rsidRPr="00055292">
        <w:t>relativities</w:t>
      </w:r>
      <w:r>
        <w:t xml:space="preserve"> associated with the </w:t>
      </w:r>
      <w:r w:rsidRPr="00034E9B">
        <w:t>‘no worse off’ provision</w:t>
      </w:r>
      <w:r>
        <w:t xml:space="preserve"> would be shown separately.</w:t>
      </w:r>
    </w:p>
    <w:p w14:paraId="5B1C448C" w14:textId="1D15CAE4" w:rsidR="009460A0" w:rsidRPr="00C42F1F" w:rsidRDefault="002543C8" w:rsidP="00C42F1F">
      <w:pPr>
        <w:pStyle w:val="CGCParaNumber"/>
      </w:pPr>
      <w:r w:rsidRPr="001C1C56">
        <w:t>The Commonwealth and the States are welcome to provide any feedback on the Commission’s proposed presentation approach.</w:t>
      </w:r>
    </w:p>
    <w:p w14:paraId="31BF8752" w14:textId="69C48A7E" w:rsidR="00AD15A4" w:rsidRDefault="00F83EC1" w:rsidP="0080597F">
      <w:pPr>
        <w:pStyle w:val="Heading3"/>
      </w:pPr>
      <w:bookmarkStart w:id="35" w:name="_Toc49170285"/>
      <w:r>
        <w:t>New data for the non-</w:t>
      </w:r>
      <w:r w:rsidR="00385601">
        <w:t>a</w:t>
      </w:r>
      <w:r>
        <w:t>dmitted patient component</w:t>
      </w:r>
      <w:bookmarkEnd w:id="35"/>
    </w:p>
    <w:p w14:paraId="1BB7209E" w14:textId="77777777" w:rsidR="00AD15A4" w:rsidRDefault="00AD15A4" w:rsidP="00AD15A4">
      <w:pPr>
        <w:pStyle w:val="Heading4"/>
      </w:pPr>
      <w:bookmarkStart w:id="36" w:name="_Toc49170286"/>
      <w:r>
        <w:t>Background</w:t>
      </w:r>
      <w:bookmarkEnd w:id="36"/>
    </w:p>
    <w:p w14:paraId="5B6B2058" w14:textId="09CA4AA3" w:rsidR="00AD15A4" w:rsidRDefault="00AD15A4" w:rsidP="00AD15A4">
      <w:pPr>
        <w:pStyle w:val="CGCParaNumber"/>
      </w:pPr>
      <w:r>
        <w:t xml:space="preserve">The Commission’s </w:t>
      </w:r>
      <w:r w:rsidR="00344C30">
        <w:t>health</w:t>
      </w:r>
      <w:r>
        <w:t xml:space="preserve"> assessment mainly relies on data from the Independent Hospital Pricing Authority </w:t>
      </w:r>
      <w:r w:rsidRPr="00B85760">
        <w:rPr>
          <w:caps/>
        </w:rPr>
        <w:t xml:space="preserve">(IHPA). </w:t>
      </w:r>
      <w:r>
        <w:rPr>
          <w:lang w:val="en-US"/>
        </w:rPr>
        <w:t xml:space="preserve">The admitted patient (AP) and emergency department (ED) </w:t>
      </w:r>
      <w:r>
        <w:rPr>
          <w:lang w:val="en-US"/>
        </w:rPr>
        <w:lastRenderedPageBreak/>
        <w:t xml:space="preserve">components </w:t>
      </w:r>
      <w:r w:rsidRPr="00C2261A">
        <w:t xml:space="preserve">use IHPA’s </w:t>
      </w:r>
      <w:r>
        <w:t>national weighted activity unit (</w:t>
      </w:r>
      <w:r w:rsidRPr="00C2261A">
        <w:t>NWAU</w:t>
      </w:r>
      <w:r>
        <w:t>)</w:t>
      </w:r>
      <w:r w:rsidRPr="00C2261A">
        <w:t xml:space="preserve"> data for the assessment of </w:t>
      </w:r>
      <w:r>
        <w:t xml:space="preserve">AP and ED </w:t>
      </w:r>
      <w:r w:rsidRPr="00C2261A">
        <w:t>expenses</w:t>
      </w:r>
      <w:r>
        <w:t xml:space="preserve">, respectively. However, </w:t>
      </w:r>
      <w:r w:rsidR="002E5BF8">
        <w:t>up to and including</w:t>
      </w:r>
      <w:r>
        <w:t xml:space="preserve"> t</w:t>
      </w:r>
      <w:r w:rsidRPr="00C2261A">
        <w:t xml:space="preserve">he </w:t>
      </w:r>
      <w:r w:rsidR="002E5BF8">
        <w:t xml:space="preserve">2020 Review, </w:t>
      </w:r>
      <w:r>
        <w:t>t</w:t>
      </w:r>
      <w:r w:rsidRPr="00C2261A">
        <w:t xml:space="preserve">he Commission </w:t>
      </w:r>
      <w:r w:rsidR="002E5BF8">
        <w:t>did</w:t>
      </w:r>
      <w:r w:rsidR="002E5BF8" w:rsidRPr="00C2261A">
        <w:t xml:space="preserve"> </w:t>
      </w:r>
      <w:r w:rsidRPr="00C2261A">
        <w:t xml:space="preserve">not use IHPA’s </w:t>
      </w:r>
      <w:r w:rsidR="00011047">
        <w:t xml:space="preserve">non-admitted patient (NAP) </w:t>
      </w:r>
      <w:r w:rsidRPr="00C2261A">
        <w:t xml:space="preserve">NWAU data for the assessment of </w:t>
      </w:r>
      <w:r>
        <w:t xml:space="preserve">NAP </w:t>
      </w:r>
      <w:r w:rsidRPr="00C2261A">
        <w:t>expenses because the data were not reliable.</w:t>
      </w:r>
      <w:r>
        <w:t xml:space="preserve"> </w:t>
      </w:r>
      <w:r w:rsidR="002E5BF8">
        <w:t>Instead</w:t>
      </w:r>
      <w:r w:rsidDel="008B23F0">
        <w:t xml:space="preserve"> </w:t>
      </w:r>
      <w:r w:rsidR="008B23F0">
        <w:t>the assessment</w:t>
      </w:r>
      <w:r>
        <w:t xml:space="preserve"> </w:t>
      </w:r>
      <w:r w:rsidRPr="00C2261A">
        <w:t xml:space="preserve">used </w:t>
      </w:r>
      <w:r>
        <w:t xml:space="preserve">admitted patient </w:t>
      </w:r>
      <w:r w:rsidRPr="00C2261A">
        <w:t xml:space="preserve">separations as a proxy indicator to measure </w:t>
      </w:r>
      <w:r>
        <w:t xml:space="preserve">NAP </w:t>
      </w:r>
      <w:r w:rsidRPr="00C2261A">
        <w:t>service use</w:t>
      </w:r>
      <w:r>
        <w:t>.</w:t>
      </w:r>
      <w:r w:rsidR="004C69AC">
        <w:t xml:space="preserve"> </w:t>
      </w:r>
      <w:r w:rsidR="00C404EE">
        <w:t>R</w:t>
      </w:r>
      <w:r w:rsidR="009918DA">
        <w:t>egional cost and service delivery scale</w:t>
      </w:r>
      <w:r w:rsidR="00C404EE">
        <w:t xml:space="preserve"> adjustments</w:t>
      </w:r>
      <w:r w:rsidR="00C1681D">
        <w:t xml:space="preserve">, derived </w:t>
      </w:r>
      <w:r w:rsidR="00574097">
        <w:t>using</w:t>
      </w:r>
      <w:r w:rsidR="00C1681D">
        <w:t xml:space="preserve"> ED </w:t>
      </w:r>
      <w:r w:rsidR="00F2205B">
        <w:t>activity</w:t>
      </w:r>
      <w:r w:rsidR="00C1681D">
        <w:t xml:space="preserve">, </w:t>
      </w:r>
      <w:r w:rsidR="00C404EE">
        <w:t>were applied to admitted patient separations</w:t>
      </w:r>
      <w:r w:rsidR="00F8414C">
        <w:t xml:space="preserve"> to </w:t>
      </w:r>
      <w:r w:rsidR="00E46425">
        <w:t>measure the</w:t>
      </w:r>
      <w:r w:rsidR="00F8414C">
        <w:t xml:space="preserve"> </w:t>
      </w:r>
      <w:r w:rsidR="00E46425">
        <w:t>cost weighted use of NAP services</w:t>
      </w:r>
      <w:r>
        <w:t>.</w:t>
      </w:r>
    </w:p>
    <w:p w14:paraId="37C4ACBB" w14:textId="2BD130EF" w:rsidR="00AD15A4" w:rsidRDefault="00AD15A4" w:rsidP="00AD15A4">
      <w:pPr>
        <w:pStyle w:val="CGCParaNumber"/>
      </w:pPr>
      <w:r>
        <w:t>For the 2020 Review, the Commission considered using NAP NWAU as t</w:t>
      </w:r>
      <w:r w:rsidRPr="006A0135">
        <w:rPr>
          <w:lang w:val="en-US"/>
        </w:rPr>
        <w:t xml:space="preserve">he coverage of the data is improving. Advice from IHPA indicated it would be best to wait until 2018-19 data became available before considering using it in the assessment. </w:t>
      </w:r>
      <w:r>
        <w:t>The timing of release of 2018-19 data did not allow staff enough time to assess the quality of the data and to consult with States before the conclusion of the review. Therefore, the Commission continued to use admitted patient separations as a proxy indicator</w:t>
      </w:r>
      <w:r w:rsidR="001D526D">
        <w:t xml:space="preserve">, but in </w:t>
      </w:r>
      <w:r w:rsidR="00DD3A17">
        <w:t xml:space="preserve">its report foreshadowed </w:t>
      </w:r>
      <w:r w:rsidR="006F28A0">
        <w:t xml:space="preserve">that </w:t>
      </w:r>
      <w:r w:rsidR="005C1285">
        <w:t xml:space="preserve">during 2020, the Commission will </w:t>
      </w:r>
      <w:r w:rsidR="00A677C5">
        <w:t>review the 2018-19 NAP NWAU data and consult with States on whether to use it in the 2021 Update and in subsequent updates</w:t>
      </w:r>
      <w:r>
        <w:t>.</w:t>
      </w:r>
    </w:p>
    <w:p w14:paraId="0F2356D5" w14:textId="77777777" w:rsidR="00AD15A4" w:rsidRDefault="00AD15A4" w:rsidP="00AD15A4">
      <w:pPr>
        <w:pStyle w:val="CGCParaNumber"/>
        <w:rPr>
          <w:bCs/>
          <w:iCs/>
        </w:rPr>
      </w:pPr>
      <w:r>
        <w:t xml:space="preserve">2018-19 IHPA data on NAP became available in mid-2020. Staff have now analysed the coverage and quality of the NAP data and compared these with data on other hospital services and the </w:t>
      </w:r>
      <w:r w:rsidRPr="00B12C0E">
        <w:t>proxy</w:t>
      </w:r>
      <w:r>
        <w:t xml:space="preserve"> indicator</w:t>
      </w:r>
      <w:r w:rsidRPr="00B12C0E">
        <w:t>.</w:t>
      </w:r>
      <w:r>
        <w:t xml:space="preserve"> </w:t>
      </w:r>
    </w:p>
    <w:p w14:paraId="59C6D523" w14:textId="77777777" w:rsidR="00AD15A4" w:rsidRDefault="00AD15A4" w:rsidP="00AD15A4">
      <w:pPr>
        <w:pStyle w:val="Heading4"/>
      </w:pPr>
      <w:bookmarkStart w:id="37" w:name="_Toc49170287"/>
      <w:r>
        <w:t>Overview</w:t>
      </w:r>
      <w:bookmarkEnd w:id="37"/>
    </w:p>
    <w:p w14:paraId="3BEB7C8D" w14:textId="39F4FBAF" w:rsidR="00AD15A4" w:rsidRDefault="00AD15A4" w:rsidP="00AD15A4">
      <w:pPr>
        <w:pStyle w:val="CGCParaNumber"/>
      </w:pPr>
      <w:r>
        <w:t xml:space="preserve">Non-admitted care includes services provided to patients who do not undergo a formal admission process and do not occupy a hospital bed. Compared to other hospital services, NAP have the greatest number of episodes of service and the lowest cost per episode. </w:t>
      </w:r>
      <w:r>
        <w:fldChar w:fldCharType="begin"/>
      </w:r>
      <w:r>
        <w:instrText xml:space="preserve"> REF _Ref46312596 \h </w:instrText>
      </w:r>
      <w:r>
        <w:fldChar w:fldCharType="separate"/>
      </w:r>
      <w:r w:rsidR="00A46D6F">
        <w:t>Table </w:t>
      </w:r>
      <w:r w:rsidR="00A46D6F">
        <w:rPr>
          <w:noProof/>
        </w:rPr>
        <w:t>2</w:t>
      </w:r>
      <w:r>
        <w:fldChar w:fldCharType="end"/>
      </w:r>
      <w:r>
        <w:t xml:space="preserve"> provides information on types of NAP services and costs. </w:t>
      </w:r>
    </w:p>
    <w:p w14:paraId="54160915" w14:textId="2277652F" w:rsidR="00AD15A4" w:rsidRDefault="00AD15A4" w:rsidP="00AD15A4">
      <w:pPr>
        <w:pStyle w:val="Caption"/>
      </w:pPr>
      <w:bookmarkStart w:id="38" w:name="_Ref46312596"/>
      <w:r>
        <w:t>Table</w:t>
      </w:r>
      <w:r w:rsidR="00F148BF">
        <w:t> </w:t>
      </w:r>
      <w:r>
        <w:fldChar w:fldCharType="begin"/>
      </w:r>
      <w:r>
        <w:instrText>SEQ Table \* ARABIC</w:instrText>
      </w:r>
      <w:r>
        <w:fldChar w:fldCharType="separate"/>
      </w:r>
      <w:r w:rsidR="00A46D6F">
        <w:rPr>
          <w:noProof/>
        </w:rPr>
        <w:t>2</w:t>
      </w:r>
      <w:r>
        <w:fldChar w:fldCharType="end"/>
      </w:r>
      <w:bookmarkEnd w:id="38"/>
      <w:r>
        <w:tab/>
        <w:t>Types of non-admitted patient services, 2017-18</w:t>
      </w:r>
    </w:p>
    <w:tbl>
      <w:tblPr>
        <w:tblW w:w="8960" w:type="dxa"/>
        <w:tblInd w:w="108" w:type="dxa"/>
        <w:tblLook w:val="04A0" w:firstRow="1" w:lastRow="0" w:firstColumn="1" w:lastColumn="0" w:noHBand="0" w:noVBand="1"/>
      </w:tblPr>
      <w:tblGrid>
        <w:gridCol w:w="1985"/>
        <w:gridCol w:w="4375"/>
        <w:gridCol w:w="1011"/>
        <w:gridCol w:w="1589"/>
      </w:tblGrid>
      <w:tr w:rsidR="00AD15A4" w:rsidRPr="000A0239" w14:paraId="62994D4A" w14:textId="77777777" w:rsidTr="007123B0">
        <w:trPr>
          <w:trHeight w:val="555"/>
        </w:trPr>
        <w:tc>
          <w:tcPr>
            <w:tcW w:w="1985" w:type="dxa"/>
            <w:tcBorders>
              <w:top w:val="nil"/>
              <w:left w:val="nil"/>
              <w:bottom w:val="nil"/>
              <w:right w:val="nil"/>
            </w:tcBorders>
            <w:shd w:val="clear" w:color="000000" w:fill="006991"/>
            <w:vAlign w:val="center"/>
            <w:hideMark/>
          </w:tcPr>
          <w:p w14:paraId="6C675EFD" w14:textId="77777777" w:rsidR="00AD15A4" w:rsidRPr="000A0239" w:rsidRDefault="00AD15A4" w:rsidP="007123B0">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0A0239">
              <w:rPr>
                <w:rFonts w:ascii="Open Sans Semibold" w:eastAsia="Times New Roman" w:hAnsi="Open Sans Semibold" w:cs="Open Sans Semibold"/>
                <w:color w:val="FFFFFF"/>
                <w:sz w:val="16"/>
                <w:szCs w:val="16"/>
                <w:lang w:eastAsia="en-AU"/>
              </w:rPr>
              <w:t>Tier 2 classification</w:t>
            </w:r>
          </w:p>
        </w:tc>
        <w:tc>
          <w:tcPr>
            <w:tcW w:w="4375" w:type="dxa"/>
            <w:tcBorders>
              <w:top w:val="nil"/>
              <w:left w:val="nil"/>
              <w:bottom w:val="nil"/>
              <w:right w:val="nil"/>
            </w:tcBorders>
            <w:shd w:val="clear" w:color="000000" w:fill="006991"/>
            <w:vAlign w:val="center"/>
            <w:hideMark/>
          </w:tcPr>
          <w:p w14:paraId="54B4137C" w14:textId="77777777" w:rsidR="00AD15A4" w:rsidRPr="000A0239" w:rsidRDefault="00AD15A4" w:rsidP="007123B0">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0A0239">
              <w:rPr>
                <w:rFonts w:ascii="Open Sans Semibold" w:eastAsia="Times New Roman" w:hAnsi="Open Sans Semibold" w:cs="Open Sans Semibold"/>
                <w:color w:val="FFFFFF"/>
                <w:sz w:val="16"/>
                <w:szCs w:val="16"/>
                <w:lang w:eastAsia="en-AU"/>
              </w:rPr>
              <w:t> </w:t>
            </w:r>
          </w:p>
        </w:tc>
        <w:tc>
          <w:tcPr>
            <w:tcW w:w="1011" w:type="dxa"/>
            <w:tcBorders>
              <w:top w:val="nil"/>
              <w:left w:val="nil"/>
              <w:bottom w:val="nil"/>
              <w:right w:val="nil"/>
            </w:tcBorders>
            <w:shd w:val="clear" w:color="000000" w:fill="006991"/>
            <w:vAlign w:val="center"/>
            <w:hideMark/>
          </w:tcPr>
          <w:p w14:paraId="1B5C5464" w14:textId="77777777" w:rsidR="00AD15A4" w:rsidRPr="000A0239" w:rsidRDefault="00AD15A4" w:rsidP="007123B0">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eastAsia="Times New Roman" w:hAnsi="Open Sans Semibold" w:cs="Open Sans Semibold"/>
                <w:color w:val="FFFFFF"/>
                <w:sz w:val="16"/>
                <w:szCs w:val="16"/>
                <w:lang w:eastAsia="en-AU"/>
              </w:rPr>
              <w:t>Service events</w:t>
            </w:r>
          </w:p>
        </w:tc>
        <w:tc>
          <w:tcPr>
            <w:tcW w:w="1589" w:type="dxa"/>
            <w:tcBorders>
              <w:top w:val="nil"/>
              <w:left w:val="nil"/>
              <w:bottom w:val="nil"/>
              <w:right w:val="nil"/>
            </w:tcBorders>
            <w:shd w:val="clear" w:color="000000" w:fill="006991"/>
            <w:vAlign w:val="center"/>
            <w:hideMark/>
          </w:tcPr>
          <w:p w14:paraId="401E39B9" w14:textId="77777777" w:rsidR="00AD15A4" w:rsidRPr="000A0239" w:rsidRDefault="00AD15A4" w:rsidP="007123B0">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0A0239">
              <w:rPr>
                <w:rFonts w:ascii="Open Sans Semibold" w:eastAsia="Times New Roman" w:hAnsi="Open Sans Semibold" w:cs="Open Sans Semibold"/>
                <w:color w:val="FFFFFF"/>
                <w:sz w:val="16"/>
                <w:szCs w:val="16"/>
                <w:lang w:eastAsia="en-AU"/>
              </w:rPr>
              <w:t>Average cost</w:t>
            </w:r>
            <w:r>
              <w:rPr>
                <w:rFonts w:ascii="Open Sans Semibold" w:eastAsia="Times New Roman" w:hAnsi="Open Sans Semibold" w:cs="Open Sans Semibold"/>
                <w:color w:val="FFFFFF"/>
                <w:sz w:val="16"/>
                <w:szCs w:val="16"/>
                <w:lang w:eastAsia="en-AU"/>
              </w:rPr>
              <w:t xml:space="preserve"> per service event</w:t>
            </w:r>
          </w:p>
        </w:tc>
      </w:tr>
      <w:tr w:rsidR="00AD15A4" w:rsidRPr="000A0239" w14:paraId="064AC392" w14:textId="77777777" w:rsidTr="007123B0">
        <w:trPr>
          <w:trHeight w:val="270"/>
        </w:trPr>
        <w:tc>
          <w:tcPr>
            <w:tcW w:w="1985" w:type="dxa"/>
            <w:tcBorders>
              <w:top w:val="nil"/>
              <w:left w:val="nil"/>
              <w:bottom w:val="nil"/>
              <w:right w:val="nil"/>
            </w:tcBorders>
            <w:shd w:val="clear" w:color="000000" w:fill="B6D5E4"/>
            <w:noWrap/>
            <w:vAlign w:val="center"/>
            <w:hideMark/>
          </w:tcPr>
          <w:p w14:paraId="2E36FCFB" w14:textId="77777777" w:rsidR="00AD15A4" w:rsidRPr="000A0239" w:rsidRDefault="00AD15A4" w:rsidP="007123B0">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239">
              <w:rPr>
                <w:rFonts w:ascii="Open Sans Semibold" w:eastAsia="Times New Roman" w:hAnsi="Open Sans Semibold" w:cs="Open Sans Semibold"/>
                <w:color w:val="000000"/>
                <w:sz w:val="16"/>
                <w:szCs w:val="16"/>
                <w:lang w:eastAsia="en-AU"/>
              </w:rPr>
              <w:t> </w:t>
            </w:r>
          </w:p>
        </w:tc>
        <w:tc>
          <w:tcPr>
            <w:tcW w:w="4375" w:type="dxa"/>
            <w:tcBorders>
              <w:top w:val="nil"/>
              <w:left w:val="nil"/>
              <w:bottom w:val="nil"/>
              <w:right w:val="nil"/>
            </w:tcBorders>
            <w:shd w:val="clear" w:color="000000" w:fill="B6D5E4"/>
            <w:noWrap/>
            <w:vAlign w:val="center"/>
            <w:hideMark/>
          </w:tcPr>
          <w:p w14:paraId="0E93EEA5" w14:textId="77777777" w:rsidR="00AD15A4" w:rsidRPr="000A0239" w:rsidRDefault="00AD15A4" w:rsidP="007123B0">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239">
              <w:rPr>
                <w:rFonts w:ascii="Open Sans Semibold" w:eastAsia="Times New Roman" w:hAnsi="Open Sans Semibold" w:cs="Open Sans Semibold"/>
                <w:color w:val="000000"/>
                <w:sz w:val="16"/>
                <w:szCs w:val="16"/>
                <w:lang w:eastAsia="en-AU"/>
              </w:rPr>
              <w:t> </w:t>
            </w:r>
          </w:p>
        </w:tc>
        <w:tc>
          <w:tcPr>
            <w:tcW w:w="1011" w:type="dxa"/>
            <w:tcBorders>
              <w:top w:val="nil"/>
              <w:left w:val="nil"/>
              <w:bottom w:val="nil"/>
              <w:right w:val="nil"/>
            </w:tcBorders>
            <w:shd w:val="clear" w:color="000000" w:fill="B6D5E4"/>
            <w:noWrap/>
            <w:vAlign w:val="center"/>
            <w:hideMark/>
          </w:tcPr>
          <w:p w14:paraId="5C36F207" w14:textId="77777777" w:rsidR="00AD15A4" w:rsidRPr="000A0239" w:rsidRDefault="00AD15A4" w:rsidP="007123B0">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239">
              <w:rPr>
                <w:rFonts w:ascii="Open Sans Semibold" w:eastAsia="Times New Roman" w:hAnsi="Open Sans Semibold" w:cs="Open Sans Semibold"/>
                <w:color w:val="000000"/>
                <w:sz w:val="16"/>
                <w:szCs w:val="16"/>
                <w:lang w:eastAsia="en-AU"/>
              </w:rPr>
              <w:t>000</w:t>
            </w:r>
          </w:p>
        </w:tc>
        <w:tc>
          <w:tcPr>
            <w:tcW w:w="1589" w:type="dxa"/>
            <w:tcBorders>
              <w:top w:val="nil"/>
              <w:left w:val="nil"/>
              <w:bottom w:val="nil"/>
              <w:right w:val="nil"/>
            </w:tcBorders>
            <w:shd w:val="clear" w:color="000000" w:fill="B6D5E4"/>
            <w:noWrap/>
            <w:vAlign w:val="center"/>
            <w:hideMark/>
          </w:tcPr>
          <w:p w14:paraId="42EFD853" w14:textId="77777777" w:rsidR="00AD15A4" w:rsidRPr="000A0239" w:rsidRDefault="00AD15A4" w:rsidP="007123B0">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239">
              <w:rPr>
                <w:rFonts w:ascii="Open Sans Semibold" w:eastAsia="Times New Roman" w:hAnsi="Open Sans Semibold" w:cs="Open Sans Semibold"/>
                <w:color w:val="000000"/>
                <w:sz w:val="16"/>
                <w:szCs w:val="16"/>
                <w:lang w:eastAsia="en-AU"/>
              </w:rPr>
              <w:t>$</w:t>
            </w:r>
          </w:p>
        </w:tc>
      </w:tr>
      <w:tr w:rsidR="00AD15A4" w:rsidRPr="000A0239" w14:paraId="3C9C661F" w14:textId="77777777" w:rsidTr="007123B0">
        <w:trPr>
          <w:trHeight w:val="795"/>
        </w:trPr>
        <w:tc>
          <w:tcPr>
            <w:tcW w:w="1985" w:type="dxa"/>
            <w:tcBorders>
              <w:top w:val="nil"/>
              <w:left w:val="nil"/>
              <w:bottom w:val="single" w:sz="4" w:space="0" w:color="ADD6EA"/>
              <w:right w:val="nil"/>
            </w:tcBorders>
            <w:shd w:val="clear" w:color="000000" w:fill="FFFFFF"/>
            <w:hideMark/>
          </w:tcPr>
          <w:p w14:paraId="7D3D5C3A" w14:textId="77777777" w:rsidR="00AD15A4" w:rsidRPr="000A0239" w:rsidRDefault="00AD15A4" w:rsidP="007123B0">
            <w:pPr>
              <w:keepNext/>
              <w:tabs>
                <w:tab w:val="clear" w:pos="567"/>
              </w:tabs>
              <w:spacing w:before="0" w:line="240" w:lineRule="auto"/>
              <w:rPr>
                <w:rFonts w:eastAsia="Times New Roman" w:cs="Open Sans Light"/>
                <w:sz w:val="16"/>
                <w:szCs w:val="16"/>
                <w:lang w:eastAsia="en-AU"/>
              </w:rPr>
            </w:pPr>
            <w:r w:rsidRPr="000A0239">
              <w:rPr>
                <w:rFonts w:eastAsia="Times New Roman" w:cs="Open Sans Light"/>
                <w:sz w:val="16"/>
                <w:szCs w:val="16"/>
                <w:lang w:eastAsia="en-AU"/>
              </w:rPr>
              <w:t>Procedures</w:t>
            </w:r>
          </w:p>
        </w:tc>
        <w:tc>
          <w:tcPr>
            <w:tcW w:w="4375" w:type="dxa"/>
            <w:tcBorders>
              <w:top w:val="nil"/>
              <w:left w:val="nil"/>
              <w:bottom w:val="single" w:sz="4" w:space="0" w:color="ADD6EA"/>
              <w:right w:val="nil"/>
            </w:tcBorders>
            <w:shd w:val="clear" w:color="000000" w:fill="FFFFFF"/>
            <w:hideMark/>
          </w:tcPr>
          <w:p w14:paraId="36081302" w14:textId="77777777" w:rsidR="00AD15A4" w:rsidRPr="000A0239" w:rsidRDefault="00AD15A4" w:rsidP="007123B0">
            <w:pPr>
              <w:keepNext/>
              <w:tabs>
                <w:tab w:val="clear" w:pos="567"/>
              </w:tabs>
              <w:spacing w:before="0" w:line="240" w:lineRule="auto"/>
              <w:rPr>
                <w:rFonts w:eastAsia="Times New Roman" w:cs="Open Sans Light"/>
                <w:sz w:val="16"/>
                <w:szCs w:val="16"/>
                <w:lang w:eastAsia="en-AU"/>
              </w:rPr>
            </w:pPr>
            <w:r w:rsidRPr="000A0239">
              <w:rPr>
                <w:rFonts w:eastAsia="Times New Roman" w:cs="Open Sans Light"/>
                <w:sz w:val="16"/>
                <w:szCs w:val="16"/>
                <w:lang w:eastAsia="en-AU"/>
              </w:rPr>
              <w:t xml:space="preserve">Clinics with health care professionals which provide procedural based health services </w:t>
            </w:r>
            <w:r w:rsidRPr="000A0239">
              <w:rPr>
                <w:rFonts w:ascii="Calibri" w:eastAsia="Times New Roman" w:hAnsi="Calibri" w:cs="Calibri"/>
                <w:sz w:val="16"/>
                <w:szCs w:val="16"/>
                <w:lang w:eastAsia="en-AU"/>
              </w:rPr>
              <w:t>—</w:t>
            </w:r>
            <w:r w:rsidRPr="000A0239">
              <w:rPr>
                <w:rFonts w:eastAsia="Times New Roman" w:cs="Open Sans Light"/>
                <w:sz w:val="16"/>
                <w:szCs w:val="16"/>
                <w:lang w:eastAsia="en-AU"/>
              </w:rPr>
              <w:t xml:space="preserve"> includes treatment related to chemotherapy, renal dialysis, radiation therapy</w:t>
            </w:r>
          </w:p>
        </w:tc>
        <w:tc>
          <w:tcPr>
            <w:tcW w:w="1011" w:type="dxa"/>
            <w:tcBorders>
              <w:top w:val="nil"/>
              <w:left w:val="nil"/>
              <w:bottom w:val="single" w:sz="4" w:space="0" w:color="ADD6EA"/>
              <w:right w:val="nil"/>
            </w:tcBorders>
            <w:shd w:val="clear" w:color="000000" w:fill="FFFFFF"/>
            <w:hideMark/>
          </w:tcPr>
          <w:p w14:paraId="6ECE09F7" w14:textId="77777777" w:rsidR="00AD15A4" w:rsidRPr="000A0239" w:rsidRDefault="00AD15A4" w:rsidP="007123B0">
            <w:pPr>
              <w:keepNext/>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1,</w:t>
            </w:r>
            <w:r w:rsidRPr="000A0239">
              <w:rPr>
                <w:rFonts w:eastAsia="Times New Roman" w:cs="Open Sans Light"/>
                <w:sz w:val="16"/>
                <w:szCs w:val="16"/>
                <w:lang w:eastAsia="en-AU"/>
              </w:rPr>
              <w:t>359</w:t>
            </w:r>
          </w:p>
        </w:tc>
        <w:tc>
          <w:tcPr>
            <w:tcW w:w="1589" w:type="dxa"/>
            <w:tcBorders>
              <w:top w:val="nil"/>
              <w:left w:val="nil"/>
              <w:bottom w:val="single" w:sz="4" w:space="0" w:color="ADD6EA"/>
              <w:right w:val="nil"/>
            </w:tcBorders>
            <w:shd w:val="clear" w:color="000000" w:fill="FFFFFF"/>
            <w:hideMark/>
          </w:tcPr>
          <w:p w14:paraId="71614B8D" w14:textId="77777777" w:rsidR="00AD15A4" w:rsidRPr="000A0239" w:rsidRDefault="00AD15A4" w:rsidP="007123B0">
            <w:pPr>
              <w:keepNext/>
              <w:tabs>
                <w:tab w:val="clear" w:pos="567"/>
              </w:tabs>
              <w:spacing w:before="0" w:line="240" w:lineRule="auto"/>
              <w:jc w:val="right"/>
              <w:rPr>
                <w:rFonts w:eastAsia="Times New Roman" w:cs="Open Sans Light"/>
                <w:sz w:val="16"/>
                <w:szCs w:val="16"/>
                <w:lang w:eastAsia="en-AU"/>
              </w:rPr>
            </w:pPr>
            <w:r w:rsidRPr="000A0239">
              <w:rPr>
                <w:rFonts w:eastAsia="Times New Roman" w:cs="Open Sans Light"/>
                <w:sz w:val="16"/>
                <w:szCs w:val="16"/>
                <w:lang w:eastAsia="en-AU"/>
              </w:rPr>
              <w:t>601</w:t>
            </w:r>
          </w:p>
        </w:tc>
      </w:tr>
      <w:tr w:rsidR="00AD15A4" w:rsidRPr="000A0239" w14:paraId="0D03FA2D" w14:textId="77777777" w:rsidTr="007123B0">
        <w:trPr>
          <w:trHeight w:val="795"/>
        </w:trPr>
        <w:tc>
          <w:tcPr>
            <w:tcW w:w="1985" w:type="dxa"/>
            <w:tcBorders>
              <w:top w:val="nil"/>
              <w:left w:val="nil"/>
              <w:bottom w:val="single" w:sz="4" w:space="0" w:color="ADD6EA"/>
              <w:right w:val="nil"/>
            </w:tcBorders>
            <w:shd w:val="clear" w:color="000000" w:fill="FFFFFF"/>
            <w:hideMark/>
          </w:tcPr>
          <w:p w14:paraId="57067D84" w14:textId="77777777" w:rsidR="00AD15A4" w:rsidRPr="000A0239" w:rsidRDefault="00AD15A4" w:rsidP="007123B0">
            <w:pPr>
              <w:keepNext/>
              <w:tabs>
                <w:tab w:val="clear" w:pos="567"/>
              </w:tabs>
              <w:spacing w:before="0" w:line="240" w:lineRule="auto"/>
              <w:rPr>
                <w:rFonts w:eastAsia="Times New Roman" w:cs="Open Sans Light"/>
                <w:sz w:val="16"/>
                <w:szCs w:val="16"/>
                <w:lang w:eastAsia="en-AU"/>
              </w:rPr>
            </w:pPr>
            <w:r w:rsidRPr="000A0239">
              <w:rPr>
                <w:rFonts w:eastAsia="Times New Roman" w:cs="Open Sans Light"/>
                <w:sz w:val="16"/>
                <w:szCs w:val="16"/>
                <w:lang w:eastAsia="en-AU"/>
              </w:rPr>
              <w:t>Medical consultations</w:t>
            </w:r>
          </w:p>
        </w:tc>
        <w:tc>
          <w:tcPr>
            <w:tcW w:w="4375" w:type="dxa"/>
            <w:tcBorders>
              <w:top w:val="nil"/>
              <w:left w:val="nil"/>
              <w:bottom w:val="single" w:sz="4" w:space="0" w:color="ADD6EA"/>
              <w:right w:val="nil"/>
            </w:tcBorders>
            <w:shd w:val="clear" w:color="000000" w:fill="FFFFFF"/>
            <w:hideMark/>
          </w:tcPr>
          <w:p w14:paraId="2F0A0B05" w14:textId="77777777" w:rsidR="00AD15A4" w:rsidRPr="000A0239" w:rsidRDefault="00AD15A4" w:rsidP="007123B0">
            <w:pPr>
              <w:keepNext/>
              <w:tabs>
                <w:tab w:val="clear" w:pos="567"/>
              </w:tabs>
              <w:spacing w:before="0" w:line="240" w:lineRule="auto"/>
              <w:rPr>
                <w:rFonts w:eastAsia="Times New Roman" w:cs="Open Sans Light"/>
                <w:sz w:val="16"/>
                <w:szCs w:val="16"/>
                <w:lang w:eastAsia="en-AU"/>
              </w:rPr>
            </w:pPr>
            <w:r w:rsidRPr="000A0239">
              <w:rPr>
                <w:rFonts w:eastAsia="Times New Roman" w:cs="Open Sans Light"/>
                <w:sz w:val="16"/>
                <w:szCs w:val="16"/>
                <w:lang w:eastAsia="en-AU"/>
              </w:rPr>
              <w:t>Clinics in which medical consultation typically provided by a medical or nurse practitioner — includes treatment related to ophthalmology, orthopaedics, and obstetrics</w:t>
            </w:r>
          </w:p>
        </w:tc>
        <w:tc>
          <w:tcPr>
            <w:tcW w:w="1011" w:type="dxa"/>
            <w:tcBorders>
              <w:top w:val="nil"/>
              <w:left w:val="nil"/>
              <w:bottom w:val="single" w:sz="4" w:space="0" w:color="ADD6EA"/>
              <w:right w:val="nil"/>
            </w:tcBorders>
            <w:shd w:val="clear" w:color="000000" w:fill="FFFFFF"/>
            <w:hideMark/>
          </w:tcPr>
          <w:p w14:paraId="2F557F08" w14:textId="77777777" w:rsidR="00AD15A4" w:rsidRPr="000A0239" w:rsidRDefault="00AD15A4" w:rsidP="007123B0">
            <w:pPr>
              <w:keepNext/>
              <w:tabs>
                <w:tab w:val="clear" w:pos="567"/>
              </w:tabs>
              <w:spacing w:before="0" w:line="240" w:lineRule="auto"/>
              <w:jc w:val="right"/>
              <w:rPr>
                <w:rFonts w:eastAsia="Times New Roman" w:cs="Open Sans Light"/>
                <w:sz w:val="16"/>
                <w:szCs w:val="16"/>
                <w:lang w:eastAsia="en-AU"/>
              </w:rPr>
            </w:pPr>
            <w:r w:rsidRPr="000A0239">
              <w:rPr>
                <w:rFonts w:eastAsia="Times New Roman" w:cs="Open Sans Light"/>
                <w:sz w:val="16"/>
                <w:szCs w:val="16"/>
                <w:lang w:eastAsia="en-AU"/>
              </w:rPr>
              <w:t>9</w:t>
            </w:r>
            <w:r>
              <w:rPr>
                <w:rFonts w:eastAsia="Times New Roman" w:cs="Open Sans Light"/>
                <w:sz w:val="16"/>
                <w:szCs w:val="16"/>
                <w:lang w:eastAsia="en-AU"/>
              </w:rPr>
              <w:t>,</w:t>
            </w:r>
            <w:r w:rsidRPr="000A0239">
              <w:rPr>
                <w:rFonts w:eastAsia="Times New Roman" w:cs="Open Sans Light"/>
                <w:sz w:val="16"/>
                <w:szCs w:val="16"/>
                <w:lang w:eastAsia="en-AU"/>
              </w:rPr>
              <w:t>616</w:t>
            </w:r>
          </w:p>
        </w:tc>
        <w:tc>
          <w:tcPr>
            <w:tcW w:w="1589" w:type="dxa"/>
            <w:tcBorders>
              <w:top w:val="nil"/>
              <w:left w:val="nil"/>
              <w:bottom w:val="single" w:sz="4" w:space="0" w:color="ADD6EA"/>
              <w:right w:val="nil"/>
            </w:tcBorders>
            <w:shd w:val="clear" w:color="000000" w:fill="FFFFFF"/>
            <w:hideMark/>
          </w:tcPr>
          <w:p w14:paraId="7DF722EE" w14:textId="77777777" w:rsidR="00AD15A4" w:rsidRPr="000A0239" w:rsidRDefault="00AD15A4" w:rsidP="007123B0">
            <w:pPr>
              <w:keepNext/>
              <w:tabs>
                <w:tab w:val="clear" w:pos="567"/>
              </w:tabs>
              <w:spacing w:before="0" w:line="240" w:lineRule="auto"/>
              <w:jc w:val="right"/>
              <w:rPr>
                <w:rFonts w:eastAsia="Times New Roman" w:cs="Open Sans Light"/>
                <w:sz w:val="16"/>
                <w:szCs w:val="16"/>
                <w:lang w:eastAsia="en-AU"/>
              </w:rPr>
            </w:pPr>
            <w:r w:rsidRPr="000A0239">
              <w:rPr>
                <w:rFonts w:eastAsia="Times New Roman" w:cs="Open Sans Light"/>
                <w:sz w:val="16"/>
                <w:szCs w:val="16"/>
                <w:lang w:eastAsia="en-AU"/>
              </w:rPr>
              <w:t>366</w:t>
            </w:r>
          </w:p>
        </w:tc>
      </w:tr>
      <w:tr w:rsidR="00AD15A4" w:rsidRPr="000A0239" w14:paraId="7E4E32A2" w14:textId="77777777" w:rsidTr="007123B0">
        <w:trPr>
          <w:trHeight w:val="795"/>
        </w:trPr>
        <w:tc>
          <w:tcPr>
            <w:tcW w:w="1985" w:type="dxa"/>
            <w:tcBorders>
              <w:top w:val="nil"/>
              <w:left w:val="nil"/>
              <w:bottom w:val="single" w:sz="4" w:space="0" w:color="ADD6EA"/>
              <w:right w:val="nil"/>
            </w:tcBorders>
            <w:shd w:val="clear" w:color="000000" w:fill="FFFFFF"/>
            <w:hideMark/>
          </w:tcPr>
          <w:p w14:paraId="6CA1519C" w14:textId="77777777" w:rsidR="00AD15A4" w:rsidRPr="000A0239" w:rsidRDefault="00AD15A4" w:rsidP="007123B0">
            <w:pPr>
              <w:keepNext/>
              <w:tabs>
                <w:tab w:val="clear" w:pos="567"/>
              </w:tabs>
              <w:spacing w:before="0" w:line="240" w:lineRule="auto"/>
              <w:rPr>
                <w:rFonts w:eastAsia="Times New Roman" w:cs="Open Sans Light"/>
                <w:sz w:val="16"/>
                <w:szCs w:val="16"/>
                <w:lang w:eastAsia="en-AU"/>
              </w:rPr>
            </w:pPr>
            <w:r w:rsidRPr="000A0239">
              <w:rPr>
                <w:rFonts w:eastAsia="Times New Roman" w:cs="Open Sans Light"/>
                <w:sz w:val="16"/>
                <w:szCs w:val="16"/>
                <w:lang w:eastAsia="en-AU"/>
              </w:rPr>
              <w:t>Diagnostic services</w:t>
            </w:r>
          </w:p>
        </w:tc>
        <w:tc>
          <w:tcPr>
            <w:tcW w:w="4375" w:type="dxa"/>
            <w:tcBorders>
              <w:top w:val="nil"/>
              <w:left w:val="nil"/>
              <w:bottom w:val="single" w:sz="4" w:space="0" w:color="ADD6EA"/>
              <w:right w:val="nil"/>
            </w:tcBorders>
            <w:shd w:val="clear" w:color="000000" w:fill="FFFFFF"/>
            <w:hideMark/>
          </w:tcPr>
          <w:p w14:paraId="03C4AF88" w14:textId="77777777" w:rsidR="00AD15A4" w:rsidRPr="000A0239" w:rsidRDefault="00AD15A4" w:rsidP="007123B0">
            <w:pPr>
              <w:keepNext/>
              <w:tabs>
                <w:tab w:val="clear" w:pos="567"/>
              </w:tabs>
              <w:spacing w:before="0" w:line="240" w:lineRule="auto"/>
              <w:rPr>
                <w:rFonts w:eastAsia="Times New Roman" w:cs="Open Sans Light"/>
                <w:sz w:val="16"/>
                <w:szCs w:val="16"/>
                <w:lang w:eastAsia="en-AU"/>
              </w:rPr>
            </w:pPr>
            <w:r w:rsidRPr="000A0239">
              <w:rPr>
                <w:rFonts w:eastAsia="Times New Roman" w:cs="Open Sans Light"/>
                <w:sz w:val="16"/>
                <w:szCs w:val="16"/>
                <w:lang w:eastAsia="en-AU"/>
              </w:rPr>
              <w:t>Clinics that provide diagnostic services as inputs to the healthcare services of other non-admitted clinics — includes pathology, mammography screening</w:t>
            </w:r>
          </w:p>
        </w:tc>
        <w:tc>
          <w:tcPr>
            <w:tcW w:w="1011" w:type="dxa"/>
            <w:tcBorders>
              <w:top w:val="nil"/>
              <w:left w:val="nil"/>
              <w:bottom w:val="single" w:sz="4" w:space="0" w:color="ADD6EA"/>
              <w:right w:val="nil"/>
            </w:tcBorders>
            <w:shd w:val="clear" w:color="000000" w:fill="FFFFFF"/>
            <w:hideMark/>
          </w:tcPr>
          <w:p w14:paraId="2B8EB093" w14:textId="77777777" w:rsidR="00AD15A4" w:rsidRPr="000A0239" w:rsidRDefault="00AD15A4" w:rsidP="007123B0">
            <w:pPr>
              <w:keepNext/>
              <w:tabs>
                <w:tab w:val="clear" w:pos="567"/>
              </w:tabs>
              <w:spacing w:before="0" w:line="240" w:lineRule="auto"/>
              <w:jc w:val="right"/>
              <w:rPr>
                <w:rFonts w:eastAsia="Times New Roman" w:cs="Open Sans Light"/>
                <w:sz w:val="16"/>
                <w:szCs w:val="16"/>
                <w:lang w:eastAsia="en-AU"/>
              </w:rPr>
            </w:pPr>
            <w:r w:rsidRPr="000A0239">
              <w:rPr>
                <w:rFonts w:eastAsia="Times New Roman" w:cs="Open Sans Light"/>
                <w:sz w:val="16"/>
                <w:szCs w:val="16"/>
                <w:lang w:eastAsia="en-AU"/>
              </w:rPr>
              <w:t>253</w:t>
            </w:r>
          </w:p>
        </w:tc>
        <w:tc>
          <w:tcPr>
            <w:tcW w:w="1589" w:type="dxa"/>
            <w:tcBorders>
              <w:top w:val="nil"/>
              <w:left w:val="nil"/>
              <w:bottom w:val="single" w:sz="4" w:space="0" w:color="ADD6EA"/>
              <w:right w:val="nil"/>
            </w:tcBorders>
            <w:shd w:val="clear" w:color="000000" w:fill="FFFFFF"/>
            <w:hideMark/>
          </w:tcPr>
          <w:p w14:paraId="1C18CBC6" w14:textId="77777777" w:rsidR="00AD15A4" w:rsidRPr="000A0239" w:rsidRDefault="00AD15A4" w:rsidP="007123B0">
            <w:pPr>
              <w:keepNext/>
              <w:tabs>
                <w:tab w:val="clear" w:pos="567"/>
              </w:tabs>
              <w:spacing w:before="0" w:line="240" w:lineRule="auto"/>
              <w:jc w:val="right"/>
              <w:rPr>
                <w:rFonts w:eastAsia="Times New Roman" w:cs="Open Sans Light"/>
                <w:sz w:val="16"/>
                <w:szCs w:val="16"/>
                <w:lang w:eastAsia="en-AU"/>
              </w:rPr>
            </w:pPr>
            <w:r w:rsidRPr="000A0239">
              <w:rPr>
                <w:rFonts w:eastAsia="Times New Roman" w:cs="Open Sans Light"/>
                <w:sz w:val="16"/>
                <w:szCs w:val="16"/>
                <w:lang w:eastAsia="en-AU"/>
              </w:rPr>
              <w:t>394</w:t>
            </w:r>
          </w:p>
        </w:tc>
      </w:tr>
      <w:tr w:rsidR="00AD15A4" w:rsidRPr="000A0239" w14:paraId="188D0C07" w14:textId="77777777" w:rsidTr="007123B0">
        <w:trPr>
          <w:trHeight w:val="795"/>
        </w:trPr>
        <w:tc>
          <w:tcPr>
            <w:tcW w:w="1985" w:type="dxa"/>
            <w:tcBorders>
              <w:top w:val="nil"/>
              <w:left w:val="nil"/>
              <w:bottom w:val="single" w:sz="4" w:space="0" w:color="ADD6EA"/>
              <w:right w:val="nil"/>
            </w:tcBorders>
            <w:shd w:val="clear" w:color="000000" w:fill="FFFFFF"/>
            <w:hideMark/>
          </w:tcPr>
          <w:p w14:paraId="18F96A8A" w14:textId="77777777" w:rsidR="00AD15A4" w:rsidRPr="000A0239" w:rsidRDefault="00AD15A4" w:rsidP="007123B0">
            <w:pPr>
              <w:keepNext/>
              <w:tabs>
                <w:tab w:val="clear" w:pos="567"/>
              </w:tabs>
              <w:spacing w:before="0" w:line="240" w:lineRule="auto"/>
              <w:rPr>
                <w:rFonts w:eastAsia="Times New Roman" w:cs="Open Sans Light"/>
                <w:sz w:val="16"/>
                <w:szCs w:val="16"/>
                <w:lang w:eastAsia="en-AU"/>
              </w:rPr>
            </w:pPr>
            <w:r w:rsidRPr="000A0239">
              <w:rPr>
                <w:rFonts w:eastAsia="Times New Roman" w:cs="Open Sans Light"/>
                <w:sz w:val="16"/>
                <w:szCs w:val="16"/>
                <w:lang w:eastAsia="en-AU"/>
              </w:rPr>
              <w:t>Allied health</w:t>
            </w:r>
            <w:r>
              <w:rPr>
                <w:rFonts w:eastAsia="Times New Roman" w:cs="Open Sans Light"/>
                <w:sz w:val="16"/>
                <w:szCs w:val="16"/>
                <w:lang w:eastAsia="en-AU"/>
              </w:rPr>
              <w:t xml:space="preserve"> and/or clinical nurse specialist intervention</w:t>
            </w:r>
          </w:p>
        </w:tc>
        <w:tc>
          <w:tcPr>
            <w:tcW w:w="4375" w:type="dxa"/>
            <w:tcBorders>
              <w:top w:val="nil"/>
              <w:left w:val="nil"/>
              <w:bottom w:val="single" w:sz="4" w:space="0" w:color="ADD6EA"/>
              <w:right w:val="nil"/>
            </w:tcBorders>
            <w:shd w:val="clear" w:color="000000" w:fill="FFFFFF"/>
            <w:hideMark/>
          </w:tcPr>
          <w:p w14:paraId="3378E303" w14:textId="77777777" w:rsidR="00AD15A4" w:rsidRPr="000A0239" w:rsidRDefault="00AD15A4" w:rsidP="007123B0">
            <w:pPr>
              <w:keepNext/>
              <w:tabs>
                <w:tab w:val="clear" w:pos="567"/>
              </w:tabs>
              <w:spacing w:before="0" w:line="240" w:lineRule="auto"/>
              <w:rPr>
                <w:rFonts w:eastAsia="Times New Roman" w:cs="Open Sans Light"/>
                <w:sz w:val="16"/>
                <w:szCs w:val="16"/>
                <w:lang w:eastAsia="en-AU"/>
              </w:rPr>
            </w:pPr>
            <w:r w:rsidRPr="000A0239">
              <w:rPr>
                <w:rFonts w:eastAsia="Times New Roman" w:cs="Open Sans Light"/>
                <w:sz w:val="16"/>
                <w:szCs w:val="16"/>
                <w:lang w:eastAsia="en-AU"/>
              </w:rPr>
              <w:t>Clinics where allied health personnel and/or clinical nurse specialists provide majority of services — includes midwifery, physiotherapy, and primary health care</w:t>
            </w:r>
          </w:p>
        </w:tc>
        <w:tc>
          <w:tcPr>
            <w:tcW w:w="1011" w:type="dxa"/>
            <w:tcBorders>
              <w:top w:val="nil"/>
              <w:left w:val="nil"/>
              <w:bottom w:val="single" w:sz="4" w:space="0" w:color="ADD6EA"/>
              <w:right w:val="nil"/>
            </w:tcBorders>
            <w:shd w:val="clear" w:color="000000" w:fill="FFFFFF"/>
            <w:hideMark/>
          </w:tcPr>
          <w:p w14:paraId="3FA9AA61" w14:textId="77777777" w:rsidR="00AD15A4" w:rsidRPr="000A0239" w:rsidRDefault="00AD15A4" w:rsidP="007123B0">
            <w:pPr>
              <w:keepNext/>
              <w:tabs>
                <w:tab w:val="clear" w:pos="567"/>
              </w:tabs>
              <w:spacing w:before="0" w:line="240" w:lineRule="auto"/>
              <w:jc w:val="right"/>
              <w:rPr>
                <w:rFonts w:eastAsia="Times New Roman" w:cs="Open Sans Light"/>
                <w:sz w:val="16"/>
                <w:szCs w:val="16"/>
                <w:lang w:eastAsia="en-AU"/>
              </w:rPr>
            </w:pPr>
            <w:r w:rsidRPr="000A0239">
              <w:rPr>
                <w:rFonts w:eastAsia="Times New Roman" w:cs="Open Sans Light"/>
                <w:sz w:val="16"/>
                <w:szCs w:val="16"/>
                <w:lang w:eastAsia="en-AU"/>
              </w:rPr>
              <w:t>9</w:t>
            </w:r>
            <w:r>
              <w:rPr>
                <w:rFonts w:eastAsia="Times New Roman" w:cs="Open Sans Light"/>
                <w:sz w:val="16"/>
                <w:szCs w:val="16"/>
                <w:lang w:eastAsia="en-AU"/>
              </w:rPr>
              <w:t>,</w:t>
            </w:r>
            <w:r w:rsidRPr="000A0239">
              <w:rPr>
                <w:rFonts w:eastAsia="Times New Roman" w:cs="Open Sans Light"/>
                <w:sz w:val="16"/>
                <w:szCs w:val="16"/>
                <w:lang w:eastAsia="en-AU"/>
              </w:rPr>
              <w:t>760</w:t>
            </w:r>
          </w:p>
        </w:tc>
        <w:tc>
          <w:tcPr>
            <w:tcW w:w="1589" w:type="dxa"/>
            <w:tcBorders>
              <w:top w:val="nil"/>
              <w:left w:val="nil"/>
              <w:bottom w:val="single" w:sz="4" w:space="0" w:color="ADD6EA"/>
              <w:right w:val="nil"/>
            </w:tcBorders>
            <w:shd w:val="clear" w:color="000000" w:fill="FFFFFF"/>
            <w:hideMark/>
          </w:tcPr>
          <w:p w14:paraId="6AFA1F3B" w14:textId="77777777" w:rsidR="00AD15A4" w:rsidRPr="000A0239" w:rsidRDefault="00AD15A4" w:rsidP="007123B0">
            <w:pPr>
              <w:keepNext/>
              <w:tabs>
                <w:tab w:val="clear" w:pos="567"/>
              </w:tabs>
              <w:spacing w:before="0" w:line="240" w:lineRule="auto"/>
              <w:jc w:val="right"/>
              <w:rPr>
                <w:rFonts w:eastAsia="Times New Roman" w:cs="Open Sans Light"/>
                <w:sz w:val="16"/>
                <w:szCs w:val="16"/>
                <w:lang w:eastAsia="en-AU"/>
              </w:rPr>
            </w:pPr>
            <w:r w:rsidRPr="000A0239">
              <w:rPr>
                <w:rFonts w:eastAsia="Times New Roman" w:cs="Open Sans Light"/>
                <w:sz w:val="16"/>
                <w:szCs w:val="16"/>
                <w:lang w:eastAsia="en-AU"/>
              </w:rPr>
              <w:t>223</w:t>
            </w:r>
          </w:p>
        </w:tc>
      </w:tr>
      <w:tr w:rsidR="00AD15A4" w:rsidRPr="000A0239" w14:paraId="6BFF2EEE" w14:textId="77777777" w:rsidTr="007123B0">
        <w:trPr>
          <w:trHeight w:val="300"/>
        </w:trPr>
        <w:tc>
          <w:tcPr>
            <w:tcW w:w="1985" w:type="dxa"/>
            <w:tcBorders>
              <w:top w:val="nil"/>
              <w:left w:val="nil"/>
              <w:bottom w:val="single" w:sz="4" w:space="0" w:color="ADD6EA"/>
              <w:right w:val="nil"/>
            </w:tcBorders>
            <w:shd w:val="clear" w:color="000000" w:fill="D6E7F0"/>
            <w:vAlign w:val="bottom"/>
            <w:hideMark/>
          </w:tcPr>
          <w:p w14:paraId="76132A1A" w14:textId="77777777" w:rsidR="00AD15A4" w:rsidRPr="000A0239" w:rsidRDefault="00AD15A4" w:rsidP="007123B0">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0A0239">
              <w:rPr>
                <w:rFonts w:ascii="Open Sans Semibold" w:eastAsia="Times New Roman" w:hAnsi="Open Sans Semibold" w:cs="Open Sans Semibold"/>
                <w:color w:val="000000"/>
                <w:sz w:val="16"/>
                <w:szCs w:val="16"/>
                <w:lang w:eastAsia="en-AU"/>
              </w:rPr>
              <w:t>Total</w:t>
            </w:r>
          </w:p>
        </w:tc>
        <w:tc>
          <w:tcPr>
            <w:tcW w:w="4375" w:type="dxa"/>
            <w:tcBorders>
              <w:top w:val="nil"/>
              <w:left w:val="nil"/>
              <w:bottom w:val="single" w:sz="4" w:space="0" w:color="ADD6EA"/>
              <w:right w:val="nil"/>
            </w:tcBorders>
            <w:shd w:val="clear" w:color="000000" w:fill="D6E7F0"/>
            <w:vAlign w:val="bottom"/>
            <w:hideMark/>
          </w:tcPr>
          <w:p w14:paraId="5843252D" w14:textId="77777777" w:rsidR="00AD15A4" w:rsidRPr="000A0239" w:rsidRDefault="00AD15A4" w:rsidP="007123B0">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0A0239">
              <w:rPr>
                <w:rFonts w:ascii="Open Sans Semibold" w:eastAsia="Times New Roman" w:hAnsi="Open Sans Semibold" w:cs="Open Sans Semibold"/>
                <w:color w:val="000000"/>
                <w:sz w:val="16"/>
                <w:szCs w:val="16"/>
                <w:lang w:eastAsia="en-AU"/>
              </w:rPr>
              <w:t> </w:t>
            </w:r>
          </w:p>
        </w:tc>
        <w:tc>
          <w:tcPr>
            <w:tcW w:w="1011" w:type="dxa"/>
            <w:tcBorders>
              <w:top w:val="nil"/>
              <w:left w:val="nil"/>
              <w:bottom w:val="single" w:sz="4" w:space="0" w:color="ADD6EA"/>
              <w:right w:val="nil"/>
            </w:tcBorders>
            <w:shd w:val="clear" w:color="000000" w:fill="D6E7F0"/>
            <w:vAlign w:val="bottom"/>
            <w:hideMark/>
          </w:tcPr>
          <w:p w14:paraId="22F60165" w14:textId="77777777" w:rsidR="00AD15A4" w:rsidRPr="000A0239" w:rsidRDefault="00AD15A4" w:rsidP="007123B0">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239">
              <w:rPr>
                <w:rFonts w:ascii="Open Sans Semibold" w:eastAsia="Times New Roman" w:hAnsi="Open Sans Semibold" w:cs="Open Sans Semibold"/>
                <w:color w:val="000000"/>
                <w:sz w:val="16"/>
                <w:szCs w:val="16"/>
                <w:lang w:eastAsia="en-AU"/>
              </w:rPr>
              <w:t>21</w:t>
            </w:r>
            <w:r>
              <w:rPr>
                <w:rFonts w:ascii="Open Sans Semibold" w:eastAsia="Times New Roman" w:hAnsi="Open Sans Semibold" w:cs="Open Sans Semibold"/>
                <w:color w:val="000000"/>
                <w:sz w:val="16"/>
                <w:szCs w:val="16"/>
                <w:lang w:eastAsia="en-AU"/>
              </w:rPr>
              <w:t>,</w:t>
            </w:r>
            <w:r w:rsidRPr="000A0239">
              <w:rPr>
                <w:rFonts w:ascii="Open Sans Semibold" w:eastAsia="Times New Roman" w:hAnsi="Open Sans Semibold" w:cs="Open Sans Semibold"/>
                <w:color w:val="000000"/>
                <w:sz w:val="16"/>
                <w:szCs w:val="16"/>
                <w:lang w:eastAsia="en-AU"/>
              </w:rPr>
              <w:t>530</w:t>
            </w:r>
          </w:p>
        </w:tc>
        <w:tc>
          <w:tcPr>
            <w:tcW w:w="1589" w:type="dxa"/>
            <w:tcBorders>
              <w:top w:val="nil"/>
              <w:left w:val="nil"/>
              <w:bottom w:val="single" w:sz="4" w:space="0" w:color="ADD6EA"/>
              <w:right w:val="nil"/>
            </w:tcBorders>
            <w:shd w:val="clear" w:color="000000" w:fill="D6E7F0"/>
            <w:vAlign w:val="bottom"/>
            <w:hideMark/>
          </w:tcPr>
          <w:p w14:paraId="52A0558F" w14:textId="77777777" w:rsidR="00AD15A4" w:rsidRPr="000A0239" w:rsidRDefault="00AD15A4" w:rsidP="007123B0">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0A0239">
              <w:rPr>
                <w:rFonts w:ascii="Open Sans Semibold" w:eastAsia="Times New Roman" w:hAnsi="Open Sans Semibold" w:cs="Open Sans Semibold"/>
                <w:color w:val="000000"/>
                <w:sz w:val="16"/>
                <w:szCs w:val="16"/>
                <w:lang w:eastAsia="en-AU"/>
              </w:rPr>
              <w:t>317</w:t>
            </w:r>
          </w:p>
        </w:tc>
      </w:tr>
    </w:tbl>
    <w:p w14:paraId="37B85473" w14:textId="77777777" w:rsidR="00AD15A4" w:rsidRDefault="00AD15A4" w:rsidP="00AD15A4">
      <w:pPr>
        <w:pStyle w:val="CGCTablerow"/>
      </w:pPr>
      <w:r>
        <w:t>Source:</w:t>
      </w:r>
      <w:r>
        <w:tab/>
      </w:r>
      <w:hyperlink r:id="rId20" w:history="1">
        <w:r w:rsidRPr="009C4563">
          <w:rPr>
            <w:rStyle w:val="Hyperlink"/>
          </w:rPr>
          <w:t>Round 22 NHCDC Cost Report infographics, non-admitted care</w:t>
        </w:r>
      </w:hyperlink>
      <w:r>
        <w:t>, IHPA.</w:t>
      </w:r>
    </w:p>
    <w:p w14:paraId="6EF6882B" w14:textId="2F716FBB" w:rsidR="00AD15A4" w:rsidRPr="00997865" w:rsidRDefault="006B2BBF" w:rsidP="00AD15A4">
      <w:pPr>
        <w:pStyle w:val="CGCParaNumber"/>
        <w:rPr>
          <w:lang w:val="en-US"/>
        </w:rPr>
      </w:pPr>
      <w:r>
        <w:lastRenderedPageBreak/>
        <w:t>The IHPA calculates NWAU data for NAP service events in</w:t>
      </w:r>
      <w:r>
        <w:noBreakHyphen/>
        <w:t>scope (i.e. eligible) for Commonwealth funding.</w:t>
      </w:r>
      <w:r>
        <w:rPr>
          <w:rStyle w:val="FootnoteReference"/>
        </w:rPr>
        <w:footnoteReference w:id="10"/>
      </w:r>
      <w:r w:rsidRPr="006423AB">
        <w:rPr>
          <w:vertAlign w:val="superscript"/>
        </w:rPr>
        <w:t>,</w:t>
      </w:r>
      <w:r>
        <w:rPr>
          <w:rStyle w:val="FootnoteReference"/>
        </w:rPr>
        <w:footnoteReference w:id="11"/>
      </w:r>
      <w:r>
        <w:rPr>
          <w:rStyle w:val="CommentReference"/>
        </w:rPr>
        <w:t xml:space="preserve"> </w:t>
      </w:r>
      <w:r w:rsidR="00AD15A4">
        <w:t>Potentially, NWAU data provide a good indicator of service use as these reflect both usage and costs (see</w:t>
      </w:r>
      <w:r w:rsidR="00892EE8">
        <w:t xml:space="preserve"> Box 1</w:t>
      </w:r>
      <w:r w:rsidR="00AD15A4">
        <w:t xml:space="preserve">). </w:t>
      </w:r>
    </w:p>
    <w:p w14:paraId="02D2DDE0" w14:textId="77777777" w:rsidR="00AD15A4" w:rsidRPr="009737E0" w:rsidRDefault="00AD15A4" w:rsidP="00AD15A4">
      <w:pPr>
        <w:pStyle w:val="CGCParaNumber"/>
        <w:rPr>
          <w:lang w:val="en-US"/>
        </w:rPr>
      </w:pPr>
      <w:r w:rsidRPr="009737E0">
        <w:rPr>
          <w:lang w:val="en-US"/>
        </w:rPr>
        <w:t xml:space="preserve">IHPA receives </w:t>
      </w:r>
      <w:r>
        <w:rPr>
          <w:lang w:val="en-US"/>
        </w:rPr>
        <w:t xml:space="preserve">two types of </w:t>
      </w:r>
      <w:r w:rsidRPr="009737E0">
        <w:rPr>
          <w:lang w:val="en-US"/>
        </w:rPr>
        <w:t xml:space="preserve">NAP </w:t>
      </w:r>
      <w:r>
        <w:rPr>
          <w:lang w:val="en-US"/>
        </w:rPr>
        <w:t xml:space="preserve">NWAU data </w:t>
      </w:r>
      <w:r w:rsidRPr="009737E0">
        <w:rPr>
          <w:lang w:val="en-US"/>
        </w:rPr>
        <w:t>from the States:</w:t>
      </w:r>
    </w:p>
    <w:p w14:paraId="6E967E6A" w14:textId="6A646B6B" w:rsidR="00AD15A4" w:rsidRDefault="00AD15A4" w:rsidP="00AD15A4">
      <w:pPr>
        <w:pStyle w:val="CGCBullet1"/>
        <w:rPr>
          <w:lang w:val="en-US"/>
        </w:rPr>
      </w:pPr>
      <w:r>
        <w:rPr>
          <w:lang w:val="en-US"/>
        </w:rPr>
        <w:t xml:space="preserve">aggregate </w:t>
      </w:r>
      <w:r w:rsidR="009A518B">
        <w:rPr>
          <w:lang w:val="en-US"/>
        </w:rPr>
        <w:t xml:space="preserve">activity </w:t>
      </w:r>
      <w:r>
        <w:rPr>
          <w:lang w:val="en-US"/>
        </w:rPr>
        <w:t>data</w:t>
      </w:r>
    </w:p>
    <w:p w14:paraId="1E7C9083" w14:textId="09754064" w:rsidR="00AD15A4" w:rsidRDefault="00AD15A4" w:rsidP="00AD15A4">
      <w:pPr>
        <w:pStyle w:val="CGCBullet1"/>
        <w:rPr>
          <w:lang w:val="en-US"/>
        </w:rPr>
      </w:pPr>
      <w:r>
        <w:rPr>
          <w:lang w:val="en-US"/>
        </w:rPr>
        <w:t>patient/episode level data that include information on patient characteristics.</w:t>
      </w:r>
    </w:p>
    <w:p w14:paraId="2BC0C0A4" w14:textId="066C65DD" w:rsidR="001636C8" w:rsidRPr="00C1079E" w:rsidRDefault="00AD15A4" w:rsidP="001636C8">
      <w:pPr>
        <w:pStyle w:val="CGCParaNumber"/>
        <w:rPr>
          <w:lang w:val="en-US"/>
        </w:rPr>
      </w:pPr>
      <w:r>
        <w:t>The Australian Institute of Health and Welfare also has data on NAP but these only cover service events, not costs, and have a different scope.</w:t>
      </w:r>
    </w:p>
    <w:p w14:paraId="4935E9B5" w14:textId="77777777" w:rsidR="00C1079E" w:rsidRPr="00160B9E" w:rsidRDefault="00C1079E" w:rsidP="00C1079E">
      <w:pPr>
        <w:pStyle w:val="CGCParaNumber"/>
        <w:numPr>
          <w:ilvl w:val="0"/>
          <w:numId w:val="0"/>
        </w:numPr>
        <w:ind w:left="360"/>
        <w:rPr>
          <w:lang w:val="en-US"/>
        </w:rPr>
      </w:pPr>
    </w:p>
    <w:tbl>
      <w:tblPr>
        <w:tblW w:w="9167" w:type="dxa"/>
        <w:shd w:val="clear" w:color="auto" w:fill="EBF3F5"/>
        <w:tblLayout w:type="fixed"/>
        <w:tblLook w:val="0000" w:firstRow="0" w:lastRow="0" w:firstColumn="0" w:lastColumn="0" w:noHBand="0" w:noVBand="0"/>
      </w:tblPr>
      <w:tblGrid>
        <w:gridCol w:w="9167"/>
      </w:tblGrid>
      <w:tr w:rsidR="00F11B5E" w:rsidRPr="004175B9" w14:paraId="3FA1A1C5" w14:textId="77777777" w:rsidTr="00DD7EE4">
        <w:tc>
          <w:tcPr>
            <w:tcW w:w="9167" w:type="dxa"/>
            <w:shd w:val="clear" w:color="auto" w:fill="EBF3F5"/>
          </w:tcPr>
          <w:p w14:paraId="756F0863" w14:textId="6BB61A62" w:rsidR="00F11B5E" w:rsidRPr="004175B9" w:rsidRDefault="00F11B5E" w:rsidP="00DD7EE4">
            <w:pPr>
              <w:pStyle w:val="Caption"/>
            </w:pPr>
            <w:r>
              <w:t xml:space="preserve">Box </w:t>
            </w:r>
            <w:r>
              <w:fldChar w:fldCharType="begin"/>
            </w:r>
            <w:r>
              <w:instrText>SEQ Box \* ARABIC</w:instrText>
            </w:r>
            <w:r>
              <w:fldChar w:fldCharType="separate"/>
            </w:r>
            <w:r w:rsidR="00A46D6F">
              <w:rPr>
                <w:noProof/>
              </w:rPr>
              <w:t>1</w:t>
            </w:r>
            <w:r>
              <w:fldChar w:fldCharType="end"/>
            </w:r>
            <w:r w:rsidRPr="004175B9">
              <w:tab/>
            </w:r>
            <w:r>
              <w:t>Key terms in measuring and pricing of hospital services</w:t>
            </w:r>
          </w:p>
        </w:tc>
      </w:tr>
      <w:tr w:rsidR="00F11B5E" w:rsidRPr="004175B9" w14:paraId="25C00FE8" w14:textId="77777777" w:rsidTr="00DD7EE4">
        <w:tc>
          <w:tcPr>
            <w:tcW w:w="9167" w:type="dxa"/>
            <w:shd w:val="clear" w:color="auto" w:fill="EBF3F5"/>
          </w:tcPr>
          <w:p w14:paraId="36C7DA4F" w14:textId="77777777" w:rsidR="00F11B5E" w:rsidRDefault="00F11B5E" w:rsidP="00DD7EE4">
            <w:pPr>
              <w:keepNext/>
              <w:keepLines/>
            </w:pPr>
            <w:r w:rsidRPr="00D51BC9">
              <w:rPr>
                <w:rStyle w:val="Heading6Char"/>
              </w:rPr>
              <w:t xml:space="preserve">National weighted activity unit </w:t>
            </w:r>
            <w:r w:rsidRPr="00D51BC9">
              <w:t>(NWAU). IHPA</w:t>
            </w:r>
            <w:r w:rsidRPr="004175B9">
              <w:t xml:space="preserve"> costs all hospital activity in Australia and expresses these costs as NWAUs.</w:t>
            </w:r>
            <w:r>
              <w:t xml:space="preserve"> </w:t>
            </w:r>
            <w:r w:rsidRPr="004175B9">
              <w:t>A</w:t>
            </w:r>
            <w:r>
              <w:t>n</w:t>
            </w:r>
            <w:r w:rsidRPr="004175B9">
              <w:t xml:space="preserve"> NWAU is a measure of health service activity expressed as a common unit. The average hospital service across Australia is worth one NWAU. To identify the cost of each procedure, IHPA applies price weights and various adjustments. </w:t>
            </w:r>
            <w:r>
              <w:t>M</w:t>
            </w:r>
            <w:r w:rsidRPr="004175B9">
              <w:t>o</w:t>
            </w:r>
            <w:r>
              <w:t>re</w:t>
            </w:r>
            <w:r w:rsidRPr="004175B9">
              <w:t xml:space="preserve"> </w:t>
            </w:r>
            <w:r>
              <w:t>complex</w:t>
            </w:r>
            <w:r w:rsidRPr="004175B9">
              <w:t xml:space="preserve">, expensive and lengthy activities are worth multiple NWAUs </w:t>
            </w:r>
            <w:r>
              <w:t xml:space="preserve">while </w:t>
            </w:r>
            <w:r w:rsidRPr="004175B9">
              <w:t>simple</w:t>
            </w:r>
            <w:r>
              <w:t xml:space="preserve">r, less </w:t>
            </w:r>
            <w:r w:rsidRPr="004175B9">
              <w:t xml:space="preserve">expensive </w:t>
            </w:r>
            <w:r>
              <w:t xml:space="preserve">activities </w:t>
            </w:r>
            <w:r w:rsidRPr="004175B9">
              <w:t xml:space="preserve">are worth fractions of an NWAU. </w:t>
            </w:r>
          </w:p>
          <w:p w14:paraId="2C0ED713" w14:textId="77777777" w:rsidR="00F11B5E" w:rsidRDefault="00F11B5E" w:rsidP="00DD7EE4">
            <w:pPr>
              <w:keepNext/>
              <w:keepLines/>
            </w:pPr>
            <w:r>
              <w:t xml:space="preserve">The NWAU provides a way to compare and value each public hospital activity by weighting for clinical complexity. </w:t>
            </w:r>
            <w:r w:rsidRPr="004175B9">
              <w:t xml:space="preserve">The NWAU data reflect the costs of providing different procedures and other factors (for example, </w:t>
            </w:r>
            <w:r>
              <w:t xml:space="preserve">remoteness of the </w:t>
            </w:r>
            <w:r w:rsidRPr="004175B9">
              <w:t>patient</w:t>
            </w:r>
            <w:r>
              <w:t xml:space="preserve">’s address, </w:t>
            </w:r>
            <w:r w:rsidRPr="004175B9">
              <w:t>Indigenous status and specific treatments such as radiotherapy and dialysis)</w:t>
            </w:r>
            <w:r w:rsidRPr="004175B9">
              <w:rPr>
                <w:rStyle w:val="FootnoteReference"/>
              </w:rPr>
              <w:footnoteReference w:id="12"/>
            </w:r>
            <w:r w:rsidRPr="004175B9">
              <w:t xml:space="preserve"> that affect the overall cost of each hospital service. It</w:t>
            </w:r>
            <w:r>
              <w:t> </w:t>
            </w:r>
            <w:r w:rsidRPr="004175B9">
              <w:t>covers the activity of both ABF hospitals and BF hospitals, with the latter tending to be small and more remote.</w:t>
            </w:r>
          </w:p>
          <w:p w14:paraId="505DCD97" w14:textId="77777777" w:rsidR="00F11B5E" w:rsidRDefault="00F11B5E" w:rsidP="00DD7EE4">
            <w:pPr>
              <w:keepNext/>
              <w:keepLines/>
            </w:pPr>
            <w:r w:rsidRPr="00D51BC9">
              <w:rPr>
                <w:rStyle w:val="Heading6Char"/>
              </w:rPr>
              <w:t xml:space="preserve">Activity </w:t>
            </w:r>
            <w:r>
              <w:rPr>
                <w:rStyle w:val="Heading6Char"/>
              </w:rPr>
              <w:t>b</w:t>
            </w:r>
            <w:r w:rsidRPr="00D51BC9">
              <w:rPr>
                <w:rStyle w:val="Heading6Char"/>
              </w:rPr>
              <w:t xml:space="preserve">ased </w:t>
            </w:r>
            <w:r>
              <w:rPr>
                <w:rStyle w:val="Heading6Char"/>
              </w:rPr>
              <w:t>f</w:t>
            </w:r>
            <w:r w:rsidRPr="00D51BC9">
              <w:rPr>
                <w:rStyle w:val="Heading6Char"/>
              </w:rPr>
              <w:t xml:space="preserve">unding </w:t>
            </w:r>
            <w:r w:rsidRPr="00D51BC9">
              <w:t>(ABF)</w:t>
            </w:r>
            <w:r>
              <w:t xml:space="preserve"> is a method of funding health services where hospitals are paid for the number and complexity of patients they treat. </w:t>
            </w:r>
          </w:p>
          <w:p w14:paraId="39A503F4" w14:textId="77777777" w:rsidR="00F11B5E" w:rsidRDefault="00F11B5E" w:rsidP="00DD7EE4">
            <w:pPr>
              <w:keepNext/>
              <w:keepLines/>
            </w:pPr>
            <w:r w:rsidRPr="00357286">
              <w:rPr>
                <w:rStyle w:val="Heading6Char"/>
              </w:rPr>
              <w:t>Block</w:t>
            </w:r>
            <w:r>
              <w:rPr>
                <w:rStyle w:val="Heading6Char"/>
              </w:rPr>
              <w:t xml:space="preserve"> </w:t>
            </w:r>
            <w:r w:rsidRPr="00357286">
              <w:rPr>
                <w:rStyle w:val="Heading6Char"/>
              </w:rPr>
              <w:t>funding</w:t>
            </w:r>
            <w:r>
              <w:rPr>
                <w:rStyle w:val="Strong"/>
                <w:rFonts w:ascii="Open Sans" w:hAnsi="Open Sans" w:cs="Open Sans"/>
                <w:color w:val="45494B"/>
              </w:rPr>
              <w:t xml:space="preserve"> </w:t>
            </w:r>
            <w:r w:rsidRPr="00D66F1C">
              <w:t xml:space="preserve">(BF) is a method of funding health services for which </w:t>
            </w:r>
            <w:proofErr w:type="gramStart"/>
            <w:r w:rsidRPr="00D66F1C">
              <w:t>activity</w:t>
            </w:r>
            <w:r>
              <w:t xml:space="preserve"> </w:t>
            </w:r>
            <w:r w:rsidRPr="00D66F1C">
              <w:t>based</w:t>
            </w:r>
            <w:proofErr w:type="gramEnd"/>
            <w:r w:rsidRPr="00D66F1C">
              <w:t xml:space="preserve"> funding is not applicable due to low volumes</w:t>
            </w:r>
            <w:r>
              <w:t xml:space="preserve">, </w:t>
            </w:r>
            <w:r w:rsidRPr="00D66F1C">
              <w:t>the absence of economies of scale</w:t>
            </w:r>
            <w:r>
              <w:t xml:space="preserve"> </w:t>
            </w:r>
            <w:r w:rsidRPr="00683BA7">
              <w:t>or the inability to satisfy the technical requirements of activity</w:t>
            </w:r>
            <w:r>
              <w:t xml:space="preserve"> </w:t>
            </w:r>
            <w:r w:rsidRPr="00683BA7">
              <w:t>based funding</w:t>
            </w:r>
            <w:r>
              <w:t>. Block funding is typically applied to smaller rural and regional hospitals or for teaching, training and research in public hospitals.</w:t>
            </w:r>
          </w:p>
          <w:p w14:paraId="0A958947" w14:textId="77777777" w:rsidR="00F11B5E" w:rsidRPr="004113AC" w:rsidRDefault="00F11B5E" w:rsidP="00DD7EE4">
            <w:pPr>
              <w:keepNext/>
              <w:keepLines/>
              <w:spacing w:after="120"/>
              <w:rPr>
                <w:rStyle w:val="FootnoteReference"/>
              </w:rPr>
            </w:pPr>
            <w:r w:rsidRPr="005E0FFF">
              <w:t xml:space="preserve">The key difference </w:t>
            </w:r>
            <w:r>
              <w:t xml:space="preserve">between ABF and BF models </w:t>
            </w:r>
            <w:r w:rsidRPr="005E0FFF">
              <w:t>is that the ABF model calculates an efficient price per episode of care, while the block funded model calculates an efficient cost for the hospital.</w:t>
            </w:r>
            <w:r>
              <w:t xml:space="preserve"> </w:t>
            </w:r>
            <w:r w:rsidRPr="00116C9B">
              <w:t xml:space="preserve">The annual </w:t>
            </w:r>
            <w:hyperlink r:id="rId21" w:history="1">
              <w:r w:rsidRPr="00AD1977">
                <w:rPr>
                  <w:rStyle w:val="Hyperlink"/>
                </w:rPr>
                <w:t>National Efficient Price</w:t>
              </w:r>
            </w:hyperlink>
            <w:r w:rsidRPr="00116C9B">
              <w:t xml:space="preserve"> and </w:t>
            </w:r>
            <w:hyperlink r:id="rId22" w:history="1">
              <w:r w:rsidRPr="006147B7">
                <w:rPr>
                  <w:rStyle w:val="Hyperlink"/>
                </w:rPr>
                <w:t>National Efficient Cost</w:t>
              </w:r>
            </w:hyperlink>
            <w:r w:rsidRPr="00116C9B">
              <w:t xml:space="preserve"> provide baseline references to determine the amount of Commonwealth funding for public hospitals.</w:t>
            </w:r>
          </w:p>
        </w:tc>
      </w:tr>
    </w:tbl>
    <w:p w14:paraId="130F0C29" w14:textId="2152DC70" w:rsidR="00B36C39" w:rsidRPr="006C113D" w:rsidRDefault="00B21A36" w:rsidP="00B36C39">
      <w:pPr>
        <w:pStyle w:val="CGCParaNumber"/>
      </w:pPr>
      <w:r>
        <w:fldChar w:fldCharType="begin"/>
      </w:r>
      <w:r>
        <w:rPr>
          <w:shd w:val="clear" w:color="auto" w:fill="FFFFFF" w:themeFill="background1"/>
        </w:rPr>
        <w:instrText xml:space="preserve"> REF _Ref49169959 \h </w:instrText>
      </w:r>
      <w:r>
        <w:fldChar w:fldCharType="separate"/>
      </w:r>
      <w:r w:rsidR="00A46D6F">
        <w:t xml:space="preserve">Table </w:t>
      </w:r>
      <w:r w:rsidR="00A46D6F">
        <w:rPr>
          <w:noProof/>
        </w:rPr>
        <w:t>3</w:t>
      </w:r>
      <w:r>
        <w:fldChar w:fldCharType="end"/>
      </w:r>
      <w:r>
        <w:t xml:space="preserve"> </w:t>
      </w:r>
      <w:r w:rsidR="00B36C39" w:rsidRPr="00833195">
        <w:rPr>
          <w:shd w:val="clear" w:color="auto" w:fill="FFFFFF" w:themeFill="background1"/>
        </w:rPr>
        <w:t xml:space="preserve">summarises the patient and hospital </w:t>
      </w:r>
      <w:r w:rsidR="00DC6FC3">
        <w:rPr>
          <w:shd w:val="clear" w:color="auto" w:fill="FFFFFF" w:themeFill="background1"/>
        </w:rPr>
        <w:t xml:space="preserve">remoteness </w:t>
      </w:r>
      <w:r w:rsidR="00B36C39" w:rsidRPr="00833195">
        <w:rPr>
          <w:shd w:val="clear" w:color="auto" w:fill="FFFFFF" w:themeFill="background1"/>
        </w:rPr>
        <w:t xml:space="preserve">adjustments embodied in </w:t>
      </w:r>
      <w:r w:rsidR="00DC6FC3">
        <w:rPr>
          <w:shd w:val="clear" w:color="auto" w:fill="FFFFFF" w:themeFill="background1"/>
        </w:rPr>
        <w:t>IHPA’s</w:t>
      </w:r>
      <w:r w:rsidR="00B36C39" w:rsidRPr="00833195">
        <w:rPr>
          <w:shd w:val="clear" w:color="auto" w:fill="FFFFFF" w:themeFill="background1"/>
        </w:rPr>
        <w:t xml:space="preserve"> NWAU data</w:t>
      </w:r>
      <w:r w:rsidR="00B36C39">
        <w:rPr>
          <w:shd w:val="clear" w:color="auto" w:fill="FFFFFF" w:themeFill="background1"/>
        </w:rPr>
        <w:t xml:space="preserve"> </w:t>
      </w:r>
      <w:r w:rsidR="00151FCA">
        <w:rPr>
          <w:shd w:val="clear" w:color="auto" w:fill="FFFFFF" w:themeFill="background1"/>
        </w:rPr>
        <w:t xml:space="preserve">for AP, ED and NAP </w:t>
      </w:r>
      <w:r w:rsidR="00DE5C56">
        <w:rPr>
          <w:shd w:val="clear" w:color="auto" w:fill="FFFFFF" w:themeFill="background1"/>
        </w:rPr>
        <w:t xml:space="preserve">services </w:t>
      </w:r>
      <w:r w:rsidR="00B36C39">
        <w:rPr>
          <w:shd w:val="clear" w:color="auto" w:fill="FFFFFF" w:themeFill="background1"/>
        </w:rPr>
        <w:t>since 2014-15</w:t>
      </w:r>
      <w:r w:rsidR="00B36C39" w:rsidRPr="00833195">
        <w:rPr>
          <w:shd w:val="clear" w:color="auto" w:fill="FFFFFF" w:themeFill="background1"/>
        </w:rPr>
        <w:t xml:space="preserve">. </w:t>
      </w:r>
    </w:p>
    <w:p w14:paraId="43524C59" w14:textId="77777777" w:rsidR="00B36C39" w:rsidRPr="00664D5A" w:rsidRDefault="00B36C39" w:rsidP="00B36C39">
      <w:pPr>
        <w:pStyle w:val="CGCBullet1"/>
      </w:pPr>
      <w:r w:rsidRPr="00833195">
        <w:rPr>
          <w:shd w:val="clear" w:color="auto" w:fill="FFFFFF" w:themeFill="background1"/>
        </w:rPr>
        <w:t xml:space="preserve">Before 2018-19, only admitted patient NWAU data included a remoteness adjustment for patient’s residence, to reflect the fact that more remote patients are more expensive to service on average. </w:t>
      </w:r>
    </w:p>
    <w:p w14:paraId="4747C8CD" w14:textId="77777777" w:rsidR="00B36C39" w:rsidRPr="0042073A" w:rsidRDefault="00B36C39" w:rsidP="00B36C39">
      <w:pPr>
        <w:pStyle w:val="CGCBullet1"/>
      </w:pPr>
      <w:r w:rsidRPr="005E0A00">
        <w:rPr>
          <w:shd w:val="clear" w:color="auto" w:fill="FFFFFF" w:themeFill="background1"/>
        </w:rPr>
        <w:lastRenderedPageBreak/>
        <w:t xml:space="preserve">In 2018-19, IHPA added a new adjustment to reflect the additional costs in delivering admitted patient services when the hospital providing the service is located in remote and very remote regions. IHPA also introduced a remoteness adjustment for patient’s residence for ED NWAU. </w:t>
      </w:r>
    </w:p>
    <w:p w14:paraId="27EF2B7A" w14:textId="77777777" w:rsidR="00B36C39" w:rsidRDefault="00B36C39" w:rsidP="00B36C39">
      <w:pPr>
        <w:pStyle w:val="CGCBullet1"/>
      </w:pPr>
      <w:r w:rsidRPr="005E0A00">
        <w:rPr>
          <w:shd w:val="clear" w:color="auto" w:fill="FFFFFF" w:themeFill="background1"/>
        </w:rPr>
        <w:t xml:space="preserve">For 2019-20, ED NWAU will also include a remoteness adjustment for ED services in hospitals located in remote and very remote regions. The remoteness adjustments </w:t>
      </w:r>
      <w:r>
        <w:rPr>
          <w:shd w:val="clear" w:color="auto" w:fill="FFFFFF" w:themeFill="background1"/>
        </w:rPr>
        <w:t xml:space="preserve">that </w:t>
      </w:r>
      <w:r w:rsidRPr="005E0A00">
        <w:rPr>
          <w:shd w:val="clear" w:color="auto" w:fill="FFFFFF" w:themeFill="background1"/>
        </w:rPr>
        <w:t>appl</w:t>
      </w:r>
      <w:r>
        <w:rPr>
          <w:shd w:val="clear" w:color="auto" w:fill="FFFFFF" w:themeFill="background1"/>
        </w:rPr>
        <w:t>y</w:t>
      </w:r>
      <w:r w:rsidRPr="005E0A00">
        <w:rPr>
          <w:shd w:val="clear" w:color="auto" w:fill="FFFFFF" w:themeFill="background1"/>
        </w:rPr>
        <w:t xml:space="preserve"> to AP will also appl</w:t>
      </w:r>
      <w:r>
        <w:rPr>
          <w:shd w:val="clear" w:color="auto" w:fill="FFFFFF" w:themeFill="background1"/>
        </w:rPr>
        <w:t>y</w:t>
      </w:r>
      <w:r w:rsidRPr="005E0A00">
        <w:rPr>
          <w:shd w:val="clear" w:color="auto" w:fill="FFFFFF" w:themeFill="background1"/>
        </w:rPr>
        <w:t xml:space="preserve"> to NAP from 2019-20 onwards.</w:t>
      </w:r>
    </w:p>
    <w:p w14:paraId="1D63BA58" w14:textId="23C6D1F2" w:rsidR="00B36C39" w:rsidRDefault="005B52DC" w:rsidP="00B36C39">
      <w:pPr>
        <w:pStyle w:val="Caption"/>
      </w:pPr>
      <w:bookmarkStart w:id="39" w:name="_Ref49169959"/>
      <w:r>
        <w:t xml:space="preserve">Table </w:t>
      </w:r>
      <w:r w:rsidR="00233B5E">
        <w:fldChar w:fldCharType="begin"/>
      </w:r>
      <w:r w:rsidR="00233B5E">
        <w:instrText xml:space="preserve"> SEQ Table \* ARABIC </w:instrText>
      </w:r>
      <w:r w:rsidR="00233B5E">
        <w:fldChar w:fldCharType="separate"/>
      </w:r>
      <w:r w:rsidR="00A46D6F">
        <w:rPr>
          <w:noProof/>
        </w:rPr>
        <w:t>3</w:t>
      </w:r>
      <w:r w:rsidR="00233B5E">
        <w:rPr>
          <w:noProof/>
        </w:rPr>
        <w:fldChar w:fldCharType="end"/>
      </w:r>
      <w:bookmarkEnd w:id="39"/>
      <w:r w:rsidR="00B36C39">
        <w:tab/>
        <w:t>IHPA remoteness adjustments</w:t>
      </w:r>
    </w:p>
    <w:tbl>
      <w:tblPr>
        <w:tblW w:w="8840" w:type="dxa"/>
        <w:tblLayout w:type="fixed"/>
        <w:tblCellMar>
          <w:left w:w="0" w:type="dxa"/>
          <w:right w:w="0" w:type="dxa"/>
        </w:tblCellMar>
        <w:tblLook w:val="04A0" w:firstRow="1" w:lastRow="0" w:firstColumn="1" w:lastColumn="0" w:noHBand="0" w:noVBand="1"/>
      </w:tblPr>
      <w:tblGrid>
        <w:gridCol w:w="580"/>
        <w:gridCol w:w="2100"/>
        <w:gridCol w:w="880"/>
        <w:gridCol w:w="880"/>
        <w:gridCol w:w="880"/>
        <w:gridCol w:w="880"/>
        <w:gridCol w:w="880"/>
        <w:gridCol w:w="880"/>
        <w:gridCol w:w="880"/>
      </w:tblGrid>
      <w:tr w:rsidR="00B36C39" w:rsidRPr="008C06F5" w14:paraId="319FBA8B" w14:textId="77777777" w:rsidTr="00DC01B6">
        <w:trPr>
          <w:trHeight w:val="375"/>
        </w:trPr>
        <w:tc>
          <w:tcPr>
            <w:tcW w:w="580" w:type="dxa"/>
            <w:tcBorders>
              <w:top w:val="nil"/>
              <w:left w:val="nil"/>
              <w:bottom w:val="nil"/>
              <w:right w:val="nil"/>
            </w:tcBorders>
            <w:shd w:val="clear" w:color="000000" w:fill="006991"/>
            <w:noWrap/>
            <w:vAlign w:val="center"/>
            <w:hideMark/>
          </w:tcPr>
          <w:p w14:paraId="15F07F57" w14:textId="77777777" w:rsidR="00B36C39" w:rsidRPr="008C06F5" w:rsidRDefault="00B36C39" w:rsidP="00DC01B6">
            <w:pPr>
              <w:keepNext/>
              <w:keepLines/>
              <w:tabs>
                <w:tab w:val="clear" w:pos="567"/>
              </w:tabs>
              <w:spacing w:before="0" w:line="240" w:lineRule="auto"/>
              <w:ind w:left="193"/>
              <w:rPr>
                <w:rFonts w:ascii="Open Sans Semibold" w:eastAsia="Times New Roman" w:hAnsi="Open Sans Semibold" w:cs="Open Sans Semibold"/>
                <w:color w:val="FFFFFF"/>
                <w:sz w:val="16"/>
                <w:szCs w:val="16"/>
                <w:lang w:eastAsia="en-AU"/>
              </w:rPr>
            </w:pPr>
          </w:p>
        </w:tc>
        <w:tc>
          <w:tcPr>
            <w:tcW w:w="2100" w:type="dxa"/>
            <w:tcBorders>
              <w:top w:val="nil"/>
              <w:left w:val="nil"/>
              <w:bottom w:val="nil"/>
              <w:right w:val="nil"/>
            </w:tcBorders>
            <w:shd w:val="clear" w:color="000000" w:fill="006991"/>
            <w:vAlign w:val="center"/>
            <w:hideMark/>
          </w:tcPr>
          <w:p w14:paraId="4651D704" w14:textId="77777777" w:rsidR="00B36C39" w:rsidRPr="008C06F5" w:rsidRDefault="00B36C39" w:rsidP="00DC01B6">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8C06F5">
              <w:rPr>
                <w:rFonts w:ascii="Open Sans Semibold" w:eastAsia="Times New Roman" w:hAnsi="Open Sans Semibold" w:cs="Open Sans Semibold"/>
                <w:color w:val="FFFFFF"/>
                <w:sz w:val="16"/>
                <w:szCs w:val="16"/>
                <w:lang w:eastAsia="en-AU"/>
              </w:rPr>
              <w:t> </w:t>
            </w:r>
          </w:p>
        </w:tc>
        <w:tc>
          <w:tcPr>
            <w:tcW w:w="880" w:type="dxa"/>
            <w:tcBorders>
              <w:top w:val="nil"/>
              <w:left w:val="nil"/>
              <w:bottom w:val="nil"/>
              <w:right w:val="nil"/>
            </w:tcBorders>
            <w:shd w:val="clear" w:color="000000" w:fill="006991"/>
            <w:vAlign w:val="center"/>
            <w:hideMark/>
          </w:tcPr>
          <w:p w14:paraId="4CB286F3" w14:textId="77777777" w:rsidR="00B36C39" w:rsidRPr="008C06F5" w:rsidRDefault="00B36C39" w:rsidP="00DC01B6">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C06F5">
              <w:rPr>
                <w:rFonts w:ascii="Open Sans Semibold" w:eastAsia="Times New Roman" w:hAnsi="Open Sans Semibold" w:cs="Open Sans Semibold"/>
                <w:color w:val="FFFFFF"/>
                <w:sz w:val="16"/>
                <w:szCs w:val="16"/>
                <w:lang w:eastAsia="en-AU"/>
              </w:rPr>
              <w:t>2014-15</w:t>
            </w:r>
          </w:p>
        </w:tc>
        <w:tc>
          <w:tcPr>
            <w:tcW w:w="880" w:type="dxa"/>
            <w:tcBorders>
              <w:top w:val="nil"/>
              <w:left w:val="nil"/>
              <w:bottom w:val="nil"/>
              <w:right w:val="nil"/>
            </w:tcBorders>
            <w:shd w:val="clear" w:color="000000" w:fill="006991"/>
            <w:vAlign w:val="center"/>
            <w:hideMark/>
          </w:tcPr>
          <w:p w14:paraId="77EFF197" w14:textId="77777777" w:rsidR="00B36C39" w:rsidRPr="008C06F5" w:rsidRDefault="00B36C39" w:rsidP="00DC01B6">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C06F5">
              <w:rPr>
                <w:rFonts w:ascii="Open Sans Semibold" w:eastAsia="Times New Roman" w:hAnsi="Open Sans Semibold" w:cs="Open Sans Semibold"/>
                <w:color w:val="FFFFFF"/>
                <w:sz w:val="16"/>
                <w:szCs w:val="16"/>
                <w:lang w:eastAsia="en-AU"/>
              </w:rPr>
              <w:t>2015-16</w:t>
            </w:r>
          </w:p>
        </w:tc>
        <w:tc>
          <w:tcPr>
            <w:tcW w:w="880" w:type="dxa"/>
            <w:tcBorders>
              <w:top w:val="nil"/>
              <w:left w:val="nil"/>
              <w:bottom w:val="nil"/>
              <w:right w:val="nil"/>
            </w:tcBorders>
            <w:shd w:val="clear" w:color="000000" w:fill="006991"/>
            <w:vAlign w:val="center"/>
            <w:hideMark/>
          </w:tcPr>
          <w:p w14:paraId="4B141B7A" w14:textId="77777777" w:rsidR="00B36C39" w:rsidRPr="008C06F5" w:rsidRDefault="00B36C39" w:rsidP="00DC01B6">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C06F5">
              <w:rPr>
                <w:rFonts w:ascii="Open Sans Semibold" w:eastAsia="Times New Roman" w:hAnsi="Open Sans Semibold" w:cs="Open Sans Semibold"/>
                <w:color w:val="FFFFFF"/>
                <w:sz w:val="16"/>
                <w:szCs w:val="16"/>
                <w:lang w:eastAsia="en-AU"/>
              </w:rPr>
              <w:t>2016-17</w:t>
            </w:r>
          </w:p>
        </w:tc>
        <w:tc>
          <w:tcPr>
            <w:tcW w:w="880" w:type="dxa"/>
            <w:tcBorders>
              <w:top w:val="nil"/>
              <w:left w:val="nil"/>
              <w:bottom w:val="nil"/>
              <w:right w:val="nil"/>
            </w:tcBorders>
            <w:shd w:val="clear" w:color="000000" w:fill="006991"/>
            <w:vAlign w:val="center"/>
            <w:hideMark/>
          </w:tcPr>
          <w:p w14:paraId="5D6EE744" w14:textId="77777777" w:rsidR="00B36C39" w:rsidRPr="008C06F5" w:rsidRDefault="00B36C39" w:rsidP="00DC01B6">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C06F5">
              <w:rPr>
                <w:rFonts w:ascii="Open Sans Semibold" w:eastAsia="Times New Roman" w:hAnsi="Open Sans Semibold" w:cs="Open Sans Semibold"/>
                <w:color w:val="FFFFFF"/>
                <w:sz w:val="16"/>
                <w:szCs w:val="16"/>
                <w:lang w:eastAsia="en-AU"/>
              </w:rPr>
              <w:t>2017-18</w:t>
            </w:r>
          </w:p>
        </w:tc>
        <w:tc>
          <w:tcPr>
            <w:tcW w:w="880" w:type="dxa"/>
            <w:tcBorders>
              <w:top w:val="nil"/>
              <w:left w:val="nil"/>
              <w:bottom w:val="nil"/>
              <w:right w:val="nil"/>
            </w:tcBorders>
            <w:shd w:val="clear" w:color="000000" w:fill="006991"/>
            <w:vAlign w:val="center"/>
            <w:hideMark/>
          </w:tcPr>
          <w:p w14:paraId="02AB14A4" w14:textId="77777777" w:rsidR="00B36C39" w:rsidRPr="008C06F5" w:rsidRDefault="00B36C39" w:rsidP="00DC01B6">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C06F5">
              <w:rPr>
                <w:rFonts w:ascii="Open Sans Semibold" w:eastAsia="Times New Roman" w:hAnsi="Open Sans Semibold" w:cs="Open Sans Semibold"/>
                <w:color w:val="FFFFFF"/>
                <w:sz w:val="16"/>
                <w:szCs w:val="16"/>
                <w:lang w:eastAsia="en-AU"/>
              </w:rPr>
              <w:t>2018-19</w:t>
            </w:r>
          </w:p>
        </w:tc>
        <w:tc>
          <w:tcPr>
            <w:tcW w:w="880" w:type="dxa"/>
            <w:tcBorders>
              <w:top w:val="nil"/>
              <w:left w:val="nil"/>
              <w:bottom w:val="nil"/>
              <w:right w:val="nil"/>
            </w:tcBorders>
            <w:shd w:val="clear" w:color="000000" w:fill="006991"/>
            <w:vAlign w:val="center"/>
            <w:hideMark/>
          </w:tcPr>
          <w:p w14:paraId="7843917F" w14:textId="77777777" w:rsidR="00B36C39" w:rsidRPr="008C06F5" w:rsidRDefault="00B36C39" w:rsidP="00DC01B6">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C06F5">
              <w:rPr>
                <w:rFonts w:ascii="Open Sans Semibold" w:eastAsia="Times New Roman" w:hAnsi="Open Sans Semibold" w:cs="Open Sans Semibold"/>
                <w:color w:val="FFFFFF"/>
                <w:sz w:val="16"/>
                <w:szCs w:val="16"/>
                <w:lang w:eastAsia="en-AU"/>
              </w:rPr>
              <w:t>2019-20</w:t>
            </w:r>
          </w:p>
        </w:tc>
        <w:tc>
          <w:tcPr>
            <w:tcW w:w="880" w:type="dxa"/>
            <w:tcBorders>
              <w:top w:val="nil"/>
              <w:left w:val="nil"/>
              <w:bottom w:val="nil"/>
              <w:right w:val="nil"/>
            </w:tcBorders>
            <w:shd w:val="clear" w:color="000000" w:fill="006991"/>
            <w:vAlign w:val="center"/>
            <w:hideMark/>
          </w:tcPr>
          <w:p w14:paraId="53319EA3" w14:textId="77777777" w:rsidR="00B36C39" w:rsidRPr="008C06F5" w:rsidRDefault="00B36C39" w:rsidP="00DC01B6">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C06F5">
              <w:rPr>
                <w:rFonts w:ascii="Open Sans Semibold" w:eastAsia="Times New Roman" w:hAnsi="Open Sans Semibold" w:cs="Open Sans Semibold"/>
                <w:color w:val="FFFFFF"/>
                <w:sz w:val="16"/>
                <w:szCs w:val="16"/>
                <w:lang w:eastAsia="en-AU"/>
              </w:rPr>
              <w:t>2020-21</w:t>
            </w:r>
          </w:p>
        </w:tc>
      </w:tr>
      <w:tr w:rsidR="00B36C39" w:rsidRPr="008C06F5" w14:paraId="1AD024B0" w14:textId="77777777" w:rsidTr="00DC01B6">
        <w:trPr>
          <w:trHeight w:val="300"/>
        </w:trPr>
        <w:tc>
          <w:tcPr>
            <w:tcW w:w="580" w:type="dxa"/>
            <w:tcBorders>
              <w:top w:val="nil"/>
              <w:left w:val="nil"/>
              <w:bottom w:val="nil"/>
              <w:right w:val="nil"/>
            </w:tcBorders>
            <w:shd w:val="clear" w:color="000000" w:fill="FFFFFF"/>
            <w:noWrap/>
            <w:vAlign w:val="bottom"/>
            <w:hideMark/>
          </w:tcPr>
          <w:p w14:paraId="57C42C7A" w14:textId="77777777" w:rsidR="00B36C39" w:rsidRPr="008C06F5" w:rsidRDefault="00B36C39" w:rsidP="00DC01B6">
            <w:pPr>
              <w:keepNext/>
              <w:keepLines/>
              <w:tabs>
                <w:tab w:val="clear" w:pos="567"/>
              </w:tabs>
              <w:spacing w:before="0" w:line="240" w:lineRule="auto"/>
              <w:ind w:left="193"/>
              <w:rPr>
                <w:rFonts w:eastAsia="Times New Roman" w:cs="Open Sans Light"/>
                <w:b/>
                <w:bCs/>
                <w:color w:val="000000"/>
                <w:sz w:val="16"/>
                <w:szCs w:val="16"/>
                <w:lang w:eastAsia="en-AU"/>
              </w:rPr>
            </w:pPr>
            <w:r w:rsidRPr="008C06F5">
              <w:rPr>
                <w:rFonts w:eastAsia="Times New Roman" w:cs="Open Sans Light"/>
                <w:b/>
                <w:bCs/>
                <w:color w:val="000000"/>
                <w:sz w:val="16"/>
                <w:szCs w:val="16"/>
                <w:lang w:eastAsia="en-AU"/>
              </w:rPr>
              <w:t xml:space="preserve">AP  </w:t>
            </w:r>
          </w:p>
        </w:tc>
        <w:tc>
          <w:tcPr>
            <w:tcW w:w="2100" w:type="dxa"/>
            <w:tcBorders>
              <w:top w:val="nil"/>
              <w:left w:val="nil"/>
              <w:bottom w:val="single" w:sz="4" w:space="0" w:color="ADD6EA"/>
              <w:right w:val="nil"/>
            </w:tcBorders>
            <w:shd w:val="clear" w:color="000000" w:fill="FFFFFF"/>
            <w:noWrap/>
            <w:vAlign w:val="bottom"/>
            <w:hideMark/>
          </w:tcPr>
          <w:p w14:paraId="1BEB3730" w14:textId="77777777" w:rsidR="00B36C39" w:rsidRPr="008C06F5" w:rsidRDefault="00B36C39" w:rsidP="00DC01B6">
            <w:pPr>
              <w:keepNext/>
              <w:keepLines/>
              <w:tabs>
                <w:tab w:val="clear" w:pos="567"/>
              </w:tabs>
              <w:spacing w:before="0" w:line="240" w:lineRule="auto"/>
              <w:rPr>
                <w:rFonts w:eastAsia="Times New Roman" w:cs="Open Sans Light"/>
                <w:b/>
                <w:bCs/>
                <w:color w:val="000000"/>
                <w:sz w:val="16"/>
                <w:szCs w:val="16"/>
                <w:lang w:eastAsia="en-AU"/>
              </w:rPr>
            </w:pPr>
            <w:r w:rsidRPr="008C06F5">
              <w:rPr>
                <w:rFonts w:eastAsia="Times New Roman" w:cs="Open Sans Light"/>
                <w:b/>
                <w:bCs/>
                <w:color w:val="000000"/>
                <w:sz w:val="16"/>
                <w:szCs w:val="16"/>
                <w:lang w:eastAsia="en-AU"/>
              </w:rPr>
              <w:t>By patient address</w:t>
            </w:r>
          </w:p>
        </w:tc>
        <w:tc>
          <w:tcPr>
            <w:tcW w:w="880" w:type="dxa"/>
            <w:tcBorders>
              <w:top w:val="nil"/>
              <w:left w:val="nil"/>
              <w:bottom w:val="single" w:sz="4" w:space="0" w:color="ADD6EA"/>
              <w:right w:val="nil"/>
            </w:tcBorders>
            <w:shd w:val="clear" w:color="000000" w:fill="FFFFFF"/>
            <w:noWrap/>
            <w:vAlign w:val="bottom"/>
            <w:hideMark/>
          </w:tcPr>
          <w:p w14:paraId="29B0F160"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0428A78D"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26B07E20"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5BE36A6A"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3E7647B7"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5AA9FDD6"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467BEA16"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r>
      <w:tr w:rsidR="00B36C39" w:rsidRPr="008C06F5" w14:paraId="6CDE444F" w14:textId="77777777" w:rsidTr="00DC01B6">
        <w:trPr>
          <w:trHeight w:val="300"/>
        </w:trPr>
        <w:tc>
          <w:tcPr>
            <w:tcW w:w="580" w:type="dxa"/>
            <w:tcBorders>
              <w:top w:val="nil"/>
              <w:left w:val="nil"/>
              <w:bottom w:val="nil"/>
              <w:right w:val="nil"/>
            </w:tcBorders>
            <w:shd w:val="clear" w:color="000000" w:fill="FFFFFF"/>
            <w:noWrap/>
            <w:vAlign w:val="bottom"/>
            <w:hideMark/>
          </w:tcPr>
          <w:p w14:paraId="3E1C2D7C" w14:textId="77777777" w:rsidR="00B36C39" w:rsidRPr="008C06F5" w:rsidRDefault="00B36C39" w:rsidP="00DC01B6">
            <w:pPr>
              <w:keepNext/>
              <w:keepLines/>
              <w:tabs>
                <w:tab w:val="clear" w:pos="567"/>
              </w:tabs>
              <w:spacing w:before="0" w:line="240" w:lineRule="auto"/>
              <w:ind w:left="193"/>
              <w:rPr>
                <w:rFonts w:eastAsia="Times New Roman" w:cs="Open Sans Light"/>
                <w:b/>
                <w:bCs/>
                <w:color w:val="000000"/>
                <w:sz w:val="16"/>
                <w:szCs w:val="16"/>
                <w:lang w:eastAsia="en-AU"/>
              </w:rPr>
            </w:pPr>
            <w:r w:rsidRPr="008C06F5">
              <w:rPr>
                <w:rFonts w:eastAsia="Times New Roman" w:cs="Open Sans Light"/>
                <w:b/>
                <w:bCs/>
                <w:color w:val="000000"/>
                <w:sz w:val="16"/>
                <w:szCs w:val="16"/>
                <w:lang w:eastAsia="en-AU"/>
              </w:rPr>
              <w:t> </w:t>
            </w:r>
          </w:p>
        </w:tc>
        <w:tc>
          <w:tcPr>
            <w:tcW w:w="2100" w:type="dxa"/>
            <w:tcBorders>
              <w:top w:val="nil"/>
              <w:left w:val="nil"/>
              <w:bottom w:val="single" w:sz="4" w:space="0" w:color="ADD6EA"/>
              <w:right w:val="nil"/>
            </w:tcBorders>
            <w:shd w:val="clear" w:color="000000" w:fill="FFFFFF"/>
            <w:noWrap/>
            <w:vAlign w:val="bottom"/>
            <w:hideMark/>
          </w:tcPr>
          <w:p w14:paraId="5A09B4B4" w14:textId="77777777" w:rsidR="00B36C39" w:rsidRPr="008C06F5" w:rsidRDefault="00B36C39" w:rsidP="00DC01B6">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8C06F5">
              <w:rPr>
                <w:rFonts w:eastAsia="Times New Roman" w:cs="Open Sans Light"/>
                <w:color w:val="000000"/>
                <w:sz w:val="16"/>
                <w:szCs w:val="16"/>
                <w:lang w:eastAsia="en-AU"/>
              </w:rPr>
              <w:t>Outer regional</w:t>
            </w:r>
          </w:p>
        </w:tc>
        <w:tc>
          <w:tcPr>
            <w:tcW w:w="880" w:type="dxa"/>
            <w:tcBorders>
              <w:top w:val="nil"/>
              <w:left w:val="nil"/>
              <w:bottom w:val="single" w:sz="4" w:space="0" w:color="ADD6EA"/>
              <w:right w:val="nil"/>
            </w:tcBorders>
            <w:shd w:val="clear" w:color="000000" w:fill="FFFFFF"/>
            <w:noWrap/>
            <w:vAlign w:val="bottom"/>
            <w:hideMark/>
          </w:tcPr>
          <w:p w14:paraId="4166423F"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7</w:t>
            </w:r>
          </w:p>
        </w:tc>
        <w:tc>
          <w:tcPr>
            <w:tcW w:w="880" w:type="dxa"/>
            <w:tcBorders>
              <w:top w:val="nil"/>
              <w:left w:val="nil"/>
              <w:bottom w:val="single" w:sz="4" w:space="0" w:color="ADD6EA"/>
              <w:right w:val="nil"/>
            </w:tcBorders>
            <w:shd w:val="clear" w:color="000000" w:fill="FFFFFF"/>
            <w:noWrap/>
            <w:vAlign w:val="bottom"/>
            <w:hideMark/>
          </w:tcPr>
          <w:p w14:paraId="0B083119"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8</w:t>
            </w:r>
          </w:p>
        </w:tc>
        <w:tc>
          <w:tcPr>
            <w:tcW w:w="880" w:type="dxa"/>
            <w:tcBorders>
              <w:top w:val="nil"/>
              <w:left w:val="nil"/>
              <w:bottom w:val="single" w:sz="4" w:space="0" w:color="ADD6EA"/>
              <w:right w:val="nil"/>
            </w:tcBorders>
            <w:shd w:val="clear" w:color="000000" w:fill="FFFFFF"/>
            <w:noWrap/>
            <w:vAlign w:val="bottom"/>
            <w:hideMark/>
          </w:tcPr>
          <w:p w14:paraId="54504720"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8</w:t>
            </w:r>
          </w:p>
        </w:tc>
        <w:tc>
          <w:tcPr>
            <w:tcW w:w="880" w:type="dxa"/>
            <w:tcBorders>
              <w:top w:val="nil"/>
              <w:left w:val="nil"/>
              <w:bottom w:val="single" w:sz="4" w:space="0" w:color="ADD6EA"/>
              <w:right w:val="nil"/>
            </w:tcBorders>
            <w:shd w:val="clear" w:color="000000" w:fill="FFFFFF"/>
            <w:noWrap/>
            <w:vAlign w:val="bottom"/>
            <w:hideMark/>
          </w:tcPr>
          <w:p w14:paraId="26C57590"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8</w:t>
            </w:r>
          </w:p>
        </w:tc>
        <w:tc>
          <w:tcPr>
            <w:tcW w:w="880" w:type="dxa"/>
            <w:tcBorders>
              <w:top w:val="nil"/>
              <w:left w:val="nil"/>
              <w:bottom w:val="single" w:sz="4" w:space="0" w:color="ADD6EA"/>
              <w:right w:val="nil"/>
            </w:tcBorders>
            <w:shd w:val="clear" w:color="000000" w:fill="FFFFFF"/>
            <w:noWrap/>
            <w:vAlign w:val="bottom"/>
            <w:hideMark/>
          </w:tcPr>
          <w:p w14:paraId="003BCE1D"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8</w:t>
            </w:r>
          </w:p>
        </w:tc>
        <w:tc>
          <w:tcPr>
            <w:tcW w:w="880" w:type="dxa"/>
            <w:tcBorders>
              <w:top w:val="nil"/>
              <w:left w:val="nil"/>
              <w:bottom w:val="single" w:sz="4" w:space="0" w:color="ADD6EA"/>
              <w:right w:val="nil"/>
            </w:tcBorders>
            <w:shd w:val="clear" w:color="000000" w:fill="FFFFFF"/>
            <w:noWrap/>
            <w:vAlign w:val="bottom"/>
            <w:hideMark/>
          </w:tcPr>
          <w:p w14:paraId="115ED5E0"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8</w:t>
            </w:r>
          </w:p>
        </w:tc>
        <w:tc>
          <w:tcPr>
            <w:tcW w:w="880" w:type="dxa"/>
            <w:tcBorders>
              <w:top w:val="nil"/>
              <w:left w:val="nil"/>
              <w:bottom w:val="single" w:sz="4" w:space="0" w:color="ADD6EA"/>
              <w:right w:val="nil"/>
            </w:tcBorders>
            <w:shd w:val="clear" w:color="000000" w:fill="FFFFFF"/>
            <w:noWrap/>
            <w:vAlign w:val="bottom"/>
            <w:hideMark/>
          </w:tcPr>
          <w:p w14:paraId="7E3FB3B6"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8</w:t>
            </w:r>
          </w:p>
        </w:tc>
      </w:tr>
      <w:tr w:rsidR="00B36C39" w:rsidRPr="008C06F5" w14:paraId="5B878193" w14:textId="77777777" w:rsidTr="00DC01B6">
        <w:trPr>
          <w:trHeight w:val="300"/>
        </w:trPr>
        <w:tc>
          <w:tcPr>
            <w:tcW w:w="580" w:type="dxa"/>
            <w:tcBorders>
              <w:top w:val="nil"/>
              <w:left w:val="nil"/>
              <w:bottom w:val="nil"/>
              <w:right w:val="nil"/>
            </w:tcBorders>
            <w:shd w:val="clear" w:color="000000" w:fill="FFFFFF"/>
            <w:noWrap/>
            <w:vAlign w:val="bottom"/>
            <w:hideMark/>
          </w:tcPr>
          <w:p w14:paraId="25EF6C08" w14:textId="77777777" w:rsidR="00B36C39" w:rsidRPr="008C06F5" w:rsidRDefault="00B36C39" w:rsidP="00DC01B6">
            <w:pPr>
              <w:keepNext/>
              <w:keepLines/>
              <w:tabs>
                <w:tab w:val="clear" w:pos="567"/>
              </w:tabs>
              <w:spacing w:before="0" w:line="240" w:lineRule="auto"/>
              <w:ind w:left="193"/>
              <w:rPr>
                <w:rFonts w:eastAsia="Times New Roman" w:cs="Open Sans Light"/>
                <w:b/>
                <w:bCs/>
                <w:color w:val="000000"/>
                <w:sz w:val="16"/>
                <w:szCs w:val="16"/>
                <w:lang w:eastAsia="en-AU"/>
              </w:rPr>
            </w:pPr>
            <w:r w:rsidRPr="008C06F5">
              <w:rPr>
                <w:rFonts w:eastAsia="Times New Roman" w:cs="Open Sans Light"/>
                <w:b/>
                <w:bCs/>
                <w:color w:val="000000"/>
                <w:sz w:val="16"/>
                <w:szCs w:val="16"/>
                <w:lang w:eastAsia="en-AU"/>
              </w:rPr>
              <w:t> </w:t>
            </w:r>
          </w:p>
        </w:tc>
        <w:tc>
          <w:tcPr>
            <w:tcW w:w="2100" w:type="dxa"/>
            <w:tcBorders>
              <w:top w:val="nil"/>
              <w:left w:val="nil"/>
              <w:bottom w:val="single" w:sz="4" w:space="0" w:color="ADD6EA"/>
              <w:right w:val="nil"/>
            </w:tcBorders>
            <w:shd w:val="clear" w:color="000000" w:fill="FFFFFF"/>
            <w:noWrap/>
            <w:vAlign w:val="bottom"/>
            <w:hideMark/>
          </w:tcPr>
          <w:p w14:paraId="6D1046F2" w14:textId="77777777" w:rsidR="00B36C39" w:rsidRPr="008C06F5" w:rsidRDefault="00B36C39" w:rsidP="00DC01B6">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8C06F5">
              <w:rPr>
                <w:rFonts w:eastAsia="Times New Roman" w:cs="Open Sans Light"/>
                <w:color w:val="000000"/>
                <w:sz w:val="16"/>
                <w:szCs w:val="16"/>
                <w:lang w:eastAsia="en-AU"/>
              </w:rPr>
              <w:t>Remote</w:t>
            </w:r>
          </w:p>
        </w:tc>
        <w:tc>
          <w:tcPr>
            <w:tcW w:w="880" w:type="dxa"/>
            <w:tcBorders>
              <w:top w:val="nil"/>
              <w:left w:val="nil"/>
              <w:bottom w:val="single" w:sz="4" w:space="0" w:color="ADD6EA"/>
              <w:right w:val="nil"/>
            </w:tcBorders>
            <w:shd w:val="clear" w:color="000000" w:fill="FFFFFF"/>
            <w:noWrap/>
            <w:vAlign w:val="bottom"/>
            <w:hideMark/>
          </w:tcPr>
          <w:p w14:paraId="247E9C2A"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15</w:t>
            </w:r>
          </w:p>
        </w:tc>
        <w:tc>
          <w:tcPr>
            <w:tcW w:w="880" w:type="dxa"/>
            <w:tcBorders>
              <w:top w:val="nil"/>
              <w:left w:val="nil"/>
              <w:bottom w:val="single" w:sz="4" w:space="0" w:color="ADD6EA"/>
              <w:right w:val="nil"/>
            </w:tcBorders>
            <w:shd w:val="clear" w:color="000000" w:fill="FFFFFF"/>
            <w:noWrap/>
            <w:vAlign w:val="bottom"/>
            <w:hideMark/>
          </w:tcPr>
          <w:p w14:paraId="2839C09D"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16</w:t>
            </w:r>
          </w:p>
        </w:tc>
        <w:tc>
          <w:tcPr>
            <w:tcW w:w="880" w:type="dxa"/>
            <w:tcBorders>
              <w:top w:val="nil"/>
              <w:left w:val="nil"/>
              <w:bottom w:val="single" w:sz="4" w:space="0" w:color="ADD6EA"/>
              <w:right w:val="nil"/>
            </w:tcBorders>
            <w:shd w:val="clear" w:color="000000" w:fill="FFFFFF"/>
            <w:noWrap/>
            <w:vAlign w:val="bottom"/>
            <w:hideMark/>
          </w:tcPr>
          <w:p w14:paraId="4A9F1A35"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18</w:t>
            </w:r>
          </w:p>
        </w:tc>
        <w:tc>
          <w:tcPr>
            <w:tcW w:w="880" w:type="dxa"/>
            <w:tcBorders>
              <w:top w:val="nil"/>
              <w:left w:val="nil"/>
              <w:bottom w:val="single" w:sz="4" w:space="0" w:color="ADD6EA"/>
              <w:right w:val="nil"/>
            </w:tcBorders>
            <w:shd w:val="clear" w:color="000000" w:fill="FFFFFF"/>
            <w:noWrap/>
            <w:vAlign w:val="bottom"/>
            <w:hideMark/>
          </w:tcPr>
          <w:p w14:paraId="54BD2E8E"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20</w:t>
            </w:r>
          </w:p>
        </w:tc>
        <w:tc>
          <w:tcPr>
            <w:tcW w:w="880" w:type="dxa"/>
            <w:tcBorders>
              <w:top w:val="nil"/>
              <w:left w:val="nil"/>
              <w:bottom w:val="single" w:sz="4" w:space="0" w:color="ADD6EA"/>
              <w:right w:val="nil"/>
            </w:tcBorders>
            <w:shd w:val="clear" w:color="000000" w:fill="FFFFFF"/>
            <w:noWrap/>
            <w:vAlign w:val="bottom"/>
            <w:hideMark/>
          </w:tcPr>
          <w:p w14:paraId="78AFEC7A"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25</w:t>
            </w:r>
          </w:p>
        </w:tc>
        <w:tc>
          <w:tcPr>
            <w:tcW w:w="880" w:type="dxa"/>
            <w:tcBorders>
              <w:top w:val="nil"/>
              <w:left w:val="nil"/>
              <w:bottom w:val="single" w:sz="4" w:space="0" w:color="ADD6EA"/>
              <w:right w:val="nil"/>
            </w:tcBorders>
            <w:shd w:val="clear" w:color="000000" w:fill="FFFFFF"/>
            <w:noWrap/>
            <w:vAlign w:val="bottom"/>
            <w:hideMark/>
          </w:tcPr>
          <w:p w14:paraId="100FFDEF"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27</w:t>
            </w:r>
          </w:p>
        </w:tc>
        <w:tc>
          <w:tcPr>
            <w:tcW w:w="880" w:type="dxa"/>
            <w:tcBorders>
              <w:top w:val="nil"/>
              <w:left w:val="nil"/>
              <w:bottom w:val="single" w:sz="4" w:space="0" w:color="ADD6EA"/>
              <w:right w:val="nil"/>
            </w:tcBorders>
            <w:shd w:val="clear" w:color="000000" w:fill="FFFFFF"/>
            <w:noWrap/>
            <w:vAlign w:val="bottom"/>
            <w:hideMark/>
          </w:tcPr>
          <w:p w14:paraId="508D65CE"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27</w:t>
            </w:r>
          </w:p>
        </w:tc>
      </w:tr>
      <w:tr w:rsidR="00B36C39" w:rsidRPr="008C06F5" w14:paraId="3330C2C1" w14:textId="77777777" w:rsidTr="00DC01B6">
        <w:trPr>
          <w:trHeight w:val="300"/>
        </w:trPr>
        <w:tc>
          <w:tcPr>
            <w:tcW w:w="580" w:type="dxa"/>
            <w:tcBorders>
              <w:top w:val="nil"/>
              <w:left w:val="nil"/>
              <w:bottom w:val="nil"/>
              <w:right w:val="nil"/>
            </w:tcBorders>
            <w:shd w:val="clear" w:color="000000" w:fill="FFFFFF"/>
            <w:noWrap/>
            <w:vAlign w:val="bottom"/>
            <w:hideMark/>
          </w:tcPr>
          <w:p w14:paraId="7882DA43" w14:textId="77777777" w:rsidR="00B36C39" w:rsidRPr="008C06F5" w:rsidRDefault="00B36C39" w:rsidP="00DC01B6">
            <w:pPr>
              <w:keepNext/>
              <w:keepLines/>
              <w:tabs>
                <w:tab w:val="clear" w:pos="567"/>
              </w:tabs>
              <w:spacing w:before="0" w:line="240" w:lineRule="auto"/>
              <w:ind w:left="193"/>
              <w:rPr>
                <w:rFonts w:eastAsia="Times New Roman" w:cs="Open Sans Light"/>
                <w:b/>
                <w:bCs/>
                <w:color w:val="000000"/>
                <w:sz w:val="16"/>
                <w:szCs w:val="16"/>
                <w:lang w:eastAsia="en-AU"/>
              </w:rPr>
            </w:pPr>
            <w:r w:rsidRPr="008C06F5">
              <w:rPr>
                <w:rFonts w:eastAsia="Times New Roman" w:cs="Open Sans Light"/>
                <w:b/>
                <w:bCs/>
                <w:color w:val="000000"/>
                <w:sz w:val="16"/>
                <w:szCs w:val="16"/>
                <w:lang w:eastAsia="en-AU"/>
              </w:rPr>
              <w:t> </w:t>
            </w:r>
          </w:p>
        </w:tc>
        <w:tc>
          <w:tcPr>
            <w:tcW w:w="2100" w:type="dxa"/>
            <w:tcBorders>
              <w:top w:val="nil"/>
              <w:left w:val="nil"/>
              <w:bottom w:val="single" w:sz="4" w:space="0" w:color="ADD6EA"/>
              <w:right w:val="nil"/>
            </w:tcBorders>
            <w:shd w:val="clear" w:color="000000" w:fill="FFFFFF"/>
            <w:noWrap/>
            <w:vAlign w:val="bottom"/>
            <w:hideMark/>
          </w:tcPr>
          <w:p w14:paraId="4EFC31D4" w14:textId="77777777" w:rsidR="00B36C39" w:rsidRPr="008C06F5" w:rsidRDefault="00B36C39" w:rsidP="00DC01B6">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8C06F5">
              <w:rPr>
                <w:rFonts w:eastAsia="Times New Roman" w:cs="Open Sans Light"/>
                <w:color w:val="000000"/>
                <w:sz w:val="16"/>
                <w:szCs w:val="16"/>
                <w:lang w:eastAsia="en-AU"/>
              </w:rPr>
              <w:t>Very remote</w:t>
            </w:r>
          </w:p>
        </w:tc>
        <w:tc>
          <w:tcPr>
            <w:tcW w:w="880" w:type="dxa"/>
            <w:tcBorders>
              <w:top w:val="nil"/>
              <w:left w:val="nil"/>
              <w:bottom w:val="single" w:sz="4" w:space="0" w:color="ADD6EA"/>
              <w:right w:val="nil"/>
            </w:tcBorders>
            <w:shd w:val="clear" w:color="000000" w:fill="FFFFFF"/>
            <w:noWrap/>
            <w:vAlign w:val="bottom"/>
            <w:hideMark/>
          </w:tcPr>
          <w:p w14:paraId="3C1064A9"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21</w:t>
            </w:r>
          </w:p>
        </w:tc>
        <w:tc>
          <w:tcPr>
            <w:tcW w:w="880" w:type="dxa"/>
            <w:tcBorders>
              <w:top w:val="nil"/>
              <w:left w:val="nil"/>
              <w:bottom w:val="single" w:sz="4" w:space="0" w:color="ADD6EA"/>
              <w:right w:val="nil"/>
            </w:tcBorders>
            <w:shd w:val="clear" w:color="000000" w:fill="FFFFFF"/>
            <w:noWrap/>
            <w:vAlign w:val="bottom"/>
            <w:hideMark/>
          </w:tcPr>
          <w:p w14:paraId="5BF28EA5"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22</w:t>
            </w:r>
          </w:p>
        </w:tc>
        <w:tc>
          <w:tcPr>
            <w:tcW w:w="880" w:type="dxa"/>
            <w:tcBorders>
              <w:top w:val="nil"/>
              <w:left w:val="nil"/>
              <w:bottom w:val="single" w:sz="4" w:space="0" w:color="ADD6EA"/>
              <w:right w:val="nil"/>
            </w:tcBorders>
            <w:shd w:val="clear" w:color="000000" w:fill="FFFFFF"/>
            <w:noWrap/>
            <w:vAlign w:val="bottom"/>
            <w:hideMark/>
          </w:tcPr>
          <w:p w14:paraId="03573553"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23</w:t>
            </w:r>
          </w:p>
        </w:tc>
        <w:tc>
          <w:tcPr>
            <w:tcW w:w="880" w:type="dxa"/>
            <w:tcBorders>
              <w:top w:val="nil"/>
              <w:left w:val="nil"/>
              <w:bottom w:val="single" w:sz="4" w:space="0" w:color="ADD6EA"/>
              <w:right w:val="nil"/>
            </w:tcBorders>
            <w:shd w:val="clear" w:color="000000" w:fill="FFFFFF"/>
            <w:noWrap/>
            <w:vAlign w:val="bottom"/>
            <w:hideMark/>
          </w:tcPr>
          <w:p w14:paraId="43A55B69"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25</w:t>
            </w:r>
          </w:p>
        </w:tc>
        <w:tc>
          <w:tcPr>
            <w:tcW w:w="880" w:type="dxa"/>
            <w:tcBorders>
              <w:top w:val="nil"/>
              <w:left w:val="nil"/>
              <w:bottom w:val="single" w:sz="4" w:space="0" w:color="ADD6EA"/>
              <w:right w:val="nil"/>
            </w:tcBorders>
            <w:shd w:val="clear" w:color="000000" w:fill="FFFFFF"/>
            <w:noWrap/>
            <w:vAlign w:val="bottom"/>
            <w:hideMark/>
          </w:tcPr>
          <w:p w14:paraId="39B0B611"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29</w:t>
            </w:r>
          </w:p>
        </w:tc>
        <w:tc>
          <w:tcPr>
            <w:tcW w:w="880" w:type="dxa"/>
            <w:tcBorders>
              <w:top w:val="nil"/>
              <w:left w:val="nil"/>
              <w:bottom w:val="single" w:sz="4" w:space="0" w:color="ADD6EA"/>
              <w:right w:val="nil"/>
            </w:tcBorders>
            <w:shd w:val="clear" w:color="000000" w:fill="FFFFFF"/>
            <w:noWrap/>
            <w:vAlign w:val="bottom"/>
            <w:hideMark/>
          </w:tcPr>
          <w:p w14:paraId="4B458BBB"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29</w:t>
            </w:r>
          </w:p>
        </w:tc>
        <w:tc>
          <w:tcPr>
            <w:tcW w:w="880" w:type="dxa"/>
            <w:tcBorders>
              <w:top w:val="nil"/>
              <w:left w:val="nil"/>
              <w:bottom w:val="single" w:sz="4" w:space="0" w:color="ADD6EA"/>
              <w:right w:val="nil"/>
            </w:tcBorders>
            <w:shd w:val="clear" w:color="000000" w:fill="FFFFFF"/>
            <w:noWrap/>
            <w:vAlign w:val="bottom"/>
            <w:hideMark/>
          </w:tcPr>
          <w:p w14:paraId="460E71CE"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30</w:t>
            </w:r>
          </w:p>
        </w:tc>
      </w:tr>
      <w:tr w:rsidR="00B36C39" w:rsidRPr="008C06F5" w14:paraId="5F18E636" w14:textId="77777777" w:rsidTr="00DC01B6">
        <w:trPr>
          <w:trHeight w:val="300"/>
        </w:trPr>
        <w:tc>
          <w:tcPr>
            <w:tcW w:w="580" w:type="dxa"/>
            <w:tcBorders>
              <w:top w:val="nil"/>
              <w:left w:val="nil"/>
              <w:bottom w:val="nil"/>
              <w:right w:val="nil"/>
            </w:tcBorders>
            <w:shd w:val="clear" w:color="000000" w:fill="FFFFFF"/>
            <w:noWrap/>
            <w:vAlign w:val="bottom"/>
            <w:hideMark/>
          </w:tcPr>
          <w:p w14:paraId="70AC3490" w14:textId="77777777" w:rsidR="00B36C39" w:rsidRPr="008C06F5" w:rsidRDefault="00B36C39" w:rsidP="00DC01B6">
            <w:pPr>
              <w:keepNext/>
              <w:keepLines/>
              <w:tabs>
                <w:tab w:val="clear" w:pos="567"/>
              </w:tabs>
              <w:spacing w:before="0" w:line="240" w:lineRule="auto"/>
              <w:ind w:left="193"/>
              <w:rPr>
                <w:rFonts w:eastAsia="Times New Roman" w:cs="Open Sans Light"/>
                <w:b/>
                <w:bCs/>
                <w:color w:val="000000"/>
                <w:sz w:val="16"/>
                <w:szCs w:val="16"/>
                <w:lang w:eastAsia="en-AU"/>
              </w:rPr>
            </w:pPr>
            <w:r w:rsidRPr="008C06F5">
              <w:rPr>
                <w:rFonts w:eastAsia="Times New Roman" w:cs="Open Sans Light"/>
                <w:b/>
                <w:bCs/>
                <w:color w:val="000000"/>
                <w:sz w:val="16"/>
                <w:szCs w:val="16"/>
                <w:lang w:eastAsia="en-AU"/>
              </w:rPr>
              <w:t> </w:t>
            </w:r>
          </w:p>
        </w:tc>
        <w:tc>
          <w:tcPr>
            <w:tcW w:w="2100" w:type="dxa"/>
            <w:tcBorders>
              <w:top w:val="nil"/>
              <w:left w:val="nil"/>
              <w:bottom w:val="single" w:sz="4" w:space="0" w:color="ADD6EA"/>
              <w:right w:val="nil"/>
            </w:tcBorders>
            <w:shd w:val="clear" w:color="000000" w:fill="FFFFFF"/>
            <w:noWrap/>
            <w:vAlign w:val="bottom"/>
            <w:hideMark/>
          </w:tcPr>
          <w:p w14:paraId="196958F9" w14:textId="77777777" w:rsidR="00B36C39" w:rsidRPr="008C06F5" w:rsidRDefault="00B36C39" w:rsidP="00DC01B6">
            <w:pPr>
              <w:keepNext/>
              <w:keepLines/>
              <w:tabs>
                <w:tab w:val="clear" w:pos="567"/>
              </w:tabs>
              <w:spacing w:before="0" w:line="240" w:lineRule="auto"/>
              <w:rPr>
                <w:rFonts w:eastAsia="Times New Roman" w:cs="Open Sans Light"/>
                <w:b/>
                <w:bCs/>
                <w:color w:val="000000"/>
                <w:sz w:val="16"/>
                <w:szCs w:val="16"/>
                <w:lang w:eastAsia="en-AU"/>
              </w:rPr>
            </w:pPr>
            <w:r w:rsidRPr="008C06F5">
              <w:rPr>
                <w:rFonts w:eastAsia="Times New Roman" w:cs="Open Sans Light"/>
                <w:b/>
                <w:bCs/>
                <w:color w:val="000000"/>
                <w:sz w:val="16"/>
                <w:szCs w:val="16"/>
                <w:lang w:eastAsia="en-AU"/>
              </w:rPr>
              <w:t>By hospital address</w:t>
            </w:r>
          </w:p>
        </w:tc>
        <w:tc>
          <w:tcPr>
            <w:tcW w:w="880" w:type="dxa"/>
            <w:tcBorders>
              <w:top w:val="nil"/>
              <w:left w:val="nil"/>
              <w:bottom w:val="single" w:sz="4" w:space="0" w:color="ADD6EA"/>
              <w:right w:val="nil"/>
            </w:tcBorders>
            <w:shd w:val="clear" w:color="000000" w:fill="FFFFFF"/>
            <w:noWrap/>
            <w:vAlign w:val="bottom"/>
            <w:hideMark/>
          </w:tcPr>
          <w:p w14:paraId="79870838"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4C533C49"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303CA4BF"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21890044"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1FDBF21E"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53E43254"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746B9AA7"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r>
      <w:tr w:rsidR="00B36C39" w:rsidRPr="008C06F5" w14:paraId="664B11B9" w14:textId="77777777" w:rsidTr="00DC01B6">
        <w:trPr>
          <w:trHeight w:val="300"/>
        </w:trPr>
        <w:tc>
          <w:tcPr>
            <w:tcW w:w="580" w:type="dxa"/>
            <w:tcBorders>
              <w:top w:val="nil"/>
              <w:left w:val="nil"/>
              <w:bottom w:val="nil"/>
              <w:right w:val="nil"/>
            </w:tcBorders>
            <w:shd w:val="clear" w:color="000000" w:fill="FFFFFF"/>
            <w:noWrap/>
            <w:vAlign w:val="bottom"/>
            <w:hideMark/>
          </w:tcPr>
          <w:p w14:paraId="59449509" w14:textId="77777777" w:rsidR="00B36C39" w:rsidRPr="008C06F5" w:rsidRDefault="00B36C39" w:rsidP="00DC01B6">
            <w:pPr>
              <w:keepNext/>
              <w:keepLines/>
              <w:tabs>
                <w:tab w:val="clear" w:pos="567"/>
              </w:tabs>
              <w:spacing w:before="0" w:line="240" w:lineRule="auto"/>
              <w:ind w:left="193"/>
              <w:rPr>
                <w:rFonts w:eastAsia="Times New Roman" w:cs="Open Sans Light"/>
                <w:b/>
                <w:bCs/>
                <w:color w:val="000000"/>
                <w:sz w:val="16"/>
                <w:szCs w:val="16"/>
                <w:lang w:eastAsia="en-AU"/>
              </w:rPr>
            </w:pPr>
            <w:r w:rsidRPr="008C06F5">
              <w:rPr>
                <w:rFonts w:eastAsia="Times New Roman" w:cs="Open Sans Light"/>
                <w:b/>
                <w:bCs/>
                <w:color w:val="000000"/>
                <w:sz w:val="16"/>
                <w:szCs w:val="16"/>
                <w:lang w:eastAsia="en-AU"/>
              </w:rPr>
              <w:t> </w:t>
            </w:r>
          </w:p>
        </w:tc>
        <w:tc>
          <w:tcPr>
            <w:tcW w:w="2100" w:type="dxa"/>
            <w:tcBorders>
              <w:top w:val="nil"/>
              <w:left w:val="nil"/>
              <w:bottom w:val="single" w:sz="4" w:space="0" w:color="ADD6EA"/>
              <w:right w:val="nil"/>
            </w:tcBorders>
            <w:shd w:val="clear" w:color="000000" w:fill="FFFFFF"/>
            <w:noWrap/>
            <w:vAlign w:val="bottom"/>
            <w:hideMark/>
          </w:tcPr>
          <w:p w14:paraId="371657EE" w14:textId="77777777" w:rsidR="00B36C39" w:rsidRPr="008C06F5" w:rsidRDefault="00B36C39" w:rsidP="00DC01B6">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8C06F5">
              <w:rPr>
                <w:rFonts w:eastAsia="Times New Roman" w:cs="Open Sans Light"/>
                <w:color w:val="000000"/>
                <w:sz w:val="16"/>
                <w:szCs w:val="16"/>
                <w:lang w:eastAsia="en-AU"/>
              </w:rPr>
              <w:t>Remote</w:t>
            </w:r>
          </w:p>
        </w:tc>
        <w:tc>
          <w:tcPr>
            <w:tcW w:w="880" w:type="dxa"/>
            <w:tcBorders>
              <w:top w:val="nil"/>
              <w:left w:val="nil"/>
              <w:bottom w:val="single" w:sz="4" w:space="0" w:color="ADD6EA"/>
              <w:right w:val="nil"/>
            </w:tcBorders>
            <w:shd w:val="clear" w:color="000000" w:fill="FFFFFF"/>
            <w:noWrap/>
            <w:vAlign w:val="bottom"/>
            <w:hideMark/>
          </w:tcPr>
          <w:p w14:paraId="6F38213F"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57605B48"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269ABA7D"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18F12561"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7633B727"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8</w:t>
            </w:r>
          </w:p>
        </w:tc>
        <w:tc>
          <w:tcPr>
            <w:tcW w:w="880" w:type="dxa"/>
            <w:tcBorders>
              <w:top w:val="nil"/>
              <w:left w:val="nil"/>
              <w:bottom w:val="single" w:sz="4" w:space="0" w:color="ADD6EA"/>
              <w:right w:val="nil"/>
            </w:tcBorders>
            <w:shd w:val="clear" w:color="000000" w:fill="FFFFFF"/>
            <w:noWrap/>
            <w:vAlign w:val="bottom"/>
            <w:hideMark/>
          </w:tcPr>
          <w:p w14:paraId="390646DC"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8</w:t>
            </w:r>
          </w:p>
        </w:tc>
        <w:tc>
          <w:tcPr>
            <w:tcW w:w="880" w:type="dxa"/>
            <w:tcBorders>
              <w:top w:val="nil"/>
              <w:left w:val="nil"/>
              <w:bottom w:val="single" w:sz="4" w:space="0" w:color="ADD6EA"/>
              <w:right w:val="nil"/>
            </w:tcBorders>
            <w:shd w:val="clear" w:color="000000" w:fill="FFFFFF"/>
            <w:noWrap/>
            <w:vAlign w:val="bottom"/>
            <w:hideMark/>
          </w:tcPr>
          <w:p w14:paraId="40D92AC8"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7</w:t>
            </w:r>
          </w:p>
        </w:tc>
      </w:tr>
      <w:tr w:rsidR="00B36C39" w:rsidRPr="008C06F5" w14:paraId="5FDF62B3" w14:textId="77777777" w:rsidTr="00DC01B6">
        <w:trPr>
          <w:trHeight w:val="300"/>
        </w:trPr>
        <w:tc>
          <w:tcPr>
            <w:tcW w:w="580" w:type="dxa"/>
            <w:tcBorders>
              <w:top w:val="nil"/>
              <w:left w:val="nil"/>
              <w:bottom w:val="single" w:sz="4" w:space="0" w:color="ADD6EA"/>
              <w:right w:val="nil"/>
            </w:tcBorders>
            <w:shd w:val="clear" w:color="000000" w:fill="FFFFFF"/>
            <w:noWrap/>
            <w:vAlign w:val="bottom"/>
            <w:hideMark/>
          </w:tcPr>
          <w:p w14:paraId="68F3C297" w14:textId="77777777" w:rsidR="00B36C39" w:rsidRPr="008C06F5" w:rsidRDefault="00B36C39" w:rsidP="00DC01B6">
            <w:pPr>
              <w:keepNext/>
              <w:keepLines/>
              <w:tabs>
                <w:tab w:val="clear" w:pos="567"/>
              </w:tabs>
              <w:spacing w:before="0" w:line="240" w:lineRule="auto"/>
              <w:ind w:left="193"/>
              <w:rPr>
                <w:rFonts w:eastAsia="Times New Roman" w:cs="Open Sans Light"/>
                <w:b/>
                <w:bCs/>
                <w:color w:val="000000"/>
                <w:sz w:val="16"/>
                <w:szCs w:val="16"/>
                <w:lang w:eastAsia="en-AU"/>
              </w:rPr>
            </w:pPr>
            <w:r w:rsidRPr="008C06F5">
              <w:rPr>
                <w:rFonts w:eastAsia="Times New Roman" w:cs="Open Sans Light"/>
                <w:b/>
                <w:bCs/>
                <w:color w:val="000000"/>
                <w:sz w:val="16"/>
                <w:szCs w:val="16"/>
                <w:lang w:eastAsia="en-AU"/>
              </w:rPr>
              <w:t> </w:t>
            </w:r>
          </w:p>
        </w:tc>
        <w:tc>
          <w:tcPr>
            <w:tcW w:w="2100" w:type="dxa"/>
            <w:tcBorders>
              <w:top w:val="nil"/>
              <w:left w:val="nil"/>
              <w:bottom w:val="single" w:sz="4" w:space="0" w:color="ADD6EA"/>
              <w:right w:val="nil"/>
            </w:tcBorders>
            <w:shd w:val="clear" w:color="000000" w:fill="FFFFFF"/>
            <w:noWrap/>
            <w:vAlign w:val="bottom"/>
            <w:hideMark/>
          </w:tcPr>
          <w:p w14:paraId="6A7D19A2" w14:textId="77777777" w:rsidR="00B36C39" w:rsidRPr="008C06F5" w:rsidRDefault="00B36C39" w:rsidP="00DC01B6">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8C06F5">
              <w:rPr>
                <w:rFonts w:eastAsia="Times New Roman" w:cs="Open Sans Light"/>
                <w:color w:val="000000"/>
                <w:sz w:val="16"/>
                <w:szCs w:val="16"/>
                <w:lang w:eastAsia="en-AU"/>
              </w:rPr>
              <w:t>Very remote</w:t>
            </w:r>
          </w:p>
        </w:tc>
        <w:tc>
          <w:tcPr>
            <w:tcW w:w="880" w:type="dxa"/>
            <w:tcBorders>
              <w:top w:val="nil"/>
              <w:left w:val="nil"/>
              <w:bottom w:val="single" w:sz="4" w:space="0" w:color="ADD6EA"/>
              <w:right w:val="nil"/>
            </w:tcBorders>
            <w:shd w:val="clear" w:color="000000" w:fill="FFFFFF"/>
            <w:noWrap/>
            <w:vAlign w:val="bottom"/>
            <w:hideMark/>
          </w:tcPr>
          <w:p w14:paraId="5C4D4294"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1B0002BB"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6A75870A"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39CA72EF"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26A80EAC"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12</w:t>
            </w:r>
          </w:p>
        </w:tc>
        <w:tc>
          <w:tcPr>
            <w:tcW w:w="880" w:type="dxa"/>
            <w:tcBorders>
              <w:top w:val="nil"/>
              <w:left w:val="nil"/>
              <w:bottom w:val="single" w:sz="4" w:space="0" w:color="ADD6EA"/>
              <w:right w:val="nil"/>
            </w:tcBorders>
            <w:shd w:val="clear" w:color="000000" w:fill="FFFFFF"/>
            <w:noWrap/>
            <w:vAlign w:val="bottom"/>
            <w:hideMark/>
          </w:tcPr>
          <w:p w14:paraId="184799C7"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10</w:t>
            </w:r>
          </w:p>
        </w:tc>
        <w:tc>
          <w:tcPr>
            <w:tcW w:w="880" w:type="dxa"/>
            <w:tcBorders>
              <w:top w:val="nil"/>
              <w:left w:val="nil"/>
              <w:bottom w:val="single" w:sz="4" w:space="0" w:color="ADD6EA"/>
              <w:right w:val="nil"/>
            </w:tcBorders>
            <w:shd w:val="clear" w:color="000000" w:fill="FFFFFF"/>
            <w:noWrap/>
            <w:vAlign w:val="bottom"/>
            <w:hideMark/>
          </w:tcPr>
          <w:p w14:paraId="0DE3311A"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14</w:t>
            </w:r>
          </w:p>
        </w:tc>
      </w:tr>
      <w:tr w:rsidR="00B36C39" w:rsidRPr="008C06F5" w14:paraId="662400BC" w14:textId="77777777" w:rsidTr="00DC01B6">
        <w:trPr>
          <w:trHeight w:val="300"/>
        </w:trPr>
        <w:tc>
          <w:tcPr>
            <w:tcW w:w="580" w:type="dxa"/>
            <w:tcBorders>
              <w:top w:val="nil"/>
              <w:left w:val="nil"/>
              <w:bottom w:val="nil"/>
              <w:right w:val="nil"/>
            </w:tcBorders>
            <w:shd w:val="clear" w:color="000000" w:fill="FFFFFF"/>
            <w:noWrap/>
            <w:vAlign w:val="bottom"/>
            <w:hideMark/>
          </w:tcPr>
          <w:p w14:paraId="17DA45F8" w14:textId="77777777" w:rsidR="00B36C39" w:rsidRPr="008C06F5" w:rsidRDefault="00B36C39" w:rsidP="00DC01B6">
            <w:pPr>
              <w:keepNext/>
              <w:keepLines/>
              <w:tabs>
                <w:tab w:val="clear" w:pos="567"/>
              </w:tabs>
              <w:spacing w:before="0" w:line="240" w:lineRule="auto"/>
              <w:ind w:left="193"/>
              <w:rPr>
                <w:rFonts w:eastAsia="Times New Roman" w:cs="Open Sans Light"/>
                <w:b/>
                <w:bCs/>
                <w:color w:val="000000"/>
                <w:sz w:val="16"/>
                <w:szCs w:val="16"/>
                <w:lang w:eastAsia="en-AU"/>
              </w:rPr>
            </w:pPr>
            <w:r w:rsidRPr="008C06F5">
              <w:rPr>
                <w:rFonts w:eastAsia="Times New Roman" w:cs="Open Sans Light"/>
                <w:b/>
                <w:bCs/>
                <w:color w:val="000000"/>
                <w:sz w:val="16"/>
                <w:szCs w:val="16"/>
                <w:lang w:eastAsia="en-AU"/>
              </w:rPr>
              <w:t xml:space="preserve">ED   </w:t>
            </w:r>
          </w:p>
        </w:tc>
        <w:tc>
          <w:tcPr>
            <w:tcW w:w="2100" w:type="dxa"/>
            <w:tcBorders>
              <w:top w:val="nil"/>
              <w:left w:val="nil"/>
              <w:bottom w:val="single" w:sz="4" w:space="0" w:color="ADD6EA"/>
              <w:right w:val="nil"/>
            </w:tcBorders>
            <w:shd w:val="clear" w:color="000000" w:fill="FFFFFF"/>
            <w:noWrap/>
            <w:vAlign w:val="bottom"/>
            <w:hideMark/>
          </w:tcPr>
          <w:p w14:paraId="2BBB05E0" w14:textId="77777777" w:rsidR="00B36C39" w:rsidRPr="008C06F5" w:rsidRDefault="00B36C39" w:rsidP="00DC01B6">
            <w:pPr>
              <w:keepNext/>
              <w:keepLines/>
              <w:tabs>
                <w:tab w:val="clear" w:pos="567"/>
              </w:tabs>
              <w:spacing w:before="0" w:line="240" w:lineRule="auto"/>
              <w:rPr>
                <w:rFonts w:eastAsia="Times New Roman" w:cs="Open Sans Light"/>
                <w:b/>
                <w:bCs/>
                <w:color w:val="000000"/>
                <w:sz w:val="16"/>
                <w:szCs w:val="16"/>
                <w:lang w:eastAsia="en-AU"/>
              </w:rPr>
            </w:pPr>
            <w:r w:rsidRPr="008C06F5">
              <w:rPr>
                <w:rFonts w:eastAsia="Times New Roman" w:cs="Open Sans Light"/>
                <w:b/>
                <w:bCs/>
                <w:color w:val="000000"/>
                <w:sz w:val="16"/>
                <w:szCs w:val="16"/>
                <w:lang w:eastAsia="en-AU"/>
              </w:rPr>
              <w:t>By patient address</w:t>
            </w:r>
          </w:p>
        </w:tc>
        <w:tc>
          <w:tcPr>
            <w:tcW w:w="880" w:type="dxa"/>
            <w:tcBorders>
              <w:top w:val="nil"/>
              <w:left w:val="nil"/>
              <w:bottom w:val="single" w:sz="4" w:space="0" w:color="ADD6EA"/>
              <w:right w:val="nil"/>
            </w:tcBorders>
            <w:shd w:val="clear" w:color="000000" w:fill="FFFFFF"/>
            <w:noWrap/>
            <w:vAlign w:val="bottom"/>
            <w:hideMark/>
          </w:tcPr>
          <w:p w14:paraId="40DD207E"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7E344B80"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37416383"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629375B9"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4E1831F1"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1140CE6F"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7E3C30AB"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r>
      <w:tr w:rsidR="00B36C39" w:rsidRPr="008C06F5" w14:paraId="4D584114" w14:textId="77777777" w:rsidTr="00DC01B6">
        <w:trPr>
          <w:trHeight w:val="300"/>
        </w:trPr>
        <w:tc>
          <w:tcPr>
            <w:tcW w:w="580" w:type="dxa"/>
            <w:tcBorders>
              <w:top w:val="nil"/>
              <w:left w:val="nil"/>
              <w:bottom w:val="nil"/>
              <w:right w:val="nil"/>
            </w:tcBorders>
            <w:shd w:val="clear" w:color="000000" w:fill="FFFFFF"/>
            <w:noWrap/>
            <w:vAlign w:val="bottom"/>
            <w:hideMark/>
          </w:tcPr>
          <w:p w14:paraId="0E3D2CCD" w14:textId="77777777" w:rsidR="00B36C39" w:rsidRPr="008C06F5" w:rsidRDefault="00B36C39" w:rsidP="00DC01B6">
            <w:pPr>
              <w:keepNext/>
              <w:keepLines/>
              <w:tabs>
                <w:tab w:val="clear" w:pos="567"/>
              </w:tabs>
              <w:spacing w:before="0" w:line="240" w:lineRule="auto"/>
              <w:ind w:left="193"/>
              <w:rPr>
                <w:rFonts w:eastAsia="Times New Roman" w:cs="Open Sans Light"/>
                <w:b/>
                <w:bCs/>
                <w:color w:val="000000"/>
                <w:sz w:val="16"/>
                <w:szCs w:val="16"/>
                <w:lang w:eastAsia="en-AU"/>
              </w:rPr>
            </w:pPr>
            <w:r w:rsidRPr="008C06F5">
              <w:rPr>
                <w:rFonts w:eastAsia="Times New Roman" w:cs="Open Sans Light"/>
                <w:b/>
                <w:bCs/>
                <w:color w:val="000000"/>
                <w:sz w:val="16"/>
                <w:szCs w:val="16"/>
                <w:lang w:eastAsia="en-AU"/>
              </w:rPr>
              <w:t> </w:t>
            </w:r>
          </w:p>
        </w:tc>
        <w:tc>
          <w:tcPr>
            <w:tcW w:w="2100" w:type="dxa"/>
            <w:tcBorders>
              <w:top w:val="nil"/>
              <w:left w:val="nil"/>
              <w:bottom w:val="single" w:sz="4" w:space="0" w:color="ADD6EA"/>
              <w:right w:val="nil"/>
            </w:tcBorders>
            <w:shd w:val="clear" w:color="000000" w:fill="FFFFFF"/>
            <w:noWrap/>
            <w:vAlign w:val="bottom"/>
            <w:hideMark/>
          </w:tcPr>
          <w:p w14:paraId="5BEC7BA7" w14:textId="77777777" w:rsidR="00B36C39" w:rsidRPr="008C06F5" w:rsidRDefault="00B36C39" w:rsidP="00DC01B6">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8C06F5">
              <w:rPr>
                <w:rFonts w:eastAsia="Times New Roman" w:cs="Open Sans Light"/>
                <w:color w:val="000000"/>
                <w:sz w:val="16"/>
                <w:szCs w:val="16"/>
                <w:lang w:eastAsia="en-AU"/>
              </w:rPr>
              <w:t xml:space="preserve">Remote / </w:t>
            </w:r>
            <w:r>
              <w:rPr>
                <w:rFonts w:eastAsia="Times New Roman" w:cs="Open Sans Light"/>
                <w:color w:val="000000"/>
                <w:sz w:val="16"/>
                <w:szCs w:val="16"/>
                <w:lang w:eastAsia="en-AU"/>
              </w:rPr>
              <w:t>V</w:t>
            </w:r>
            <w:r w:rsidRPr="008C06F5">
              <w:rPr>
                <w:rFonts w:eastAsia="Times New Roman" w:cs="Open Sans Light"/>
                <w:color w:val="000000"/>
                <w:sz w:val="16"/>
                <w:szCs w:val="16"/>
                <w:lang w:eastAsia="en-AU"/>
              </w:rPr>
              <w:t>ery remote</w:t>
            </w:r>
          </w:p>
        </w:tc>
        <w:tc>
          <w:tcPr>
            <w:tcW w:w="880" w:type="dxa"/>
            <w:tcBorders>
              <w:top w:val="nil"/>
              <w:left w:val="nil"/>
              <w:bottom w:val="single" w:sz="4" w:space="0" w:color="ADD6EA"/>
              <w:right w:val="nil"/>
            </w:tcBorders>
            <w:shd w:val="clear" w:color="000000" w:fill="FFFFFF"/>
            <w:noWrap/>
            <w:vAlign w:val="bottom"/>
            <w:hideMark/>
          </w:tcPr>
          <w:p w14:paraId="1A50A4F0"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22D45AEA"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47B080AC"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59453321"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4EC7615D"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22</w:t>
            </w:r>
          </w:p>
        </w:tc>
        <w:tc>
          <w:tcPr>
            <w:tcW w:w="880" w:type="dxa"/>
            <w:tcBorders>
              <w:top w:val="nil"/>
              <w:left w:val="nil"/>
              <w:bottom w:val="single" w:sz="4" w:space="0" w:color="ADD6EA"/>
              <w:right w:val="nil"/>
            </w:tcBorders>
            <w:shd w:val="clear" w:color="000000" w:fill="FFFFFF"/>
            <w:noWrap/>
            <w:vAlign w:val="bottom"/>
            <w:hideMark/>
          </w:tcPr>
          <w:p w14:paraId="51EF0799"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24</w:t>
            </w:r>
          </w:p>
        </w:tc>
        <w:tc>
          <w:tcPr>
            <w:tcW w:w="880" w:type="dxa"/>
            <w:tcBorders>
              <w:top w:val="nil"/>
              <w:left w:val="nil"/>
              <w:bottom w:val="single" w:sz="4" w:space="0" w:color="ADD6EA"/>
              <w:right w:val="nil"/>
            </w:tcBorders>
            <w:shd w:val="clear" w:color="000000" w:fill="FFFFFF"/>
            <w:noWrap/>
            <w:vAlign w:val="bottom"/>
            <w:hideMark/>
          </w:tcPr>
          <w:p w14:paraId="5A03581D"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25</w:t>
            </w:r>
          </w:p>
        </w:tc>
      </w:tr>
      <w:tr w:rsidR="00B36C39" w:rsidRPr="008C06F5" w14:paraId="74CC2512" w14:textId="77777777" w:rsidTr="00DC01B6">
        <w:trPr>
          <w:trHeight w:val="300"/>
        </w:trPr>
        <w:tc>
          <w:tcPr>
            <w:tcW w:w="580" w:type="dxa"/>
            <w:tcBorders>
              <w:top w:val="nil"/>
              <w:left w:val="nil"/>
              <w:bottom w:val="nil"/>
              <w:right w:val="nil"/>
            </w:tcBorders>
            <w:shd w:val="clear" w:color="000000" w:fill="FFFFFF"/>
            <w:noWrap/>
            <w:vAlign w:val="bottom"/>
            <w:hideMark/>
          </w:tcPr>
          <w:p w14:paraId="4DC56F5C" w14:textId="77777777" w:rsidR="00B36C39" w:rsidRPr="008C06F5" w:rsidRDefault="00B36C39" w:rsidP="00DC01B6">
            <w:pPr>
              <w:keepNext/>
              <w:keepLines/>
              <w:tabs>
                <w:tab w:val="clear" w:pos="567"/>
              </w:tabs>
              <w:spacing w:before="0" w:line="240" w:lineRule="auto"/>
              <w:ind w:left="193"/>
              <w:rPr>
                <w:rFonts w:eastAsia="Times New Roman" w:cs="Open Sans Light"/>
                <w:b/>
                <w:bCs/>
                <w:color w:val="000000"/>
                <w:sz w:val="16"/>
                <w:szCs w:val="16"/>
                <w:lang w:eastAsia="en-AU"/>
              </w:rPr>
            </w:pPr>
            <w:r w:rsidRPr="008C06F5">
              <w:rPr>
                <w:rFonts w:eastAsia="Times New Roman" w:cs="Open Sans Light"/>
                <w:b/>
                <w:bCs/>
                <w:color w:val="000000"/>
                <w:sz w:val="16"/>
                <w:szCs w:val="16"/>
                <w:lang w:eastAsia="en-AU"/>
              </w:rPr>
              <w:t xml:space="preserve"> </w:t>
            </w:r>
          </w:p>
        </w:tc>
        <w:tc>
          <w:tcPr>
            <w:tcW w:w="2100" w:type="dxa"/>
            <w:tcBorders>
              <w:top w:val="nil"/>
              <w:left w:val="nil"/>
              <w:bottom w:val="single" w:sz="4" w:space="0" w:color="ADD6EA"/>
              <w:right w:val="nil"/>
            </w:tcBorders>
            <w:shd w:val="clear" w:color="000000" w:fill="FFFFFF"/>
            <w:noWrap/>
            <w:vAlign w:val="bottom"/>
            <w:hideMark/>
          </w:tcPr>
          <w:p w14:paraId="2A4E071F" w14:textId="77777777" w:rsidR="00B36C39" w:rsidRPr="008C06F5" w:rsidRDefault="00B36C39" w:rsidP="00DC01B6">
            <w:pPr>
              <w:keepNext/>
              <w:keepLines/>
              <w:tabs>
                <w:tab w:val="clear" w:pos="567"/>
              </w:tabs>
              <w:spacing w:before="0" w:line="240" w:lineRule="auto"/>
              <w:rPr>
                <w:rFonts w:eastAsia="Times New Roman" w:cs="Open Sans Light"/>
                <w:b/>
                <w:bCs/>
                <w:color w:val="000000"/>
                <w:sz w:val="16"/>
                <w:szCs w:val="16"/>
                <w:lang w:eastAsia="en-AU"/>
              </w:rPr>
            </w:pPr>
            <w:r w:rsidRPr="008C06F5">
              <w:rPr>
                <w:rFonts w:eastAsia="Times New Roman" w:cs="Open Sans Light"/>
                <w:b/>
                <w:bCs/>
                <w:color w:val="000000"/>
                <w:sz w:val="16"/>
                <w:szCs w:val="16"/>
                <w:lang w:eastAsia="en-AU"/>
              </w:rPr>
              <w:t>By hospital address</w:t>
            </w:r>
          </w:p>
        </w:tc>
        <w:tc>
          <w:tcPr>
            <w:tcW w:w="880" w:type="dxa"/>
            <w:tcBorders>
              <w:top w:val="nil"/>
              <w:left w:val="nil"/>
              <w:bottom w:val="single" w:sz="4" w:space="0" w:color="ADD6EA"/>
              <w:right w:val="nil"/>
            </w:tcBorders>
            <w:shd w:val="clear" w:color="000000" w:fill="FFFFFF"/>
            <w:noWrap/>
            <w:vAlign w:val="bottom"/>
            <w:hideMark/>
          </w:tcPr>
          <w:p w14:paraId="0E73FCEB"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12BA6FE2"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1562E089"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0D4C9A6D"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4ECCF2FB"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2792678B"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369B099A"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r>
      <w:tr w:rsidR="00B36C39" w:rsidRPr="008C06F5" w14:paraId="01992FF5" w14:textId="77777777" w:rsidTr="00DC01B6">
        <w:trPr>
          <w:trHeight w:val="300"/>
        </w:trPr>
        <w:tc>
          <w:tcPr>
            <w:tcW w:w="580" w:type="dxa"/>
            <w:tcBorders>
              <w:top w:val="nil"/>
              <w:left w:val="nil"/>
              <w:bottom w:val="single" w:sz="4" w:space="0" w:color="ADD6EA"/>
              <w:right w:val="nil"/>
            </w:tcBorders>
            <w:shd w:val="clear" w:color="000000" w:fill="FFFFFF"/>
            <w:noWrap/>
            <w:vAlign w:val="bottom"/>
            <w:hideMark/>
          </w:tcPr>
          <w:p w14:paraId="56B7125B" w14:textId="77777777" w:rsidR="00B36C39" w:rsidRPr="008C06F5" w:rsidRDefault="00B36C39" w:rsidP="00DC01B6">
            <w:pPr>
              <w:keepNext/>
              <w:keepLines/>
              <w:tabs>
                <w:tab w:val="clear" w:pos="567"/>
              </w:tabs>
              <w:spacing w:before="0" w:line="240" w:lineRule="auto"/>
              <w:ind w:left="193"/>
              <w:rPr>
                <w:rFonts w:eastAsia="Times New Roman" w:cs="Open Sans Light"/>
                <w:b/>
                <w:bCs/>
                <w:color w:val="000000"/>
                <w:sz w:val="16"/>
                <w:szCs w:val="16"/>
                <w:lang w:eastAsia="en-AU"/>
              </w:rPr>
            </w:pPr>
            <w:r w:rsidRPr="008C06F5">
              <w:rPr>
                <w:rFonts w:eastAsia="Times New Roman" w:cs="Open Sans Light"/>
                <w:b/>
                <w:bCs/>
                <w:color w:val="000000"/>
                <w:sz w:val="16"/>
                <w:szCs w:val="16"/>
                <w:lang w:eastAsia="en-AU"/>
              </w:rPr>
              <w:t> </w:t>
            </w:r>
          </w:p>
        </w:tc>
        <w:tc>
          <w:tcPr>
            <w:tcW w:w="2100" w:type="dxa"/>
            <w:tcBorders>
              <w:top w:val="nil"/>
              <w:left w:val="nil"/>
              <w:bottom w:val="single" w:sz="4" w:space="0" w:color="ADD6EA"/>
              <w:right w:val="nil"/>
            </w:tcBorders>
            <w:shd w:val="clear" w:color="000000" w:fill="FFFFFF"/>
            <w:noWrap/>
            <w:vAlign w:val="bottom"/>
            <w:hideMark/>
          </w:tcPr>
          <w:p w14:paraId="48481FC6" w14:textId="77777777" w:rsidR="00B36C39" w:rsidRPr="008C06F5" w:rsidRDefault="00B36C39" w:rsidP="00DC01B6">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8C06F5">
              <w:rPr>
                <w:rFonts w:eastAsia="Times New Roman" w:cs="Open Sans Light"/>
                <w:color w:val="000000"/>
                <w:sz w:val="16"/>
                <w:szCs w:val="16"/>
                <w:lang w:eastAsia="en-AU"/>
              </w:rPr>
              <w:t xml:space="preserve">Remote / </w:t>
            </w:r>
            <w:r>
              <w:rPr>
                <w:rFonts w:eastAsia="Times New Roman" w:cs="Open Sans Light"/>
                <w:color w:val="000000"/>
                <w:sz w:val="16"/>
                <w:szCs w:val="16"/>
                <w:lang w:eastAsia="en-AU"/>
              </w:rPr>
              <w:t>V</w:t>
            </w:r>
            <w:r w:rsidRPr="008C06F5">
              <w:rPr>
                <w:rFonts w:eastAsia="Times New Roman" w:cs="Open Sans Light"/>
                <w:color w:val="000000"/>
                <w:sz w:val="16"/>
                <w:szCs w:val="16"/>
                <w:lang w:eastAsia="en-AU"/>
              </w:rPr>
              <w:t>ery remote</w:t>
            </w:r>
          </w:p>
        </w:tc>
        <w:tc>
          <w:tcPr>
            <w:tcW w:w="880" w:type="dxa"/>
            <w:tcBorders>
              <w:top w:val="nil"/>
              <w:left w:val="nil"/>
              <w:bottom w:val="single" w:sz="4" w:space="0" w:color="ADD6EA"/>
              <w:right w:val="nil"/>
            </w:tcBorders>
            <w:shd w:val="clear" w:color="000000" w:fill="FFFFFF"/>
            <w:noWrap/>
            <w:vAlign w:val="bottom"/>
            <w:hideMark/>
          </w:tcPr>
          <w:p w14:paraId="11F7CC4B"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6A651928"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43831169"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163FC8FB"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280E04E0"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3CDDC7FD"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5</w:t>
            </w:r>
          </w:p>
        </w:tc>
        <w:tc>
          <w:tcPr>
            <w:tcW w:w="880" w:type="dxa"/>
            <w:tcBorders>
              <w:top w:val="nil"/>
              <w:left w:val="nil"/>
              <w:bottom w:val="single" w:sz="4" w:space="0" w:color="ADD6EA"/>
              <w:right w:val="nil"/>
            </w:tcBorders>
            <w:shd w:val="clear" w:color="000000" w:fill="FFFFFF"/>
            <w:noWrap/>
            <w:vAlign w:val="bottom"/>
            <w:hideMark/>
          </w:tcPr>
          <w:p w14:paraId="234DFABF"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6</w:t>
            </w:r>
          </w:p>
        </w:tc>
      </w:tr>
      <w:tr w:rsidR="00B36C39" w:rsidRPr="008C06F5" w14:paraId="5CDC1836" w14:textId="77777777" w:rsidTr="00DC01B6">
        <w:trPr>
          <w:trHeight w:val="300"/>
        </w:trPr>
        <w:tc>
          <w:tcPr>
            <w:tcW w:w="580" w:type="dxa"/>
            <w:tcBorders>
              <w:top w:val="nil"/>
              <w:left w:val="nil"/>
              <w:bottom w:val="nil"/>
              <w:right w:val="nil"/>
            </w:tcBorders>
            <w:shd w:val="clear" w:color="000000" w:fill="FFFFFF"/>
            <w:noWrap/>
            <w:vAlign w:val="bottom"/>
            <w:hideMark/>
          </w:tcPr>
          <w:p w14:paraId="6CD170D0" w14:textId="77777777" w:rsidR="00B36C39" w:rsidRPr="008C06F5" w:rsidRDefault="00B36C39" w:rsidP="00DC01B6">
            <w:pPr>
              <w:keepNext/>
              <w:keepLines/>
              <w:tabs>
                <w:tab w:val="clear" w:pos="567"/>
              </w:tabs>
              <w:spacing w:before="0" w:line="240" w:lineRule="auto"/>
              <w:ind w:left="193"/>
              <w:rPr>
                <w:rFonts w:eastAsia="Times New Roman" w:cs="Open Sans Light"/>
                <w:b/>
                <w:bCs/>
                <w:color w:val="000000"/>
                <w:sz w:val="16"/>
                <w:szCs w:val="16"/>
                <w:lang w:eastAsia="en-AU"/>
              </w:rPr>
            </w:pPr>
            <w:r w:rsidRPr="008C06F5">
              <w:rPr>
                <w:rFonts w:eastAsia="Times New Roman" w:cs="Open Sans Light"/>
                <w:b/>
                <w:bCs/>
                <w:color w:val="000000"/>
                <w:sz w:val="16"/>
                <w:szCs w:val="16"/>
                <w:lang w:eastAsia="en-AU"/>
              </w:rPr>
              <w:t>NAP</w:t>
            </w:r>
          </w:p>
        </w:tc>
        <w:tc>
          <w:tcPr>
            <w:tcW w:w="2100" w:type="dxa"/>
            <w:tcBorders>
              <w:top w:val="nil"/>
              <w:left w:val="nil"/>
              <w:bottom w:val="single" w:sz="4" w:space="0" w:color="ADD6EA"/>
              <w:right w:val="nil"/>
            </w:tcBorders>
            <w:shd w:val="clear" w:color="000000" w:fill="FFFFFF"/>
            <w:noWrap/>
            <w:vAlign w:val="bottom"/>
            <w:hideMark/>
          </w:tcPr>
          <w:p w14:paraId="39E1DF37" w14:textId="77777777" w:rsidR="00B36C39" w:rsidRPr="008C06F5" w:rsidRDefault="00B36C39" w:rsidP="00DC01B6">
            <w:pPr>
              <w:keepNext/>
              <w:keepLines/>
              <w:tabs>
                <w:tab w:val="clear" w:pos="567"/>
              </w:tabs>
              <w:spacing w:before="0" w:line="240" w:lineRule="auto"/>
              <w:rPr>
                <w:rFonts w:eastAsia="Times New Roman" w:cs="Open Sans Light"/>
                <w:b/>
                <w:bCs/>
                <w:color w:val="000000"/>
                <w:sz w:val="16"/>
                <w:szCs w:val="16"/>
                <w:lang w:eastAsia="en-AU"/>
              </w:rPr>
            </w:pPr>
            <w:r w:rsidRPr="008C06F5">
              <w:rPr>
                <w:rFonts w:eastAsia="Times New Roman" w:cs="Open Sans Light"/>
                <w:b/>
                <w:bCs/>
                <w:color w:val="000000"/>
                <w:sz w:val="16"/>
                <w:szCs w:val="16"/>
                <w:lang w:eastAsia="en-AU"/>
              </w:rPr>
              <w:t>By patient address</w:t>
            </w:r>
          </w:p>
        </w:tc>
        <w:tc>
          <w:tcPr>
            <w:tcW w:w="880" w:type="dxa"/>
            <w:tcBorders>
              <w:top w:val="nil"/>
              <w:left w:val="nil"/>
              <w:bottom w:val="single" w:sz="4" w:space="0" w:color="ADD6EA"/>
              <w:right w:val="nil"/>
            </w:tcBorders>
            <w:shd w:val="clear" w:color="000000" w:fill="FFFFFF"/>
            <w:noWrap/>
            <w:vAlign w:val="bottom"/>
            <w:hideMark/>
          </w:tcPr>
          <w:p w14:paraId="293D058B"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250A60B1"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1A2C2CD0"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2BBFD81E"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79D2C558"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25E9C7FE"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14AA1B0A"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r>
      <w:tr w:rsidR="00B36C39" w:rsidRPr="008C06F5" w14:paraId="301B9055" w14:textId="77777777" w:rsidTr="00DC01B6">
        <w:trPr>
          <w:trHeight w:val="300"/>
        </w:trPr>
        <w:tc>
          <w:tcPr>
            <w:tcW w:w="580" w:type="dxa"/>
            <w:tcBorders>
              <w:top w:val="nil"/>
              <w:left w:val="nil"/>
              <w:bottom w:val="nil"/>
              <w:right w:val="nil"/>
            </w:tcBorders>
            <w:shd w:val="clear" w:color="000000" w:fill="FFFFFF"/>
            <w:noWrap/>
            <w:vAlign w:val="bottom"/>
            <w:hideMark/>
          </w:tcPr>
          <w:p w14:paraId="0299B7B2" w14:textId="77777777" w:rsidR="00B36C39" w:rsidRPr="008C06F5" w:rsidRDefault="00B36C39" w:rsidP="00DC01B6">
            <w:pPr>
              <w:keepNext/>
              <w:keepLines/>
              <w:tabs>
                <w:tab w:val="clear" w:pos="567"/>
              </w:tabs>
              <w:spacing w:before="0" w:line="240" w:lineRule="auto"/>
              <w:ind w:left="193"/>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2100" w:type="dxa"/>
            <w:tcBorders>
              <w:top w:val="nil"/>
              <w:left w:val="nil"/>
              <w:bottom w:val="single" w:sz="4" w:space="0" w:color="ADD6EA"/>
              <w:right w:val="nil"/>
            </w:tcBorders>
            <w:shd w:val="clear" w:color="000000" w:fill="FFFFFF"/>
            <w:noWrap/>
            <w:vAlign w:val="bottom"/>
            <w:hideMark/>
          </w:tcPr>
          <w:p w14:paraId="5E28E69A" w14:textId="77777777" w:rsidR="00B36C39" w:rsidRPr="008C06F5" w:rsidRDefault="00B36C39" w:rsidP="00DC01B6">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8C06F5">
              <w:rPr>
                <w:rFonts w:eastAsia="Times New Roman" w:cs="Open Sans Light"/>
                <w:color w:val="000000"/>
                <w:sz w:val="16"/>
                <w:szCs w:val="16"/>
                <w:lang w:eastAsia="en-AU"/>
              </w:rPr>
              <w:t>Outer regional</w:t>
            </w:r>
          </w:p>
        </w:tc>
        <w:tc>
          <w:tcPr>
            <w:tcW w:w="880" w:type="dxa"/>
            <w:tcBorders>
              <w:top w:val="nil"/>
              <w:left w:val="nil"/>
              <w:bottom w:val="single" w:sz="4" w:space="0" w:color="ADD6EA"/>
              <w:right w:val="nil"/>
            </w:tcBorders>
            <w:shd w:val="clear" w:color="000000" w:fill="FFFFFF"/>
            <w:noWrap/>
            <w:vAlign w:val="bottom"/>
            <w:hideMark/>
          </w:tcPr>
          <w:p w14:paraId="622391F7"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09A3906B"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62E80A9F"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7AEC66FA"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5A377044"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1BDACCD4"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8</w:t>
            </w:r>
          </w:p>
        </w:tc>
        <w:tc>
          <w:tcPr>
            <w:tcW w:w="880" w:type="dxa"/>
            <w:tcBorders>
              <w:top w:val="nil"/>
              <w:left w:val="nil"/>
              <w:bottom w:val="single" w:sz="4" w:space="0" w:color="ADD6EA"/>
              <w:right w:val="nil"/>
            </w:tcBorders>
            <w:shd w:val="clear" w:color="000000" w:fill="FFFFFF"/>
            <w:noWrap/>
            <w:vAlign w:val="bottom"/>
            <w:hideMark/>
          </w:tcPr>
          <w:p w14:paraId="33F0989D"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8</w:t>
            </w:r>
          </w:p>
        </w:tc>
      </w:tr>
      <w:tr w:rsidR="00B36C39" w:rsidRPr="008C06F5" w14:paraId="3A33FC03" w14:textId="77777777" w:rsidTr="00DC01B6">
        <w:trPr>
          <w:trHeight w:val="300"/>
        </w:trPr>
        <w:tc>
          <w:tcPr>
            <w:tcW w:w="580" w:type="dxa"/>
            <w:tcBorders>
              <w:top w:val="nil"/>
              <w:left w:val="nil"/>
              <w:bottom w:val="nil"/>
              <w:right w:val="nil"/>
            </w:tcBorders>
            <w:shd w:val="clear" w:color="000000" w:fill="FFFFFF"/>
            <w:noWrap/>
            <w:vAlign w:val="bottom"/>
            <w:hideMark/>
          </w:tcPr>
          <w:p w14:paraId="2C7CE9CB" w14:textId="77777777" w:rsidR="00B36C39" w:rsidRPr="008C06F5" w:rsidRDefault="00B36C39" w:rsidP="00DC01B6">
            <w:pPr>
              <w:keepNext/>
              <w:keepLines/>
              <w:tabs>
                <w:tab w:val="clear" w:pos="567"/>
              </w:tabs>
              <w:spacing w:before="0" w:line="240" w:lineRule="auto"/>
              <w:ind w:left="193"/>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2100" w:type="dxa"/>
            <w:tcBorders>
              <w:top w:val="nil"/>
              <w:left w:val="nil"/>
              <w:bottom w:val="single" w:sz="4" w:space="0" w:color="ADD6EA"/>
              <w:right w:val="nil"/>
            </w:tcBorders>
            <w:shd w:val="clear" w:color="000000" w:fill="FFFFFF"/>
            <w:noWrap/>
            <w:vAlign w:val="bottom"/>
            <w:hideMark/>
          </w:tcPr>
          <w:p w14:paraId="4F21CD36" w14:textId="77777777" w:rsidR="00B36C39" w:rsidRPr="008C06F5" w:rsidRDefault="00B36C39" w:rsidP="00DC01B6">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8C06F5">
              <w:rPr>
                <w:rFonts w:eastAsia="Times New Roman" w:cs="Open Sans Light"/>
                <w:color w:val="000000"/>
                <w:sz w:val="16"/>
                <w:szCs w:val="16"/>
                <w:lang w:eastAsia="en-AU"/>
              </w:rPr>
              <w:t>Remote</w:t>
            </w:r>
          </w:p>
        </w:tc>
        <w:tc>
          <w:tcPr>
            <w:tcW w:w="880" w:type="dxa"/>
            <w:tcBorders>
              <w:top w:val="nil"/>
              <w:left w:val="nil"/>
              <w:bottom w:val="single" w:sz="4" w:space="0" w:color="ADD6EA"/>
              <w:right w:val="nil"/>
            </w:tcBorders>
            <w:shd w:val="clear" w:color="000000" w:fill="FFFFFF"/>
            <w:noWrap/>
            <w:vAlign w:val="bottom"/>
            <w:hideMark/>
          </w:tcPr>
          <w:p w14:paraId="5ECA80DC"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19BE5583"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35E3310C"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67DD6483"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3365D68C"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64E49458"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27</w:t>
            </w:r>
          </w:p>
        </w:tc>
        <w:tc>
          <w:tcPr>
            <w:tcW w:w="880" w:type="dxa"/>
            <w:tcBorders>
              <w:top w:val="nil"/>
              <w:left w:val="nil"/>
              <w:bottom w:val="single" w:sz="4" w:space="0" w:color="ADD6EA"/>
              <w:right w:val="nil"/>
            </w:tcBorders>
            <w:shd w:val="clear" w:color="000000" w:fill="FFFFFF"/>
            <w:noWrap/>
            <w:vAlign w:val="bottom"/>
            <w:hideMark/>
          </w:tcPr>
          <w:p w14:paraId="301BEBDB"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27</w:t>
            </w:r>
          </w:p>
        </w:tc>
      </w:tr>
      <w:tr w:rsidR="00B36C39" w:rsidRPr="008C06F5" w14:paraId="79379C9C" w14:textId="77777777" w:rsidTr="00DC01B6">
        <w:trPr>
          <w:trHeight w:val="300"/>
        </w:trPr>
        <w:tc>
          <w:tcPr>
            <w:tcW w:w="580" w:type="dxa"/>
            <w:tcBorders>
              <w:top w:val="nil"/>
              <w:left w:val="nil"/>
              <w:bottom w:val="nil"/>
              <w:right w:val="nil"/>
            </w:tcBorders>
            <w:shd w:val="clear" w:color="000000" w:fill="FFFFFF"/>
            <w:noWrap/>
            <w:vAlign w:val="bottom"/>
            <w:hideMark/>
          </w:tcPr>
          <w:p w14:paraId="7757D58E" w14:textId="77777777" w:rsidR="00B36C39" w:rsidRPr="008C06F5" w:rsidRDefault="00B36C39" w:rsidP="00DC01B6">
            <w:pPr>
              <w:keepNext/>
              <w:keepLines/>
              <w:tabs>
                <w:tab w:val="clear" w:pos="567"/>
              </w:tabs>
              <w:spacing w:before="0" w:line="240" w:lineRule="auto"/>
              <w:ind w:left="193"/>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2100" w:type="dxa"/>
            <w:tcBorders>
              <w:top w:val="nil"/>
              <w:left w:val="nil"/>
              <w:bottom w:val="single" w:sz="4" w:space="0" w:color="ADD6EA"/>
              <w:right w:val="nil"/>
            </w:tcBorders>
            <w:shd w:val="clear" w:color="000000" w:fill="FFFFFF"/>
            <w:noWrap/>
            <w:vAlign w:val="bottom"/>
            <w:hideMark/>
          </w:tcPr>
          <w:p w14:paraId="7FA899F3" w14:textId="77777777" w:rsidR="00B36C39" w:rsidRPr="008C06F5" w:rsidRDefault="00B36C39" w:rsidP="00DC01B6">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8C06F5">
              <w:rPr>
                <w:rFonts w:eastAsia="Times New Roman" w:cs="Open Sans Light"/>
                <w:color w:val="000000"/>
                <w:sz w:val="16"/>
                <w:szCs w:val="16"/>
                <w:lang w:eastAsia="en-AU"/>
              </w:rPr>
              <w:t>Very remote</w:t>
            </w:r>
          </w:p>
        </w:tc>
        <w:tc>
          <w:tcPr>
            <w:tcW w:w="880" w:type="dxa"/>
            <w:tcBorders>
              <w:top w:val="nil"/>
              <w:left w:val="nil"/>
              <w:bottom w:val="single" w:sz="4" w:space="0" w:color="ADD6EA"/>
              <w:right w:val="nil"/>
            </w:tcBorders>
            <w:shd w:val="clear" w:color="000000" w:fill="FFFFFF"/>
            <w:noWrap/>
            <w:vAlign w:val="bottom"/>
            <w:hideMark/>
          </w:tcPr>
          <w:p w14:paraId="0226F8BD"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2C212F12"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1017992A"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745B9FA5"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7A087067"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30CD1C2D"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29</w:t>
            </w:r>
          </w:p>
        </w:tc>
        <w:tc>
          <w:tcPr>
            <w:tcW w:w="880" w:type="dxa"/>
            <w:tcBorders>
              <w:top w:val="nil"/>
              <w:left w:val="nil"/>
              <w:bottom w:val="single" w:sz="4" w:space="0" w:color="ADD6EA"/>
              <w:right w:val="nil"/>
            </w:tcBorders>
            <w:shd w:val="clear" w:color="000000" w:fill="FFFFFF"/>
            <w:noWrap/>
            <w:vAlign w:val="bottom"/>
            <w:hideMark/>
          </w:tcPr>
          <w:p w14:paraId="47BEAE75"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30</w:t>
            </w:r>
          </w:p>
        </w:tc>
      </w:tr>
      <w:tr w:rsidR="00B36C39" w:rsidRPr="008C06F5" w14:paraId="028DD698" w14:textId="77777777" w:rsidTr="00DC01B6">
        <w:trPr>
          <w:trHeight w:val="300"/>
        </w:trPr>
        <w:tc>
          <w:tcPr>
            <w:tcW w:w="580" w:type="dxa"/>
            <w:tcBorders>
              <w:top w:val="nil"/>
              <w:left w:val="nil"/>
              <w:bottom w:val="nil"/>
              <w:right w:val="nil"/>
            </w:tcBorders>
            <w:shd w:val="clear" w:color="000000" w:fill="FFFFFF"/>
            <w:noWrap/>
            <w:vAlign w:val="bottom"/>
            <w:hideMark/>
          </w:tcPr>
          <w:p w14:paraId="65801244" w14:textId="77777777" w:rsidR="00B36C39" w:rsidRPr="008C06F5" w:rsidRDefault="00B36C39" w:rsidP="00DC01B6">
            <w:pPr>
              <w:keepNext/>
              <w:keepLines/>
              <w:tabs>
                <w:tab w:val="clear" w:pos="567"/>
              </w:tabs>
              <w:spacing w:before="0" w:line="240" w:lineRule="auto"/>
              <w:ind w:left="193"/>
              <w:rPr>
                <w:rFonts w:eastAsia="Times New Roman" w:cs="Open Sans Light"/>
                <w:color w:val="000000"/>
                <w:sz w:val="16"/>
                <w:szCs w:val="16"/>
                <w:lang w:eastAsia="en-AU"/>
              </w:rPr>
            </w:pPr>
            <w:r w:rsidRPr="008C06F5">
              <w:rPr>
                <w:rFonts w:eastAsia="Times New Roman" w:cs="Open Sans Light"/>
                <w:color w:val="000000"/>
                <w:sz w:val="16"/>
                <w:szCs w:val="16"/>
                <w:lang w:eastAsia="en-AU"/>
              </w:rPr>
              <w:t xml:space="preserve"> </w:t>
            </w:r>
          </w:p>
        </w:tc>
        <w:tc>
          <w:tcPr>
            <w:tcW w:w="2100" w:type="dxa"/>
            <w:tcBorders>
              <w:top w:val="nil"/>
              <w:left w:val="nil"/>
              <w:bottom w:val="single" w:sz="4" w:space="0" w:color="ADD6EA"/>
              <w:right w:val="nil"/>
            </w:tcBorders>
            <w:shd w:val="clear" w:color="000000" w:fill="FFFFFF"/>
            <w:noWrap/>
            <w:vAlign w:val="bottom"/>
            <w:hideMark/>
          </w:tcPr>
          <w:p w14:paraId="7D49B5CF" w14:textId="77777777" w:rsidR="00B36C39" w:rsidRPr="008C06F5" w:rsidRDefault="00B36C39" w:rsidP="00DC01B6">
            <w:pPr>
              <w:keepNext/>
              <w:keepLines/>
              <w:tabs>
                <w:tab w:val="clear" w:pos="567"/>
              </w:tabs>
              <w:spacing w:before="0" w:line="240" w:lineRule="auto"/>
              <w:rPr>
                <w:rFonts w:eastAsia="Times New Roman" w:cs="Open Sans Light"/>
                <w:b/>
                <w:bCs/>
                <w:color w:val="000000"/>
                <w:sz w:val="16"/>
                <w:szCs w:val="16"/>
                <w:lang w:eastAsia="en-AU"/>
              </w:rPr>
            </w:pPr>
            <w:r w:rsidRPr="008C06F5">
              <w:rPr>
                <w:rFonts w:eastAsia="Times New Roman" w:cs="Open Sans Light"/>
                <w:b/>
                <w:bCs/>
                <w:color w:val="000000"/>
                <w:sz w:val="16"/>
                <w:szCs w:val="16"/>
                <w:lang w:eastAsia="en-AU"/>
              </w:rPr>
              <w:t>By hospital address</w:t>
            </w:r>
          </w:p>
        </w:tc>
        <w:tc>
          <w:tcPr>
            <w:tcW w:w="880" w:type="dxa"/>
            <w:tcBorders>
              <w:top w:val="nil"/>
              <w:left w:val="nil"/>
              <w:bottom w:val="single" w:sz="4" w:space="0" w:color="ADD6EA"/>
              <w:right w:val="nil"/>
            </w:tcBorders>
            <w:shd w:val="clear" w:color="000000" w:fill="FFFFFF"/>
            <w:noWrap/>
            <w:vAlign w:val="bottom"/>
            <w:hideMark/>
          </w:tcPr>
          <w:p w14:paraId="0FD0B0C0"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5419749D"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6F9B9415"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3E8CDCCB"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3CFF38A1"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262C4D02"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0C931B60"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r>
      <w:tr w:rsidR="00B36C39" w:rsidRPr="008C06F5" w14:paraId="454AC635" w14:textId="77777777" w:rsidTr="00DC01B6">
        <w:trPr>
          <w:trHeight w:val="300"/>
        </w:trPr>
        <w:tc>
          <w:tcPr>
            <w:tcW w:w="580" w:type="dxa"/>
            <w:tcBorders>
              <w:top w:val="nil"/>
              <w:left w:val="nil"/>
              <w:bottom w:val="nil"/>
              <w:right w:val="nil"/>
            </w:tcBorders>
            <w:shd w:val="clear" w:color="000000" w:fill="FFFFFF"/>
            <w:noWrap/>
            <w:vAlign w:val="bottom"/>
            <w:hideMark/>
          </w:tcPr>
          <w:p w14:paraId="166E38D9" w14:textId="77777777" w:rsidR="00B36C39" w:rsidRPr="008C06F5" w:rsidRDefault="00B36C39" w:rsidP="00DC01B6">
            <w:pPr>
              <w:keepNext/>
              <w:keepLines/>
              <w:tabs>
                <w:tab w:val="clear" w:pos="567"/>
              </w:tabs>
              <w:spacing w:before="0" w:line="240" w:lineRule="auto"/>
              <w:ind w:left="193"/>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2100" w:type="dxa"/>
            <w:tcBorders>
              <w:top w:val="nil"/>
              <w:left w:val="nil"/>
              <w:bottom w:val="single" w:sz="4" w:space="0" w:color="ADD6EA"/>
              <w:right w:val="nil"/>
            </w:tcBorders>
            <w:shd w:val="clear" w:color="000000" w:fill="FFFFFF"/>
            <w:noWrap/>
            <w:vAlign w:val="bottom"/>
            <w:hideMark/>
          </w:tcPr>
          <w:p w14:paraId="1D879615" w14:textId="77777777" w:rsidR="00B36C39" w:rsidRPr="008C06F5" w:rsidRDefault="00B36C39" w:rsidP="00DC01B6">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8C06F5">
              <w:rPr>
                <w:rFonts w:eastAsia="Times New Roman" w:cs="Open Sans Light"/>
                <w:color w:val="000000"/>
                <w:sz w:val="16"/>
                <w:szCs w:val="16"/>
                <w:lang w:eastAsia="en-AU"/>
              </w:rPr>
              <w:t>Remote</w:t>
            </w:r>
          </w:p>
        </w:tc>
        <w:tc>
          <w:tcPr>
            <w:tcW w:w="880" w:type="dxa"/>
            <w:tcBorders>
              <w:top w:val="nil"/>
              <w:left w:val="nil"/>
              <w:bottom w:val="single" w:sz="4" w:space="0" w:color="ADD6EA"/>
              <w:right w:val="nil"/>
            </w:tcBorders>
            <w:shd w:val="clear" w:color="000000" w:fill="FFFFFF"/>
            <w:noWrap/>
            <w:vAlign w:val="bottom"/>
            <w:hideMark/>
          </w:tcPr>
          <w:p w14:paraId="7595656A"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7F607FC7"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3412E144"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5358BDCD"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0E7641FC"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69CE1239"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8</w:t>
            </w:r>
          </w:p>
        </w:tc>
        <w:tc>
          <w:tcPr>
            <w:tcW w:w="880" w:type="dxa"/>
            <w:tcBorders>
              <w:top w:val="nil"/>
              <w:left w:val="nil"/>
              <w:bottom w:val="single" w:sz="4" w:space="0" w:color="ADD6EA"/>
              <w:right w:val="nil"/>
            </w:tcBorders>
            <w:shd w:val="clear" w:color="000000" w:fill="FFFFFF"/>
            <w:noWrap/>
            <w:vAlign w:val="bottom"/>
            <w:hideMark/>
          </w:tcPr>
          <w:p w14:paraId="219DFEF5"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7</w:t>
            </w:r>
          </w:p>
        </w:tc>
      </w:tr>
      <w:tr w:rsidR="00B36C39" w:rsidRPr="008C06F5" w14:paraId="1E882DB2" w14:textId="77777777" w:rsidTr="00DC01B6">
        <w:trPr>
          <w:trHeight w:val="300"/>
        </w:trPr>
        <w:tc>
          <w:tcPr>
            <w:tcW w:w="580" w:type="dxa"/>
            <w:tcBorders>
              <w:top w:val="nil"/>
              <w:left w:val="nil"/>
              <w:bottom w:val="single" w:sz="4" w:space="0" w:color="ADD6EA"/>
              <w:right w:val="nil"/>
            </w:tcBorders>
            <w:shd w:val="clear" w:color="000000" w:fill="FFFFFF"/>
            <w:noWrap/>
            <w:vAlign w:val="bottom"/>
            <w:hideMark/>
          </w:tcPr>
          <w:p w14:paraId="60A2CAD9" w14:textId="77777777" w:rsidR="00B36C39" w:rsidRPr="008C06F5" w:rsidRDefault="00B36C39" w:rsidP="00DC01B6">
            <w:pPr>
              <w:keepNext/>
              <w:keepLines/>
              <w:tabs>
                <w:tab w:val="clear" w:pos="567"/>
              </w:tabs>
              <w:spacing w:before="0" w:line="240" w:lineRule="auto"/>
              <w:ind w:left="193"/>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2100" w:type="dxa"/>
            <w:tcBorders>
              <w:top w:val="nil"/>
              <w:left w:val="nil"/>
              <w:bottom w:val="single" w:sz="4" w:space="0" w:color="ADD6EA"/>
              <w:right w:val="nil"/>
            </w:tcBorders>
            <w:shd w:val="clear" w:color="000000" w:fill="FFFFFF"/>
            <w:noWrap/>
            <w:vAlign w:val="bottom"/>
            <w:hideMark/>
          </w:tcPr>
          <w:p w14:paraId="604CE0BD" w14:textId="77777777" w:rsidR="00B36C39" w:rsidRPr="008C06F5" w:rsidRDefault="00B36C39" w:rsidP="00DC01B6">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8C06F5">
              <w:rPr>
                <w:rFonts w:eastAsia="Times New Roman" w:cs="Open Sans Light"/>
                <w:color w:val="000000"/>
                <w:sz w:val="16"/>
                <w:szCs w:val="16"/>
                <w:lang w:eastAsia="en-AU"/>
              </w:rPr>
              <w:t>Very remote</w:t>
            </w:r>
          </w:p>
        </w:tc>
        <w:tc>
          <w:tcPr>
            <w:tcW w:w="880" w:type="dxa"/>
            <w:tcBorders>
              <w:top w:val="nil"/>
              <w:left w:val="nil"/>
              <w:bottom w:val="single" w:sz="4" w:space="0" w:color="ADD6EA"/>
              <w:right w:val="nil"/>
            </w:tcBorders>
            <w:shd w:val="clear" w:color="000000" w:fill="FFFFFF"/>
            <w:noWrap/>
            <w:vAlign w:val="bottom"/>
            <w:hideMark/>
          </w:tcPr>
          <w:p w14:paraId="0056A0CF"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1663D921"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0F8D75C0"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40EAEF6B"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0FEFAF67" w14:textId="77777777" w:rsidR="00B36C39" w:rsidRPr="008C06F5" w:rsidRDefault="00B36C39" w:rsidP="00DC01B6">
            <w:pPr>
              <w:keepNext/>
              <w:keepLines/>
              <w:tabs>
                <w:tab w:val="clear" w:pos="567"/>
              </w:tabs>
              <w:spacing w:before="0" w:line="240" w:lineRule="auto"/>
              <w:rPr>
                <w:rFonts w:eastAsia="Times New Roman" w:cs="Open Sans Light"/>
                <w:color w:val="000000"/>
                <w:sz w:val="16"/>
                <w:szCs w:val="16"/>
                <w:lang w:eastAsia="en-AU"/>
              </w:rPr>
            </w:pPr>
            <w:r w:rsidRPr="008C06F5">
              <w:rPr>
                <w:rFonts w:eastAsia="Times New Roman" w:cs="Open Sans Light"/>
                <w:color w:val="000000"/>
                <w:sz w:val="16"/>
                <w:szCs w:val="16"/>
                <w:lang w:eastAsia="en-AU"/>
              </w:rPr>
              <w:t> </w:t>
            </w:r>
          </w:p>
        </w:tc>
        <w:tc>
          <w:tcPr>
            <w:tcW w:w="880" w:type="dxa"/>
            <w:tcBorders>
              <w:top w:val="nil"/>
              <w:left w:val="nil"/>
              <w:bottom w:val="single" w:sz="4" w:space="0" w:color="ADD6EA"/>
              <w:right w:val="nil"/>
            </w:tcBorders>
            <w:shd w:val="clear" w:color="000000" w:fill="FFFFFF"/>
            <w:noWrap/>
            <w:vAlign w:val="bottom"/>
            <w:hideMark/>
          </w:tcPr>
          <w:p w14:paraId="7928ABB3"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10</w:t>
            </w:r>
          </w:p>
        </w:tc>
        <w:tc>
          <w:tcPr>
            <w:tcW w:w="880" w:type="dxa"/>
            <w:tcBorders>
              <w:top w:val="nil"/>
              <w:left w:val="nil"/>
              <w:bottom w:val="single" w:sz="4" w:space="0" w:color="ADD6EA"/>
              <w:right w:val="nil"/>
            </w:tcBorders>
            <w:shd w:val="clear" w:color="000000" w:fill="FFFFFF"/>
            <w:noWrap/>
            <w:vAlign w:val="bottom"/>
            <w:hideMark/>
          </w:tcPr>
          <w:p w14:paraId="284FF574" w14:textId="77777777" w:rsidR="00B36C39" w:rsidRPr="008C06F5" w:rsidRDefault="00B36C39" w:rsidP="00DC01B6">
            <w:pPr>
              <w:keepNext/>
              <w:keepLines/>
              <w:tabs>
                <w:tab w:val="clear" w:pos="567"/>
              </w:tabs>
              <w:spacing w:before="0" w:line="240" w:lineRule="auto"/>
              <w:jc w:val="right"/>
              <w:rPr>
                <w:rFonts w:eastAsia="Times New Roman" w:cs="Open Sans Light"/>
                <w:color w:val="000000"/>
                <w:sz w:val="16"/>
                <w:szCs w:val="16"/>
                <w:lang w:eastAsia="en-AU"/>
              </w:rPr>
            </w:pPr>
            <w:r w:rsidRPr="008C06F5">
              <w:rPr>
                <w:rFonts w:eastAsia="Times New Roman" w:cs="Open Sans Light"/>
                <w:color w:val="000000"/>
                <w:sz w:val="16"/>
                <w:szCs w:val="16"/>
                <w:lang w:eastAsia="en-AU"/>
              </w:rPr>
              <w:t>14</w:t>
            </w:r>
          </w:p>
        </w:tc>
      </w:tr>
    </w:tbl>
    <w:p w14:paraId="694DD53C" w14:textId="77777777" w:rsidR="00B36C39" w:rsidRDefault="00B36C39" w:rsidP="00B36C39">
      <w:pPr>
        <w:pStyle w:val="CGCTablenote"/>
        <w:tabs>
          <w:tab w:val="clear" w:pos="567"/>
          <w:tab w:val="left" w:pos="709"/>
        </w:tabs>
        <w:ind w:left="709" w:hanging="596"/>
      </w:pPr>
      <w:r>
        <w:t>Note:</w:t>
      </w:r>
      <w:r>
        <w:tab/>
        <w:t>In 2018-19 IHPA introduced remoteness adjustments for AP services by hospital address, and for ED services by patient address. In 2019-20 remoteness adjustments for ED services by patient address also were introduced.</w:t>
      </w:r>
    </w:p>
    <w:p w14:paraId="69FA5B40" w14:textId="77777777" w:rsidR="00B36C39" w:rsidRDefault="00B36C39" w:rsidP="00B36C39">
      <w:pPr>
        <w:pStyle w:val="CGCTablenote"/>
        <w:tabs>
          <w:tab w:val="clear" w:pos="567"/>
          <w:tab w:val="left" w:pos="709"/>
        </w:tabs>
        <w:ind w:left="709" w:hanging="596"/>
      </w:pPr>
      <w:r w:rsidRPr="00900472">
        <w:t>Source:</w:t>
      </w:r>
      <w:r w:rsidRPr="00900472">
        <w:tab/>
        <w:t>National Efficient Price Determination 2015-16 to 20</w:t>
      </w:r>
      <w:r>
        <w:t>20</w:t>
      </w:r>
      <w:r w:rsidRPr="00900472">
        <w:t>-2</w:t>
      </w:r>
      <w:r>
        <w:t>1</w:t>
      </w:r>
      <w:r w:rsidRPr="00900472">
        <w:t xml:space="preserve">, Independent Health Pricing Authority. See the </w:t>
      </w:r>
      <w:hyperlink r:id="rId23" w:history="1">
        <w:hyperlink r:id="rId24" w:history="1">
          <w:r w:rsidRPr="00802221">
            <w:t>IHPA website</w:t>
          </w:r>
        </w:hyperlink>
      </w:hyperlink>
      <w:r w:rsidRPr="00EA794E">
        <w:t xml:space="preserve"> (</w:t>
      </w:r>
      <w:hyperlink r:id="rId25" w:history="1">
        <w:r w:rsidRPr="00E33546">
          <w:rPr>
            <w:rStyle w:val="Hyperlink"/>
          </w:rPr>
          <w:t>https://www.ihpa.gov.au/</w:t>
        </w:r>
      </w:hyperlink>
      <w:r w:rsidRPr="00EA794E">
        <w:t>).</w:t>
      </w:r>
    </w:p>
    <w:p w14:paraId="6BDAEBFC" w14:textId="77777777" w:rsidR="00AD15A4" w:rsidRDefault="00AD15A4" w:rsidP="00AD15A4">
      <w:pPr>
        <w:pStyle w:val="Heading4"/>
      </w:pPr>
      <w:bookmarkStart w:id="40" w:name="_Toc49170288"/>
      <w:r>
        <w:t>Analysis</w:t>
      </w:r>
      <w:bookmarkEnd w:id="40"/>
    </w:p>
    <w:p w14:paraId="489C078D" w14:textId="77777777" w:rsidR="00AD15A4" w:rsidRDefault="00AD15A4" w:rsidP="00AD15A4">
      <w:pPr>
        <w:pStyle w:val="Heading5"/>
      </w:pPr>
      <w:r>
        <w:t>Coverage</w:t>
      </w:r>
    </w:p>
    <w:p w14:paraId="24DA805E" w14:textId="192F1DAB" w:rsidR="00AD15A4" w:rsidRPr="009574F8" w:rsidRDefault="00AD15A4" w:rsidP="00AD15A4">
      <w:pPr>
        <w:pStyle w:val="CGCParaNumber"/>
      </w:pPr>
      <w:bookmarkStart w:id="41" w:name="_Ref46156492"/>
      <w:r>
        <w:t xml:space="preserve">Coverage refers to the </w:t>
      </w:r>
      <w:r w:rsidRPr="00213645">
        <w:rPr>
          <w:lang w:val="en-US"/>
        </w:rPr>
        <w:t xml:space="preserve">proportion of </w:t>
      </w:r>
      <w:r>
        <w:rPr>
          <w:lang w:val="en-US"/>
        </w:rPr>
        <w:t xml:space="preserve">aggregate </w:t>
      </w:r>
      <w:r w:rsidR="009A518B">
        <w:rPr>
          <w:lang w:val="en-US"/>
        </w:rPr>
        <w:t xml:space="preserve">activity </w:t>
      </w:r>
      <w:r w:rsidRPr="00213645">
        <w:rPr>
          <w:lang w:val="en-US"/>
        </w:rPr>
        <w:t>data</w:t>
      </w:r>
      <w:r>
        <w:rPr>
          <w:lang w:val="en-US"/>
        </w:rPr>
        <w:t xml:space="preserve"> </w:t>
      </w:r>
      <w:r w:rsidRPr="00213645">
        <w:rPr>
          <w:lang w:val="en-US"/>
        </w:rPr>
        <w:t xml:space="preserve">reported at the patient level. </w:t>
      </w:r>
      <w:r>
        <w:rPr>
          <w:lang w:val="en-US"/>
        </w:rPr>
        <w:t>I</w:t>
      </w:r>
      <w:r w:rsidRPr="00213645">
        <w:rPr>
          <w:lang w:val="en-US"/>
        </w:rPr>
        <w:t xml:space="preserve">t is an indicator of how comprehensive or representative the available </w:t>
      </w:r>
      <w:r>
        <w:rPr>
          <w:lang w:val="en-US"/>
        </w:rPr>
        <w:t xml:space="preserve">patient level </w:t>
      </w:r>
      <w:r w:rsidRPr="00213645">
        <w:rPr>
          <w:lang w:val="en-US"/>
        </w:rPr>
        <w:t xml:space="preserve">data is of total service use. The higher the proportion of aggregate data </w:t>
      </w:r>
      <w:r w:rsidR="00D2053D">
        <w:rPr>
          <w:lang w:val="en-US"/>
        </w:rPr>
        <w:t>with</w:t>
      </w:r>
      <w:r w:rsidRPr="00213645">
        <w:rPr>
          <w:lang w:val="en-US"/>
        </w:rPr>
        <w:t xml:space="preserve"> patient level</w:t>
      </w:r>
      <w:r w:rsidR="00D2053D">
        <w:rPr>
          <w:lang w:val="en-US"/>
        </w:rPr>
        <w:t xml:space="preserve"> </w:t>
      </w:r>
      <w:r w:rsidR="005E3AFA">
        <w:rPr>
          <w:lang w:val="en-US"/>
        </w:rPr>
        <w:t>details</w:t>
      </w:r>
      <w:r w:rsidRPr="00213645">
        <w:rPr>
          <w:lang w:val="en-US"/>
        </w:rPr>
        <w:t xml:space="preserve">, the more comprehensive the basis of the Commission’s </w:t>
      </w:r>
      <w:r>
        <w:rPr>
          <w:lang w:val="en-US"/>
        </w:rPr>
        <w:t>s</w:t>
      </w:r>
      <w:r w:rsidRPr="00CF759B">
        <w:rPr>
          <w:lang w:val="en-US"/>
        </w:rPr>
        <w:t xml:space="preserve">ocio-demographic composition </w:t>
      </w:r>
      <w:r w:rsidRPr="00213645">
        <w:rPr>
          <w:lang w:val="en-US"/>
        </w:rPr>
        <w:t>assessment.</w:t>
      </w:r>
      <w:r>
        <w:t xml:space="preserve"> </w:t>
      </w:r>
    </w:p>
    <w:p w14:paraId="6D7B6F50" w14:textId="45C42CFC" w:rsidR="00AD15A4" w:rsidRDefault="002371B2" w:rsidP="00AD15A4">
      <w:pPr>
        <w:pStyle w:val="CGCParaNumber"/>
      </w:pPr>
      <w:r>
        <w:fldChar w:fldCharType="begin"/>
      </w:r>
      <w:r>
        <w:instrText xml:space="preserve"> REF _Ref46312902 \h </w:instrText>
      </w:r>
      <w:r>
        <w:fldChar w:fldCharType="separate"/>
      </w:r>
      <w:r w:rsidR="00A46D6F">
        <w:t xml:space="preserve">Table </w:t>
      </w:r>
      <w:r w:rsidR="00A46D6F">
        <w:rPr>
          <w:noProof/>
        </w:rPr>
        <w:t>4</w:t>
      </w:r>
      <w:r>
        <w:fldChar w:fldCharType="end"/>
      </w:r>
      <w:r>
        <w:t xml:space="preserve"> </w:t>
      </w:r>
      <w:r w:rsidR="00AD15A4">
        <w:t>presents NAP and ED aggregates on coverage based on NWAU. The t</w:t>
      </w:r>
      <w:r w:rsidR="00AD15A4" w:rsidRPr="00AD43C7">
        <w:t>able also provides a breakdown by funding type, where ABF is activity base funded and BF is block funded</w:t>
      </w:r>
      <w:r w:rsidR="00AD15A4">
        <w:t xml:space="preserve"> hospitals/services (see</w:t>
      </w:r>
      <w:r w:rsidR="00594471">
        <w:t xml:space="preserve"> Box 1 </w:t>
      </w:r>
      <w:r w:rsidR="00AD15A4">
        <w:t>for more information about NWAU and ABF/BF).</w:t>
      </w:r>
    </w:p>
    <w:p w14:paraId="336A2FBF" w14:textId="00F9E7F1" w:rsidR="00AD15A4" w:rsidRDefault="00AD15A4" w:rsidP="00AD15A4">
      <w:pPr>
        <w:pStyle w:val="CGCParaNumber"/>
      </w:pPr>
      <w:r>
        <w:t>The coverage rate for NAP (86%) is below that for ED (97%) but is nevertheless an acceptable level.</w:t>
      </w:r>
      <w:bookmarkStart w:id="42" w:name="_Ref46156551"/>
      <w:bookmarkEnd w:id="41"/>
      <w:r>
        <w:t xml:space="preserve"> IHPA </w:t>
      </w:r>
      <w:r w:rsidRPr="00E573B9">
        <w:t>is working towards increased patient level reporting</w:t>
      </w:r>
      <w:r>
        <w:t xml:space="preserve"> and s</w:t>
      </w:r>
      <w:r w:rsidRPr="00E573B9">
        <w:t xml:space="preserve">tarted phasing out </w:t>
      </w:r>
      <w:r w:rsidRPr="00E573B9">
        <w:lastRenderedPageBreak/>
        <w:t>aggregate level reporting in 2019</w:t>
      </w:r>
      <w:r>
        <w:t xml:space="preserve">, so coverage is anticipated to </w:t>
      </w:r>
      <w:r w:rsidR="00313BD6">
        <w:t xml:space="preserve">continue to </w:t>
      </w:r>
      <w:r>
        <w:t>improve in future years.</w:t>
      </w:r>
    </w:p>
    <w:p w14:paraId="0BB68A95" w14:textId="23AD10FA" w:rsidR="00AD15A4" w:rsidRDefault="00595A92" w:rsidP="00AD15A4">
      <w:pPr>
        <w:pStyle w:val="Caption"/>
      </w:pPr>
      <w:bookmarkStart w:id="43" w:name="_Ref46312902"/>
      <w:r>
        <w:t xml:space="preserve">Table </w:t>
      </w:r>
      <w:fldSimple w:instr=" SEQ Table \* ARABIC ">
        <w:r w:rsidR="00A46D6F">
          <w:rPr>
            <w:noProof/>
          </w:rPr>
          <w:t>4</w:t>
        </w:r>
      </w:fldSimple>
      <w:bookmarkEnd w:id="42"/>
      <w:bookmarkEnd w:id="43"/>
      <w:r>
        <w:tab/>
      </w:r>
      <w:r w:rsidR="00AD15A4">
        <w:t>Coverage of non-admitted patient and emergency department NWAU data, 2018-19</w:t>
      </w:r>
    </w:p>
    <w:tbl>
      <w:tblPr>
        <w:tblW w:w="8843" w:type="dxa"/>
        <w:tblLayout w:type="fixed"/>
        <w:tblCellMar>
          <w:left w:w="0" w:type="dxa"/>
          <w:right w:w="0" w:type="dxa"/>
        </w:tblCellMar>
        <w:tblLook w:val="04A0" w:firstRow="1" w:lastRow="0" w:firstColumn="1" w:lastColumn="0" w:noHBand="0" w:noVBand="1"/>
      </w:tblPr>
      <w:tblGrid>
        <w:gridCol w:w="1493"/>
        <w:gridCol w:w="1100"/>
        <w:gridCol w:w="1218"/>
        <w:gridCol w:w="257"/>
        <w:gridCol w:w="1100"/>
        <w:gridCol w:w="1218"/>
        <w:gridCol w:w="257"/>
        <w:gridCol w:w="1100"/>
        <w:gridCol w:w="1100"/>
      </w:tblGrid>
      <w:tr w:rsidR="00AD15A4" w:rsidRPr="00124501" w14:paraId="1F778F3B" w14:textId="77777777" w:rsidTr="00DC01B6">
        <w:trPr>
          <w:trHeight w:val="375"/>
        </w:trPr>
        <w:tc>
          <w:tcPr>
            <w:tcW w:w="1493" w:type="dxa"/>
            <w:tcBorders>
              <w:top w:val="nil"/>
              <w:left w:val="nil"/>
              <w:bottom w:val="nil"/>
              <w:right w:val="nil"/>
            </w:tcBorders>
            <w:shd w:val="clear" w:color="000000" w:fill="006991"/>
            <w:vAlign w:val="center"/>
            <w:hideMark/>
          </w:tcPr>
          <w:p w14:paraId="74EF2196" w14:textId="77777777" w:rsidR="00AD15A4" w:rsidRPr="00124501" w:rsidRDefault="00AD15A4" w:rsidP="00DC01B6">
            <w:pPr>
              <w:keepNext/>
              <w:keepLines/>
              <w:tabs>
                <w:tab w:val="clear" w:pos="567"/>
              </w:tabs>
              <w:spacing w:before="0" w:line="240" w:lineRule="auto"/>
              <w:ind w:left="193" w:hanging="142"/>
              <w:rPr>
                <w:rFonts w:ascii="Open Sans Semibold" w:eastAsia="Times New Roman" w:hAnsi="Open Sans Semibold" w:cs="Open Sans Semibold"/>
                <w:color w:val="FFFFFF"/>
                <w:sz w:val="16"/>
                <w:szCs w:val="16"/>
                <w:lang w:eastAsia="en-AU"/>
              </w:rPr>
            </w:pPr>
            <w:r w:rsidRPr="00124501">
              <w:rPr>
                <w:rFonts w:ascii="Open Sans Semibold" w:eastAsia="Times New Roman" w:hAnsi="Open Sans Semibold" w:cs="Open Sans Semibold"/>
                <w:color w:val="FFFFFF"/>
                <w:sz w:val="16"/>
                <w:szCs w:val="16"/>
                <w:lang w:eastAsia="en-AU"/>
              </w:rPr>
              <w:t> </w:t>
            </w:r>
          </w:p>
        </w:tc>
        <w:tc>
          <w:tcPr>
            <w:tcW w:w="2318" w:type="dxa"/>
            <w:gridSpan w:val="2"/>
            <w:tcBorders>
              <w:top w:val="nil"/>
              <w:left w:val="nil"/>
              <w:bottom w:val="single" w:sz="4" w:space="0" w:color="ADD6EA"/>
              <w:right w:val="nil"/>
            </w:tcBorders>
            <w:shd w:val="clear" w:color="000000" w:fill="006991"/>
            <w:noWrap/>
            <w:vAlign w:val="center"/>
            <w:hideMark/>
          </w:tcPr>
          <w:p w14:paraId="14E85ED2" w14:textId="77777777" w:rsidR="00AD15A4" w:rsidRPr="00124501" w:rsidRDefault="00AD15A4" w:rsidP="00DC01B6">
            <w:pPr>
              <w:keepNext/>
              <w:keepLines/>
              <w:tabs>
                <w:tab w:val="clear" w:pos="567"/>
              </w:tabs>
              <w:spacing w:before="0" w:line="240" w:lineRule="auto"/>
              <w:ind w:left="193" w:hanging="142"/>
              <w:jc w:val="center"/>
              <w:rPr>
                <w:rFonts w:ascii="Open Sans Semibold" w:eastAsia="Times New Roman" w:hAnsi="Open Sans Semibold" w:cs="Open Sans Semibold"/>
                <w:color w:val="FFFFFF"/>
                <w:sz w:val="16"/>
                <w:szCs w:val="16"/>
                <w:lang w:eastAsia="en-AU"/>
              </w:rPr>
            </w:pPr>
            <w:r w:rsidRPr="00124501">
              <w:rPr>
                <w:rFonts w:ascii="Open Sans Semibold" w:eastAsia="Times New Roman" w:hAnsi="Open Sans Semibold" w:cs="Open Sans Semibold"/>
                <w:color w:val="FFFFFF"/>
                <w:sz w:val="16"/>
                <w:szCs w:val="16"/>
                <w:lang w:eastAsia="en-AU"/>
              </w:rPr>
              <w:t>NAP</w:t>
            </w:r>
          </w:p>
        </w:tc>
        <w:tc>
          <w:tcPr>
            <w:tcW w:w="257" w:type="dxa"/>
            <w:tcBorders>
              <w:top w:val="nil"/>
              <w:left w:val="nil"/>
              <w:bottom w:val="nil"/>
              <w:right w:val="nil"/>
            </w:tcBorders>
            <w:shd w:val="clear" w:color="000000" w:fill="006991"/>
            <w:vAlign w:val="center"/>
            <w:hideMark/>
          </w:tcPr>
          <w:p w14:paraId="318A6459" w14:textId="77777777" w:rsidR="00AD15A4" w:rsidRPr="00124501" w:rsidRDefault="00AD15A4" w:rsidP="00DC01B6">
            <w:pPr>
              <w:keepNext/>
              <w:keepLines/>
              <w:tabs>
                <w:tab w:val="clear" w:pos="567"/>
              </w:tabs>
              <w:spacing w:before="0" w:line="240" w:lineRule="auto"/>
              <w:ind w:left="193" w:hanging="142"/>
              <w:jc w:val="center"/>
              <w:rPr>
                <w:rFonts w:ascii="Open Sans Semibold" w:eastAsia="Times New Roman" w:hAnsi="Open Sans Semibold" w:cs="Open Sans Semibold"/>
                <w:color w:val="FFFFFF"/>
                <w:sz w:val="16"/>
                <w:szCs w:val="16"/>
                <w:lang w:eastAsia="en-AU"/>
              </w:rPr>
            </w:pPr>
            <w:r w:rsidRPr="00124501">
              <w:rPr>
                <w:rFonts w:ascii="Open Sans Semibold" w:eastAsia="Times New Roman" w:hAnsi="Open Sans Semibold" w:cs="Open Sans Semibold"/>
                <w:color w:val="FFFFFF"/>
                <w:sz w:val="16"/>
                <w:szCs w:val="16"/>
                <w:lang w:eastAsia="en-AU"/>
              </w:rPr>
              <w:t> </w:t>
            </w:r>
          </w:p>
        </w:tc>
        <w:tc>
          <w:tcPr>
            <w:tcW w:w="2318" w:type="dxa"/>
            <w:gridSpan w:val="2"/>
            <w:tcBorders>
              <w:top w:val="nil"/>
              <w:left w:val="nil"/>
              <w:bottom w:val="single" w:sz="4" w:space="0" w:color="ADD6EA"/>
              <w:right w:val="nil"/>
            </w:tcBorders>
            <w:shd w:val="clear" w:color="000000" w:fill="006991"/>
            <w:noWrap/>
            <w:vAlign w:val="center"/>
            <w:hideMark/>
          </w:tcPr>
          <w:p w14:paraId="25387DCE" w14:textId="77777777" w:rsidR="00AD15A4" w:rsidRPr="00124501" w:rsidRDefault="00AD15A4" w:rsidP="00DC01B6">
            <w:pPr>
              <w:keepNext/>
              <w:keepLines/>
              <w:tabs>
                <w:tab w:val="clear" w:pos="567"/>
              </w:tabs>
              <w:spacing w:before="0" w:line="240" w:lineRule="auto"/>
              <w:ind w:left="193" w:hanging="142"/>
              <w:jc w:val="center"/>
              <w:rPr>
                <w:rFonts w:ascii="Open Sans Semibold" w:eastAsia="Times New Roman" w:hAnsi="Open Sans Semibold" w:cs="Open Sans Semibold"/>
                <w:color w:val="FFFFFF"/>
                <w:sz w:val="16"/>
                <w:szCs w:val="16"/>
                <w:lang w:eastAsia="en-AU"/>
              </w:rPr>
            </w:pPr>
            <w:r w:rsidRPr="00124501">
              <w:rPr>
                <w:rFonts w:ascii="Open Sans Semibold" w:eastAsia="Times New Roman" w:hAnsi="Open Sans Semibold" w:cs="Open Sans Semibold"/>
                <w:color w:val="FFFFFF"/>
                <w:sz w:val="16"/>
                <w:szCs w:val="16"/>
                <w:lang w:eastAsia="en-AU"/>
              </w:rPr>
              <w:t>ED</w:t>
            </w:r>
          </w:p>
        </w:tc>
        <w:tc>
          <w:tcPr>
            <w:tcW w:w="257" w:type="dxa"/>
            <w:tcBorders>
              <w:top w:val="nil"/>
              <w:left w:val="nil"/>
              <w:bottom w:val="nil"/>
              <w:right w:val="nil"/>
            </w:tcBorders>
            <w:shd w:val="clear" w:color="000000" w:fill="006991"/>
            <w:vAlign w:val="center"/>
            <w:hideMark/>
          </w:tcPr>
          <w:p w14:paraId="033F08A7" w14:textId="77777777" w:rsidR="00AD15A4" w:rsidRPr="00124501" w:rsidRDefault="00AD15A4" w:rsidP="00DC01B6">
            <w:pPr>
              <w:keepNext/>
              <w:keepLines/>
              <w:tabs>
                <w:tab w:val="clear" w:pos="567"/>
              </w:tabs>
              <w:spacing w:before="0" w:line="240" w:lineRule="auto"/>
              <w:ind w:left="193" w:hanging="142"/>
              <w:jc w:val="center"/>
              <w:rPr>
                <w:rFonts w:ascii="Open Sans Semibold" w:eastAsia="Times New Roman" w:hAnsi="Open Sans Semibold" w:cs="Open Sans Semibold"/>
                <w:color w:val="FFFFFF"/>
                <w:sz w:val="16"/>
                <w:szCs w:val="16"/>
                <w:lang w:eastAsia="en-AU"/>
              </w:rPr>
            </w:pPr>
            <w:r w:rsidRPr="00124501">
              <w:rPr>
                <w:rFonts w:ascii="Open Sans Semibold" w:eastAsia="Times New Roman" w:hAnsi="Open Sans Semibold" w:cs="Open Sans Semibold"/>
                <w:color w:val="FFFFFF"/>
                <w:sz w:val="16"/>
                <w:szCs w:val="16"/>
                <w:lang w:eastAsia="en-AU"/>
              </w:rPr>
              <w:t> </w:t>
            </w:r>
          </w:p>
        </w:tc>
        <w:tc>
          <w:tcPr>
            <w:tcW w:w="2200" w:type="dxa"/>
            <w:gridSpan w:val="2"/>
            <w:tcBorders>
              <w:top w:val="nil"/>
              <w:left w:val="nil"/>
              <w:bottom w:val="single" w:sz="4" w:space="0" w:color="ADD6EA"/>
              <w:right w:val="nil"/>
            </w:tcBorders>
            <w:shd w:val="clear" w:color="000000" w:fill="006991"/>
            <w:noWrap/>
            <w:vAlign w:val="center"/>
            <w:hideMark/>
          </w:tcPr>
          <w:p w14:paraId="243BA6B7" w14:textId="77777777" w:rsidR="00AD15A4" w:rsidRPr="00124501" w:rsidRDefault="00AD15A4" w:rsidP="00DC01B6">
            <w:pPr>
              <w:keepNext/>
              <w:keepLines/>
              <w:tabs>
                <w:tab w:val="clear" w:pos="567"/>
              </w:tabs>
              <w:spacing w:before="0" w:line="240" w:lineRule="auto"/>
              <w:ind w:left="193" w:hanging="142"/>
              <w:jc w:val="center"/>
              <w:rPr>
                <w:rFonts w:ascii="Open Sans Semibold" w:eastAsia="Times New Roman" w:hAnsi="Open Sans Semibold" w:cs="Open Sans Semibold"/>
                <w:color w:val="FFFFFF"/>
                <w:sz w:val="16"/>
                <w:szCs w:val="16"/>
                <w:lang w:eastAsia="en-AU"/>
              </w:rPr>
            </w:pPr>
            <w:r w:rsidRPr="00124501">
              <w:rPr>
                <w:rFonts w:ascii="Open Sans Semibold" w:eastAsia="Times New Roman" w:hAnsi="Open Sans Semibold" w:cs="Open Sans Semibold"/>
                <w:color w:val="FFFFFF"/>
                <w:sz w:val="16"/>
                <w:szCs w:val="16"/>
                <w:lang w:eastAsia="en-AU"/>
              </w:rPr>
              <w:t>Coverage</w:t>
            </w:r>
          </w:p>
        </w:tc>
      </w:tr>
      <w:tr w:rsidR="00AD15A4" w:rsidRPr="00124501" w14:paraId="5D2C8A08" w14:textId="77777777" w:rsidTr="00DC01B6">
        <w:trPr>
          <w:trHeight w:val="375"/>
        </w:trPr>
        <w:tc>
          <w:tcPr>
            <w:tcW w:w="1493" w:type="dxa"/>
            <w:tcBorders>
              <w:top w:val="nil"/>
              <w:left w:val="nil"/>
              <w:bottom w:val="nil"/>
              <w:right w:val="nil"/>
            </w:tcBorders>
            <w:shd w:val="clear" w:color="000000" w:fill="006991"/>
            <w:vAlign w:val="bottom"/>
            <w:hideMark/>
          </w:tcPr>
          <w:p w14:paraId="48BE7F42" w14:textId="77777777" w:rsidR="00AD15A4" w:rsidRPr="00124501" w:rsidRDefault="00AD15A4" w:rsidP="00DC01B6">
            <w:pPr>
              <w:keepNext/>
              <w:keepLines/>
              <w:tabs>
                <w:tab w:val="clear" w:pos="567"/>
              </w:tabs>
              <w:spacing w:before="0" w:line="240" w:lineRule="auto"/>
              <w:ind w:left="193" w:hanging="142"/>
              <w:rPr>
                <w:rFonts w:ascii="Open Sans Semibold" w:eastAsia="Times New Roman" w:hAnsi="Open Sans Semibold" w:cs="Open Sans Semibold"/>
                <w:color w:val="FFFFFF"/>
                <w:sz w:val="16"/>
                <w:szCs w:val="16"/>
                <w:lang w:eastAsia="en-AU"/>
              </w:rPr>
            </w:pPr>
            <w:r w:rsidRPr="00124501">
              <w:rPr>
                <w:rFonts w:ascii="Open Sans Semibold" w:eastAsia="Times New Roman" w:hAnsi="Open Sans Semibold" w:cs="Open Sans Semibold"/>
                <w:color w:val="FFFFFF"/>
                <w:sz w:val="16"/>
                <w:szCs w:val="16"/>
                <w:lang w:eastAsia="en-AU"/>
              </w:rPr>
              <w:t> </w:t>
            </w:r>
          </w:p>
        </w:tc>
        <w:tc>
          <w:tcPr>
            <w:tcW w:w="1100" w:type="dxa"/>
            <w:tcBorders>
              <w:top w:val="nil"/>
              <w:left w:val="nil"/>
              <w:bottom w:val="nil"/>
              <w:right w:val="nil"/>
            </w:tcBorders>
            <w:shd w:val="clear" w:color="000000" w:fill="006991"/>
            <w:vAlign w:val="bottom"/>
            <w:hideMark/>
          </w:tcPr>
          <w:p w14:paraId="4F24E2FD" w14:textId="77777777" w:rsidR="00AD15A4" w:rsidRPr="00124501" w:rsidRDefault="00AD15A4" w:rsidP="00DC01B6">
            <w:pPr>
              <w:keepNext/>
              <w:keepLines/>
              <w:tabs>
                <w:tab w:val="clear" w:pos="567"/>
              </w:tabs>
              <w:spacing w:before="0" w:line="240" w:lineRule="auto"/>
              <w:ind w:left="193" w:hanging="142"/>
              <w:jc w:val="right"/>
              <w:rPr>
                <w:rFonts w:ascii="Open Sans Semibold" w:eastAsia="Times New Roman" w:hAnsi="Open Sans Semibold" w:cs="Open Sans Semibold"/>
                <w:color w:val="FFFFFF"/>
                <w:sz w:val="16"/>
                <w:szCs w:val="16"/>
                <w:lang w:eastAsia="en-AU"/>
              </w:rPr>
            </w:pPr>
            <w:r w:rsidRPr="00124501">
              <w:rPr>
                <w:rFonts w:ascii="Open Sans Semibold" w:eastAsia="Times New Roman" w:hAnsi="Open Sans Semibold" w:cs="Open Sans Semibold"/>
                <w:color w:val="FFFFFF"/>
                <w:sz w:val="16"/>
                <w:szCs w:val="16"/>
                <w:lang w:eastAsia="en-AU"/>
              </w:rPr>
              <w:t>Aggregate</w:t>
            </w:r>
          </w:p>
        </w:tc>
        <w:tc>
          <w:tcPr>
            <w:tcW w:w="1218" w:type="dxa"/>
            <w:tcBorders>
              <w:top w:val="nil"/>
              <w:left w:val="nil"/>
              <w:bottom w:val="nil"/>
              <w:right w:val="nil"/>
            </w:tcBorders>
            <w:shd w:val="clear" w:color="000000" w:fill="006991"/>
            <w:vAlign w:val="bottom"/>
            <w:hideMark/>
          </w:tcPr>
          <w:p w14:paraId="5524DFD9" w14:textId="77777777" w:rsidR="00AD15A4" w:rsidRPr="00124501" w:rsidRDefault="00AD15A4" w:rsidP="00DC01B6">
            <w:pPr>
              <w:keepNext/>
              <w:keepLines/>
              <w:tabs>
                <w:tab w:val="clear" w:pos="567"/>
              </w:tabs>
              <w:spacing w:before="0" w:line="240" w:lineRule="auto"/>
              <w:ind w:left="193" w:hanging="142"/>
              <w:jc w:val="right"/>
              <w:rPr>
                <w:rFonts w:ascii="Open Sans Semibold" w:eastAsia="Times New Roman" w:hAnsi="Open Sans Semibold" w:cs="Open Sans Semibold"/>
                <w:color w:val="FFFFFF"/>
                <w:sz w:val="16"/>
                <w:szCs w:val="16"/>
                <w:lang w:eastAsia="en-AU"/>
              </w:rPr>
            </w:pPr>
            <w:r w:rsidRPr="00124501">
              <w:rPr>
                <w:rFonts w:ascii="Open Sans Semibold" w:eastAsia="Times New Roman" w:hAnsi="Open Sans Semibold" w:cs="Open Sans Semibold"/>
                <w:color w:val="FFFFFF"/>
                <w:sz w:val="16"/>
                <w:szCs w:val="16"/>
                <w:lang w:eastAsia="en-AU"/>
              </w:rPr>
              <w:t>Patient level</w:t>
            </w:r>
          </w:p>
        </w:tc>
        <w:tc>
          <w:tcPr>
            <w:tcW w:w="257" w:type="dxa"/>
            <w:tcBorders>
              <w:top w:val="nil"/>
              <w:left w:val="nil"/>
              <w:bottom w:val="nil"/>
              <w:right w:val="nil"/>
            </w:tcBorders>
            <w:shd w:val="clear" w:color="000000" w:fill="006991"/>
            <w:vAlign w:val="bottom"/>
            <w:hideMark/>
          </w:tcPr>
          <w:p w14:paraId="02AC5CCE" w14:textId="77777777" w:rsidR="00AD15A4" w:rsidRPr="00124501" w:rsidRDefault="00AD15A4" w:rsidP="00DC01B6">
            <w:pPr>
              <w:keepNext/>
              <w:keepLines/>
              <w:tabs>
                <w:tab w:val="clear" w:pos="567"/>
              </w:tabs>
              <w:spacing w:before="0" w:line="240" w:lineRule="auto"/>
              <w:ind w:left="193" w:hanging="142"/>
              <w:jc w:val="right"/>
              <w:rPr>
                <w:rFonts w:ascii="Open Sans Semibold" w:eastAsia="Times New Roman" w:hAnsi="Open Sans Semibold" w:cs="Open Sans Semibold"/>
                <w:color w:val="FFFFFF"/>
                <w:sz w:val="16"/>
                <w:szCs w:val="16"/>
                <w:lang w:eastAsia="en-AU"/>
              </w:rPr>
            </w:pPr>
            <w:r w:rsidRPr="00124501">
              <w:rPr>
                <w:rFonts w:ascii="Open Sans Semibold" w:eastAsia="Times New Roman" w:hAnsi="Open Sans Semibold" w:cs="Open Sans Semibold"/>
                <w:color w:val="FFFFFF"/>
                <w:sz w:val="16"/>
                <w:szCs w:val="16"/>
                <w:lang w:eastAsia="en-AU"/>
              </w:rPr>
              <w:t> </w:t>
            </w:r>
          </w:p>
        </w:tc>
        <w:tc>
          <w:tcPr>
            <w:tcW w:w="1100" w:type="dxa"/>
            <w:tcBorders>
              <w:top w:val="nil"/>
              <w:left w:val="nil"/>
              <w:bottom w:val="nil"/>
              <w:right w:val="nil"/>
            </w:tcBorders>
            <w:shd w:val="clear" w:color="000000" w:fill="006991"/>
            <w:vAlign w:val="bottom"/>
            <w:hideMark/>
          </w:tcPr>
          <w:p w14:paraId="2970FD90" w14:textId="77777777" w:rsidR="00AD15A4" w:rsidRPr="00124501" w:rsidRDefault="00AD15A4" w:rsidP="00DC01B6">
            <w:pPr>
              <w:keepNext/>
              <w:keepLines/>
              <w:tabs>
                <w:tab w:val="clear" w:pos="567"/>
              </w:tabs>
              <w:spacing w:before="0" w:line="240" w:lineRule="auto"/>
              <w:ind w:left="193" w:hanging="142"/>
              <w:jc w:val="right"/>
              <w:rPr>
                <w:rFonts w:ascii="Open Sans Semibold" w:eastAsia="Times New Roman" w:hAnsi="Open Sans Semibold" w:cs="Open Sans Semibold"/>
                <w:color w:val="FFFFFF"/>
                <w:sz w:val="16"/>
                <w:szCs w:val="16"/>
                <w:lang w:eastAsia="en-AU"/>
              </w:rPr>
            </w:pPr>
            <w:r w:rsidRPr="00124501">
              <w:rPr>
                <w:rFonts w:ascii="Open Sans Semibold" w:eastAsia="Times New Roman" w:hAnsi="Open Sans Semibold" w:cs="Open Sans Semibold"/>
                <w:color w:val="FFFFFF"/>
                <w:sz w:val="16"/>
                <w:szCs w:val="16"/>
                <w:lang w:eastAsia="en-AU"/>
              </w:rPr>
              <w:t>Aggregate</w:t>
            </w:r>
          </w:p>
        </w:tc>
        <w:tc>
          <w:tcPr>
            <w:tcW w:w="1218" w:type="dxa"/>
            <w:tcBorders>
              <w:top w:val="nil"/>
              <w:left w:val="nil"/>
              <w:bottom w:val="nil"/>
              <w:right w:val="nil"/>
            </w:tcBorders>
            <w:shd w:val="clear" w:color="000000" w:fill="006991"/>
            <w:vAlign w:val="bottom"/>
            <w:hideMark/>
          </w:tcPr>
          <w:p w14:paraId="6EBC5607" w14:textId="77777777" w:rsidR="00AD15A4" w:rsidRPr="00124501" w:rsidRDefault="00AD15A4" w:rsidP="00DC01B6">
            <w:pPr>
              <w:keepNext/>
              <w:keepLines/>
              <w:tabs>
                <w:tab w:val="clear" w:pos="567"/>
              </w:tabs>
              <w:spacing w:before="0" w:line="240" w:lineRule="auto"/>
              <w:ind w:left="193" w:hanging="142"/>
              <w:jc w:val="right"/>
              <w:rPr>
                <w:rFonts w:ascii="Open Sans Semibold" w:eastAsia="Times New Roman" w:hAnsi="Open Sans Semibold" w:cs="Open Sans Semibold"/>
                <w:color w:val="FFFFFF"/>
                <w:sz w:val="16"/>
                <w:szCs w:val="16"/>
                <w:lang w:eastAsia="en-AU"/>
              </w:rPr>
            </w:pPr>
            <w:r w:rsidRPr="00124501">
              <w:rPr>
                <w:rFonts w:ascii="Open Sans Semibold" w:eastAsia="Times New Roman" w:hAnsi="Open Sans Semibold" w:cs="Open Sans Semibold"/>
                <w:color w:val="FFFFFF"/>
                <w:sz w:val="16"/>
                <w:szCs w:val="16"/>
                <w:lang w:eastAsia="en-AU"/>
              </w:rPr>
              <w:t>Patient level</w:t>
            </w:r>
          </w:p>
        </w:tc>
        <w:tc>
          <w:tcPr>
            <w:tcW w:w="257" w:type="dxa"/>
            <w:tcBorders>
              <w:top w:val="nil"/>
              <w:left w:val="nil"/>
              <w:bottom w:val="nil"/>
              <w:right w:val="nil"/>
            </w:tcBorders>
            <w:shd w:val="clear" w:color="000000" w:fill="006991"/>
            <w:vAlign w:val="bottom"/>
            <w:hideMark/>
          </w:tcPr>
          <w:p w14:paraId="4A3D3DC8" w14:textId="77777777" w:rsidR="00AD15A4" w:rsidRPr="00124501" w:rsidRDefault="00AD15A4" w:rsidP="00DC01B6">
            <w:pPr>
              <w:keepNext/>
              <w:keepLines/>
              <w:tabs>
                <w:tab w:val="clear" w:pos="567"/>
              </w:tabs>
              <w:spacing w:before="0" w:line="240" w:lineRule="auto"/>
              <w:ind w:left="193" w:hanging="142"/>
              <w:jc w:val="right"/>
              <w:rPr>
                <w:rFonts w:ascii="Open Sans Semibold" w:eastAsia="Times New Roman" w:hAnsi="Open Sans Semibold" w:cs="Open Sans Semibold"/>
                <w:color w:val="FFFFFF"/>
                <w:sz w:val="16"/>
                <w:szCs w:val="16"/>
                <w:lang w:eastAsia="en-AU"/>
              </w:rPr>
            </w:pPr>
            <w:r w:rsidRPr="00124501">
              <w:rPr>
                <w:rFonts w:ascii="Open Sans Semibold" w:eastAsia="Times New Roman" w:hAnsi="Open Sans Semibold" w:cs="Open Sans Semibold"/>
                <w:color w:val="FFFFFF"/>
                <w:sz w:val="16"/>
                <w:szCs w:val="16"/>
                <w:lang w:eastAsia="en-AU"/>
              </w:rPr>
              <w:t> </w:t>
            </w:r>
          </w:p>
        </w:tc>
        <w:tc>
          <w:tcPr>
            <w:tcW w:w="1100" w:type="dxa"/>
            <w:tcBorders>
              <w:top w:val="nil"/>
              <w:left w:val="nil"/>
              <w:bottom w:val="nil"/>
              <w:right w:val="nil"/>
            </w:tcBorders>
            <w:shd w:val="clear" w:color="000000" w:fill="006991"/>
            <w:vAlign w:val="bottom"/>
            <w:hideMark/>
          </w:tcPr>
          <w:p w14:paraId="2A780995" w14:textId="77777777" w:rsidR="00AD15A4" w:rsidRPr="00124501" w:rsidRDefault="00AD15A4" w:rsidP="00DC01B6">
            <w:pPr>
              <w:keepNext/>
              <w:keepLines/>
              <w:tabs>
                <w:tab w:val="clear" w:pos="567"/>
              </w:tabs>
              <w:spacing w:before="0" w:line="240" w:lineRule="auto"/>
              <w:ind w:left="193" w:hanging="142"/>
              <w:jc w:val="right"/>
              <w:rPr>
                <w:rFonts w:ascii="Open Sans Semibold" w:eastAsia="Times New Roman" w:hAnsi="Open Sans Semibold" w:cs="Open Sans Semibold"/>
                <w:color w:val="FFFFFF"/>
                <w:sz w:val="16"/>
                <w:szCs w:val="16"/>
                <w:lang w:eastAsia="en-AU"/>
              </w:rPr>
            </w:pPr>
            <w:r w:rsidRPr="00124501">
              <w:rPr>
                <w:rFonts w:ascii="Open Sans Semibold" w:eastAsia="Times New Roman" w:hAnsi="Open Sans Semibold" w:cs="Open Sans Semibold"/>
                <w:color w:val="FFFFFF"/>
                <w:sz w:val="16"/>
                <w:szCs w:val="16"/>
                <w:lang w:eastAsia="en-AU"/>
              </w:rPr>
              <w:t>NAP</w:t>
            </w:r>
          </w:p>
        </w:tc>
        <w:tc>
          <w:tcPr>
            <w:tcW w:w="1100" w:type="dxa"/>
            <w:tcBorders>
              <w:top w:val="nil"/>
              <w:left w:val="nil"/>
              <w:bottom w:val="nil"/>
              <w:right w:val="nil"/>
            </w:tcBorders>
            <w:shd w:val="clear" w:color="000000" w:fill="006991"/>
            <w:vAlign w:val="bottom"/>
            <w:hideMark/>
          </w:tcPr>
          <w:p w14:paraId="5A14707E" w14:textId="77777777" w:rsidR="00AD15A4" w:rsidRPr="00124501" w:rsidRDefault="00AD15A4" w:rsidP="00DC01B6">
            <w:pPr>
              <w:keepNext/>
              <w:keepLines/>
              <w:tabs>
                <w:tab w:val="clear" w:pos="567"/>
              </w:tabs>
              <w:spacing w:before="0" w:line="240" w:lineRule="auto"/>
              <w:ind w:left="193" w:hanging="142"/>
              <w:jc w:val="right"/>
              <w:rPr>
                <w:rFonts w:ascii="Open Sans Semibold" w:eastAsia="Times New Roman" w:hAnsi="Open Sans Semibold" w:cs="Open Sans Semibold"/>
                <w:color w:val="FFFFFF"/>
                <w:sz w:val="16"/>
                <w:szCs w:val="16"/>
                <w:lang w:eastAsia="en-AU"/>
              </w:rPr>
            </w:pPr>
            <w:r w:rsidRPr="00124501">
              <w:rPr>
                <w:rFonts w:ascii="Open Sans Semibold" w:eastAsia="Times New Roman" w:hAnsi="Open Sans Semibold" w:cs="Open Sans Semibold"/>
                <w:color w:val="FFFFFF"/>
                <w:sz w:val="16"/>
                <w:szCs w:val="16"/>
                <w:lang w:eastAsia="en-AU"/>
              </w:rPr>
              <w:t>ED</w:t>
            </w:r>
          </w:p>
        </w:tc>
      </w:tr>
      <w:tr w:rsidR="00AD15A4" w:rsidRPr="00124501" w14:paraId="09A89DBA" w14:textId="77777777" w:rsidTr="00DC01B6">
        <w:trPr>
          <w:trHeight w:val="255"/>
        </w:trPr>
        <w:tc>
          <w:tcPr>
            <w:tcW w:w="1493" w:type="dxa"/>
            <w:tcBorders>
              <w:top w:val="nil"/>
              <w:left w:val="nil"/>
              <w:bottom w:val="nil"/>
              <w:right w:val="nil"/>
            </w:tcBorders>
            <w:shd w:val="clear" w:color="000000" w:fill="B6D5E4"/>
            <w:noWrap/>
            <w:vAlign w:val="bottom"/>
            <w:hideMark/>
          </w:tcPr>
          <w:p w14:paraId="10B84334" w14:textId="77777777" w:rsidR="00AD15A4" w:rsidRPr="00124501" w:rsidRDefault="00AD15A4" w:rsidP="00DC01B6">
            <w:pPr>
              <w:keepNext/>
              <w:keepLines/>
              <w:tabs>
                <w:tab w:val="clear" w:pos="567"/>
              </w:tabs>
              <w:spacing w:before="0" w:line="240" w:lineRule="auto"/>
              <w:ind w:left="193" w:hanging="142"/>
              <w:jc w:val="right"/>
              <w:rPr>
                <w:rFonts w:ascii="Open Sans Semibold" w:eastAsia="Times New Roman" w:hAnsi="Open Sans Semibold" w:cs="Open Sans Semibold"/>
                <w:color w:val="000000"/>
                <w:sz w:val="16"/>
                <w:szCs w:val="16"/>
                <w:lang w:eastAsia="en-AU"/>
              </w:rPr>
            </w:pPr>
            <w:r w:rsidRPr="00124501">
              <w:rPr>
                <w:rFonts w:ascii="Open Sans Semibold" w:eastAsia="Times New Roman" w:hAnsi="Open Sans Semibold" w:cs="Open Sans Semibold"/>
                <w:color w:val="000000"/>
                <w:sz w:val="16"/>
                <w:szCs w:val="16"/>
                <w:lang w:eastAsia="en-AU"/>
              </w:rPr>
              <w:t> </w:t>
            </w:r>
          </w:p>
        </w:tc>
        <w:tc>
          <w:tcPr>
            <w:tcW w:w="1100" w:type="dxa"/>
            <w:tcBorders>
              <w:top w:val="nil"/>
              <w:left w:val="nil"/>
              <w:bottom w:val="nil"/>
              <w:right w:val="nil"/>
            </w:tcBorders>
            <w:shd w:val="clear" w:color="000000" w:fill="B6D5E4"/>
            <w:noWrap/>
            <w:vAlign w:val="bottom"/>
            <w:hideMark/>
          </w:tcPr>
          <w:p w14:paraId="07F6E3C2" w14:textId="77777777" w:rsidR="00AD15A4" w:rsidRPr="00124501" w:rsidRDefault="00AD15A4" w:rsidP="00DC01B6">
            <w:pPr>
              <w:keepNext/>
              <w:keepLines/>
              <w:tabs>
                <w:tab w:val="clear" w:pos="567"/>
              </w:tabs>
              <w:spacing w:before="0" w:line="240" w:lineRule="auto"/>
              <w:ind w:left="193" w:hanging="142"/>
              <w:jc w:val="right"/>
              <w:rPr>
                <w:rFonts w:ascii="Open Sans Semibold" w:eastAsia="Times New Roman" w:hAnsi="Open Sans Semibold" w:cs="Open Sans Semibold"/>
                <w:color w:val="000000"/>
                <w:sz w:val="16"/>
                <w:szCs w:val="16"/>
                <w:lang w:eastAsia="en-AU"/>
              </w:rPr>
            </w:pPr>
            <w:r w:rsidRPr="00124501">
              <w:rPr>
                <w:rFonts w:ascii="Open Sans Semibold" w:eastAsia="Times New Roman" w:hAnsi="Open Sans Semibold" w:cs="Open Sans Semibold"/>
                <w:color w:val="000000"/>
                <w:sz w:val="16"/>
                <w:szCs w:val="16"/>
                <w:lang w:eastAsia="en-AU"/>
              </w:rPr>
              <w:t>000</w:t>
            </w:r>
          </w:p>
        </w:tc>
        <w:tc>
          <w:tcPr>
            <w:tcW w:w="1218" w:type="dxa"/>
            <w:tcBorders>
              <w:top w:val="nil"/>
              <w:left w:val="nil"/>
              <w:bottom w:val="nil"/>
              <w:right w:val="nil"/>
            </w:tcBorders>
            <w:shd w:val="clear" w:color="000000" w:fill="B6D5E4"/>
            <w:noWrap/>
            <w:vAlign w:val="bottom"/>
            <w:hideMark/>
          </w:tcPr>
          <w:p w14:paraId="258C2FFE" w14:textId="77777777" w:rsidR="00AD15A4" w:rsidRPr="00124501" w:rsidRDefault="00AD15A4" w:rsidP="00DC01B6">
            <w:pPr>
              <w:keepNext/>
              <w:keepLines/>
              <w:tabs>
                <w:tab w:val="clear" w:pos="567"/>
              </w:tabs>
              <w:spacing w:before="0" w:line="240" w:lineRule="auto"/>
              <w:ind w:left="193" w:hanging="142"/>
              <w:jc w:val="right"/>
              <w:rPr>
                <w:rFonts w:ascii="Open Sans Semibold" w:eastAsia="Times New Roman" w:hAnsi="Open Sans Semibold" w:cs="Open Sans Semibold"/>
                <w:color w:val="000000"/>
                <w:sz w:val="16"/>
                <w:szCs w:val="16"/>
                <w:lang w:eastAsia="en-AU"/>
              </w:rPr>
            </w:pPr>
            <w:r w:rsidRPr="00124501">
              <w:rPr>
                <w:rFonts w:ascii="Open Sans Semibold" w:eastAsia="Times New Roman" w:hAnsi="Open Sans Semibold" w:cs="Open Sans Semibold"/>
                <w:color w:val="000000"/>
                <w:sz w:val="16"/>
                <w:szCs w:val="16"/>
                <w:lang w:eastAsia="en-AU"/>
              </w:rPr>
              <w:t>000</w:t>
            </w:r>
          </w:p>
        </w:tc>
        <w:tc>
          <w:tcPr>
            <w:tcW w:w="257" w:type="dxa"/>
            <w:tcBorders>
              <w:top w:val="nil"/>
              <w:left w:val="nil"/>
              <w:bottom w:val="nil"/>
              <w:right w:val="nil"/>
            </w:tcBorders>
            <w:shd w:val="clear" w:color="000000" w:fill="B6D5E4"/>
            <w:noWrap/>
            <w:vAlign w:val="bottom"/>
            <w:hideMark/>
          </w:tcPr>
          <w:p w14:paraId="0E19E4B0" w14:textId="77777777" w:rsidR="00AD15A4" w:rsidRPr="00124501" w:rsidRDefault="00AD15A4" w:rsidP="00DC01B6">
            <w:pPr>
              <w:keepNext/>
              <w:keepLines/>
              <w:tabs>
                <w:tab w:val="clear" w:pos="567"/>
              </w:tabs>
              <w:spacing w:before="0" w:line="240" w:lineRule="auto"/>
              <w:ind w:left="193" w:hanging="142"/>
              <w:jc w:val="right"/>
              <w:rPr>
                <w:rFonts w:ascii="Open Sans Semibold" w:eastAsia="Times New Roman" w:hAnsi="Open Sans Semibold" w:cs="Open Sans Semibold"/>
                <w:color w:val="000000"/>
                <w:sz w:val="16"/>
                <w:szCs w:val="16"/>
                <w:lang w:eastAsia="en-AU"/>
              </w:rPr>
            </w:pPr>
            <w:r w:rsidRPr="00124501">
              <w:rPr>
                <w:rFonts w:ascii="Open Sans Semibold" w:eastAsia="Times New Roman" w:hAnsi="Open Sans Semibold" w:cs="Open Sans Semibold"/>
                <w:color w:val="000000"/>
                <w:sz w:val="16"/>
                <w:szCs w:val="16"/>
                <w:lang w:eastAsia="en-AU"/>
              </w:rPr>
              <w:t> </w:t>
            </w:r>
          </w:p>
        </w:tc>
        <w:tc>
          <w:tcPr>
            <w:tcW w:w="1100" w:type="dxa"/>
            <w:tcBorders>
              <w:top w:val="nil"/>
              <w:left w:val="nil"/>
              <w:bottom w:val="nil"/>
              <w:right w:val="nil"/>
            </w:tcBorders>
            <w:shd w:val="clear" w:color="000000" w:fill="B6D5E4"/>
            <w:noWrap/>
            <w:vAlign w:val="bottom"/>
            <w:hideMark/>
          </w:tcPr>
          <w:p w14:paraId="1266FD5F" w14:textId="77777777" w:rsidR="00AD15A4" w:rsidRPr="00124501" w:rsidRDefault="00AD15A4" w:rsidP="00DC01B6">
            <w:pPr>
              <w:keepNext/>
              <w:keepLines/>
              <w:tabs>
                <w:tab w:val="clear" w:pos="567"/>
              </w:tabs>
              <w:spacing w:before="0" w:line="240" w:lineRule="auto"/>
              <w:ind w:left="193" w:hanging="142"/>
              <w:jc w:val="right"/>
              <w:rPr>
                <w:rFonts w:ascii="Open Sans Semibold" w:eastAsia="Times New Roman" w:hAnsi="Open Sans Semibold" w:cs="Open Sans Semibold"/>
                <w:color w:val="000000"/>
                <w:sz w:val="16"/>
                <w:szCs w:val="16"/>
                <w:lang w:eastAsia="en-AU"/>
              </w:rPr>
            </w:pPr>
            <w:r w:rsidRPr="00124501">
              <w:rPr>
                <w:rFonts w:ascii="Open Sans Semibold" w:eastAsia="Times New Roman" w:hAnsi="Open Sans Semibold" w:cs="Open Sans Semibold"/>
                <w:color w:val="000000"/>
                <w:sz w:val="16"/>
                <w:szCs w:val="16"/>
                <w:lang w:eastAsia="en-AU"/>
              </w:rPr>
              <w:t>000</w:t>
            </w:r>
          </w:p>
        </w:tc>
        <w:tc>
          <w:tcPr>
            <w:tcW w:w="1218" w:type="dxa"/>
            <w:tcBorders>
              <w:top w:val="nil"/>
              <w:left w:val="nil"/>
              <w:bottom w:val="nil"/>
              <w:right w:val="nil"/>
            </w:tcBorders>
            <w:shd w:val="clear" w:color="000000" w:fill="B6D5E4"/>
            <w:noWrap/>
            <w:vAlign w:val="bottom"/>
            <w:hideMark/>
          </w:tcPr>
          <w:p w14:paraId="1412D94A" w14:textId="77777777" w:rsidR="00AD15A4" w:rsidRPr="00124501" w:rsidRDefault="00AD15A4" w:rsidP="00DC01B6">
            <w:pPr>
              <w:keepNext/>
              <w:keepLines/>
              <w:tabs>
                <w:tab w:val="clear" w:pos="567"/>
              </w:tabs>
              <w:spacing w:before="0" w:line="240" w:lineRule="auto"/>
              <w:ind w:left="193" w:hanging="142"/>
              <w:jc w:val="right"/>
              <w:rPr>
                <w:rFonts w:ascii="Open Sans Semibold" w:eastAsia="Times New Roman" w:hAnsi="Open Sans Semibold" w:cs="Open Sans Semibold"/>
                <w:color w:val="000000"/>
                <w:sz w:val="16"/>
                <w:szCs w:val="16"/>
                <w:lang w:eastAsia="en-AU"/>
              </w:rPr>
            </w:pPr>
            <w:r w:rsidRPr="00124501">
              <w:rPr>
                <w:rFonts w:ascii="Open Sans Semibold" w:eastAsia="Times New Roman" w:hAnsi="Open Sans Semibold" w:cs="Open Sans Semibold"/>
                <w:color w:val="000000"/>
                <w:sz w:val="16"/>
                <w:szCs w:val="16"/>
                <w:lang w:eastAsia="en-AU"/>
              </w:rPr>
              <w:t>000</w:t>
            </w:r>
          </w:p>
        </w:tc>
        <w:tc>
          <w:tcPr>
            <w:tcW w:w="257" w:type="dxa"/>
            <w:tcBorders>
              <w:top w:val="nil"/>
              <w:left w:val="nil"/>
              <w:bottom w:val="nil"/>
              <w:right w:val="nil"/>
            </w:tcBorders>
            <w:shd w:val="clear" w:color="000000" w:fill="B6D5E4"/>
            <w:noWrap/>
            <w:vAlign w:val="bottom"/>
            <w:hideMark/>
          </w:tcPr>
          <w:p w14:paraId="3226B311" w14:textId="77777777" w:rsidR="00AD15A4" w:rsidRPr="00124501" w:rsidRDefault="00AD15A4" w:rsidP="00DC01B6">
            <w:pPr>
              <w:keepNext/>
              <w:keepLines/>
              <w:tabs>
                <w:tab w:val="clear" w:pos="567"/>
              </w:tabs>
              <w:spacing w:before="0" w:line="240" w:lineRule="auto"/>
              <w:ind w:left="193" w:hanging="142"/>
              <w:jc w:val="right"/>
              <w:rPr>
                <w:rFonts w:ascii="Open Sans Semibold" w:eastAsia="Times New Roman" w:hAnsi="Open Sans Semibold" w:cs="Open Sans Semibold"/>
                <w:color w:val="000000"/>
                <w:sz w:val="16"/>
                <w:szCs w:val="16"/>
                <w:lang w:eastAsia="en-AU"/>
              </w:rPr>
            </w:pPr>
            <w:r w:rsidRPr="00124501">
              <w:rPr>
                <w:rFonts w:ascii="Open Sans Semibold" w:eastAsia="Times New Roman" w:hAnsi="Open Sans Semibold" w:cs="Open Sans Semibold"/>
                <w:color w:val="000000"/>
                <w:sz w:val="16"/>
                <w:szCs w:val="16"/>
                <w:lang w:eastAsia="en-AU"/>
              </w:rPr>
              <w:t> </w:t>
            </w:r>
          </w:p>
        </w:tc>
        <w:tc>
          <w:tcPr>
            <w:tcW w:w="1100" w:type="dxa"/>
            <w:tcBorders>
              <w:top w:val="nil"/>
              <w:left w:val="nil"/>
              <w:bottom w:val="nil"/>
              <w:right w:val="nil"/>
            </w:tcBorders>
            <w:shd w:val="clear" w:color="000000" w:fill="B6D5E4"/>
            <w:noWrap/>
            <w:vAlign w:val="bottom"/>
            <w:hideMark/>
          </w:tcPr>
          <w:p w14:paraId="11B05C16" w14:textId="77777777" w:rsidR="00AD15A4" w:rsidRPr="00124501" w:rsidRDefault="00AD15A4" w:rsidP="00DC01B6">
            <w:pPr>
              <w:keepNext/>
              <w:keepLines/>
              <w:tabs>
                <w:tab w:val="clear" w:pos="567"/>
              </w:tabs>
              <w:spacing w:before="0" w:line="240" w:lineRule="auto"/>
              <w:ind w:left="193" w:hanging="142"/>
              <w:jc w:val="right"/>
              <w:rPr>
                <w:rFonts w:ascii="Open Sans Semibold" w:eastAsia="Times New Roman" w:hAnsi="Open Sans Semibold" w:cs="Open Sans Semibold"/>
                <w:color w:val="000000"/>
                <w:sz w:val="16"/>
                <w:szCs w:val="16"/>
                <w:lang w:eastAsia="en-AU"/>
              </w:rPr>
            </w:pPr>
            <w:r w:rsidRPr="00124501">
              <w:rPr>
                <w:rFonts w:ascii="Open Sans Semibold" w:eastAsia="Times New Roman" w:hAnsi="Open Sans Semibold" w:cs="Open Sans Semibold"/>
                <w:color w:val="000000"/>
                <w:sz w:val="16"/>
                <w:szCs w:val="16"/>
                <w:lang w:eastAsia="en-AU"/>
              </w:rPr>
              <w:t>%</w:t>
            </w:r>
          </w:p>
        </w:tc>
        <w:tc>
          <w:tcPr>
            <w:tcW w:w="1100" w:type="dxa"/>
            <w:tcBorders>
              <w:top w:val="nil"/>
              <w:left w:val="nil"/>
              <w:bottom w:val="nil"/>
              <w:right w:val="nil"/>
            </w:tcBorders>
            <w:shd w:val="clear" w:color="000000" w:fill="B6D5E4"/>
            <w:noWrap/>
            <w:vAlign w:val="bottom"/>
            <w:hideMark/>
          </w:tcPr>
          <w:p w14:paraId="35C9615B" w14:textId="77777777" w:rsidR="00AD15A4" w:rsidRPr="00124501" w:rsidRDefault="00AD15A4" w:rsidP="00DC01B6">
            <w:pPr>
              <w:keepNext/>
              <w:keepLines/>
              <w:tabs>
                <w:tab w:val="clear" w:pos="567"/>
              </w:tabs>
              <w:spacing w:before="0" w:line="240" w:lineRule="auto"/>
              <w:ind w:left="193" w:hanging="142"/>
              <w:jc w:val="right"/>
              <w:rPr>
                <w:rFonts w:ascii="Open Sans Semibold" w:eastAsia="Times New Roman" w:hAnsi="Open Sans Semibold" w:cs="Open Sans Semibold"/>
                <w:color w:val="000000"/>
                <w:sz w:val="16"/>
                <w:szCs w:val="16"/>
                <w:lang w:eastAsia="en-AU"/>
              </w:rPr>
            </w:pPr>
            <w:r w:rsidRPr="00124501">
              <w:rPr>
                <w:rFonts w:ascii="Open Sans Semibold" w:eastAsia="Times New Roman" w:hAnsi="Open Sans Semibold" w:cs="Open Sans Semibold"/>
                <w:color w:val="000000"/>
                <w:sz w:val="16"/>
                <w:szCs w:val="16"/>
                <w:lang w:eastAsia="en-AU"/>
              </w:rPr>
              <w:t>%</w:t>
            </w:r>
          </w:p>
        </w:tc>
      </w:tr>
      <w:tr w:rsidR="00AD15A4" w:rsidRPr="00124501" w14:paraId="2B13A8B6" w14:textId="77777777" w:rsidTr="00DC01B6">
        <w:trPr>
          <w:trHeight w:val="300"/>
        </w:trPr>
        <w:tc>
          <w:tcPr>
            <w:tcW w:w="1493" w:type="dxa"/>
            <w:tcBorders>
              <w:top w:val="nil"/>
              <w:left w:val="nil"/>
              <w:bottom w:val="single" w:sz="4" w:space="0" w:color="ADD6EA"/>
              <w:right w:val="nil"/>
            </w:tcBorders>
            <w:shd w:val="clear" w:color="000000" w:fill="FFFFFF"/>
            <w:vAlign w:val="bottom"/>
            <w:hideMark/>
          </w:tcPr>
          <w:p w14:paraId="24B7AEDB" w14:textId="77777777" w:rsidR="00AD15A4" w:rsidRPr="00124501" w:rsidRDefault="00AD15A4" w:rsidP="00DC01B6">
            <w:pPr>
              <w:keepNext/>
              <w:keepLines/>
              <w:tabs>
                <w:tab w:val="clear" w:pos="567"/>
              </w:tabs>
              <w:spacing w:before="0" w:line="240" w:lineRule="auto"/>
              <w:ind w:left="193" w:hanging="142"/>
              <w:rPr>
                <w:rFonts w:eastAsia="Times New Roman" w:cs="Open Sans Light"/>
                <w:sz w:val="16"/>
                <w:szCs w:val="16"/>
                <w:lang w:eastAsia="en-AU"/>
              </w:rPr>
            </w:pPr>
            <w:r w:rsidRPr="00124501">
              <w:rPr>
                <w:rFonts w:eastAsia="Times New Roman" w:cs="Open Sans Light"/>
                <w:sz w:val="16"/>
                <w:szCs w:val="16"/>
                <w:lang w:eastAsia="en-AU"/>
              </w:rPr>
              <w:t>ABF</w:t>
            </w:r>
          </w:p>
        </w:tc>
        <w:tc>
          <w:tcPr>
            <w:tcW w:w="1100" w:type="dxa"/>
            <w:tcBorders>
              <w:top w:val="nil"/>
              <w:left w:val="nil"/>
              <w:bottom w:val="single" w:sz="4" w:space="0" w:color="ADD6EA"/>
              <w:right w:val="nil"/>
            </w:tcBorders>
            <w:shd w:val="clear" w:color="000000" w:fill="FFFFFF"/>
            <w:vAlign w:val="bottom"/>
            <w:hideMark/>
          </w:tcPr>
          <w:p w14:paraId="35BBC992" w14:textId="77777777" w:rsidR="00AD15A4" w:rsidRPr="00124501" w:rsidRDefault="00AD15A4" w:rsidP="00DC01B6">
            <w:pPr>
              <w:keepNext/>
              <w:keepLines/>
              <w:tabs>
                <w:tab w:val="clear" w:pos="567"/>
              </w:tabs>
              <w:spacing w:before="0" w:line="240" w:lineRule="auto"/>
              <w:ind w:left="193" w:hanging="142"/>
              <w:jc w:val="right"/>
              <w:rPr>
                <w:rFonts w:eastAsia="Times New Roman" w:cs="Open Sans Light"/>
                <w:sz w:val="16"/>
                <w:szCs w:val="16"/>
                <w:lang w:eastAsia="en-AU"/>
              </w:rPr>
            </w:pPr>
            <w:r w:rsidRPr="00124501">
              <w:rPr>
                <w:rFonts w:eastAsia="Times New Roman" w:cs="Open Sans Light"/>
                <w:sz w:val="16"/>
                <w:szCs w:val="16"/>
                <w:lang w:eastAsia="en-AU"/>
              </w:rPr>
              <w:t>1,323</w:t>
            </w:r>
          </w:p>
        </w:tc>
        <w:tc>
          <w:tcPr>
            <w:tcW w:w="1218" w:type="dxa"/>
            <w:tcBorders>
              <w:top w:val="nil"/>
              <w:left w:val="nil"/>
              <w:bottom w:val="single" w:sz="4" w:space="0" w:color="ADD6EA"/>
              <w:right w:val="nil"/>
            </w:tcBorders>
            <w:shd w:val="clear" w:color="000000" w:fill="FFFFFF"/>
            <w:vAlign w:val="bottom"/>
            <w:hideMark/>
          </w:tcPr>
          <w:p w14:paraId="0030C0DB" w14:textId="77777777" w:rsidR="00AD15A4" w:rsidRPr="00124501" w:rsidRDefault="00AD15A4" w:rsidP="00DC01B6">
            <w:pPr>
              <w:keepNext/>
              <w:keepLines/>
              <w:tabs>
                <w:tab w:val="clear" w:pos="567"/>
              </w:tabs>
              <w:spacing w:before="0" w:line="240" w:lineRule="auto"/>
              <w:ind w:left="193" w:hanging="142"/>
              <w:jc w:val="right"/>
              <w:rPr>
                <w:rFonts w:eastAsia="Times New Roman" w:cs="Open Sans Light"/>
                <w:sz w:val="16"/>
                <w:szCs w:val="16"/>
                <w:lang w:eastAsia="en-AU"/>
              </w:rPr>
            </w:pPr>
            <w:r w:rsidRPr="00124501">
              <w:rPr>
                <w:rFonts w:eastAsia="Times New Roman" w:cs="Open Sans Light"/>
                <w:sz w:val="16"/>
                <w:szCs w:val="16"/>
                <w:lang w:eastAsia="en-AU"/>
              </w:rPr>
              <w:t>1,142</w:t>
            </w:r>
          </w:p>
        </w:tc>
        <w:tc>
          <w:tcPr>
            <w:tcW w:w="257" w:type="dxa"/>
            <w:tcBorders>
              <w:top w:val="nil"/>
              <w:left w:val="nil"/>
              <w:bottom w:val="single" w:sz="4" w:space="0" w:color="ADD6EA"/>
              <w:right w:val="nil"/>
            </w:tcBorders>
            <w:shd w:val="clear" w:color="000000" w:fill="FFFFFF"/>
            <w:vAlign w:val="bottom"/>
            <w:hideMark/>
          </w:tcPr>
          <w:p w14:paraId="69634ABA" w14:textId="77777777" w:rsidR="00AD15A4" w:rsidRPr="00124501" w:rsidRDefault="00AD15A4" w:rsidP="00DC01B6">
            <w:pPr>
              <w:keepNext/>
              <w:keepLines/>
              <w:tabs>
                <w:tab w:val="clear" w:pos="567"/>
              </w:tabs>
              <w:spacing w:before="0" w:line="240" w:lineRule="auto"/>
              <w:ind w:left="193" w:hanging="142"/>
              <w:jc w:val="right"/>
              <w:rPr>
                <w:rFonts w:eastAsia="Times New Roman" w:cs="Open Sans Light"/>
                <w:sz w:val="16"/>
                <w:szCs w:val="16"/>
                <w:lang w:eastAsia="en-AU"/>
              </w:rPr>
            </w:pPr>
          </w:p>
        </w:tc>
        <w:tc>
          <w:tcPr>
            <w:tcW w:w="1100" w:type="dxa"/>
            <w:tcBorders>
              <w:top w:val="nil"/>
              <w:left w:val="nil"/>
              <w:bottom w:val="single" w:sz="4" w:space="0" w:color="ADD6EA"/>
              <w:right w:val="nil"/>
            </w:tcBorders>
            <w:shd w:val="clear" w:color="000000" w:fill="FFFFFF"/>
            <w:vAlign w:val="bottom"/>
            <w:hideMark/>
          </w:tcPr>
          <w:p w14:paraId="2136B21E" w14:textId="77777777" w:rsidR="00AD15A4" w:rsidRPr="00124501" w:rsidRDefault="00AD15A4" w:rsidP="00DC01B6">
            <w:pPr>
              <w:keepNext/>
              <w:keepLines/>
              <w:tabs>
                <w:tab w:val="clear" w:pos="567"/>
              </w:tabs>
              <w:spacing w:before="0" w:line="240" w:lineRule="auto"/>
              <w:ind w:left="193" w:hanging="142"/>
              <w:jc w:val="right"/>
              <w:rPr>
                <w:rFonts w:eastAsia="Times New Roman" w:cs="Open Sans Light"/>
                <w:sz w:val="16"/>
                <w:szCs w:val="16"/>
                <w:lang w:eastAsia="en-AU"/>
              </w:rPr>
            </w:pPr>
            <w:r w:rsidRPr="00124501">
              <w:rPr>
                <w:rFonts w:eastAsia="Times New Roman" w:cs="Open Sans Light"/>
                <w:sz w:val="16"/>
                <w:szCs w:val="16"/>
                <w:lang w:eastAsia="en-AU"/>
              </w:rPr>
              <w:t>1,062</w:t>
            </w:r>
          </w:p>
        </w:tc>
        <w:tc>
          <w:tcPr>
            <w:tcW w:w="1218" w:type="dxa"/>
            <w:tcBorders>
              <w:top w:val="nil"/>
              <w:left w:val="nil"/>
              <w:bottom w:val="single" w:sz="4" w:space="0" w:color="ADD6EA"/>
              <w:right w:val="nil"/>
            </w:tcBorders>
            <w:shd w:val="clear" w:color="000000" w:fill="FFFFFF"/>
            <w:vAlign w:val="bottom"/>
            <w:hideMark/>
          </w:tcPr>
          <w:p w14:paraId="4A5BE404" w14:textId="77777777" w:rsidR="00AD15A4" w:rsidRPr="00124501" w:rsidRDefault="00AD15A4" w:rsidP="00DC01B6">
            <w:pPr>
              <w:keepNext/>
              <w:keepLines/>
              <w:tabs>
                <w:tab w:val="clear" w:pos="567"/>
              </w:tabs>
              <w:spacing w:before="0" w:line="240" w:lineRule="auto"/>
              <w:ind w:left="193" w:hanging="142"/>
              <w:jc w:val="right"/>
              <w:rPr>
                <w:rFonts w:eastAsia="Times New Roman" w:cs="Open Sans Light"/>
                <w:sz w:val="16"/>
                <w:szCs w:val="16"/>
                <w:lang w:eastAsia="en-AU"/>
              </w:rPr>
            </w:pPr>
            <w:r w:rsidRPr="00124501">
              <w:rPr>
                <w:rFonts w:eastAsia="Times New Roman" w:cs="Open Sans Light"/>
                <w:sz w:val="16"/>
                <w:szCs w:val="16"/>
                <w:lang w:eastAsia="en-AU"/>
              </w:rPr>
              <w:t>1,054</w:t>
            </w:r>
          </w:p>
        </w:tc>
        <w:tc>
          <w:tcPr>
            <w:tcW w:w="257" w:type="dxa"/>
            <w:tcBorders>
              <w:top w:val="nil"/>
              <w:left w:val="nil"/>
              <w:bottom w:val="single" w:sz="4" w:space="0" w:color="ADD6EA"/>
              <w:right w:val="nil"/>
            </w:tcBorders>
            <w:shd w:val="clear" w:color="000000" w:fill="FFFFFF"/>
            <w:vAlign w:val="bottom"/>
            <w:hideMark/>
          </w:tcPr>
          <w:p w14:paraId="4247535B" w14:textId="77777777" w:rsidR="00AD15A4" w:rsidRPr="00124501" w:rsidRDefault="00AD15A4" w:rsidP="00DC01B6">
            <w:pPr>
              <w:keepNext/>
              <w:keepLines/>
              <w:tabs>
                <w:tab w:val="clear" w:pos="567"/>
              </w:tabs>
              <w:spacing w:before="0" w:line="240" w:lineRule="auto"/>
              <w:ind w:left="193" w:hanging="142"/>
              <w:jc w:val="right"/>
              <w:rPr>
                <w:rFonts w:eastAsia="Times New Roman" w:cs="Open Sans Light"/>
                <w:sz w:val="16"/>
                <w:szCs w:val="16"/>
                <w:lang w:eastAsia="en-AU"/>
              </w:rPr>
            </w:pPr>
          </w:p>
        </w:tc>
        <w:tc>
          <w:tcPr>
            <w:tcW w:w="1100" w:type="dxa"/>
            <w:tcBorders>
              <w:top w:val="nil"/>
              <w:left w:val="nil"/>
              <w:bottom w:val="single" w:sz="4" w:space="0" w:color="ADD6EA"/>
              <w:right w:val="nil"/>
            </w:tcBorders>
            <w:shd w:val="clear" w:color="000000" w:fill="FFFFFF"/>
            <w:vAlign w:val="bottom"/>
            <w:hideMark/>
          </w:tcPr>
          <w:p w14:paraId="4555A519" w14:textId="77777777" w:rsidR="00AD15A4" w:rsidRPr="00124501" w:rsidRDefault="00AD15A4" w:rsidP="00DC01B6">
            <w:pPr>
              <w:keepNext/>
              <w:keepLines/>
              <w:tabs>
                <w:tab w:val="clear" w:pos="567"/>
              </w:tabs>
              <w:spacing w:before="0" w:line="240" w:lineRule="auto"/>
              <w:ind w:left="193" w:hanging="142"/>
              <w:jc w:val="right"/>
              <w:rPr>
                <w:rFonts w:eastAsia="Times New Roman" w:cs="Open Sans Light"/>
                <w:sz w:val="16"/>
                <w:szCs w:val="16"/>
                <w:lang w:eastAsia="en-AU"/>
              </w:rPr>
            </w:pPr>
            <w:r w:rsidRPr="00124501">
              <w:rPr>
                <w:rFonts w:eastAsia="Times New Roman" w:cs="Open Sans Light"/>
                <w:sz w:val="16"/>
                <w:szCs w:val="16"/>
                <w:lang w:eastAsia="en-AU"/>
              </w:rPr>
              <w:t>86</w:t>
            </w:r>
          </w:p>
        </w:tc>
        <w:tc>
          <w:tcPr>
            <w:tcW w:w="1100" w:type="dxa"/>
            <w:tcBorders>
              <w:top w:val="nil"/>
              <w:left w:val="nil"/>
              <w:bottom w:val="single" w:sz="4" w:space="0" w:color="ADD6EA"/>
              <w:right w:val="nil"/>
            </w:tcBorders>
            <w:shd w:val="clear" w:color="000000" w:fill="FFFFFF"/>
            <w:vAlign w:val="bottom"/>
            <w:hideMark/>
          </w:tcPr>
          <w:p w14:paraId="01AB7E29" w14:textId="77777777" w:rsidR="00AD15A4" w:rsidRPr="00124501" w:rsidRDefault="00AD15A4" w:rsidP="00DC01B6">
            <w:pPr>
              <w:keepNext/>
              <w:keepLines/>
              <w:tabs>
                <w:tab w:val="clear" w:pos="567"/>
              </w:tabs>
              <w:spacing w:before="0" w:line="240" w:lineRule="auto"/>
              <w:ind w:left="193" w:hanging="142"/>
              <w:jc w:val="right"/>
              <w:rPr>
                <w:rFonts w:eastAsia="Times New Roman" w:cs="Open Sans Light"/>
                <w:sz w:val="16"/>
                <w:szCs w:val="16"/>
                <w:lang w:eastAsia="en-AU"/>
              </w:rPr>
            </w:pPr>
            <w:r w:rsidRPr="00124501">
              <w:rPr>
                <w:rFonts w:eastAsia="Times New Roman" w:cs="Open Sans Light"/>
                <w:sz w:val="16"/>
                <w:szCs w:val="16"/>
                <w:lang w:eastAsia="en-AU"/>
              </w:rPr>
              <w:t>99</w:t>
            </w:r>
          </w:p>
        </w:tc>
      </w:tr>
      <w:tr w:rsidR="00AD15A4" w:rsidRPr="00124501" w14:paraId="7180FB94" w14:textId="77777777" w:rsidTr="00DC01B6">
        <w:trPr>
          <w:trHeight w:val="300"/>
        </w:trPr>
        <w:tc>
          <w:tcPr>
            <w:tcW w:w="1493" w:type="dxa"/>
            <w:tcBorders>
              <w:top w:val="nil"/>
              <w:left w:val="nil"/>
              <w:bottom w:val="single" w:sz="4" w:space="0" w:color="ADD6EA"/>
              <w:right w:val="nil"/>
            </w:tcBorders>
            <w:shd w:val="clear" w:color="000000" w:fill="FFFFFF"/>
            <w:vAlign w:val="bottom"/>
            <w:hideMark/>
          </w:tcPr>
          <w:p w14:paraId="2C3C2257" w14:textId="77777777" w:rsidR="00AD15A4" w:rsidRPr="00124501" w:rsidRDefault="00AD15A4" w:rsidP="00DC01B6">
            <w:pPr>
              <w:keepNext/>
              <w:keepLines/>
              <w:tabs>
                <w:tab w:val="clear" w:pos="567"/>
              </w:tabs>
              <w:spacing w:before="0" w:line="240" w:lineRule="auto"/>
              <w:ind w:left="193" w:hanging="142"/>
              <w:rPr>
                <w:rFonts w:eastAsia="Times New Roman" w:cs="Open Sans Light"/>
                <w:sz w:val="16"/>
                <w:szCs w:val="16"/>
                <w:lang w:eastAsia="en-AU"/>
              </w:rPr>
            </w:pPr>
            <w:r w:rsidRPr="00124501">
              <w:rPr>
                <w:rFonts w:eastAsia="Times New Roman" w:cs="Open Sans Light"/>
                <w:sz w:val="16"/>
                <w:szCs w:val="16"/>
                <w:lang w:eastAsia="en-AU"/>
              </w:rPr>
              <w:t>BF</w:t>
            </w:r>
          </w:p>
        </w:tc>
        <w:tc>
          <w:tcPr>
            <w:tcW w:w="1100" w:type="dxa"/>
            <w:tcBorders>
              <w:top w:val="nil"/>
              <w:left w:val="nil"/>
              <w:bottom w:val="single" w:sz="4" w:space="0" w:color="ADD6EA"/>
              <w:right w:val="nil"/>
            </w:tcBorders>
            <w:shd w:val="clear" w:color="000000" w:fill="FFFFFF"/>
            <w:vAlign w:val="bottom"/>
            <w:hideMark/>
          </w:tcPr>
          <w:p w14:paraId="19FE3461" w14:textId="77777777" w:rsidR="00AD15A4" w:rsidRPr="00124501" w:rsidRDefault="00AD15A4" w:rsidP="00DC01B6">
            <w:pPr>
              <w:keepNext/>
              <w:keepLines/>
              <w:tabs>
                <w:tab w:val="clear" w:pos="567"/>
              </w:tabs>
              <w:spacing w:before="0" w:line="240" w:lineRule="auto"/>
              <w:ind w:left="193" w:hanging="142"/>
              <w:jc w:val="right"/>
              <w:rPr>
                <w:rFonts w:eastAsia="Times New Roman" w:cs="Open Sans Light"/>
                <w:sz w:val="16"/>
                <w:szCs w:val="16"/>
                <w:lang w:eastAsia="en-AU"/>
              </w:rPr>
            </w:pPr>
            <w:r w:rsidRPr="00124501">
              <w:rPr>
                <w:rFonts w:eastAsia="Times New Roman" w:cs="Open Sans Light"/>
                <w:sz w:val="16"/>
                <w:szCs w:val="16"/>
                <w:lang w:eastAsia="en-AU"/>
              </w:rPr>
              <w:t>37</w:t>
            </w:r>
          </w:p>
        </w:tc>
        <w:tc>
          <w:tcPr>
            <w:tcW w:w="1218" w:type="dxa"/>
            <w:tcBorders>
              <w:top w:val="nil"/>
              <w:left w:val="nil"/>
              <w:bottom w:val="single" w:sz="4" w:space="0" w:color="ADD6EA"/>
              <w:right w:val="nil"/>
            </w:tcBorders>
            <w:shd w:val="clear" w:color="000000" w:fill="FFFFFF"/>
            <w:vAlign w:val="bottom"/>
            <w:hideMark/>
          </w:tcPr>
          <w:p w14:paraId="482C3FBC" w14:textId="77777777" w:rsidR="00AD15A4" w:rsidRPr="00124501" w:rsidRDefault="00AD15A4" w:rsidP="00DC01B6">
            <w:pPr>
              <w:keepNext/>
              <w:keepLines/>
              <w:tabs>
                <w:tab w:val="clear" w:pos="567"/>
              </w:tabs>
              <w:spacing w:before="0" w:line="240" w:lineRule="auto"/>
              <w:ind w:left="193" w:hanging="142"/>
              <w:jc w:val="right"/>
              <w:rPr>
                <w:rFonts w:eastAsia="Times New Roman" w:cs="Open Sans Light"/>
                <w:sz w:val="16"/>
                <w:szCs w:val="16"/>
                <w:lang w:eastAsia="en-AU"/>
              </w:rPr>
            </w:pPr>
            <w:r w:rsidRPr="00124501">
              <w:rPr>
                <w:rFonts w:eastAsia="Times New Roman" w:cs="Open Sans Light"/>
                <w:sz w:val="16"/>
                <w:szCs w:val="16"/>
                <w:lang w:eastAsia="en-AU"/>
              </w:rPr>
              <w:t>23</w:t>
            </w:r>
          </w:p>
        </w:tc>
        <w:tc>
          <w:tcPr>
            <w:tcW w:w="257" w:type="dxa"/>
            <w:tcBorders>
              <w:top w:val="nil"/>
              <w:left w:val="nil"/>
              <w:bottom w:val="single" w:sz="4" w:space="0" w:color="ADD6EA"/>
              <w:right w:val="nil"/>
            </w:tcBorders>
            <w:shd w:val="clear" w:color="000000" w:fill="FFFFFF"/>
            <w:vAlign w:val="bottom"/>
            <w:hideMark/>
          </w:tcPr>
          <w:p w14:paraId="6495E89C" w14:textId="77777777" w:rsidR="00AD15A4" w:rsidRPr="00124501" w:rsidRDefault="00AD15A4" w:rsidP="00DC01B6">
            <w:pPr>
              <w:keepNext/>
              <w:keepLines/>
              <w:tabs>
                <w:tab w:val="clear" w:pos="567"/>
              </w:tabs>
              <w:spacing w:before="0" w:line="240" w:lineRule="auto"/>
              <w:ind w:left="193" w:hanging="142"/>
              <w:jc w:val="right"/>
              <w:rPr>
                <w:rFonts w:eastAsia="Times New Roman" w:cs="Open Sans Light"/>
                <w:sz w:val="16"/>
                <w:szCs w:val="16"/>
                <w:lang w:eastAsia="en-AU"/>
              </w:rPr>
            </w:pPr>
          </w:p>
        </w:tc>
        <w:tc>
          <w:tcPr>
            <w:tcW w:w="1100" w:type="dxa"/>
            <w:tcBorders>
              <w:top w:val="nil"/>
              <w:left w:val="nil"/>
              <w:bottom w:val="single" w:sz="4" w:space="0" w:color="ADD6EA"/>
              <w:right w:val="nil"/>
            </w:tcBorders>
            <w:shd w:val="clear" w:color="000000" w:fill="FFFFFF"/>
            <w:vAlign w:val="bottom"/>
            <w:hideMark/>
          </w:tcPr>
          <w:p w14:paraId="6609964A" w14:textId="77777777" w:rsidR="00AD15A4" w:rsidRPr="00124501" w:rsidRDefault="00AD15A4" w:rsidP="00DC01B6">
            <w:pPr>
              <w:keepNext/>
              <w:keepLines/>
              <w:tabs>
                <w:tab w:val="clear" w:pos="567"/>
              </w:tabs>
              <w:spacing w:before="0" w:line="240" w:lineRule="auto"/>
              <w:ind w:left="193" w:hanging="142"/>
              <w:jc w:val="right"/>
              <w:rPr>
                <w:rFonts w:eastAsia="Times New Roman" w:cs="Open Sans Light"/>
                <w:sz w:val="16"/>
                <w:szCs w:val="16"/>
                <w:lang w:eastAsia="en-AU"/>
              </w:rPr>
            </w:pPr>
            <w:r w:rsidRPr="00124501">
              <w:rPr>
                <w:rFonts w:eastAsia="Times New Roman" w:cs="Open Sans Light"/>
                <w:sz w:val="16"/>
                <w:szCs w:val="16"/>
                <w:lang w:eastAsia="en-AU"/>
              </w:rPr>
              <w:t>82</w:t>
            </w:r>
          </w:p>
        </w:tc>
        <w:tc>
          <w:tcPr>
            <w:tcW w:w="1218" w:type="dxa"/>
            <w:tcBorders>
              <w:top w:val="nil"/>
              <w:left w:val="nil"/>
              <w:bottom w:val="single" w:sz="4" w:space="0" w:color="ADD6EA"/>
              <w:right w:val="nil"/>
            </w:tcBorders>
            <w:shd w:val="clear" w:color="000000" w:fill="FFFFFF"/>
            <w:vAlign w:val="bottom"/>
            <w:hideMark/>
          </w:tcPr>
          <w:p w14:paraId="18D78B1F" w14:textId="77777777" w:rsidR="00AD15A4" w:rsidRPr="00124501" w:rsidRDefault="00AD15A4" w:rsidP="00DC01B6">
            <w:pPr>
              <w:keepNext/>
              <w:keepLines/>
              <w:tabs>
                <w:tab w:val="clear" w:pos="567"/>
              </w:tabs>
              <w:spacing w:before="0" w:line="240" w:lineRule="auto"/>
              <w:ind w:left="193" w:hanging="142"/>
              <w:jc w:val="right"/>
              <w:rPr>
                <w:rFonts w:eastAsia="Times New Roman" w:cs="Open Sans Light"/>
                <w:sz w:val="16"/>
                <w:szCs w:val="16"/>
                <w:lang w:eastAsia="en-AU"/>
              </w:rPr>
            </w:pPr>
            <w:r w:rsidRPr="00124501">
              <w:rPr>
                <w:rFonts w:eastAsia="Times New Roman" w:cs="Open Sans Light"/>
                <w:sz w:val="16"/>
                <w:szCs w:val="16"/>
                <w:lang w:eastAsia="en-AU"/>
              </w:rPr>
              <w:t>60</w:t>
            </w:r>
          </w:p>
        </w:tc>
        <w:tc>
          <w:tcPr>
            <w:tcW w:w="257" w:type="dxa"/>
            <w:tcBorders>
              <w:top w:val="nil"/>
              <w:left w:val="nil"/>
              <w:bottom w:val="single" w:sz="4" w:space="0" w:color="ADD6EA"/>
              <w:right w:val="nil"/>
            </w:tcBorders>
            <w:shd w:val="clear" w:color="000000" w:fill="FFFFFF"/>
            <w:vAlign w:val="bottom"/>
            <w:hideMark/>
          </w:tcPr>
          <w:p w14:paraId="2000EFDE" w14:textId="77777777" w:rsidR="00AD15A4" w:rsidRPr="00124501" w:rsidRDefault="00AD15A4" w:rsidP="00DC01B6">
            <w:pPr>
              <w:keepNext/>
              <w:keepLines/>
              <w:tabs>
                <w:tab w:val="clear" w:pos="567"/>
              </w:tabs>
              <w:spacing w:before="0" w:line="240" w:lineRule="auto"/>
              <w:ind w:left="193" w:hanging="142"/>
              <w:jc w:val="right"/>
              <w:rPr>
                <w:rFonts w:eastAsia="Times New Roman" w:cs="Open Sans Light"/>
                <w:sz w:val="16"/>
                <w:szCs w:val="16"/>
                <w:lang w:eastAsia="en-AU"/>
              </w:rPr>
            </w:pPr>
          </w:p>
        </w:tc>
        <w:tc>
          <w:tcPr>
            <w:tcW w:w="1100" w:type="dxa"/>
            <w:tcBorders>
              <w:top w:val="nil"/>
              <w:left w:val="nil"/>
              <w:bottom w:val="single" w:sz="4" w:space="0" w:color="ADD6EA"/>
              <w:right w:val="nil"/>
            </w:tcBorders>
            <w:shd w:val="clear" w:color="000000" w:fill="FFFFFF"/>
            <w:vAlign w:val="bottom"/>
            <w:hideMark/>
          </w:tcPr>
          <w:p w14:paraId="5EFED5B0" w14:textId="77777777" w:rsidR="00AD15A4" w:rsidRPr="00124501" w:rsidRDefault="00AD15A4" w:rsidP="00DC01B6">
            <w:pPr>
              <w:keepNext/>
              <w:keepLines/>
              <w:tabs>
                <w:tab w:val="clear" w:pos="567"/>
              </w:tabs>
              <w:spacing w:before="0" w:line="240" w:lineRule="auto"/>
              <w:ind w:left="193" w:hanging="142"/>
              <w:jc w:val="right"/>
              <w:rPr>
                <w:rFonts w:eastAsia="Times New Roman" w:cs="Open Sans Light"/>
                <w:sz w:val="16"/>
                <w:szCs w:val="16"/>
                <w:lang w:eastAsia="en-AU"/>
              </w:rPr>
            </w:pPr>
            <w:r w:rsidRPr="00124501">
              <w:rPr>
                <w:rFonts w:eastAsia="Times New Roman" w:cs="Open Sans Light"/>
                <w:sz w:val="16"/>
                <w:szCs w:val="16"/>
                <w:lang w:eastAsia="en-AU"/>
              </w:rPr>
              <w:t>64</w:t>
            </w:r>
          </w:p>
        </w:tc>
        <w:tc>
          <w:tcPr>
            <w:tcW w:w="1100" w:type="dxa"/>
            <w:tcBorders>
              <w:top w:val="nil"/>
              <w:left w:val="nil"/>
              <w:bottom w:val="single" w:sz="4" w:space="0" w:color="ADD6EA"/>
              <w:right w:val="nil"/>
            </w:tcBorders>
            <w:shd w:val="clear" w:color="000000" w:fill="FFFFFF"/>
            <w:vAlign w:val="bottom"/>
            <w:hideMark/>
          </w:tcPr>
          <w:p w14:paraId="7158AA0F" w14:textId="77777777" w:rsidR="00AD15A4" w:rsidRPr="00124501" w:rsidRDefault="00AD15A4" w:rsidP="00DC01B6">
            <w:pPr>
              <w:keepNext/>
              <w:keepLines/>
              <w:tabs>
                <w:tab w:val="clear" w:pos="567"/>
              </w:tabs>
              <w:spacing w:before="0" w:line="240" w:lineRule="auto"/>
              <w:ind w:left="193" w:hanging="142"/>
              <w:jc w:val="right"/>
              <w:rPr>
                <w:rFonts w:eastAsia="Times New Roman" w:cs="Open Sans Light"/>
                <w:sz w:val="16"/>
                <w:szCs w:val="16"/>
                <w:lang w:eastAsia="en-AU"/>
              </w:rPr>
            </w:pPr>
            <w:r w:rsidRPr="00124501">
              <w:rPr>
                <w:rFonts w:eastAsia="Times New Roman" w:cs="Open Sans Light"/>
                <w:sz w:val="16"/>
                <w:szCs w:val="16"/>
                <w:lang w:eastAsia="en-AU"/>
              </w:rPr>
              <w:t>74</w:t>
            </w:r>
          </w:p>
        </w:tc>
      </w:tr>
      <w:tr w:rsidR="00AD15A4" w:rsidRPr="00124501" w14:paraId="7F2B7F81" w14:textId="77777777" w:rsidTr="00DC01B6">
        <w:trPr>
          <w:trHeight w:val="300"/>
        </w:trPr>
        <w:tc>
          <w:tcPr>
            <w:tcW w:w="1493" w:type="dxa"/>
            <w:tcBorders>
              <w:top w:val="nil"/>
              <w:left w:val="nil"/>
              <w:bottom w:val="single" w:sz="4" w:space="0" w:color="ADD6EA"/>
              <w:right w:val="nil"/>
            </w:tcBorders>
            <w:shd w:val="clear" w:color="000000" w:fill="FFFFFF"/>
            <w:vAlign w:val="bottom"/>
            <w:hideMark/>
          </w:tcPr>
          <w:p w14:paraId="7C405FF6" w14:textId="77777777" w:rsidR="00AD15A4" w:rsidRPr="00124501" w:rsidRDefault="00AD15A4" w:rsidP="00DC01B6">
            <w:pPr>
              <w:keepNext/>
              <w:keepLines/>
              <w:tabs>
                <w:tab w:val="clear" w:pos="567"/>
              </w:tabs>
              <w:spacing w:before="0" w:line="240" w:lineRule="auto"/>
              <w:ind w:left="193" w:hanging="142"/>
              <w:rPr>
                <w:rFonts w:eastAsia="Times New Roman" w:cs="Open Sans Light"/>
                <w:sz w:val="16"/>
                <w:szCs w:val="16"/>
                <w:lang w:eastAsia="en-AU"/>
              </w:rPr>
            </w:pPr>
            <w:r w:rsidRPr="00124501">
              <w:rPr>
                <w:rFonts w:eastAsia="Times New Roman" w:cs="Open Sans Light"/>
                <w:sz w:val="16"/>
                <w:szCs w:val="16"/>
                <w:lang w:eastAsia="en-AU"/>
              </w:rPr>
              <w:t>Unknown</w:t>
            </w:r>
          </w:p>
        </w:tc>
        <w:tc>
          <w:tcPr>
            <w:tcW w:w="1100" w:type="dxa"/>
            <w:tcBorders>
              <w:top w:val="nil"/>
              <w:left w:val="nil"/>
              <w:bottom w:val="single" w:sz="4" w:space="0" w:color="ADD6EA"/>
              <w:right w:val="nil"/>
            </w:tcBorders>
            <w:shd w:val="clear" w:color="000000" w:fill="FFFFFF"/>
            <w:vAlign w:val="bottom"/>
            <w:hideMark/>
          </w:tcPr>
          <w:p w14:paraId="4CAE62AB" w14:textId="77777777" w:rsidR="00AD15A4" w:rsidRPr="00124501" w:rsidRDefault="00AD15A4" w:rsidP="00DC01B6">
            <w:pPr>
              <w:keepNext/>
              <w:keepLines/>
              <w:tabs>
                <w:tab w:val="clear" w:pos="567"/>
              </w:tabs>
              <w:spacing w:before="0" w:line="240" w:lineRule="auto"/>
              <w:ind w:left="193" w:hanging="142"/>
              <w:jc w:val="right"/>
              <w:rPr>
                <w:rFonts w:eastAsia="Times New Roman" w:cs="Open Sans Light"/>
                <w:sz w:val="16"/>
                <w:szCs w:val="16"/>
                <w:lang w:eastAsia="en-AU"/>
              </w:rPr>
            </w:pPr>
            <w:r w:rsidRPr="00124501">
              <w:rPr>
                <w:rFonts w:eastAsia="Times New Roman" w:cs="Open Sans Light"/>
                <w:sz w:val="16"/>
                <w:szCs w:val="16"/>
                <w:lang w:eastAsia="en-AU"/>
              </w:rPr>
              <w:t>2</w:t>
            </w:r>
          </w:p>
        </w:tc>
        <w:tc>
          <w:tcPr>
            <w:tcW w:w="1218" w:type="dxa"/>
            <w:tcBorders>
              <w:top w:val="nil"/>
              <w:left w:val="nil"/>
              <w:bottom w:val="single" w:sz="4" w:space="0" w:color="ADD6EA"/>
              <w:right w:val="nil"/>
            </w:tcBorders>
            <w:shd w:val="clear" w:color="000000" w:fill="FFFFFF"/>
            <w:vAlign w:val="bottom"/>
            <w:hideMark/>
          </w:tcPr>
          <w:p w14:paraId="590C0F2A" w14:textId="77777777" w:rsidR="00AD15A4" w:rsidRPr="00124501" w:rsidRDefault="00AD15A4" w:rsidP="00DC01B6">
            <w:pPr>
              <w:keepNext/>
              <w:keepLines/>
              <w:tabs>
                <w:tab w:val="clear" w:pos="567"/>
              </w:tabs>
              <w:spacing w:before="0" w:line="240" w:lineRule="auto"/>
              <w:ind w:left="193" w:hanging="142"/>
              <w:jc w:val="right"/>
              <w:rPr>
                <w:rFonts w:eastAsia="Times New Roman" w:cs="Open Sans Light"/>
                <w:sz w:val="16"/>
                <w:szCs w:val="16"/>
                <w:lang w:eastAsia="en-AU"/>
              </w:rPr>
            </w:pPr>
            <w:r w:rsidRPr="00124501">
              <w:rPr>
                <w:rFonts w:eastAsia="Times New Roman" w:cs="Open Sans Light"/>
                <w:sz w:val="16"/>
                <w:szCs w:val="16"/>
                <w:lang w:eastAsia="en-AU"/>
              </w:rPr>
              <w:t>2</w:t>
            </w:r>
          </w:p>
        </w:tc>
        <w:tc>
          <w:tcPr>
            <w:tcW w:w="257" w:type="dxa"/>
            <w:tcBorders>
              <w:top w:val="nil"/>
              <w:left w:val="nil"/>
              <w:bottom w:val="single" w:sz="4" w:space="0" w:color="ADD6EA"/>
              <w:right w:val="nil"/>
            </w:tcBorders>
            <w:shd w:val="clear" w:color="000000" w:fill="FFFFFF"/>
            <w:vAlign w:val="bottom"/>
            <w:hideMark/>
          </w:tcPr>
          <w:p w14:paraId="3EAE9E51" w14:textId="77777777" w:rsidR="00AD15A4" w:rsidRPr="00124501" w:rsidRDefault="00AD15A4" w:rsidP="00DC01B6">
            <w:pPr>
              <w:keepNext/>
              <w:keepLines/>
              <w:tabs>
                <w:tab w:val="clear" w:pos="567"/>
              </w:tabs>
              <w:spacing w:before="0" w:line="240" w:lineRule="auto"/>
              <w:ind w:left="193" w:hanging="142"/>
              <w:jc w:val="right"/>
              <w:rPr>
                <w:rFonts w:eastAsia="Times New Roman" w:cs="Open Sans Light"/>
                <w:sz w:val="16"/>
                <w:szCs w:val="16"/>
                <w:lang w:eastAsia="en-AU"/>
              </w:rPr>
            </w:pPr>
          </w:p>
        </w:tc>
        <w:tc>
          <w:tcPr>
            <w:tcW w:w="1100" w:type="dxa"/>
            <w:tcBorders>
              <w:top w:val="nil"/>
              <w:left w:val="nil"/>
              <w:bottom w:val="single" w:sz="4" w:space="0" w:color="ADD6EA"/>
              <w:right w:val="nil"/>
            </w:tcBorders>
            <w:shd w:val="clear" w:color="000000" w:fill="FFFFFF"/>
            <w:vAlign w:val="bottom"/>
            <w:hideMark/>
          </w:tcPr>
          <w:p w14:paraId="4BFC5E05" w14:textId="77777777" w:rsidR="00AD15A4" w:rsidRPr="00124501" w:rsidRDefault="00AD15A4" w:rsidP="00DC01B6">
            <w:pPr>
              <w:keepNext/>
              <w:keepLines/>
              <w:tabs>
                <w:tab w:val="clear" w:pos="567"/>
              </w:tabs>
              <w:spacing w:before="0" w:line="240" w:lineRule="auto"/>
              <w:ind w:left="193" w:hanging="142"/>
              <w:jc w:val="right"/>
              <w:rPr>
                <w:rFonts w:eastAsia="Times New Roman" w:cs="Open Sans Light"/>
                <w:sz w:val="16"/>
                <w:szCs w:val="16"/>
                <w:lang w:eastAsia="en-AU"/>
              </w:rPr>
            </w:pPr>
            <w:r w:rsidRPr="00124501">
              <w:rPr>
                <w:rFonts w:eastAsia="Times New Roman" w:cs="Open Sans Light"/>
                <w:sz w:val="16"/>
                <w:szCs w:val="16"/>
                <w:lang w:eastAsia="en-AU"/>
              </w:rPr>
              <w:t>2</w:t>
            </w:r>
          </w:p>
        </w:tc>
        <w:tc>
          <w:tcPr>
            <w:tcW w:w="1218" w:type="dxa"/>
            <w:tcBorders>
              <w:top w:val="nil"/>
              <w:left w:val="nil"/>
              <w:bottom w:val="single" w:sz="4" w:space="0" w:color="ADD6EA"/>
              <w:right w:val="nil"/>
            </w:tcBorders>
            <w:shd w:val="clear" w:color="000000" w:fill="FFFFFF"/>
            <w:vAlign w:val="bottom"/>
            <w:hideMark/>
          </w:tcPr>
          <w:p w14:paraId="2BAFC26E" w14:textId="77777777" w:rsidR="00AD15A4" w:rsidRPr="00124501" w:rsidRDefault="00AD15A4" w:rsidP="00DC01B6">
            <w:pPr>
              <w:keepNext/>
              <w:keepLines/>
              <w:tabs>
                <w:tab w:val="clear" w:pos="567"/>
              </w:tabs>
              <w:spacing w:before="0" w:line="240" w:lineRule="auto"/>
              <w:ind w:left="193" w:hanging="142"/>
              <w:jc w:val="right"/>
              <w:rPr>
                <w:rFonts w:eastAsia="Times New Roman" w:cs="Open Sans Light"/>
                <w:sz w:val="16"/>
                <w:szCs w:val="16"/>
                <w:lang w:eastAsia="en-AU"/>
              </w:rPr>
            </w:pPr>
            <w:r w:rsidRPr="00124501">
              <w:rPr>
                <w:rFonts w:eastAsia="Times New Roman" w:cs="Open Sans Light"/>
                <w:sz w:val="16"/>
                <w:szCs w:val="16"/>
                <w:lang w:eastAsia="en-AU"/>
              </w:rPr>
              <w:t>2</w:t>
            </w:r>
          </w:p>
        </w:tc>
        <w:tc>
          <w:tcPr>
            <w:tcW w:w="257" w:type="dxa"/>
            <w:tcBorders>
              <w:top w:val="nil"/>
              <w:left w:val="nil"/>
              <w:bottom w:val="single" w:sz="4" w:space="0" w:color="ADD6EA"/>
              <w:right w:val="nil"/>
            </w:tcBorders>
            <w:shd w:val="clear" w:color="000000" w:fill="FFFFFF"/>
            <w:vAlign w:val="bottom"/>
            <w:hideMark/>
          </w:tcPr>
          <w:p w14:paraId="10C2BCEC" w14:textId="77777777" w:rsidR="00AD15A4" w:rsidRPr="00124501" w:rsidRDefault="00AD15A4" w:rsidP="00DC01B6">
            <w:pPr>
              <w:keepNext/>
              <w:keepLines/>
              <w:tabs>
                <w:tab w:val="clear" w:pos="567"/>
              </w:tabs>
              <w:spacing w:before="0" w:line="240" w:lineRule="auto"/>
              <w:ind w:left="193" w:hanging="142"/>
              <w:jc w:val="right"/>
              <w:rPr>
                <w:rFonts w:eastAsia="Times New Roman" w:cs="Open Sans Light"/>
                <w:sz w:val="16"/>
                <w:szCs w:val="16"/>
                <w:lang w:eastAsia="en-AU"/>
              </w:rPr>
            </w:pPr>
          </w:p>
        </w:tc>
        <w:tc>
          <w:tcPr>
            <w:tcW w:w="1100" w:type="dxa"/>
            <w:tcBorders>
              <w:top w:val="nil"/>
              <w:left w:val="nil"/>
              <w:bottom w:val="single" w:sz="4" w:space="0" w:color="ADD6EA"/>
              <w:right w:val="nil"/>
            </w:tcBorders>
            <w:shd w:val="clear" w:color="000000" w:fill="FFFFFF"/>
            <w:vAlign w:val="bottom"/>
            <w:hideMark/>
          </w:tcPr>
          <w:p w14:paraId="19D65DBD" w14:textId="77777777" w:rsidR="00AD15A4" w:rsidRPr="00124501" w:rsidRDefault="00AD15A4" w:rsidP="00DC01B6">
            <w:pPr>
              <w:keepNext/>
              <w:keepLines/>
              <w:tabs>
                <w:tab w:val="clear" w:pos="567"/>
              </w:tabs>
              <w:spacing w:before="0" w:line="240" w:lineRule="auto"/>
              <w:ind w:left="193" w:hanging="142"/>
              <w:jc w:val="right"/>
              <w:rPr>
                <w:rFonts w:eastAsia="Times New Roman" w:cs="Open Sans Light"/>
                <w:sz w:val="16"/>
                <w:szCs w:val="16"/>
                <w:lang w:eastAsia="en-AU"/>
              </w:rPr>
            </w:pPr>
            <w:r w:rsidRPr="00124501">
              <w:rPr>
                <w:rFonts w:eastAsia="Times New Roman" w:cs="Open Sans Light"/>
                <w:sz w:val="16"/>
                <w:szCs w:val="16"/>
                <w:lang w:eastAsia="en-AU"/>
              </w:rPr>
              <w:t>77</w:t>
            </w:r>
          </w:p>
        </w:tc>
        <w:tc>
          <w:tcPr>
            <w:tcW w:w="1100" w:type="dxa"/>
            <w:tcBorders>
              <w:top w:val="nil"/>
              <w:left w:val="nil"/>
              <w:bottom w:val="single" w:sz="4" w:space="0" w:color="ADD6EA"/>
              <w:right w:val="nil"/>
            </w:tcBorders>
            <w:shd w:val="clear" w:color="000000" w:fill="FFFFFF"/>
            <w:vAlign w:val="bottom"/>
            <w:hideMark/>
          </w:tcPr>
          <w:p w14:paraId="4FD6D162" w14:textId="77777777" w:rsidR="00AD15A4" w:rsidRPr="00124501" w:rsidRDefault="00AD15A4" w:rsidP="00DC01B6">
            <w:pPr>
              <w:keepNext/>
              <w:keepLines/>
              <w:tabs>
                <w:tab w:val="clear" w:pos="567"/>
              </w:tabs>
              <w:spacing w:before="0" w:line="240" w:lineRule="auto"/>
              <w:ind w:left="193" w:hanging="142"/>
              <w:jc w:val="right"/>
              <w:rPr>
                <w:rFonts w:eastAsia="Times New Roman" w:cs="Open Sans Light"/>
                <w:sz w:val="16"/>
                <w:szCs w:val="16"/>
                <w:lang w:eastAsia="en-AU"/>
              </w:rPr>
            </w:pPr>
            <w:r w:rsidRPr="00124501">
              <w:rPr>
                <w:rFonts w:eastAsia="Times New Roman" w:cs="Open Sans Light"/>
                <w:sz w:val="16"/>
                <w:szCs w:val="16"/>
                <w:lang w:eastAsia="en-AU"/>
              </w:rPr>
              <w:t>99</w:t>
            </w:r>
          </w:p>
        </w:tc>
      </w:tr>
      <w:tr w:rsidR="00AD15A4" w:rsidRPr="00124501" w14:paraId="7A13EA4F" w14:textId="77777777" w:rsidTr="00DC01B6">
        <w:trPr>
          <w:trHeight w:val="300"/>
        </w:trPr>
        <w:tc>
          <w:tcPr>
            <w:tcW w:w="1493" w:type="dxa"/>
            <w:tcBorders>
              <w:top w:val="nil"/>
              <w:left w:val="nil"/>
              <w:bottom w:val="single" w:sz="4" w:space="0" w:color="ADD6EA"/>
              <w:right w:val="nil"/>
            </w:tcBorders>
            <w:shd w:val="clear" w:color="000000" w:fill="D6E7F0"/>
            <w:vAlign w:val="bottom"/>
            <w:hideMark/>
          </w:tcPr>
          <w:p w14:paraId="42C76F13" w14:textId="77777777" w:rsidR="00AD15A4" w:rsidRPr="00124501" w:rsidRDefault="00AD15A4" w:rsidP="00DC01B6">
            <w:pPr>
              <w:keepNext/>
              <w:keepLines/>
              <w:tabs>
                <w:tab w:val="clear" w:pos="567"/>
              </w:tabs>
              <w:spacing w:before="0" w:line="240" w:lineRule="auto"/>
              <w:ind w:left="193" w:hanging="142"/>
              <w:rPr>
                <w:rFonts w:ascii="Open Sans Semibold" w:eastAsia="Times New Roman" w:hAnsi="Open Sans Semibold" w:cs="Open Sans Semibold"/>
                <w:color w:val="000000"/>
                <w:sz w:val="16"/>
                <w:szCs w:val="16"/>
                <w:lang w:eastAsia="en-AU"/>
              </w:rPr>
            </w:pPr>
            <w:r w:rsidRPr="00124501">
              <w:rPr>
                <w:rFonts w:ascii="Open Sans Semibold" w:eastAsia="Times New Roman" w:hAnsi="Open Sans Semibold" w:cs="Open Sans Semibold"/>
                <w:color w:val="000000"/>
                <w:sz w:val="16"/>
                <w:szCs w:val="16"/>
                <w:lang w:eastAsia="en-AU"/>
              </w:rPr>
              <w:t>Total</w:t>
            </w:r>
          </w:p>
        </w:tc>
        <w:tc>
          <w:tcPr>
            <w:tcW w:w="1100" w:type="dxa"/>
            <w:tcBorders>
              <w:top w:val="nil"/>
              <w:left w:val="nil"/>
              <w:bottom w:val="single" w:sz="4" w:space="0" w:color="ADD6EA"/>
              <w:right w:val="nil"/>
            </w:tcBorders>
            <w:shd w:val="clear" w:color="000000" w:fill="D6E7F0"/>
            <w:vAlign w:val="bottom"/>
            <w:hideMark/>
          </w:tcPr>
          <w:p w14:paraId="77FD0570" w14:textId="77777777" w:rsidR="00AD15A4" w:rsidRPr="00124501" w:rsidRDefault="00AD15A4" w:rsidP="00DC01B6">
            <w:pPr>
              <w:keepNext/>
              <w:keepLines/>
              <w:tabs>
                <w:tab w:val="clear" w:pos="567"/>
              </w:tabs>
              <w:spacing w:before="0" w:line="240" w:lineRule="auto"/>
              <w:ind w:left="193" w:hanging="142"/>
              <w:jc w:val="right"/>
              <w:rPr>
                <w:rFonts w:ascii="Open Sans Semibold" w:eastAsia="Times New Roman" w:hAnsi="Open Sans Semibold" w:cs="Open Sans Semibold"/>
                <w:color w:val="000000"/>
                <w:sz w:val="16"/>
                <w:szCs w:val="16"/>
                <w:lang w:eastAsia="en-AU"/>
              </w:rPr>
            </w:pPr>
            <w:r w:rsidRPr="00124501">
              <w:rPr>
                <w:rFonts w:ascii="Open Sans Semibold" w:eastAsia="Times New Roman" w:hAnsi="Open Sans Semibold" w:cs="Open Sans Semibold"/>
                <w:color w:val="000000"/>
                <w:sz w:val="16"/>
                <w:szCs w:val="16"/>
                <w:lang w:eastAsia="en-AU"/>
              </w:rPr>
              <w:t>1,361</w:t>
            </w:r>
          </w:p>
        </w:tc>
        <w:tc>
          <w:tcPr>
            <w:tcW w:w="1218" w:type="dxa"/>
            <w:tcBorders>
              <w:top w:val="nil"/>
              <w:left w:val="nil"/>
              <w:bottom w:val="single" w:sz="4" w:space="0" w:color="ADD6EA"/>
              <w:right w:val="nil"/>
            </w:tcBorders>
            <w:shd w:val="clear" w:color="000000" w:fill="D6E7F0"/>
            <w:vAlign w:val="bottom"/>
            <w:hideMark/>
          </w:tcPr>
          <w:p w14:paraId="40C69C36" w14:textId="77777777" w:rsidR="00AD15A4" w:rsidRPr="00124501" w:rsidRDefault="00AD15A4" w:rsidP="00DC01B6">
            <w:pPr>
              <w:keepNext/>
              <w:keepLines/>
              <w:tabs>
                <w:tab w:val="clear" w:pos="567"/>
              </w:tabs>
              <w:spacing w:before="0" w:line="240" w:lineRule="auto"/>
              <w:ind w:left="193" w:hanging="142"/>
              <w:jc w:val="right"/>
              <w:rPr>
                <w:rFonts w:ascii="Open Sans Semibold" w:eastAsia="Times New Roman" w:hAnsi="Open Sans Semibold" w:cs="Open Sans Semibold"/>
                <w:color w:val="000000"/>
                <w:sz w:val="16"/>
                <w:szCs w:val="16"/>
                <w:lang w:eastAsia="en-AU"/>
              </w:rPr>
            </w:pPr>
            <w:r w:rsidRPr="00124501">
              <w:rPr>
                <w:rFonts w:ascii="Open Sans Semibold" w:eastAsia="Times New Roman" w:hAnsi="Open Sans Semibold" w:cs="Open Sans Semibold"/>
                <w:color w:val="000000"/>
                <w:sz w:val="16"/>
                <w:szCs w:val="16"/>
                <w:lang w:eastAsia="en-AU"/>
              </w:rPr>
              <w:t>1,167</w:t>
            </w:r>
          </w:p>
        </w:tc>
        <w:tc>
          <w:tcPr>
            <w:tcW w:w="257" w:type="dxa"/>
            <w:tcBorders>
              <w:top w:val="nil"/>
              <w:left w:val="nil"/>
              <w:bottom w:val="single" w:sz="4" w:space="0" w:color="ADD6EA"/>
              <w:right w:val="nil"/>
            </w:tcBorders>
            <w:shd w:val="clear" w:color="000000" w:fill="D6E7F0"/>
            <w:vAlign w:val="bottom"/>
            <w:hideMark/>
          </w:tcPr>
          <w:p w14:paraId="1E63ADA5" w14:textId="77777777" w:rsidR="00AD15A4" w:rsidRPr="00124501" w:rsidRDefault="00AD15A4" w:rsidP="00DC01B6">
            <w:pPr>
              <w:keepNext/>
              <w:keepLines/>
              <w:tabs>
                <w:tab w:val="clear" w:pos="567"/>
              </w:tabs>
              <w:spacing w:before="0" w:line="240" w:lineRule="auto"/>
              <w:ind w:left="193" w:hanging="142"/>
              <w:jc w:val="right"/>
              <w:rPr>
                <w:rFonts w:ascii="Open Sans Semibold" w:eastAsia="Times New Roman" w:hAnsi="Open Sans Semibold" w:cs="Open Sans Semibold"/>
                <w:color w:val="000000"/>
                <w:sz w:val="16"/>
                <w:szCs w:val="16"/>
                <w:lang w:eastAsia="en-AU"/>
              </w:rPr>
            </w:pPr>
          </w:p>
        </w:tc>
        <w:tc>
          <w:tcPr>
            <w:tcW w:w="1100" w:type="dxa"/>
            <w:tcBorders>
              <w:top w:val="nil"/>
              <w:left w:val="nil"/>
              <w:bottom w:val="single" w:sz="4" w:space="0" w:color="ADD6EA"/>
              <w:right w:val="nil"/>
            </w:tcBorders>
            <w:shd w:val="clear" w:color="000000" w:fill="D6E7F0"/>
            <w:vAlign w:val="bottom"/>
            <w:hideMark/>
          </w:tcPr>
          <w:p w14:paraId="7109473D" w14:textId="77777777" w:rsidR="00AD15A4" w:rsidRPr="00124501" w:rsidRDefault="00AD15A4" w:rsidP="00DC01B6">
            <w:pPr>
              <w:keepNext/>
              <w:keepLines/>
              <w:tabs>
                <w:tab w:val="clear" w:pos="567"/>
              </w:tabs>
              <w:spacing w:before="0" w:line="240" w:lineRule="auto"/>
              <w:ind w:left="193" w:hanging="142"/>
              <w:jc w:val="right"/>
              <w:rPr>
                <w:rFonts w:ascii="Open Sans Semibold" w:eastAsia="Times New Roman" w:hAnsi="Open Sans Semibold" w:cs="Open Sans Semibold"/>
                <w:color w:val="000000"/>
                <w:sz w:val="16"/>
                <w:szCs w:val="16"/>
                <w:lang w:eastAsia="en-AU"/>
              </w:rPr>
            </w:pPr>
            <w:r w:rsidRPr="00124501">
              <w:rPr>
                <w:rFonts w:ascii="Open Sans Semibold" w:eastAsia="Times New Roman" w:hAnsi="Open Sans Semibold" w:cs="Open Sans Semibold"/>
                <w:color w:val="000000"/>
                <w:sz w:val="16"/>
                <w:szCs w:val="16"/>
                <w:lang w:eastAsia="en-AU"/>
              </w:rPr>
              <w:t>1,146</w:t>
            </w:r>
          </w:p>
        </w:tc>
        <w:tc>
          <w:tcPr>
            <w:tcW w:w="1218" w:type="dxa"/>
            <w:tcBorders>
              <w:top w:val="nil"/>
              <w:left w:val="nil"/>
              <w:bottom w:val="single" w:sz="4" w:space="0" w:color="ADD6EA"/>
              <w:right w:val="nil"/>
            </w:tcBorders>
            <w:shd w:val="clear" w:color="000000" w:fill="D6E7F0"/>
            <w:vAlign w:val="bottom"/>
            <w:hideMark/>
          </w:tcPr>
          <w:p w14:paraId="0BFEE720" w14:textId="77777777" w:rsidR="00AD15A4" w:rsidRPr="00124501" w:rsidRDefault="00AD15A4" w:rsidP="00DC01B6">
            <w:pPr>
              <w:keepNext/>
              <w:keepLines/>
              <w:tabs>
                <w:tab w:val="clear" w:pos="567"/>
              </w:tabs>
              <w:spacing w:before="0" w:line="240" w:lineRule="auto"/>
              <w:ind w:left="193" w:hanging="142"/>
              <w:jc w:val="right"/>
              <w:rPr>
                <w:rFonts w:ascii="Open Sans Semibold" w:eastAsia="Times New Roman" w:hAnsi="Open Sans Semibold" w:cs="Open Sans Semibold"/>
                <w:color w:val="000000"/>
                <w:sz w:val="16"/>
                <w:szCs w:val="16"/>
                <w:lang w:eastAsia="en-AU"/>
              </w:rPr>
            </w:pPr>
            <w:r w:rsidRPr="00124501">
              <w:rPr>
                <w:rFonts w:ascii="Open Sans Semibold" w:eastAsia="Times New Roman" w:hAnsi="Open Sans Semibold" w:cs="Open Sans Semibold"/>
                <w:color w:val="000000"/>
                <w:sz w:val="16"/>
                <w:szCs w:val="16"/>
                <w:lang w:eastAsia="en-AU"/>
              </w:rPr>
              <w:t>1,115</w:t>
            </w:r>
          </w:p>
        </w:tc>
        <w:tc>
          <w:tcPr>
            <w:tcW w:w="257" w:type="dxa"/>
            <w:tcBorders>
              <w:top w:val="nil"/>
              <w:left w:val="nil"/>
              <w:bottom w:val="single" w:sz="4" w:space="0" w:color="ADD6EA"/>
              <w:right w:val="nil"/>
            </w:tcBorders>
            <w:shd w:val="clear" w:color="000000" w:fill="D6E7F0"/>
            <w:vAlign w:val="bottom"/>
            <w:hideMark/>
          </w:tcPr>
          <w:p w14:paraId="4CF562C2" w14:textId="77777777" w:rsidR="00AD15A4" w:rsidRPr="00124501" w:rsidRDefault="00AD15A4" w:rsidP="00DC01B6">
            <w:pPr>
              <w:keepNext/>
              <w:keepLines/>
              <w:tabs>
                <w:tab w:val="clear" w:pos="567"/>
              </w:tabs>
              <w:spacing w:before="0" w:line="240" w:lineRule="auto"/>
              <w:ind w:left="193" w:hanging="142"/>
              <w:jc w:val="right"/>
              <w:rPr>
                <w:rFonts w:ascii="Open Sans Semibold" w:eastAsia="Times New Roman" w:hAnsi="Open Sans Semibold" w:cs="Open Sans Semibold"/>
                <w:color w:val="000000"/>
                <w:sz w:val="16"/>
                <w:szCs w:val="16"/>
                <w:lang w:eastAsia="en-AU"/>
              </w:rPr>
            </w:pPr>
          </w:p>
        </w:tc>
        <w:tc>
          <w:tcPr>
            <w:tcW w:w="1100" w:type="dxa"/>
            <w:tcBorders>
              <w:top w:val="nil"/>
              <w:left w:val="nil"/>
              <w:bottom w:val="single" w:sz="4" w:space="0" w:color="ADD6EA"/>
              <w:right w:val="nil"/>
            </w:tcBorders>
            <w:shd w:val="clear" w:color="000000" w:fill="D6E7F0"/>
            <w:vAlign w:val="bottom"/>
            <w:hideMark/>
          </w:tcPr>
          <w:p w14:paraId="7CDA85CA" w14:textId="77777777" w:rsidR="00AD15A4" w:rsidRPr="00124501" w:rsidRDefault="00AD15A4" w:rsidP="00DC01B6">
            <w:pPr>
              <w:keepNext/>
              <w:keepLines/>
              <w:tabs>
                <w:tab w:val="clear" w:pos="567"/>
              </w:tabs>
              <w:spacing w:before="0" w:line="240" w:lineRule="auto"/>
              <w:ind w:left="193" w:hanging="142"/>
              <w:jc w:val="right"/>
              <w:rPr>
                <w:rFonts w:ascii="Open Sans Semibold" w:eastAsia="Times New Roman" w:hAnsi="Open Sans Semibold" w:cs="Open Sans Semibold"/>
                <w:color w:val="000000"/>
                <w:sz w:val="16"/>
                <w:szCs w:val="16"/>
                <w:lang w:eastAsia="en-AU"/>
              </w:rPr>
            </w:pPr>
            <w:r w:rsidRPr="00124501">
              <w:rPr>
                <w:rFonts w:ascii="Open Sans Semibold" w:eastAsia="Times New Roman" w:hAnsi="Open Sans Semibold" w:cs="Open Sans Semibold"/>
                <w:color w:val="000000"/>
                <w:sz w:val="16"/>
                <w:szCs w:val="16"/>
                <w:lang w:eastAsia="en-AU"/>
              </w:rPr>
              <w:t>86</w:t>
            </w:r>
          </w:p>
        </w:tc>
        <w:tc>
          <w:tcPr>
            <w:tcW w:w="1100" w:type="dxa"/>
            <w:tcBorders>
              <w:top w:val="nil"/>
              <w:left w:val="nil"/>
              <w:bottom w:val="single" w:sz="4" w:space="0" w:color="ADD6EA"/>
              <w:right w:val="nil"/>
            </w:tcBorders>
            <w:shd w:val="clear" w:color="000000" w:fill="D6E7F0"/>
            <w:vAlign w:val="bottom"/>
            <w:hideMark/>
          </w:tcPr>
          <w:p w14:paraId="664B8400" w14:textId="77777777" w:rsidR="00AD15A4" w:rsidRPr="00124501" w:rsidRDefault="00AD15A4" w:rsidP="00DC01B6">
            <w:pPr>
              <w:keepNext/>
              <w:keepLines/>
              <w:tabs>
                <w:tab w:val="clear" w:pos="567"/>
              </w:tabs>
              <w:spacing w:before="0" w:line="240" w:lineRule="auto"/>
              <w:ind w:left="193" w:hanging="142"/>
              <w:jc w:val="right"/>
              <w:rPr>
                <w:rFonts w:ascii="Open Sans Semibold" w:eastAsia="Times New Roman" w:hAnsi="Open Sans Semibold" w:cs="Open Sans Semibold"/>
                <w:color w:val="000000"/>
                <w:sz w:val="16"/>
                <w:szCs w:val="16"/>
                <w:lang w:eastAsia="en-AU"/>
              </w:rPr>
            </w:pPr>
            <w:r w:rsidRPr="00124501">
              <w:rPr>
                <w:rFonts w:ascii="Open Sans Semibold" w:eastAsia="Times New Roman" w:hAnsi="Open Sans Semibold" w:cs="Open Sans Semibold"/>
                <w:color w:val="000000"/>
                <w:sz w:val="16"/>
                <w:szCs w:val="16"/>
                <w:lang w:eastAsia="en-AU"/>
              </w:rPr>
              <w:t>97</w:t>
            </w:r>
          </w:p>
        </w:tc>
      </w:tr>
    </w:tbl>
    <w:p w14:paraId="45471449" w14:textId="77777777" w:rsidR="00AD15A4" w:rsidRPr="00613087" w:rsidRDefault="00AD15A4" w:rsidP="00AD15A4">
      <w:pPr>
        <w:pStyle w:val="CGCTablerow"/>
      </w:pPr>
      <w:r w:rsidRPr="00613087">
        <w:t>Source:</w:t>
      </w:r>
      <w:r w:rsidRPr="00613087">
        <w:tab/>
        <w:t>Staff calculation on unpublished IHPA data.</w:t>
      </w:r>
    </w:p>
    <w:p w14:paraId="43FD603A" w14:textId="1962699E" w:rsidR="00AD15A4" w:rsidRDefault="00AD15A4" w:rsidP="00CB4F19">
      <w:pPr>
        <w:pStyle w:val="CGCParaNumber"/>
      </w:pPr>
      <w:r>
        <w:t xml:space="preserve">NAP ABF activity have higher coverage (86%) </w:t>
      </w:r>
      <w:r w:rsidRPr="00BD26F8">
        <w:t>relative to BF activity</w:t>
      </w:r>
      <w:r>
        <w:t xml:space="preserve"> (64%), but BF activity represents only a very small proportion (3%) of NAP NWAU. The same pattern is found for ED but at higher levels. Most </w:t>
      </w:r>
      <w:r w:rsidRPr="00205E6A">
        <w:t xml:space="preserve">ABF activity </w:t>
      </w:r>
      <w:r>
        <w:t xml:space="preserve">(89%) is </w:t>
      </w:r>
      <w:r w:rsidRPr="00205E6A">
        <w:t xml:space="preserve">in major cities/inner regional areas, while 69% of BF activity </w:t>
      </w:r>
      <w:r>
        <w:t>is</w:t>
      </w:r>
      <w:r w:rsidRPr="00205E6A">
        <w:t xml:space="preserve"> in outer regional/remote areas.</w:t>
      </w:r>
      <w:r>
        <w:t xml:space="preserve"> Therefore, patient level NAP NWAU coverage is higher in major cities/inner regional areas.</w:t>
      </w:r>
    </w:p>
    <w:p w14:paraId="0EDDBE13" w14:textId="7DF540A9" w:rsidR="00AD15A4" w:rsidRPr="009A217D" w:rsidRDefault="00AD15A4" w:rsidP="00AD15A4">
      <w:pPr>
        <w:pStyle w:val="CGCParaNumber"/>
        <w:rPr>
          <w:lang w:val="en-US"/>
        </w:rPr>
      </w:pPr>
      <w:r>
        <w:t xml:space="preserve">To compensate for lower coverage and ensure that there is no urban bias in the </w:t>
      </w:r>
      <w:r w:rsidR="007F3DCF">
        <w:t xml:space="preserve">NAP </w:t>
      </w:r>
      <w:r>
        <w:t xml:space="preserve">data, staff can scale up the patient level NWAU to match aggregate NWAU. </w:t>
      </w:r>
      <w:r w:rsidR="00D15C6E">
        <w:t xml:space="preserve">Specifically, where there is </w:t>
      </w:r>
      <w:r w:rsidR="00D15C6E" w:rsidRPr="00F17850">
        <w:t xml:space="preserve">no </w:t>
      </w:r>
      <w:r w:rsidR="00D15C6E">
        <w:t xml:space="preserve">patient level </w:t>
      </w:r>
      <w:r w:rsidR="00D15C6E" w:rsidRPr="00F17850">
        <w:t>data</w:t>
      </w:r>
      <w:r w:rsidR="00D15C6E">
        <w:t xml:space="preserve"> (</w:t>
      </w:r>
      <w:r w:rsidR="00D15C6E" w:rsidRPr="00F17850">
        <w:t xml:space="preserve">predominantly </w:t>
      </w:r>
      <w:r w:rsidR="00D15C6E">
        <w:t xml:space="preserve">in </w:t>
      </w:r>
      <w:r w:rsidR="00D15C6E" w:rsidRPr="00F17850">
        <w:t>block funded hospitals</w:t>
      </w:r>
      <w:r w:rsidR="00D15C6E">
        <w:t>), staff allocate</w:t>
      </w:r>
      <w:r w:rsidR="00D15C6E" w:rsidRPr="00F17850">
        <w:t xml:space="preserve"> the user profile of hospitals in the same remoteness region</w:t>
      </w:r>
      <w:r w:rsidR="00D15C6E">
        <w:t xml:space="preserve"> and with the same funding type. </w:t>
      </w:r>
      <w:r>
        <w:t>This is the method the Commission uses for ED data when coverage is less than 100%.</w:t>
      </w:r>
    </w:p>
    <w:p w14:paraId="6BD1A64F" w14:textId="77777777" w:rsidR="00AD15A4" w:rsidRDefault="00AD15A4" w:rsidP="00AD15A4">
      <w:pPr>
        <w:pStyle w:val="Heading5"/>
      </w:pPr>
      <w:r>
        <w:t>Comparison with AP and ED</w:t>
      </w:r>
    </w:p>
    <w:p w14:paraId="64E60282" w14:textId="1102DB5F" w:rsidR="00AD15A4" w:rsidRDefault="00AD15A4" w:rsidP="00AD15A4">
      <w:pPr>
        <w:pStyle w:val="CGCParaNumber"/>
      </w:pPr>
      <w:r>
        <w:t>The charts below compare NAP spending based on NWAU with spending for AP and ED.</w:t>
      </w:r>
    </w:p>
    <w:p w14:paraId="66FB1EF3" w14:textId="41559795" w:rsidR="00AD15A4" w:rsidRDefault="00AD15A4" w:rsidP="00AD15A4">
      <w:pPr>
        <w:pStyle w:val="CGCParaNumber"/>
      </w:pPr>
      <w:r>
        <w:fldChar w:fldCharType="begin"/>
      </w:r>
      <w:r>
        <w:instrText xml:space="preserve"> REF _Ref45109802 \h </w:instrText>
      </w:r>
      <w:r>
        <w:fldChar w:fldCharType="separate"/>
      </w:r>
      <w:r w:rsidR="00A46D6F">
        <w:t xml:space="preserve">Figure </w:t>
      </w:r>
      <w:r w:rsidR="00A46D6F">
        <w:rPr>
          <w:noProof/>
        </w:rPr>
        <w:t>1</w:t>
      </w:r>
      <w:r>
        <w:fldChar w:fldCharType="end"/>
      </w:r>
      <w:r>
        <w:t xml:space="preserve"> shows NAP per capita spending rates compared to AP and ED and the NAP proxy indicator. It shows that as with other hospital services, NAP per capita spending varies significantly for Indigenous and non-Indigenous people. NAP spending on Indigenous people is almost twice that of non-Indigenous </w:t>
      </w:r>
      <w:r w:rsidRPr="004953EF">
        <w:t>people</w:t>
      </w:r>
      <w:r>
        <w:t>, although slightly lower compared with other hospital services.</w:t>
      </w:r>
    </w:p>
    <w:p w14:paraId="4ADF356E" w14:textId="319CC5FA" w:rsidR="00AD15A4" w:rsidRDefault="00AD15A4" w:rsidP="00AD15A4">
      <w:pPr>
        <w:pStyle w:val="CGCParaNumber"/>
      </w:pPr>
      <w:r>
        <w:t xml:space="preserve">The bottom panel of </w:t>
      </w:r>
      <w:r>
        <w:fldChar w:fldCharType="begin"/>
      </w:r>
      <w:r>
        <w:instrText xml:space="preserve"> REF _Ref45109802 \h </w:instrText>
      </w:r>
      <w:r>
        <w:fldChar w:fldCharType="separate"/>
      </w:r>
      <w:r w:rsidR="00A46D6F">
        <w:t xml:space="preserve">Figure </w:t>
      </w:r>
      <w:r w:rsidR="00A46D6F">
        <w:rPr>
          <w:noProof/>
        </w:rPr>
        <w:t>1</w:t>
      </w:r>
      <w:r>
        <w:fldChar w:fldCharType="end"/>
      </w:r>
      <w:r>
        <w:t xml:space="preserve"> shows per capita usage rates for NAP, AP and ED based on in</w:t>
      </w:r>
      <w:r>
        <w:noBreakHyphen/>
        <w:t>scope separations. The usage rates follow the same pattern as spending rates, with NAP per capita usage for Indigenous people being lower than their usage of AP and ED services.</w:t>
      </w:r>
    </w:p>
    <w:p w14:paraId="70119F0A" w14:textId="27E39CB9" w:rsidR="00AD15A4" w:rsidRDefault="00AD15A4" w:rsidP="00AD15A4">
      <w:pPr>
        <w:pStyle w:val="Caption"/>
      </w:pPr>
      <w:bookmarkStart w:id="44" w:name="_Ref45109802"/>
      <w:r>
        <w:lastRenderedPageBreak/>
        <w:t xml:space="preserve">Figure </w:t>
      </w:r>
      <w:r>
        <w:fldChar w:fldCharType="begin"/>
      </w:r>
      <w:r>
        <w:instrText>SEQ Figure \* ARABIC</w:instrText>
      </w:r>
      <w:r>
        <w:fldChar w:fldCharType="separate"/>
      </w:r>
      <w:r w:rsidR="00A46D6F">
        <w:rPr>
          <w:noProof/>
        </w:rPr>
        <w:t>1</w:t>
      </w:r>
      <w:r>
        <w:fldChar w:fldCharType="end"/>
      </w:r>
      <w:bookmarkEnd w:id="44"/>
      <w:r>
        <w:rPr>
          <w:noProof/>
        </w:rPr>
        <w:tab/>
        <w:t>S</w:t>
      </w:r>
      <w:r>
        <w:t xml:space="preserve">pending per capita by Indigenous status, 2018-19 </w:t>
      </w:r>
    </w:p>
    <w:p w14:paraId="6F0F39EB" w14:textId="503971B8" w:rsidR="00AD15A4" w:rsidRDefault="00AD15A4" w:rsidP="00AD15A4">
      <w:pPr>
        <w:spacing w:before="0" w:line="240" w:lineRule="auto"/>
      </w:pPr>
      <w:r w:rsidRPr="00A7511C">
        <w:t xml:space="preserve"> </w:t>
      </w:r>
      <w:r w:rsidR="00681678" w:rsidRPr="00D77316">
        <w:rPr>
          <w:noProof/>
        </w:rPr>
        <w:drawing>
          <wp:inline distT="0" distB="0" distL="0" distR="0" wp14:anchorId="33CD4BD6" wp14:editId="5ABC5043">
            <wp:extent cx="5598544" cy="6704284"/>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13401" cy="6722076"/>
                    </a:xfrm>
                    <a:prstGeom prst="rect">
                      <a:avLst/>
                    </a:prstGeom>
                    <a:noFill/>
                    <a:ln>
                      <a:noFill/>
                    </a:ln>
                  </pic:spPr>
                </pic:pic>
              </a:graphicData>
            </a:graphic>
          </wp:inline>
        </w:drawing>
      </w:r>
    </w:p>
    <w:p w14:paraId="362DCCCE" w14:textId="277E64B1" w:rsidR="00AD15A4" w:rsidRPr="00613087" w:rsidRDefault="00AD15A4" w:rsidP="009964FF">
      <w:pPr>
        <w:pStyle w:val="CGCTablenote"/>
        <w:tabs>
          <w:tab w:val="clear" w:pos="567"/>
          <w:tab w:val="left" w:pos="709"/>
        </w:tabs>
        <w:ind w:left="709" w:hanging="596"/>
      </w:pPr>
      <w:r w:rsidRPr="00613087">
        <w:t>Notes:</w:t>
      </w:r>
      <w:r w:rsidRPr="00613087">
        <w:tab/>
      </w:r>
      <w:r w:rsidRPr="00613087">
        <w:tab/>
        <w:t xml:space="preserve">Relative per capita spending is calculated by dividing the share of spending attributed to each group by their share of total population. </w:t>
      </w:r>
    </w:p>
    <w:p w14:paraId="1616CBFC" w14:textId="36E98F9D" w:rsidR="00AD15A4" w:rsidRPr="00613087" w:rsidRDefault="00AD15A4" w:rsidP="009964FF">
      <w:pPr>
        <w:pStyle w:val="CGCTablenote"/>
        <w:tabs>
          <w:tab w:val="clear" w:pos="567"/>
          <w:tab w:val="left" w:pos="709"/>
        </w:tabs>
        <w:ind w:left="709" w:hanging="596"/>
      </w:pPr>
      <w:r w:rsidRPr="00613087">
        <w:tab/>
      </w:r>
      <w:r w:rsidRPr="00613087">
        <w:tab/>
        <w:t xml:space="preserve">Relative per capita usage is calculated by dividing the share of in-scope separations by their population share. </w:t>
      </w:r>
    </w:p>
    <w:p w14:paraId="039C5186" w14:textId="393749CC" w:rsidR="00AD15A4" w:rsidRPr="00613087" w:rsidRDefault="00AD15A4" w:rsidP="009964FF">
      <w:pPr>
        <w:pStyle w:val="CGCTablenote"/>
        <w:tabs>
          <w:tab w:val="clear" w:pos="567"/>
          <w:tab w:val="left" w:pos="709"/>
        </w:tabs>
        <w:ind w:left="709" w:hanging="596"/>
      </w:pPr>
      <w:r w:rsidRPr="00613087">
        <w:tab/>
      </w:r>
      <w:r w:rsidRPr="00613087">
        <w:tab/>
        <w:t>Values greater than one mean that spending on or usage of health services is greater than the relevant groups’ share of total population.</w:t>
      </w:r>
    </w:p>
    <w:p w14:paraId="1EF04664" w14:textId="6835F399" w:rsidR="00AD15A4" w:rsidRPr="00613087" w:rsidRDefault="00AD15A4" w:rsidP="009964FF">
      <w:pPr>
        <w:pStyle w:val="CGCTablenote"/>
        <w:tabs>
          <w:tab w:val="clear" w:pos="567"/>
          <w:tab w:val="left" w:pos="709"/>
        </w:tabs>
        <w:ind w:left="709" w:hanging="596"/>
      </w:pPr>
      <w:r w:rsidRPr="00613087">
        <w:t>Source:</w:t>
      </w:r>
      <w:r w:rsidRPr="00613087">
        <w:tab/>
        <w:t xml:space="preserve">Staff calculation </w:t>
      </w:r>
      <w:r w:rsidR="00556B4D">
        <w:t>using</w:t>
      </w:r>
      <w:r w:rsidRPr="00613087">
        <w:t xml:space="preserve"> unpublished IHPA data</w:t>
      </w:r>
      <w:r w:rsidR="00556B4D">
        <w:t xml:space="preserve"> and population data</w:t>
      </w:r>
      <w:r w:rsidRPr="00613087">
        <w:t>.</w:t>
      </w:r>
    </w:p>
    <w:p w14:paraId="02C93376" w14:textId="614F7569" w:rsidR="00AD15A4" w:rsidRDefault="00130DA1" w:rsidP="00AD15A4">
      <w:pPr>
        <w:pStyle w:val="CGCParaNumber"/>
      </w:pPr>
      <w:r>
        <w:fldChar w:fldCharType="begin"/>
      </w:r>
      <w:r>
        <w:instrText xml:space="preserve"> REF _Ref48126990 \h </w:instrText>
      </w:r>
      <w:r>
        <w:fldChar w:fldCharType="separate"/>
      </w:r>
      <w:r w:rsidR="00A46D6F">
        <w:t>Figure </w:t>
      </w:r>
      <w:r w:rsidR="00A46D6F">
        <w:rPr>
          <w:noProof/>
        </w:rPr>
        <w:t>2</w:t>
      </w:r>
      <w:r>
        <w:fldChar w:fldCharType="end"/>
      </w:r>
      <w:r w:rsidR="00AD15A4">
        <w:t xml:space="preserve"> shows spending and usage rates by remoteness based on patient residence. As with other hospital services, NAP spending increases with increasing levels of remoteness. </w:t>
      </w:r>
      <w:r w:rsidR="00962095">
        <w:t>However</w:t>
      </w:r>
      <w:r w:rsidR="006D1362">
        <w:t xml:space="preserve">, NAP spending and use rates are </w:t>
      </w:r>
      <w:r w:rsidR="00AD15A4">
        <w:t xml:space="preserve">slightly lower in regional and remote areas, and much lower in very remote areas, compared with AP and ED. </w:t>
      </w:r>
    </w:p>
    <w:p w14:paraId="35F02A26" w14:textId="628639F3" w:rsidR="00F22506" w:rsidRDefault="00F22506" w:rsidP="00910353">
      <w:pPr>
        <w:pStyle w:val="Caption"/>
      </w:pPr>
      <w:bookmarkStart w:id="45" w:name="_Ref48126990"/>
      <w:bookmarkStart w:id="46" w:name="_Ref48126965"/>
      <w:r>
        <w:lastRenderedPageBreak/>
        <w:t>Figure</w:t>
      </w:r>
      <w:r w:rsidR="00D2577B">
        <w:t> </w:t>
      </w:r>
      <w:r>
        <w:fldChar w:fldCharType="begin"/>
      </w:r>
      <w:r>
        <w:instrText>SEQ Figure \* ARABIC</w:instrText>
      </w:r>
      <w:r>
        <w:fldChar w:fldCharType="separate"/>
      </w:r>
      <w:r w:rsidR="00A46D6F">
        <w:rPr>
          <w:noProof/>
        </w:rPr>
        <w:t>2</w:t>
      </w:r>
      <w:r>
        <w:fldChar w:fldCharType="end"/>
      </w:r>
      <w:bookmarkEnd w:id="45"/>
      <w:r>
        <w:rPr>
          <w:noProof/>
        </w:rPr>
        <w:tab/>
        <w:t>S</w:t>
      </w:r>
      <w:r>
        <w:t>pending per capita by patient remoteness, 2018-19</w:t>
      </w:r>
      <w:bookmarkEnd w:id="46"/>
    </w:p>
    <w:p w14:paraId="598DD67C" w14:textId="77777777" w:rsidR="00F22506" w:rsidRDefault="00F22506" w:rsidP="00910353">
      <w:r w:rsidRPr="00613EDB">
        <w:rPr>
          <w:noProof/>
        </w:rPr>
        <w:drawing>
          <wp:inline distT="0" distB="0" distL="0" distR="0" wp14:anchorId="5819DAF2" wp14:editId="72F159B7">
            <wp:extent cx="5564038" cy="6701977"/>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81064" cy="6722485"/>
                    </a:xfrm>
                    <a:prstGeom prst="rect">
                      <a:avLst/>
                    </a:prstGeom>
                    <a:noFill/>
                    <a:ln>
                      <a:noFill/>
                    </a:ln>
                  </pic:spPr>
                </pic:pic>
              </a:graphicData>
            </a:graphic>
          </wp:inline>
        </w:drawing>
      </w:r>
    </w:p>
    <w:p w14:paraId="316A355B" w14:textId="77777777" w:rsidR="00F22506" w:rsidRPr="00910353" w:rsidRDefault="00F22506" w:rsidP="009964FF">
      <w:pPr>
        <w:pStyle w:val="CGCTablenote"/>
        <w:tabs>
          <w:tab w:val="clear" w:pos="567"/>
          <w:tab w:val="left" w:pos="709"/>
        </w:tabs>
        <w:ind w:left="709" w:hanging="596"/>
      </w:pPr>
      <w:r w:rsidRPr="00910353">
        <w:t>Notes:</w:t>
      </w:r>
      <w:r w:rsidRPr="00910353">
        <w:tab/>
        <w:t>Spending for NAP, AP and ED include adjustments to capture service delivery scale (SDS) costs not reflected in original BF NWAU.</w:t>
      </w:r>
    </w:p>
    <w:p w14:paraId="528DA386" w14:textId="77777777" w:rsidR="00F22506" w:rsidRPr="00910353" w:rsidRDefault="00F22506" w:rsidP="009964FF">
      <w:pPr>
        <w:pStyle w:val="CGCTablenote"/>
        <w:tabs>
          <w:tab w:val="clear" w:pos="567"/>
          <w:tab w:val="left" w:pos="709"/>
        </w:tabs>
        <w:ind w:left="709" w:hanging="596"/>
      </w:pPr>
      <w:r w:rsidRPr="00910353">
        <w:tab/>
        <w:t>AP and ED NWAU and the NAP proxy indicator include remoteness adjustments. NAP NWAU do not include any remoteness adjustments for 2018-19 but will from 2019-20 onwards. The same remoteness adjustments applied to AP will apply to NAP NWAU from 2019-20 onwards.</w:t>
      </w:r>
    </w:p>
    <w:p w14:paraId="1EC71FC0" w14:textId="57F6AD04" w:rsidR="00F22506" w:rsidRPr="00910353" w:rsidRDefault="00F22506" w:rsidP="009964FF">
      <w:pPr>
        <w:pStyle w:val="CGCTablenote"/>
        <w:tabs>
          <w:tab w:val="clear" w:pos="567"/>
          <w:tab w:val="left" w:pos="709"/>
        </w:tabs>
        <w:ind w:left="709" w:hanging="596"/>
      </w:pPr>
      <w:r w:rsidRPr="00910353">
        <w:t>Source:</w:t>
      </w:r>
      <w:r w:rsidRPr="00910353">
        <w:tab/>
        <w:t xml:space="preserve">See </w:t>
      </w:r>
      <w:r w:rsidRPr="00910353">
        <w:fldChar w:fldCharType="begin"/>
      </w:r>
      <w:r w:rsidRPr="00910353">
        <w:instrText xml:space="preserve"> REF _Ref45109802 \h  \* MERGEFORMAT </w:instrText>
      </w:r>
      <w:r w:rsidRPr="00910353">
        <w:fldChar w:fldCharType="separate"/>
      </w:r>
      <w:r w:rsidR="00A46D6F">
        <w:t>Figure 1</w:t>
      </w:r>
      <w:r w:rsidRPr="00910353">
        <w:fldChar w:fldCharType="end"/>
      </w:r>
      <w:r w:rsidRPr="00910353">
        <w:t>.</w:t>
      </w:r>
    </w:p>
    <w:p w14:paraId="7BC7F421" w14:textId="39D29D2D" w:rsidR="00AD15A4" w:rsidRDefault="00AD15A4" w:rsidP="00AD15A4">
      <w:pPr>
        <w:pStyle w:val="CGCParaNumber"/>
      </w:pPr>
      <w:r>
        <w:t>The spending rates in major cities and inner/outer regional areas are about the same level as usage rates. On the other hand, spending rates in remote and very remote areas are above usage rates reflecting the remoteness adjustments included in AP and ED (but not NAP NWAU</w:t>
      </w:r>
      <w:r w:rsidR="00A51913">
        <w:t xml:space="preserve"> </w:t>
      </w:r>
      <w:r w:rsidR="008158EB">
        <w:t>for 2018-19</w:t>
      </w:r>
      <w:r w:rsidR="00C41ACD">
        <w:t>)</w:t>
      </w:r>
      <w:r>
        <w:t xml:space="preserve">, as well as the </w:t>
      </w:r>
      <w:r w:rsidRPr="008776C3">
        <w:t>service delivery scale</w:t>
      </w:r>
      <w:r>
        <w:t xml:space="preserve"> (SDS) adjustments applied to </w:t>
      </w:r>
      <w:r w:rsidR="002D3BFE">
        <w:t xml:space="preserve">hospital services </w:t>
      </w:r>
      <w:r w:rsidR="00622E47">
        <w:t xml:space="preserve">in </w:t>
      </w:r>
      <w:r w:rsidR="007F704D">
        <w:t xml:space="preserve">more </w:t>
      </w:r>
      <w:r w:rsidR="00E24411">
        <w:t xml:space="preserve">remote </w:t>
      </w:r>
      <w:r w:rsidR="00EB770A">
        <w:t>areas</w:t>
      </w:r>
      <w:r>
        <w:t>.</w:t>
      </w:r>
    </w:p>
    <w:p w14:paraId="031A32C8" w14:textId="40DB3983" w:rsidR="00AD15A4" w:rsidRDefault="00AD15A4" w:rsidP="00FB6C55">
      <w:pPr>
        <w:pStyle w:val="CGCParaNumber"/>
        <w:keepNext/>
        <w:keepLines/>
      </w:pPr>
      <w:r>
        <w:lastRenderedPageBreak/>
        <w:t xml:space="preserve">Staff attribute the relatively lower NAP usage </w:t>
      </w:r>
      <w:r w:rsidR="00672559">
        <w:t xml:space="preserve">and spending </w:t>
      </w:r>
      <w:r>
        <w:t xml:space="preserve">in very remote regions to limited availability of NAP services where people live, particularly specialist </w:t>
      </w:r>
      <w:r w:rsidR="00A50253">
        <w:t xml:space="preserve">and certain allied health </w:t>
      </w:r>
      <w:r>
        <w:t>services. The NAP services generally available in remote areas are those that require a lower skill set and cost less. While the usage rates include patients in remote areas travelling to access hospital services that are available elsewhere, it is more likely that patients will only travel when their condition becomes more urgent/essential and they are therefore more likely to access AP rather than NAP services.</w:t>
      </w:r>
    </w:p>
    <w:p w14:paraId="6CBC50A5" w14:textId="1376EA6E" w:rsidR="00AD15A4" w:rsidRDefault="00AD15A4" w:rsidP="00AD15A4">
      <w:pPr>
        <w:pStyle w:val="CGCParaNumber"/>
      </w:pPr>
      <w:r>
        <w:t xml:space="preserve">The relatively lower NAP usage and spending (relative to AP and ED) for Indigenous people in </w:t>
      </w:r>
      <w:r>
        <w:fldChar w:fldCharType="begin"/>
      </w:r>
      <w:r>
        <w:instrText xml:space="preserve"> REF _Ref45109802 \h </w:instrText>
      </w:r>
      <w:r>
        <w:fldChar w:fldCharType="separate"/>
      </w:r>
      <w:r w:rsidR="00A46D6F">
        <w:t xml:space="preserve">Figure </w:t>
      </w:r>
      <w:r w:rsidR="00A46D6F">
        <w:rPr>
          <w:noProof/>
        </w:rPr>
        <w:t>1</w:t>
      </w:r>
      <w:r>
        <w:fldChar w:fldCharType="end"/>
      </w:r>
      <w:r>
        <w:t xml:space="preserve"> is consistent with lower usage and spending in regional and remote areas in </w:t>
      </w:r>
      <w:r w:rsidR="00D2577B">
        <w:fldChar w:fldCharType="begin"/>
      </w:r>
      <w:r w:rsidR="00D2577B">
        <w:instrText xml:space="preserve"> REF _Ref48126990 \h </w:instrText>
      </w:r>
      <w:r w:rsidR="00D2577B">
        <w:fldChar w:fldCharType="separate"/>
      </w:r>
      <w:r w:rsidR="00A46D6F">
        <w:t>Figure </w:t>
      </w:r>
      <w:r w:rsidR="00A46D6F">
        <w:rPr>
          <w:noProof/>
        </w:rPr>
        <w:t>2</w:t>
      </w:r>
      <w:r w:rsidR="00D2577B">
        <w:fldChar w:fldCharType="end"/>
      </w:r>
      <w:r>
        <w:t xml:space="preserve"> as Indigenous people comprise a relatively greater proportion of the population in regional and remote areas compared to major cities.</w:t>
      </w:r>
    </w:p>
    <w:p w14:paraId="0477373B" w14:textId="439D331A" w:rsidR="00AD15A4" w:rsidRDefault="00AD15A4" w:rsidP="00AD15A4">
      <w:pPr>
        <w:pStyle w:val="CGCParaNumber"/>
      </w:pPr>
      <w:r>
        <w:fldChar w:fldCharType="begin"/>
      </w:r>
      <w:r>
        <w:instrText xml:space="preserve"> REF _Ref45112303 \h </w:instrText>
      </w:r>
      <w:r>
        <w:fldChar w:fldCharType="separate"/>
      </w:r>
      <w:r w:rsidR="00A46D6F">
        <w:t xml:space="preserve">Figure </w:t>
      </w:r>
      <w:r w:rsidR="00A46D6F">
        <w:rPr>
          <w:noProof/>
        </w:rPr>
        <w:t>3</w:t>
      </w:r>
      <w:r>
        <w:fldChar w:fldCharType="end"/>
      </w:r>
      <w:r>
        <w:t xml:space="preserve"> sh</w:t>
      </w:r>
      <w:r w:rsidRPr="004953EF">
        <w:t>ow</w:t>
      </w:r>
      <w:r>
        <w:t xml:space="preserve">s spending and usage rates by Indigenous status and socio-economic status (SES). As with other hospital services, NAP per capita </w:t>
      </w:r>
      <w:r w:rsidRPr="004953EF">
        <w:t xml:space="preserve">spending </w:t>
      </w:r>
      <w:r>
        <w:t xml:space="preserve">varies inversely with SES. The pattern is the same for both Indigenous and non-indigenous people, but more extreme for the former. NAP spending is </w:t>
      </w:r>
      <w:r w:rsidRPr="00B81DDE">
        <w:t>lower for low SES people</w:t>
      </w:r>
      <w:r>
        <w:t xml:space="preserve"> (particularly low SES Indigenous people) relative to AP and ED. This is mainly due to lower usage but differences in costs also contribute. </w:t>
      </w:r>
    </w:p>
    <w:p w14:paraId="6C8E956B" w14:textId="05FBA9F6" w:rsidR="00AD15A4" w:rsidRDefault="00AD15A4" w:rsidP="00AD15A4">
      <w:pPr>
        <w:pStyle w:val="Caption"/>
      </w:pPr>
      <w:bookmarkStart w:id="47" w:name="_Ref45112303"/>
      <w:r>
        <w:lastRenderedPageBreak/>
        <w:t xml:space="preserve">Figure </w:t>
      </w:r>
      <w:r>
        <w:fldChar w:fldCharType="begin"/>
      </w:r>
      <w:r>
        <w:instrText>SEQ Figure \* ARABIC</w:instrText>
      </w:r>
      <w:r>
        <w:fldChar w:fldCharType="separate"/>
      </w:r>
      <w:r w:rsidR="00A46D6F">
        <w:rPr>
          <w:noProof/>
        </w:rPr>
        <w:t>3</w:t>
      </w:r>
      <w:r>
        <w:fldChar w:fldCharType="end"/>
      </w:r>
      <w:bookmarkEnd w:id="47"/>
      <w:r>
        <w:tab/>
      </w:r>
      <w:r>
        <w:rPr>
          <w:noProof/>
        </w:rPr>
        <w:t>S</w:t>
      </w:r>
      <w:r>
        <w:t>pending per capita by SES and Indigenous status, 2018-19</w:t>
      </w:r>
    </w:p>
    <w:p w14:paraId="3507128C" w14:textId="20391FF6" w:rsidR="00AD15A4" w:rsidRDefault="008F09D1" w:rsidP="00AD15A4">
      <w:pPr>
        <w:spacing w:before="0" w:line="240" w:lineRule="auto"/>
      </w:pPr>
      <w:r w:rsidRPr="008F09D1">
        <w:rPr>
          <w:noProof/>
        </w:rPr>
        <w:drawing>
          <wp:inline distT="0" distB="0" distL="0" distR="0" wp14:anchorId="2DBD4929" wp14:editId="21FB45C6">
            <wp:extent cx="5162550" cy="622098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165198" cy="6224172"/>
                    </a:xfrm>
                    <a:prstGeom prst="rect">
                      <a:avLst/>
                    </a:prstGeom>
                    <a:noFill/>
                    <a:ln>
                      <a:noFill/>
                    </a:ln>
                  </pic:spPr>
                </pic:pic>
              </a:graphicData>
            </a:graphic>
          </wp:inline>
        </w:drawing>
      </w:r>
    </w:p>
    <w:p w14:paraId="6B5F5541" w14:textId="28DE0706" w:rsidR="00AD15A4" w:rsidRPr="008776C3" w:rsidRDefault="00AD15A4" w:rsidP="002D4123">
      <w:pPr>
        <w:pStyle w:val="CGCTablenote"/>
      </w:pPr>
      <w:r w:rsidRPr="008776C3">
        <w:t>Source:</w:t>
      </w:r>
      <w:r w:rsidRPr="008776C3">
        <w:tab/>
        <w:t xml:space="preserve">See </w:t>
      </w:r>
      <w:r w:rsidRPr="008776C3">
        <w:fldChar w:fldCharType="begin"/>
      </w:r>
      <w:r w:rsidRPr="008776C3">
        <w:instrText xml:space="preserve"> REF _Ref45109802 \h </w:instrText>
      </w:r>
      <w:r>
        <w:instrText xml:space="preserve"> \* MERGEFORMAT </w:instrText>
      </w:r>
      <w:r w:rsidRPr="008776C3">
        <w:fldChar w:fldCharType="separate"/>
      </w:r>
      <w:r w:rsidR="00A46D6F">
        <w:t>Figure 1</w:t>
      </w:r>
      <w:r w:rsidRPr="008776C3">
        <w:fldChar w:fldCharType="end"/>
      </w:r>
      <w:r w:rsidRPr="008776C3">
        <w:t>.</w:t>
      </w:r>
    </w:p>
    <w:p w14:paraId="43569AFF" w14:textId="77777777" w:rsidR="00AD15A4" w:rsidRDefault="00AD15A4" w:rsidP="00AD15A4">
      <w:pPr>
        <w:pStyle w:val="Heading5"/>
      </w:pPr>
      <w:r>
        <w:t>Comparison with the NAP proxy indicator</w:t>
      </w:r>
    </w:p>
    <w:p w14:paraId="6C84F031" w14:textId="325EC8BA" w:rsidR="00AD15A4" w:rsidRDefault="00AD15A4" w:rsidP="00AD15A4">
      <w:pPr>
        <w:pStyle w:val="CGCParaNumber"/>
      </w:pPr>
      <w:r>
        <w:t xml:space="preserve">The comparison of spending and usage based on NAP NWAU and the proxy indicator </w:t>
      </w:r>
      <w:r w:rsidR="00C47D0D">
        <w:t xml:space="preserve">used in the 2020 Review </w:t>
      </w:r>
      <w:r>
        <w:t xml:space="preserve">are also found in </w:t>
      </w:r>
      <w:r>
        <w:fldChar w:fldCharType="begin"/>
      </w:r>
      <w:r>
        <w:instrText xml:space="preserve"> REF _Ref45109802 \h </w:instrText>
      </w:r>
      <w:r>
        <w:fldChar w:fldCharType="separate"/>
      </w:r>
      <w:r w:rsidR="00A46D6F">
        <w:t xml:space="preserve">Figure </w:t>
      </w:r>
      <w:r w:rsidR="00A46D6F">
        <w:rPr>
          <w:noProof/>
        </w:rPr>
        <w:t>1</w:t>
      </w:r>
      <w:r>
        <w:fldChar w:fldCharType="end"/>
      </w:r>
      <w:r>
        <w:t xml:space="preserve">, </w:t>
      </w:r>
      <w:r w:rsidR="00AE39D9">
        <w:fldChar w:fldCharType="begin"/>
      </w:r>
      <w:r w:rsidR="00AE39D9">
        <w:instrText xml:space="preserve"> REF _Ref48126990 \h </w:instrText>
      </w:r>
      <w:r w:rsidR="00AE39D9">
        <w:fldChar w:fldCharType="separate"/>
      </w:r>
      <w:r w:rsidR="00A46D6F">
        <w:t>Figure </w:t>
      </w:r>
      <w:r w:rsidR="00A46D6F">
        <w:rPr>
          <w:noProof/>
        </w:rPr>
        <w:t>2</w:t>
      </w:r>
      <w:r w:rsidR="00AE39D9">
        <w:fldChar w:fldCharType="end"/>
      </w:r>
      <w:r>
        <w:t xml:space="preserve"> and </w:t>
      </w:r>
      <w:r>
        <w:fldChar w:fldCharType="begin"/>
      </w:r>
      <w:r>
        <w:instrText xml:space="preserve"> REF _Ref45112303 \h </w:instrText>
      </w:r>
      <w:r>
        <w:fldChar w:fldCharType="separate"/>
      </w:r>
      <w:r w:rsidR="00A46D6F">
        <w:t xml:space="preserve">Figure </w:t>
      </w:r>
      <w:r w:rsidR="00A46D6F">
        <w:rPr>
          <w:noProof/>
        </w:rPr>
        <w:t>3</w:t>
      </w:r>
      <w:r>
        <w:fldChar w:fldCharType="end"/>
      </w:r>
      <w:r>
        <w:t xml:space="preserve">. </w:t>
      </w:r>
    </w:p>
    <w:p w14:paraId="560E8779" w14:textId="0F5741E2" w:rsidR="00045060" w:rsidRDefault="00AD15A4" w:rsidP="00AD15A4">
      <w:pPr>
        <w:pStyle w:val="CGCParaNumber"/>
      </w:pPr>
      <w:r>
        <w:t>With the availability of actual data on NAP NWAU, it is now apparent that the proxy indicator overestimated NAP spending. NAP spending based on NWAU are generally lower for Indigenous people, people outside major cities, and low SES people. The difference in level of spending based on NWAU and the proxy indicator is due to two factors</w:t>
      </w:r>
      <w:r w:rsidR="00337546">
        <w:t>, with the magnitude of overspending being almost evenly split between the</w:t>
      </w:r>
      <w:r w:rsidR="00D03306">
        <w:t xml:space="preserve"> </w:t>
      </w:r>
      <w:r w:rsidR="00337546">
        <w:t>two</w:t>
      </w:r>
      <w:r w:rsidR="00045060">
        <w:t>:</w:t>
      </w:r>
    </w:p>
    <w:p w14:paraId="097F7092" w14:textId="22F182A9" w:rsidR="00141BD9" w:rsidRDefault="00AD15A4" w:rsidP="00141BD9">
      <w:pPr>
        <w:pStyle w:val="CGCBullet1"/>
      </w:pPr>
      <w:r>
        <w:t xml:space="preserve">the proxy indicator was based on AP usage rates, that are higher than NAP usage rates for these socio-demographic groups </w:t>
      </w:r>
    </w:p>
    <w:p w14:paraId="41D06151" w14:textId="262E50C2" w:rsidR="00141BD9" w:rsidRDefault="00AD15A4" w:rsidP="00141BD9">
      <w:pPr>
        <w:pStyle w:val="CGCBullet1"/>
      </w:pPr>
      <w:r>
        <w:t>remoteness adjustments had been applied to the proxy indicator but not to NAP NWAU.</w:t>
      </w:r>
    </w:p>
    <w:p w14:paraId="2B7CED0D" w14:textId="146D9DE4" w:rsidR="004263CF" w:rsidRDefault="00FE32DA" w:rsidP="00FD0CDB">
      <w:pPr>
        <w:pStyle w:val="CGCParaNumber"/>
      </w:pPr>
      <w:r>
        <w:lastRenderedPageBreak/>
        <w:t>A</w:t>
      </w:r>
      <w:r w:rsidR="00C00D6D">
        <w:t>s shown in</w:t>
      </w:r>
      <w:r w:rsidR="00694629">
        <w:t xml:space="preserve"> </w:t>
      </w:r>
      <w:r w:rsidR="00694629">
        <w:fldChar w:fldCharType="begin"/>
      </w:r>
      <w:r w:rsidR="00694629">
        <w:instrText xml:space="preserve"> REF _Ref49169959 \h </w:instrText>
      </w:r>
      <w:r w:rsidR="00694629">
        <w:fldChar w:fldCharType="separate"/>
      </w:r>
      <w:r w:rsidR="00A46D6F">
        <w:t xml:space="preserve">Table </w:t>
      </w:r>
      <w:r w:rsidR="00A46D6F">
        <w:rPr>
          <w:noProof/>
        </w:rPr>
        <w:t>3</w:t>
      </w:r>
      <w:r w:rsidR="00694629">
        <w:fldChar w:fldCharType="end"/>
      </w:r>
      <w:r w:rsidR="00694629">
        <w:t>,</w:t>
      </w:r>
      <w:r w:rsidR="00C00D6D">
        <w:t xml:space="preserve"> NAP NWAU do not </w:t>
      </w:r>
      <w:r w:rsidR="009A558B">
        <w:t xml:space="preserve">explicitly </w:t>
      </w:r>
      <w:r w:rsidR="00C00D6D">
        <w:t>include any remoteness adjustments</w:t>
      </w:r>
      <w:r w:rsidR="002D1FB8">
        <w:t xml:space="preserve"> for 2018</w:t>
      </w:r>
      <w:r w:rsidR="00D845F0">
        <w:noBreakHyphen/>
      </w:r>
      <w:r w:rsidR="002D1FB8">
        <w:t xml:space="preserve">19 but </w:t>
      </w:r>
      <w:r w:rsidR="00A83917">
        <w:t xml:space="preserve">will </w:t>
      </w:r>
      <w:r w:rsidR="002E3CD3">
        <w:t>f</w:t>
      </w:r>
      <w:r w:rsidR="00C00D6D">
        <w:t>rom 2019-20 onwards.</w:t>
      </w:r>
      <w:r w:rsidR="00F55161">
        <w:t xml:space="preserve"> </w:t>
      </w:r>
      <w:r w:rsidR="00013400">
        <w:t>In recent updates</w:t>
      </w:r>
      <w:r w:rsidR="00DA5E8F">
        <w:t xml:space="preserve">, </w:t>
      </w:r>
      <w:r w:rsidR="003C03FD">
        <w:t>the Commission</w:t>
      </w:r>
      <w:r w:rsidR="004B4186">
        <w:t xml:space="preserve"> did not augment NWAU data for AP and ED</w:t>
      </w:r>
      <w:r w:rsidR="004B4186">
        <w:rPr>
          <w:rStyle w:val="FootnoteReference"/>
        </w:rPr>
        <w:footnoteReference w:id="13"/>
      </w:r>
      <w:r w:rsidR="004B4186">
        <w:t xml:space="preserve"> </w:t>
      </w:r>
      <w:r w:rsidR="0029483F">
        <w:t>following</w:t>
      </w:r>
      <w:r w:rsidR="00040611">
        <w:t xml:space="preserve"> </w:t>
      </w:r>
      <w:r w:rsidR="008D6FD2">
        <w:t xml:space="preserve">the </w:t>
      </w:r>
      <w:r w:rsidR="00E278A4">
        <w:t xml:space="preserve">introduction </w:t>
      </w:r>
      <w:r w:rsidR="002920DF">
        <w:t>by IHPA</w:t>
      </w:r>
      <w:r w:rsidR="00040611">
        <w:t xml:space="preserve"> of </w:t>
      </w:r>
      <w:r w:rsidR="00593985">
        <w:t xml:space="preserve">new remoteness </w:t>
      </w:r>
      <w:r w:rsidR="0029483F">
        <w:t>adjustments in</w:t>
      </w:r>
      <w:r w:rsidR="0032093C">
        <w:t xml:space="preserve"> </w:t>
      </w:r>
      <w:r w:rsidR="003127B8">
        <w:t>more recent</w:t>
      </w:r>
      <w:r w:rsidR="0095270F">
        <w:t xml:space="preserve"> assessment years</w:t>
      </w:r>
      <w:r w:rsidR="00B76BB0">
        <w:t>.</w:t>
      </w:r>
      <w:r w:rsidR="004B4186">
        <w:t xml:space="preserve"> </w:t>
      </w:r>
      <w:r w:rsidR="00FD4890">
        <w:t>T</w:t>
      </w:r>
      <w:r w:rsidR="004B4186">
        <w:t xml:space="preserve">his </w:t>
      </w:r>
      <w:r w:rsidR="00922989">
        <w:t>was</w:t>
      </w:r>
      <w:r w:rsidR="00C77BC2">
        <w:t xml:space="preserve"> </w:t>
      </w:r>
      <w:r w:rsidR="007A5177">
        <w:t>on the basis that</w:t>
      </w:r>
      <w:r w:rsidR="00B76BB0">
        <w:t xml:space="preserve"> </w:t>
      </w:r>
      <w:r w:rsidR="004B4186">
        <w:t xml:space="preserve">IHPA </w:t>
      </w:r>
      <w:r w:rsidR="00B441B1">
        <w:t>i</w:t>
      </w:r>
      <w:r w:rsidR="00B473DC">
        <w:t xml:space="preserve">s </w:t>
      </w:r>
      <w:r w:rsidR="00D778FF">
        <w:t>the expert in th</w:t>
      </w:r>
      <w:r w:rsidR="00B473DC">
        <w:t>e</w:t>
      </w:r>
      <w:r w:rsidR="00D778FF">
        <w:t xml:space="preserve"> field </w:t>
      </w:r>
      <w:r w:rsidR="00224E67">
        <w:t xml:space="preserve">and </w:t>
      </w:r>
      <w:r w:rsidR="00817BD1">
        <w:t xml:space="preserve">therefore </w:t>
      </w:r>
      <w:r w:rsidR="004B4186">
        <w:t xml:space="preserve">best </w:t>
      </w:r>
      <w:r w:rsidR="00015F45">
        <w:t xml:space="preserve">placed to </w:t>
      </w:r>
      <w:r w:rsidR="00093279">
        <w:t xml:space="preserve">quantify </w:t>
      </w:r>
      <w:r w:rsidR="004B4186">
        <w:t>the cost of hospital services.</w:t>
      </w:r>
      <w:r w:rsidR="00565EF5">
        <w:t xml:space="preserve"> </w:t>
      </w:r>
      <w:r w:rsidR="00E57579">
        <w:t xml:space="preserve">The same principle should apply </w:t>
      </w:r>
      <w:r w:rsidR="0046684E">
        <w:t>if NAP</w:t>
      </w:r>
      <w:r w:rsidR="00B23928">
        <w:t xml:space="preserve"> </w:t>
      </w:r>
      <w:r w:rsidR="003A0CAD">
        <w:t xml:space="preserve">NWAU </w:t>
      </w:r>
      <w:r w:rsidR="00842901">
        <w:t xml:space="preserve">data </w:t>
      </w:r>
      <w:r w:rsidR="001E06E1">
        <w:t>instead of the proxy</w:t>
      </w:r>
      <w:r w:rsidR="00852A1C">
        <w:t xml:space="preserve"> </w:t>
      </w:r>
      <w:r w:rsidR="0046684E">
        <w:t>are used</w:t>
      </w:r>
      <w:r w:rsidR="00852A1C">
        <w:t xml:space="preserve"> </w:t>
      </w:r>
      <w:r w:rsidR="001470FB">
        <w:t xml:space="preserve">in the 2021 </w:t>
      </w:r>
      <w:r w:rsidR="00846944">
        <w:t>Update</w:t>
      </w:r>
      <w:r w:rsidR="00352007">
        <w:t>.</w:t>
      </w:r>
      <w:r w:rsidR="00696DF8">
        <w:t xml:space="preserve"> </w:t>
      </w:r>
      <w:r w:rsidR="00D42058">
        <w:t xml:space="preserve">While </w:t>
      </w:r>
      <w:r w:rsidR="00F85659">
        <w:t xml:space="preserve">this will mean </w:t>
      </w:r>
      <w:r w:rsidR="0068118F">
        <w:t xml:space="preserve">spending in remote areas </w:t>
      </w:r>
      <w:r w:rsidR="00D74215">
        <w:t xml:space="preserve">for high cost </w:t>
      </w:r>
      <w:r w:rsidR="00CC4EF3">
        <w:t>groups</w:t>
      </w:r>
      <w:r w:rsidR="0068118F">
        <w:t xml:space="preserve"> </w:t>
      </w:r>
      <w:r w:rsidR="00D65748">
        <w:t>may</w:t>
      </w:r>
      <w:r w:rsidR="00D42058">
        <w:t xml:space="preserve"> </w:t>
      </w:r>
      <w:r w:rsidR="00CD41E7">
        <w:t>be understated</w:t>
      </w:r>
      <w:r w:rsidR="00D65748">
        <w:t xml:space="preserve"> in the 2021 Update</w:t>
      </w:r>
      <w:r w:rsidR="000F69D0">
        <w:t xml:space="preserve">, </w:t>
      </w:r>
      <w:r w:rsidR="00DE6698">
        <w:t xml:space="preserve">it </w:t>
      </w:r>
      <w:r w:rsidR="0059707C">
        <w:t xml:space="preserve">will </w:t>
      </w:r>
      <w:r w:rsidR="00440C4E">
        <w:t xml:space="preserve">partially </w:t>
      </w:r>
      <w:r w:rsidR="00997977">
        <w:t xml:space="preserve">offset </w:t>
      </w:r>
      <w:r w:rsidR="008C139B">
        <w:t xml:space="preserve">the overestimation of </w:t>
      </w:r>
      <w:r w:rsidR="00072700">
        <w:t xml:space="preserve">spending </w:t>
      </w:r>
      <w:r w:rsidR="002E35D5">
        <w:t xml:space="preserve">in </w:t>
      </w:r>
      <w:r w:rsidR="00630FE6">
        <w:t>recent update</w:t>
      </w:r>
      <w:r w:rsidR="00E26DDD">
        <w:t>s</w:t>
      </w:r>
      <w:r w:rsidR="002E35D5">
        <w:t>.</w:t>
      </w:r>
      <w:r w:rsidR="00AE175E">
        <w:t xml:space="preserve"> </w:t>
      </w:r>
      <w:r w:rsidR="00FE576F" w:rsidRPr="00FE576F">
        <w:t>In the 2022 Update the 2019</w:t>
      </w:r>
      <w:r w:rsidR="00D845F0">
        <w:noBreakHyphen/>
      </w:r>
      <w:r w:rsidR="00FE576F" w:rsidRPr="00FE576F">
        <w:t xml:space="preserve">20 </w:t>
      </w:r>
      <w:r w:rsidR="00E552A3">
        <w:t>NAP NWAU</w:t>
      </w:r>
      <w:r w:rsidR="00FE576F" w:rsidRPr="00FE576F">
        <w:t xml:space="preserve"> data with remoteness </w:t>
      </w:r>
      <w:r w:rsidR="004D34DE">
        <w:t>adjustments</w:t>
      </w:r>
      <w:r w:rsidR="00FE576F" w:rsidRPr="00FE576F">
        <w:t xml:space="preserve"> will be used for </w:t>
      </w:r>
      <w:r w:rsidR="00150407">
        <w:t xml:space="preserve">two </w:t>
      </w:r>
      <w:r w:rsidR="00FE576F" w:rsidRPr="00FE576F">
        <w:t xml:space="preserve">of the </w:t>
      </w:r>
      <w:r w:rsidR="00150407">
        <w:t xml:space="preserve">three </w:t>
      </w:r>
      <w:r w:rsidR="00FE576F" w:rsidRPr="00FE576F">
        <w:t>assessment years.</w:t>
      </w:r>
    </w:p>
    <w:p w14:paraId="5D00A37D" w14:textId="0710792C" w:rsidR="00AD15A4" w:rsidRDefault="00AD15A4" w:rsidP="00AD15A4">
      <w:pPr>
        <w:pStyle w:val="CGCParaNumber"/>
      </w:pPr>
      <w:r>
        <w:t xml:space="preserve">If </w:t>
      </w:r>
      <w:r w:rsidR="00C875C6">
        <w:t>the</w:t>
      </w:r>
      <w:r>
        <w:t xml:space="preserve"> 2018-19 NAP NWAU data </w:t>
      </w:r>
      <w:r w:rsidR="000D6CE7">
        <w:t>are</w:t>
      </w:r>
      <w:r w:rsidR="004116B8">
        <w:t xml:space="preserve"> used</w:t>
      </w:r>
      <w:r>
        <w:t xml:space="preserve"> for all assessment years in the 2021 Update, this will have a material impact for Tasmania, the ACT and the Northern Territory (</w:t>
      </w:r>
      <w:r>
        <w:fldChar w:fldCharType="begin"/>
      </w:r>
      <w:r>
        <w:instrText xml:space="preserve"> REF _Ref46311739 \h </w:instrText>
      </w:r>
      <w:r>
        <w:fldChar w:fldCharType="separate"/>
      </w:r>
      <w:r w:rsidR="00A46D6F">
        <w:t xml:space="preserve">Table </w:t>
      </w:r>
      <w:r w:rsidR="00A46D6F">
        <w:rPr>
          <w:noProof/>
        </w:rPr>
        <w:t>5</w:t>
      </w:r>
      <w:r>
        <w:fldChar w:fldCharType="end"/>
      </w:r>
      <w:r>
        <w:t>).</w:t>
      </w:r>
      <w:r>
        <w:rPr>
          <w:rStyle w:val="FootnoteReference"/>
        </w:rPr>
        <w:footnoteReference w:id="14"/>
      </w:r>
    </w:p>
    <w:p w14:paraId="7C8CE63F" w14:textId="7A507AB4" w:rsidR="00AD15A4" w:rsidRDefault="00AD15A4" w:rsidP="00AD15A4">
      <w:pPr>
        <w:pStyle w:val="Caption"/>
      </w:pPr>
      <w:bookmarkStart w:id="48" w:name="_Ref46311739"/>
      <w:r>
        <w:t xml:space="preserve">Table </w:t>
      </w:r>
      <w:r>
        <w:fldChar w:fldCharType="begin"/>
      </w:r>
      <w:r>
        <w:instrText>SEQ Table \* ARABIC</w:instrText>
      </w:r>
      <w:r>
        <w:fldChar w:fldCharType="separate"/>
      </w:r>
      <w:r w:rsidR="00A46D6F">
        <w:rPr>
          <w:noProof/>
        </w:rPr>
        <w:t>5</w:t>
      </w:r>
      <w:r>
        <w:fldChar w:fldCharType="end"/>
      </w:r>
      <w:bookmarkStart w:id="49" w:name="_Hlk46905275"/>
      <w:bookmarkEnd w:id="48"/>
      <w:r>
        <w:tab/>
        <w:t>Estimated GST impact of using non-admitted patient NWAU data, 2018-19</w:t>
      </w:r>
    </w:p>
    <w:tbl>
      <w:tblPr>
        <w:tblW w:w="9020" w:type="dxa"/>
        <w:tblLook w:val="04A0" w:firstRow="1" w:lastRow="0" w:firstColumn="1" w:lastColumn="0" w:noHBand="0" w:noVBand="1"/>
      </w:tblPr>
      <w:tblGrid>
        <w:gridCol w:w="1843"/>
        <w:gridCol w:w="920"/>
        <w:gridCol w:w="777"/>
        <w:gridCol w:w="777"/>
        <w:gridCol w:w="777"/>
        <w:gridCol w:w="777"/>
        <w:gridCol w:w="777"/>
        <w:gridCol w:w="777"/>
        <w:gridCol w:w="777"/>
        <w:gridCol w:w="818"/>
      </w:tblGrid>
      <w:tr w:rsidR="00A2124D" w:rsidRPr="003A5B9D" w14:paraId="364F1367" w14:textId="77777777" w:rsidTr="00A2124D">
        <w:trPr>
          <w:trHeight w:val="375"/>
        </w:trPr>
        <w:tc>
          <w:tcPr>
            <w:tcW w:w="1843" w:type="dxa"/>
            <w:tcBorders>
              <w:top w:val="nil"/>
              <w:left w:val="nil"/>
              <w:bottom w:val="nil"/>
              <w:right w:val="nil"/>
            </w:tcBorders>
            <w:shd w:val="clear" w:color="000000" w:fill="006991"/>
            <w:vAlign w:val="center"/>
            <w:hideMark/>
          </w:tcPr>
          <w:p w14:paraId="7117C057" w14:textId="77777777" w:rsidR="003A5B9D" w:rsidRPr="003A5B9D" w:rsidRDefault="003A5B9D" w:rsidP="003A5B9D">
            <w:pPr>
              <w:tabs>
                <w:tab w:val="clear" w:pos="567"/>
              </w:tabs>
              <w:spacing w:before="0" w:line="240" w:lineRule="auto"/>
              <w:rPr>
                <w:rFonts w:ascii="Open Sans Semibold" w:eastAsia="Times New Roman" w:hAnsi="Open Sans Semibold" w:cs="Open Sans Semibold"/>
                <w:color w:val="FFFFFF"/>
                <w:sz w:val="16"/>
                <w:szCs w:val="16"/>
                <w:lang w:eastAsia="en-AU"/>
              </w:rPr>
            </w:pPr>
            <w:r w:rsidRPr="003A5B9D">
              <w:rPr>
                <w:rFonts w:ascii="Open Sans Semibold" w:eastAsia="Times New Roman" w:hAnsi="Open Sans Semibold" w:cs="Open Sans Semibold"/>
                <w:color w:val="FFFFFF"/>
                <w:sz w:val="16"/>
                <w:szCs w:val="16"/>
                <w:lang w:eastAsia="en-AU"/>
              </w:rPr>
              <w:t> </w:t>
            </w:r>
          </w:p>
        </w:tc>
        <w:tc>
          <w:tcPr>
            <w:tcW w:w="920" w:type="dxa"/>
            <w:tcBorders>
              <w:top w:val="nil"/>
              <w:left w:val="nil"/>
              <w:bottom w:val="nil"/>
              <w:right w:val="nil"/>
            </w:tcBorders>
            <w:shd w:val="clear" w:color="000000" w:fill="006991"/>
            <w:vAlign w:val="center"/>
            <w:hideMark/>
          </w:tcPr>
          <w:p w14:paraId="373AC204" w14:textId="77777777" w:rsidR="003A5B9D" w:rsidRPr="003A5B9D" w:rsidRDefault="003A5B9D" w:rsidP="003A5B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A5B9D">
              <w:rPr>
                <w:rFonts w:ascii="Open Sans Semibold" w:eastAsia="Times New Roman" w:hAnsi="Open Sans Semibold" w:cs="Open Sans Semibold"/>
                <w:color w:val="FFFFFF"/>
                <w:sz w:val="16"/>
                <w:szCs w:val="16"/>
                <w:lang w:eastAsia="en-AU"/>
              </w:rPr>
              <w:t>NSW</w:t>
            </w:r>
          </w:p>
        </w:tc>
        <w:tc>
          <w:tcPr>
            <w:tcW w:w="777" w:type="dxa"/>
            <w:tcBorders>
              <w:top w:val="nil"/>
              <w:left w:val="nil"/>
              <w:bottom w:val="nil"/>
              <w:right w:val="nil"/>
            </w:tcBorders>
            <w:shd w:val="clear" w:color="000000" w:fill="006991"/>
            <w:vAlign w:val="center"/>
            <w:hideMark/>
          </w:tcPr>
          <w:p w14:paraId="6431E965" w14:textId="77777777" w:rsidR="003A5B9D" w:rsidRPr="003A5B9D" w:rsidRDefault="003A5B9D" w:rsidP="003A5B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A5B9D">
              <w:rPr>
                <w:rFonts w:ascii="Open Sans Semibold" w:eastAsia="Times New Roman" w:hAnsi="Open Sans Semibold" w:cs="Open Sans Semibold"/>
                <w:color w:val="FFFFFF"/>
                <w:sz w:val="16"/>
                <w:szCs w:val="16"/>
                <w:lang w:eastAsia="en-AU"/>
              </w:rPr>
              <w:t>Vic</w:t>
            </w:r>
          </w:p>
        </w:tc>
        <w:tc>
          <w:tcPr>
            <w:tcW w:w="777" w:type="dxa"/>
            <w:tcBorders>
              <w:top w:val="nil"/>
              <w:left w:val="nil"/>
              <w:bottom w:val="nil"/>
              <w:right w:val="nil"/>
            </w:tcBorders>
            <w:shd w:val="clear" w:color="000000" w:fill="006991"/>
            <w:vAlign w:val="center"/>
            <w:hideMark/>
          </w:tcPr>
          <w:p w14:paraId="69D3AEA4" w14:textId="77777777" w:rsidR="003A5B9D" w:rsidRPr="003A5B9D" w:rsidRDefault="003A5B9D" w:rsidP="003A5B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A5B9D">
              <w:rPr>
                <w:rFonts w:ascii="Open Sans Semibold" w:eastAsia="Times New Roman" w:hAnsi="Open Sans Semibold" w:cs="Open Sans Semibold"/>
                <w:color w:val="FFFFFF"/>
                <w:sz w:val="16"/>
                <w:szCs w:val="16"/>
                <w:lang w:eastAsia="en-AU"/>
              </w:rPr>
              <w:t>Qld</w:t>
            </w:r>
          </w:p>
        </w:tc>
        <w:tc>
          <w:tcPr>
            <w:tcW w:w="777" w:type="dxa"/>
            <w:tcBorders>
              <w:top w:val="nil"/>
              <w:left w:val="nil"/>
              <w:bottom w:val="nil"/>
              <w:right w:val="nil"/>
            </w:tcBorders>
            <w:shd w:val="clear" w:color="000000" w:fill="006991"/>
            <w:vAlign w:val="center"/>
            <w:hideMark/>
          </w:tcPr>
          <w:p w14:paraId="78DFB971" w14:textId="77777777" w:rsidR="003A5B9D" w:rsidRPr="003A5B9D" w:rsidRDefault="003A5B9D" w:rsidP="003A5B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A5B9D">
              <w:rPr>
                <w:rFonts w:ascii="Open Sans Semibold" w:eastAsia="Times New Roman" w:hAnsi="Open Sans Semibold" w:cs="Open Sans Semibold"/>
                <w:color w:val="FFFFFF"/>
                <w:sz w:val="16"/>
                <w:szCs w:val="16"/>
                <w:lang w:eastAsia="en-AU"/>
              </w:rPr>
              <w:t>WA</w:t>
            </w:r>
          </w:p>
        </w:tc>
        <w:tc>
          <w:tcPr>
            <w:tcW w:w="777" w:type="dxa"/>
            <w:tcBorders>
              <w:top w:val="nil"/>
              <w:left w:val="nil"/>
              <w:bottom w:val="nil"/>
              <w:right w:val="nil"/>
            </w:tcBorders>
            <w:shd w:val="clear" w:color="000000" w:fill="006991"/>
            <w:vAlign w:val="center"/>
            <w:hideMark/>
          </w:tcPr>
          <w:p w14:paraId="39DA2B86" w14:textId="77777777" w:rsidR="003A5B9D" w:rsidRPr="003A5B9D" w:rsidRDefault="003A5B9D" w:rsidP="003A5B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A5B9D">
              <w:rPr>
                <w:rFonts w:ascii="Open Sans Semibold" w:eastAsia="Times New Roman" w:hAnsi="Open Sans Semibold" w:cs="Open Sans Semibold"/>
                <w:color w:val="FFFFFF"/>
                <w:sz w:val="16"/>
                <w:szCs w:val="16"/>
                <w:lang w:eastAsia="en-AU"/>
              </w:rPr>
              <w:t>SA</w:t>
            </w:r>
          </w:p>
        </w:tc>
        <w:tc>
          <w:tcPr>
            <w:tcW w:w="777" w:type="dxa"/>
            <w:tcBorders>
              <w:top w:val="nil"/>
              <w:left w:val="nil"/>
              <w:bottom w:val="nil"/>
              <w:right w:val="nil"/>
            </w:tcBorders>
            <w:shd w:val="clear" w:color="000000" w:fill="006991"/>
            <w:vAlign w:val="center"/>
            <w:hideMark/>
          </w:tcPr>
          <w:p w14:paraId="01C476BF" w14:textId="77777777" w:rsidR="003A5B9D" w:rsidRPr="003A5B9D" w:rsidRDefault="003A5B9D" w:rsidP="003A5B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A5B9D">
              <w:rPr>
                <w:rFonts w:ascii="Open Sans Semibold" w:eastAsia="Times New Roman" w:hAnsi="Open Sans Semibold" w:cs="Open Sans Semibold"/>
                <w:color w:val="FFFFFF"/>
                <w:sz w:val="16"/>
                <w:szCs w:val="16"/>
                <w:lang w:eastAsia="en-AU"/>
              </w:rPr>
              <w:t>Tas</w:t>
            </w:r>
          </w:p>
        </w:tc>
        <w:tc>
          <w:tcPr>
            <w:tcW w:w="777" w:type="dxa"/>
            <w:tcBorders>
              <w:top w:val="nil"/>
              <w:left w:val="nil"/>
              <w:bottom w:val="nil"/>
              <w:right w:val="nil"/>
            </w:tcBorders>
            <w:shd w:val="clear" w:color="000000" w:fill="006991"/>
            <w:vAlign w:val="center"/>
            <w:hideMark/>
          </w:tcPr>
          <w:p w14:paraId="690C204D" w14:textId="77777777" w:rsidR="003A5B9D" w:rsidRPr="003A5B9D" w:rsidRDefault="003A5B9D" w:rsidP="003A5B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A5B9D">
              <w:rPr>
                <w:rFonts w:ascii="Open Sans Semibold" w:eastAsia="Times New Roman" w:hAnsi="Open Sans Semibold" w:cs="Open Sans Semibold"/>
                <w:color w:val="FFFFFF"/>
                <w:sz w:val="16"/>
                <w:szCs w:val="16"/>
                <w:lang w:eastAsia="en-AU"/>
              </w:rPr>
              <w:t>ACT</w:t>
            </w:r>
          </w:p>
        </w:tc>
        <w:tc>
          <w:tcPr>
            <w:tcW w:w="777" w:type="dxa"/>
            <w:tcBorders>
              <w:top w:val="nil"/>
              <w:left w:val="nil"/>
              <w:bottom w:val="nil"/>
              <w:right w:val="nil"/>
            </w:tcBorders>
            <w:shd w:val="clear" w:color="000000" w:fill="006991"/>
            <w:vAlign w:val="center"/>
            <w:hideMark/>
          </w:tcPr>
          <w:p w14:paraId="11401C8B" w14:textId="77777777" w:rsidR="003A5B9D" w:rsidRPr="003A5B9D" w:rsidRDefault="003A5B9D" w:rsidP="003A5B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A5B9D">
              <w:rPr>
                <w:rFonts w:ascii="Open Sans Semibold" w:eastAsia="Times New Roman" w:hAnsi="Open Sans Semibold" w:cs="Open Sans Semibold"/>
                <w:color w:val="FFFFFF"/>
                <w:sz w:val="16"/>
                <w:szCs w:val="16"/>
                <w:lang w:eastAsia="en-AU"/>
              </w:rPr>
              <w:t>NT</w:t>
            </w:r>
          </w:p>
        </w:tc>
        <w:tc>
          <w:tcPr>
            <w:tcW w:w="818" w:type="dxa"/>
            <w:tcBorders>
              <w:top w:val="nil"/>
              <w:left w:val="nil"/>
              <w:bottom w:val="nil"/>
              <w:right w:val="nil"/>
            </w:tcBorders>
            <w:shd w:val="clear" w:color="000000" w:fill="006991"/>
            <w:vAlign w:val="center"/>
            <w:hideMark/>
          </w:tcPr>
          <w:p w14:paraId="6393C08F" w14:textId="77777777" w:rsidR="003A5B9D" w:rsidRPr="003A5B9D" w:rsidRDefault="003A5B9D" w:rsidP="003A5B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A5B9D">
              <w:rPr>
                <w:rFonts w:ascii="Open Sans Semibold" w:eastAsia="Times New Roman" w:hAnsi="Open Sans Semibold" w:cs="Open Sans Semibold"/>
                <w:color w:val="FFFFFF"/>
                <w:sz w:val="16"/>
                <w:szCs w:val="16"/>
                <w:lang w:eastAsia="en-AU"/>
              </w:rPr>
              <w:t>Total</w:t>
            </w:r>
          </w:p>
        </w:tc>
      </w:tr>
      <w:tr w:rsidR="00A2124D" w:rsidRPr="003A5B9D" w14:paraId="66994DB8" w14:textId="77777777" w:rsidTr="00A2124D">
        <w:trPr>
          <w:trHeight w:val="300"/>
        </w:trPr>
        <w:tc>
          <w:tcPr>
            <w:tcW w:w="1843" w:type="dxa"/>
            <w:tcBorders>
              <w:top w:val="nil"/>
              <w:left w:val="nil"/>
              <w:bottom w:val="single" w:sz="4" w:space="0" w:color="ADD6EA"/>
              <w:right w:val="nil"/>
            </w:tcBorders>
            <w:shd w:val="clear" w:color="000000" w:fill="FFFFFF"/>
            <w:vAlign w:val="bottom"/>
            <w:hideMark/>
          </w:tcPr>
          <w:p w14:paraId="12A82E03" w14:textId="77777777" w:rsidR="003A5B9D" w:rsidRPr="003A5B9D" w:rsidRDefault="003A5B9D" w:rsidP="003A5B9D">
            <w:pPr>
              <w:tabs>
                <w:tab w:val="clear" w:pos="567"/>
              </w:tabs>
              <w:spacing w:before="0" w:line="240" w:lineRule="auto"/>
              <w:rPr>
                <w:rFonts w:eastAsia="Times New Roman" w:cs="Open Sans Light"/>
                <w:sz w:val="16"/>
                <w:szCs w:val="16"/>
                <w:lang w:eastAsia="en-AU"/>
              </w:rPr>
            </w:pPr>
            <w:r w:rsidRPr="003A5B9D">
              <w:rPr>
                <w:rFonts w:eastAsia="Times New Roman" w:cs="Open Sans Light"/>
                <w:sz w:val="16"/>
                <w:szCs w:val="16"/>
                <w:lang w:eastAsia="en-AU"/>
              </w:rPr>
              <w:t>NAP NWAU ($m)</w:t>
            </w:r>
          </w:p>
        </w:tc>
        <w:tc>
          <w:tcPr>
            <w:tcW w:w="920" w:type="dxa"/>
            <w:tcBorders>
              <w:top w:val="nil"/>
              <w:left w:val="nil"/>
              <w:bottom w:val="single" w:sz="4" w:space="0" w:color="ADD6EA"/>
              <w:right w:val="nil"/>
            </w:tcBorders>
            <w:shd w:val="clear" w:color="000000" w:fill="FFFFFF"/>
            <w:vAlign w:val="bottom"/>
            <w:hideMark/>
          </w:tcPr>
          <w:p w14:paraId="58F9E987" w14:textId="77777777" w:rsidR="003A5B9D" w:rsidRPr="003A5B9D" w:rsidRDefault="003A5B9D" w:rsidP="003A5B9D">
            <w:pPr>
              <w:tabs>
                <w:tab w:val="clear" w:pos="567"/>
              </w:tabs>
              <w:spacing w:before="0" w:line="240" w:lineRule="auto"/>
              <w:jc w:val="right"/>
              <w:rPr>
                <w:rFonts w:eastAsia="Times New Roman" w:cs="Open Sans Light"/>
                <w:sz w:val="16"/>
                <w:szCs w:val="16"/>
                <w:lang w:eastAsia="en-AU"/>
              </w:rPr>
            </w:pPr>
            <w:r w:rsidRPr="003A5B9D">
              <w:rPr>
                <w:rFonts w:eastAsia="Times New Roman" w:cs="Open Sans Light"/>
                <w:sz w:val="16"/>
                <w:szCs w:val="16"/>
                <w:lang w:eastAsia="en-AU"/>
              </w:rPr>
              <w:t xml:space="preserve">1,760 </w:t>
            </w:r>
          </w:p>
        </w:tc>
        <w:tc>
          <w:tcPr>
            <w:tcW w:w="777" w:type="dxa"/>
            <w:tcBorders>
              <w:top w:val="nil"/>
              <w:left w:val="nil"/>
              <w:bottom w:val="single" w:sz="4" w:space="0" w:color="ADD6EA"/>
              <w:right w:val="nil"/>
            </w:tcBorders>
            <w:shd w:val="clear" w:color="000000" w:fill="FFFFFF"/>
            <w:vAlign w:val="bottom"/>
            <w:hideMark/>
          </w:tcPr>
          <w:p w14:paraId="0680C1FA" w14:textId="77777777" w:rsidR="003A5B9D" w:rsidRPr="003A5B9D" w:rsidRDefault="003A5B9D" w:rsidP="003A5B9D">
            <w:pPr>
              <w:tabs>
                <w:tab w:val="clear" w:pos="567"/>
              </w:tabs>
              <w:spacing w:before="0" w:line="240" w:lineRule="auto"/>
              <w:jc w:val="right"/>
              <w:rPr>
                <w:rFonts w:eastAsia="Times New Roman" w:cs="Open Sans Light"/>
                <w:sz w:val="16"/>
                <w:szCs w:val="16"/>
                <w:lang w:eastAsia="en-AU"/>
              </w:rPr>
            </w:pPr>
            <w:r w:rsidRPr="003A5B9D">
              <w:rPr>
                <w:rFonts w:eastAsia="Times New Roman" w:cs="Open Sans Light"/>
                <w:sz w:val="16"/>
                <w:szCs w:val="16"/>
                <w:lang w:eastAsia="en-AU"/>
              </w:rPr>
              <w:t xml:space="preserve">1,384 </w:t>
            </w:r>
          </w:p>
        </w:tc>
        <w:tc>
          <w:tcPr>
            <w:tcW w:w="777" w:type="dxa"/>
            <w:tcBorders>
              <w:top w:val="nil"/>
              <w:left w:val="nil"/>
              <w:bottom w:val="single" w:sz="4" w:space="0" w:color="ADD6EA"/>
              <w:right w:val="nil"/>
            </w:tcBorders>
            <w:shd w:val="clear" w:color="000000" w:fill="FFFFFF"/>
            <w:vAlign w:val="bottom"/>
            <w:hideMark/>
          </w:tcPr>
          <w:p w14:paraId="149E56CF" w14:textId="77777777" w:rsidR="003A5B9D" w:rsidRPr="003A5B9D" w:rsidRDefault="003A5B9D" w:rsidP="003A5B9D">
            <w:pPr>
              <w:tabs>
                <w:tab w:val="clear" w:pos="567"/>
              </w:tabs>
              <w:spacing w:before="0" w:line="240" w:lineRule="auto"/>
              <w:jc w:val="right"/>
              <w:rPr>
                <w:rFonts w:eastAsia="Times New Roman" w:cs="Open Sans Light"/>
                <w:sz w:val="16"/>
                <w:szCs w:val="16"/>
                <w:lang w:eastAsia="en-AU"/>
              </w:rPr>
            </w:pPr>
            <w:r w:rsidRPr="003A5B9D">
              <w:rPr>
                <w:rFonts w:eastAsia="Times New Roman" w:cs="Open Sans Light"/>
                <w:sz w:val="16"/>
                <w:szCs w:val="16"/>
                <w:lang w:eastAsia="en-AU"/>
              </w:rPr>
              <w:t xml:space="preserve">1,131 </w:t>
            </w:r>
          </w:p>
        </w:tc>
        <w:tc>
          <w:tcPr>
            <w:tcW w:w="777" w:type="dxa"/>
            <w:tcBorders>
              <w:top w:val="nil"/>
              <w:left w:val="nil"/>
              <w:bottom w:val="single" w:sz="4" w:space="0" w:color="ADD6EA"/>
              <w:right w:val="nil"/>
            </w:tcBorders>
            <w:shd w:val="clear" w:color="000000" w:fill="FFFFFF"/>
            <w:vAlign w:val="bottom"/>
            <w:hideMark/>
          </w:tcPr>
          <w:p w14:paraId="19750583" w14:textId="77777777" w:rsidR="003A5B9D" w:rsidRPr="003A5B9D" w:rsidRDefault="003A5B9D" w:rsidP="003A5B9D">
            <w:pPr>
              <w:tabs>
                <w:tab w:val="clear" w:pos="567"/>
              </w:tabs>
              <w:spacing w:before="0" w:line="240" w:lineRule="auto"/>
              <w:jc w:val="right"/>
              <w:rPr>
                <w:rFonts w:eastAsia="Times New Roman" w:cs="Open Sans Light"/>
                <w:sz w:val="16"/>
                <w:szCs w:val="16"/>
                <w:lang w:eastAsia="en-AU"/>
              </w:rPr>
            </w:pPr>
            <w:r w:rsidRPr="003A5B9D">
              <w:rPr>
                <w:rFonts w:eastAsia="Times New Roman" w:cs="Open Sans Light"/>
                <w:sz w:val="16"/>
                <w:szCs w:val="16"/>
                <w:lang w:eastAsia="en-AU"/>
              </w:rPr>
              <w:t xml:space="preserve">574 </w:t>
            </w:r>
          </w:p>
        </w:tc>
        <w:tc>
          <w:tcPr>
            <w:tcW w:w="777" w:type="dxa"/>
            <w:tcBorders>
              <w:top w:val="nil"/>
              <w:left w:val="nil"/>
              <w:bottom w:val="single" w:sz="4" w:space="0" w:color="ADD6EA"/>
              <w:right w:val="nil"/>
            </w:tcBorders>
            <w:shd w:val="clear" w:color="000000" w:fill="FFFFFF"/>
            <w:vAlign w:val="bottom"/>
            <w:hideMark/>
          </w:tcPr>
          <w:p w14:paraId="396142EA" w14:textId="77777777" w:rsidR="003A5B9D" w:rsidRPr="003A5B9D" w:rsidRDefault="003A5B9D" w:rsidP="003A5B9D">
            <w:pPr>
              <w:tabs>
                <w:tab w:val="clear" w:pos="567"/>
              </w:tabs>
              <w:spacing w:before="0" w:line="240" w:lineRule="auto"/>
              <w:jc w:val="right"/>
              <w:rPr>
                <w:rFonts w:eastAsia="Times New Roman" w:cs="Open Sans Light"/>
                <w:sz w:val="16"/>
                <w:szCs w:val="16"/>
                <w:lang w:eastAsia="en-AU"/>
              </w:rPr>
            </w:pPr>
            <w:r w:rsidRPr="003A5B9D">
              <w:rPr>
                <w:rFonts w:eastAsia="Times New Roman" w:cs="Open Sans Light"/>
                <w:sz w:val="16"/>
                <w:szCs w:val="16"/>
                <w:lang w:eastAsia="en-AU"/>
              </w:rPr>
              <w:t xml:space="preserve">416 </w:t>
            </w:r>
          </w:p>
        </w:tc>
        <w:tc>
          <w:tcPr>
            <w:tcW w:w="777" w:type="dxa"/>
            <w:tcBorders>
              <w:top w:val="nil"/>
              <w:left w:val="nil"/>
              <w:bottom w:val="single" w:sz="4" w:space="0" w:color="ADD6EA"/>
              <w:right w:val="nil"/>
            </w:tcBorders>
            <w:shd w:val="clear" w:color="000000" w:fill="FFFFFF"/>
            <w:vAlign w:val="bottom"/>
            <w:hideMark/>
          </w:tcPr>
          <w:p w14:paraId="6350DA0E" w14:textId="77777777" w:rsidR="003A5B9D" w:rsidRPr="003A5B9D" w:rsidRDefault="003A5B9D" w:rsidP="003A5B9D">
            <w:pPr>
              <w:tabs>
                <w:tab w:val="clear" w:pos="567"/>
              </w:tabs>
              <w:spacing w:before="0" w:line="240" w:lineRule="auto"/>
              <w:jc w:val="right"/>
              <w:rPr>
                <w:rFonts w:eastAsia="Times New Roman" w:cs="Open Sans Light"/>
                <w:sz w:val="16"/>
                <w:szCs w:val="16"/>
                <w:lang w:eastAsia="en-AU"/>
              </w:rPr>
            </w:pPr>
            <w:r w:rsidRPr="003A5B9D">
              <w:rPr>
                <w:rFonts w:eastAsia="Times New Roman" w:cs="Open Sans Light"/>
                <w:sz w:val="16"/>
                <w:szCs w:val="16"/>
                <w:lang w:eastAsia="en-AU"/>
              </w:rPr>
              <w:t xml:space="preserve">127 </w:t>
            </w:r>
          </w:p>
        </w:tc>
        <w:tc>
          <w:tcPr>
            <w:tcW w:w="777" w:type="dxa"/>
            <w:tcBorders>
              <w:top w:val="nil"/>
              <w:left w:val="nil"/>
              <w:bottom w:val="single" w:sz="4" w:space="0" w:color="ADD6EA"/>
              <w:right w:val="nil"/>
            </w:tcBorders>
            <w:shd w:val="clear" w:color="000000" w:fill="FFFFFF"/>
            <w:vAlign w:val="bottom"/>
            <w:hideMark/>
          </w:tcPr>
          <w:p w14:paraId="2FCA3D21" w14:textId="77777777" w:rsidR="003A5B9D" w:rsidRPr="003A5B9D" w:rsidRDefault="003A5B9D" w:rsidP="003A5B9D">
            <w:pPr>
              <w:tabs>
                <w:tab w:val="clear" w:pos="567"/>
              </w:tabs>
              <w:spacing w:before="0" w:line="240" w:lineRule="auto"/>
              <w:jc w:val="right"/>
              <w:rPr>
                <w:rFonts w:eastAsia="Times New Roman" w:cs="Open Sans Light"/>
                <w:sz w:val="16"/>
                <w:szCs w:val="16"/>
                <w:lang w:eastAsia="en-AU"/>
              </w:rPr>
            </w:pPr>
            <w:r w:rsidRPr="003A5B9D">
              <w:rPr>
                <w:rFonts w:eastAsia="Times New Roman" w:cs="Open Sans Light"/>
                <w:sz w:val="16"/>
                <w:szCs w:val="16"/>
                <w:lang w:eastAsia="en-AU"/>
              </w:rPr>
              <w:t xml:space="preserve">79 </w:t>
            </w:r>
          </w:p>
        </w:tc>
        <w:tc>
          <w:tcPr>
            <w:tcW w:w="777" w:type="dxa"/>
            <w:tcBorders>
              <w:top w:val="nil"/>
              <w:left w:val="nil"/>
              <w:bottom w:val="single" w:sz="4" w:space="0" w:color="ADD6EA"/>
              <w:right w:val="nil"/>
            </w:tcBorders>
            <w:shd w:val="clear" w:color="000000" w:fill="FFFFFF"/>
            <w:vAlign w:val="bottom"/>
            <w:hideMark/>
          </w:tcPr>
          <w:p w14:paraId="7C97DFFE" w14:textId="77777777" w:rsidR="003A5B9D" w:rsidRPr="003A5B9D" w:rsidRDefault="003A5B9D" w:rsidP="003A5B9D">
            <w:pPr>
              <w:tabs>
                <w:tab w:val="clear" w:pos="567"/>
              </w:tabs>
              <w:spacing w:before="0" w:line="240" w:lineRule="auto"/>
              <w:jc w:val="right"/>
              <w:rPr>
                <w:rFonts w:eastAsia="Times New Roman" w:cs="Open Sans Light"/>
                <w:sz w:val="16"/>
                <w:szCs w:val="16"/>
                <w:lang w:eastAsia="en-AU"/>
              </w:rPr>
            </w:pPr>
            <w:r w:rsidRPr="003A5B9D">
              <w:rPr>
                <w:rFonts w:eastAsia="Times New Roman" w:cs="Open Sans Light"/>
                <w:sz w:val="16"/>
                <w:szCs w:val="16"/>
                <w:lang w:eastAsia="en-AU"/>
              </w:rPr>
              <w:t xml:space="preserve">66 </w:t>
            </w:r>
          </w:p>
        </w:tc>
        <w:tc>
          <w:tcPr>
            <w:tcW w:w="818" w:type="dxa"/>
            <w:tcBorders>
              <w:top w:val="nil"/>
              <w:left w:val="nil"/>
              <w:bottom w:val="single" w:sz="4" w:space="0" w:color="ADD6EA"/>
              <w:right w:val="nil"/>
            </w:tcBorders>
            <w:shd w:val="clear" w:color="000000" w:fill="FFFFFF"/>
            <w:vAlign w:val="bottom"/>
            <w:hideMark/>
          </w:tcPr>
          <w:p w14:paraId="69791EA3" w14:textId="77777777" w:rsidR="003A5B9D" w:rsidRPr="003A5B9D" w:rsidRDefault="003A5B9D" w:rsidP="003A5B9D">
            <w:pPr>
              <w:tabs>
                <w:tab w:val="clear" w:pos="567"/>
              </w:tabs>
              <w:spacing w:before="0" w:line="240" w:lineRule="auto"/>
              <w:jc w:val="right"/>
              <w:rPr>
                <w:rFonts w:eastAsia="Times New Roman" w:cs="Open Sans Light"/>
                <w:sz w:val="16"/>
                <w:szCs w:val="16"/>
                <w:lang w:eastAsia="en-AU"/>
              </w:rPr>
            </w:pPr>
            <w:r w:rsidRPr="003A5B9D">
              <w:rPr>
                <w:rFonts w:eastAsia="Times New Roman" w:cs="Open Sans Light"/>
                <w:sz w:val="16"/>
                <w:szCs w:val="16"/>
                <w:lang w:eastAsia="en-AU"/>
              </w:rPr>
              <w:t xml:space="preserve">5,535 </w:t>
            </w:r>
          </w:p>
        </w:tc>
      </w:tr>
      <w:tr w:rsidR="00A2124D" w:rsidRPr="003A5B9D" w14:paraId="2B51BEDC" w14:textId="77777777" w:rsidTr="00A2124D">
        <w:trPr>
          <w:trHeight w:val="300"/>
        </w:trPr>
        <w:tc>
          <w:tcPr>
            <w:tcW w:w="1843" w:type="dxa"/>
            <w:tcBorders>
              <w:top w:val="nil"/>
              <w:left w:val="nil"/>
              <w:bottom w:val="single" w:sz="4" w:space="0" w:color="ADD6EA"/>
              <w:right w:val="nil"/>
            </w:tcBorders>
            <w:shd w:val="clear" w:color="000000" w:fill="FFFFFF"/>
            <w:vAlign w:val="bottom"/>
            <w:hideMark/>
          </w:tcPr>
          <w:p w14:paraId="22478B60" w14:textId="77777777" w:rsidR="003A5B9D" w:rsidRPr="003A5B9D" w:rsidRDefault="003A5B9D" w:rsidP="003A5B9D">
            <w:pPr>
              <w:tabs>
                <w:tab w:val="clear" w:pos="567"/>
              </w:tabs>
              <w:spacing w:before="0" w:line="240" w:lineRule="auto"/>
              <w:rPr>
                <w:rFonts w:eastAsia="Times New Roman" w:cs="Open Sans Light"/>
                <w:sz w:val="16"/>
                <w:szCs w:val="16"/>
                <w:lang w:eastAsia="en-AU"/>
              </w:rPr>
            </w:pPr>
            <w:r w:rsidRPr="003A5B9D">
              <w:rPr>
                <w:rFonts w:eastAsia="Times New Roman" w:cs="Open Sans Light"/>
                <w:sz w:val="16"/>
                <w:szCs w:val="16"/>
                <w:lang w:eastAsia="en-AU"/>
              </w:rPr>
              <w:t>NAP proxy ($m)</w:t>
            </w:r>
          </w:p>
        </w:tc>
        <w:tc>
          <w:tcPr>
            <w:tcW w:w="920" w:type="dxa"/>
            <w:tcBorders>
              <w:top w:val="nil"/>
              <w:left w:val="nil"/>
              <w:bottom w:val="single" w:sz="4" w:space="0" w:color="ADD6EA"/>
              <w:right w:val="nil"/>
            </w:tcBorders>
            <w:shd w:val="clear" w:color="000000" w:fill="FFFFFF"/>
            <w:vAlign w:val="bottom"/>
            <w:hideMark/>
          </w:tcPr>
          <w:p w14:paraId="2DBA9B32" w14:textId="77777777" w:rsidR="003A5B9D" w:rsidRPr="003A5B9D" w:rsidRDefault="003A5B9D" w:rsidP="003A5B9D">
            <w:pPr>
              <w:tabs>
                <w:tab w:val="clear" w:pos="567"/>
              </w:tabs>
              <w:spacing w:before="0" w:line="240" w:lineRule="auto"/>
              <w:jc w:val="right"/>
              <w:rPr>
                <w:rFonts w:eastAsia="Times New Roman" w:cs="Open Sans Light"/>
                <w:sz w:val="16"/>
                <w:szCs w:val="16"/>
                <w:lang w:eastAsia="en-AU"/>
              </w:rPr>
            </w:pPr>
            <w:r w:rsidRPr="003A5B9D">
              <w:rPr>
                <w:rFonts w:eastAsia="Times New Roman" w:cs="Open Sans Light"/>
                <w:sz w:val="16"/>
                <w:szCs w:val="16"/>
                <w:lang w:eastAsia="en-AU"/>
              </w:rPr>
              <w:t xml:space="preserve">1,735 </w:t>
            </w:r>
          </w:p>
        </w:tc>
        <w:tc>
          <w:tcPr>
            <w:tcW w:w="777" w:type="dxa"/>
            <w:tcBorders>
              <w:top w:val="nil"/>
              <w:left w:val="nil"/>
              <w:bottom w:val="single" w:sz="4" w:space="0" w:color="ADD6EA"/>
              <w:right w:val="nil"/>
            </w:tcBorders>
            <w:shd w:val="clear" w:color="000000" w:fill="FFFFFF"/>
            <w:vAlign w:val="bottom"/>
            <w:hideMark/>
          </w:tcPr>
          <w:p w14:paraId="6AE0A547" w14:textId="77777777" w:rsidR="003A5B9D" w:rsidRPr="003A5B9D" w:rsidRDefault="003A5B9D" w:rsidP="003A5B9D">
            <w:pPr>
              <w:tabs>
                <w:tab w:val="clear" w:pos="567"/>
              </w:tabs>
              <w:spacing w:before="0" w:line="240" w:lineRule="auto"/>
              <w:jc w:val="right"/>
              <w:rPr>
                <w:rFonts w:eastAsia="Times New Roman" w:cs="Open Sans Light"/>
                <w:sz w:val="16"/>
                <w:szCs w:val="16"/>
                <w:lang w:eastAsia="en-AU"/>
              </w:rPr>
            </w:pPr>
            <w:r w:rsidRPr="003A5B9D">
              <w:rPr>
                <w:rFonts w:eastAsia="Times New Roman" w:cs="Open Sans Light"/>
                <w:sz w:val="16"/>
                <w:szCs w:val="16"/>
                <w:lang w:eastAsia="en-AU"/>
              </w:rPr>
              <w:t xml:space="preserve">1,336 </w:t>
            </w:r>
          </w:p>
        </w:tc>
        <w:tc>
          <w:tcPr>
            <w:tcW w:w="777" w:type="dxa"/>
            <w:tcBorders>
              <w:top w:val="nil"/>
              <w:left w:val="nil"/>
              <w:bottom w:val="single" w:sz="4" w:space="0" w:color="ADD6EA"/>
              <w:right w:val="nil"/>
            </w:tcBorders>
            <w:shd w:val="clear" w:color="000000" w:fill="FFFFFF"/>
            <w:vAlign w:val="bottom"/>
            <w:hideMark/>
          </w:tcPr>
          <w:p w14:paraId="47318602" w14:textId="77777777" w:rsidR="003A5B9D" w:rsidRPr="003A5B9D" w:rsidRDefault="003A5B9D" w:rsidP="003A5B9D">
            <w:pPr>
              <w:tabs>
                <w:tab w:val="clear" w:pos="567"/>
              </w:tabs>
              <w:spacing w:before="0" w:line="240" w:lineRule="auto"/>
              <w:jc w:val="right"/>
              <w:rPr>
                <w:rFonts w:eastAsia="Times New Roman" w:cs="Open Sans Light"/>
                <w:sz w:val="16"/>
                <w:szCs w:val="16"/>
                <w:lang w:eastAsia="en-AU"/>
              </w:rPr>
            </w:pPr>
            <w:r w:rsidRPr="003A5B9D">
              <w:rPr>
                <w:rFonts w:eastAsia="Times New Roman" w:cs="Open Sans Light"/>
                <w:sz w:val="16"/>
                <w:szCs w:val="16"/>
                <w:lang w:eastAsia="en-AU"/>
              </w:rPr>
              <w:t xml:space="preserve">1,150 </w:t>
            </w:r>
          </w:p>
        </w:tc>
        <w:tc>
          <w:tcPr>
            <w:tcW w:w="777" w:type="dxa"/>
            <w:tcBorders>
              <w:top w:val="nil"/>
              <w:left w:val="nil"/>
              <w:bottom w:val="single" w:sz="4" w:space="0" w:color="ADD6EA"/>
              <w:right w:val="nil"/>
            </w:tcBorders>
            <w:shd w:val="clear" w:color="000000" w:fill="FFFFFF"/>
            <w:vAlign w:val="bottom"/>
            <w:hideMark/>
          </w:tcPr>
          <w:p w14:paraId="51EEE63F" w14:textId="77777777" w:rsidR="003A5B9D" w:rsidRPr="003A5B9D" w:rsidRDefault="003A5B9D" w:rsidP="003A5B9D">
            <w:pPr>
              <w:tabs>
                <w:tab w:val="clear" w:pos="567"/>
              </w:tabs>
              <w:spacing w:before="0" w:line="240" w:lineRule="auto"/>
              <w:jc w:val="right"/>
              <w:rPr>
                <w:rFonts w:eastAsia="Times New Roman" w:cs="Open Sans Light"/>
                <w:sz w:val="16"/>
                <w:szCs w:val="16"/>
                <w:lang w:eastAsia="en-AU"/>
              </w:rPr>
            </w:pPr>
            <w:r w:rsidRPr="003A5B9D">
              <w:rPr>
                <w:rFonts w:eastAsia="Times New Roman" w:cs="Open Sans Light"/>
                <w:sz w:val="16"/>
                <w:szCs w:val="16"/>
                <w:lang w:eastAsia="en-AU"/>
              </w:rPr>
              <w:t xml:space="preserve">576 </w:t>
            </w:r>
          </w:p>
        </w:tc>
        <w:tc>
          <w:tcPr>
            <w:tcW w:w="777" w:type="dxa"/>
            <w:tcBorders>
              <w:top w:val="nil"/>
              <w:left w:val="nil"/>
              <w:bottom w:val="single" w:sz="4" w:space="0" w:color="ADD6EA"/>
              <w:right w:val="nil"/>
            </w:tcBorders>
            <w:shd w:val="clear" w:color="000000" w:fill="FFFFFF"/>
            <w:vAlign w:val="bottom"/>
            <w:hideMark/>
          </w:tcPr>
          <w:p w14:paraId="5503F1D3" w14:textId="77777777" w:rsidR="003A5B9D" w:rsidRPr="003A5B9D" w:rsidRDefault="003A5B9D" w:rsidP="003A5B9D">
            <w:pPr>
              <w:tabs>
                <w:tab w:val="clear" w:pos="567"/>
              </w:tabs>
              <w:spacing w:before="0" w:line="240" w:lineRule="auto"/>
              <w:jc w:val="right"/>
              <w:rPr>
                <w:rFonts w:eastAsia="Times New Roman" w:cs="Open Sans Light"/>
                <w:sz w:val="16"/>
                <w:szCs w:val="16"/>
                <w:lang w:eastAsia="en-AU"/>
              </w:rPr>
            </w:pPr>
            <w:r w:rsidRPr="003A5B9D">
              <w:rPr>
                <w:rFonts w:eastAsia="Times New Roman" w:cs="Open Sans Light"/>
                <w:sz w:val="16"/>
                <w:szCs w:val="16"/>
                <w:lang w:eastAsia="en-AU"/>
              </w:rPr>
              <w:t xml:space="preserve">418 </w:t>
            </w:r>
          </w:p>
        </w:tc>
        <w:tc>
          <w:tcPr>
            <w:tcW w:w="777" w:type="dxa"/>
            <w:tcBorders>
              <w:top w:val="nil"/>
              <w:left w:val="nil"/>
              <w:bottom w:val="single" w:sz="4" w:space="0" w:color="ADD6EA"/>
              <w:right w:val="nil"/>
            </w:tcBorders>
            <w:shd w:val="clear" w:color="000000" w:fill="FFFFFF"/>
            <w:vAlign w:val="bottom"/>
            <w:hideMark/>
          </w:tcPr>
          <w:p w14:paraId="13611DEC" w14:textId="77777777" w:rsidR="003A5B9D" w:rsidRPr="003A5B9D" w:rsidRDefault="003A5B9D" w:rsidP="003A5B9D">
            <w:pPr>
              <w:tabs>
                <w:tab w:val="clear" w:pos="567"/>
              </w:tabs>
              <w:spacing w:before="0" w:line="240" w:lineRule="auto"/>
              <w:jc w:val="right"/>
              <w:rPr>
                <w:rFonts w:eastAsia="Times New Roman" w:cs="Open Sans Light"/>
                <w:sz w:val="16"/>
                <w:szCs w:val="16"/>
                <w:lang w:eastAsia="en-AU"/>
              </w:rPr>
            </w:pPr>
            <w:r w:rsidRPr="003A5B9D">
              <w:rPr>
                <w:rFonts w:eastAsia="Times New Roman" w:cs="Open Sans Light"/>
                <w:sz w:val="16"/>
                <w:szCs w:val="16"/>
                <w:lang w:eastAsia="en-AU"/>
              </w:rPr>
              <w:t xml:space="preserve">143 </w:t>
            </w:r>
          </w:p>
        </w:tc>
        <w:tc>
          <w:tcPr>
            <w:tcW w:w="777" w:type="dxa"/>
            <w:tcBorders>
              <w:top w:val="nil"/>
              <w:left w:val="nil"/>
              <w:bottom w:val="single" w:sz="4" w:space="0" w:color="ADD6EA"/>
              <w:right w:val="nil"/>
            </w:tcBorders>
            <w:shd w:val="clear" w:color="000000" w:fill="FFFFFF"/>
            <w:vAlign w:val="bottom"/>
            <w:hideMark/>
          </w:tcPr>
          <w:p w14:paraId="0FC59A4A" w14:textId="77777777" w:rsidR="003A5B9D" w:rsidRPr="003A5B9D" w:rsidRDefault="003A5B9D" w:rsidP="003A5B9D">
            <w:pPr>
              <w:tabs>
                <w:tab w:val="clear" w:pos="567"/>
              </w:tabs>
              <w:spacing w:before="0" w:line="240" w:lineRule="auto"/>
              <w:jc w:val="right"/>
              <w:rPr>
                <w:rFonts w:eastAsia="Times New Roman" w:cs="Open Sans Light"/>
                <w:sz w:val="16"/>
                <w:szCs w:val="16"/>
                <w:lang w:eastAsia="en-AU"/>
              </w:rPr>
            </w:pPr>
            <w:r w:rsidRPr="003A5B9D">
              <w:rPr>
                <w:rFonts w:eastAsia="Times New Roman" w:cs="Open Sans Light"/>
                <w:sz w:val="16"/>
                <w:szCs w:val="16"/>
                <w:lang w:eastAsia="en-AU"/>
              </w:rPr>
              <w:t xml:space="preserve">70 </w:t>
            </w:r>
          </w:p>
        </w:tc>
        <w:tc>
          <w:tcPr>
            <w:tcW w:w="777" w:type="dxa"/>
            <w:tcBorders>
              <w:top w:val="nil"/>
              <w:left w:val="nil"/>
              <w:bottom w:val="single" w:sz="4" w:space="0" w:color="ADD6EA"/>
              <w:right w:val="nil"/>
            </w:tcBorders>
            <w:shd w:val="clear" w:color="000000" w:fill="FFFFFF"/>
            <w:vAlign w:val="bottom"/>
            <w:hideMark/>
          </w:tcPr>
          <w:p w14:paraId="2ABCBB29" w14:textId="77777777" w:rsidR="003A5B9D" w:rsidRPr="003A5B9D" w:rsidRDefault="003A5B9D" w:rsidP="003A5B9D">
            <w:pPr>
              <w:tabs>
                <w:tab w:val="clear" w:pos="567"/>
              </w:tabs>
              <w:spacing w:before="0" w:line="240" w:lineRule="auto"/>
              <w:jc w:val="right"/>
              <w:rPr>
                <w:rFonts w:eastAsia="Times New Roman" w:cs="Open Sans Light"/>
                <w:sz w:val="16"/>
                <w:szCs w:val="16"/>
                <w:lang w:eastAsia="en-AU"/>
              </w:rPr>
            </w:pPr>
            <w:r w:rsidRPr="003A5B9D">
              <w:rPr>
                <w:rFonts w:eastAsia="Times New Roman" w:cs="Open Sans Light"/>
                <w:sz w:val="16"/>
                <w:szCs w:val="16"/>
                <w:lang w:eastAsia="en-AU"/>
              </w:rPr>
              <w:t xml:space="preserve">108 </w:t>
            </w:r>
          </w:p>
        </w:tc>
        <w:tc>
          <w:tcPr>
            <w:tcW w:w="818" w:type="dxa"/>
            <w:tcBorders>
              <w:top w:val="nil"/>
              <w:left w:val="nil"/>
              <w:bottom w:val="single" w:sz="4" w:space="0" w:color="ADD6EA"/>
              <w:right w:val="nil"/>
            </w:tcBorders>
            <w:shd w:val="clear" w:color="000000" w:fill="FFFFFF"/>
            <w:vAlign w:val="bottom"/>
            <w:hideMark/>
          </w:tcPr>
          <w:p w14:paraId="2564E92A" w14:textId="77777777" w:rsidR="003A5B9D" w:rsidRPr="003A5B9D" w:rsidRDefault="003A5B9D" w:rsidP="003A5B9D">
            <w:pPr>
              <w:tabs>
                <w:tab w:val="clear" w:pos="567"/>
              </w:tabs>
              <w:spacing w:before="0" w:line="240" w:lineRule="auto"/>
              <w:jc w:val="right"/>
              <w:rPr>
                <w:rFonts w:eastAsia="Times New Roman" w:cs="Open Sans Light"/>
                <w:sz w:val="16"/>
                <w:szCs w:val="16"/>
                <w:lang w:eastAsia="en-AU"/>
              </w:rPr>
            </w:pPr>
            <w:r w:rsidRPr="003A5B9D">
              <w:rPr>
                <w:rFonts w:eastAsia="Times New Roman" w:cs="Open Sans Light"/>
                <w:sz w:val="16"/>
                <w:szCs w:val="16"/>
                <w:lang w:eastAsia="en-AU"/>
              </w:rPr>
              <w:t xml:space="preserve">5,535 </w:t>
            </w:r>
          </w:p>
        </w:tc>
      </w:tr>
      <w:tr w:rsidR="00A2124D" w:rsidRPr="003A5B9D" w14:paraId="6199F40A" w14:textId="77777777" w:rsidTr="00A2124D">
        <w:trPr>
          <w:trHeight w:val="300"/>
        </w:trPr>
        <w:tc>
          <w:tcPr>
            <w:tcW w:w="1843" w:type="dxa"/>
            <w:tcBorders>
              <w:top w:val="nil"/>
              <w:left w:val="nil"/>
              <w:bottom w:val="single" w:sz="4" w:space="0" w:color="ADD6EA"/>
              <w:right w:val="nil"/>
            </w:tcBorders>
            <w:shd w:val="clear" w:color="000000" w:fill="FFFFFF"/>
            <w:vAlign w:val="bottom"/>
            <w:hideMark/>
          </w:tcPr>
          <w:p w14:paraId="7A13C626" w14:textId="77777777" w:rsidR="003A5B9D" w:rsidRPr="003A5B9D" w:rsidRDefault="003A5B9D" w:rsidP="003A5B9D">
            <w:pPr>
              <w:tabs>
                <w:tab w:val="clear" w:pos="567"/>
              </w:tabs>
              <w:spacing w:before="0" w:line="240" w:lineRule="auto"/>
              <w:rPr>
                <w:rFonts w:eastAsia="Times New Roman" w:cs="Open Sans Light"/>
                <w:sz w:val="16"/>
                <w:szCs w:val="16"/>
                <w:lang w:eastAsia="en-AU"/>
              </w:rPr>
            </w:pPr>
            <w:r w:rsidRPr="003A5B9D">
              <w:rPr>
                <w:rFonts w:eastAsia="Times New Roman" w:cs="Open Sans Light"/>
                <w:sz w:val="16"/>
                <w:szCs w:val="16"/>
                <w:lang w:eastAsia="en-AU"/>
              </w:rPr>
              <w:t>Difference ($m)</w:t>
            </w:r>
          </w:p>
        </w:tc>
        <w:tc>
          <w:tcPr>
            <w:tcW w:w="920" w:type="dxa"/>
            <w:tcBorders>
              <w:top w:val="nil"/>
              <w:left w:val="nil"/>
              <w:bottom w:val="single" w:sz="4" w:space="0" w:color="ADD6EA"/>
              <w:right w:val="nil"/>
            </w:tcBorders>
            <w:shd w:val="clear" w:color="000000" w:fill="FFFFFF"/>
            <w:vAlign w:val="bottom"/>
            <w:hideMark/>
          </w:tcPr>
          <w:p w14:paraId="63A5A3E7" w14:textId="77777777" w:rsidR="003A5B9D" w:rsidRPr="003A5B9D" w:rsidRDefault="003A5B9D" w:rsidP="003A5B9D">
            <w:pPr>
              <w:tabs>
                <w:tab w:val="clear" w:pos="567"/>
              </w:tabs>
              <w:spacing w:before="0" w:line="240" w:lineRule="auto"/>
              <w:jc w:val="right"/>
              <w:rPr>
                <w:rFonts w:eastAsia="Times New Roman" w:cs="Open Sans Light"/>
                <w:sz w:val="16"/>
                <w:szCs w:val="16"/>
                <w:lang w:eastAsia="en-AU"/>
              </w:rPr>
            </w:pPr>
            <w:r w:rsidRPr="003A5B9D">
              <w:rPr>
                <w:rFonts w:eastAsia="Times New Roman" w:cs="Open Sans Light"/>
                <w:sz w:val="16"/>
                <w:szCs w:val="16"/>
                <w:lang w:eastAsia="en-AU"/>
              </w:rPr>
              <w:t xml:space="preserve">25 </w:t>
            </w:r>
          </w:p>
        </w:tc>
        <w:tc>
          <w:tcPr>
            <w:tcW w:w="777" w:type="dxa"/>
            <w:tcBorders>
              <w:top w:val="nil"/>
              <w:left w:val="nil"/>
              <w:bottom w:val="single" w:sz="4" w:space="0" w:color="ADD6EA"/>
              <w:right w:val="nil"/>
            </w:tcBorders>
            <w:shd w:val="clear" w:color="000000" w:fill="FFFFFF"/>
            <w:vAlign w:val="bottom"/>
            <w:hideMark/>
          </w:tcPr>
          <w:p w14:paraId="648DB7BF" w14:textId="77777777" w:rsidR="003A5B9D" w:rsidRPr="003A5B9D" w:rsidRDefault="003A5B9D" w:rsidP="003A5B9D">
            <w:pPr>
              <w:tabs>
                <w:tab w:val="clear" w:pos="567"/>
              </w:tabs>
              <w:spacing w:before="0" w:line="240" w:lineRule="auto"/>
              <w:jc w:val="right"/>
              <w:rPr>
                <w:rFonts w:eastAsia="Times New Roman" w:cs="Open Sans Light"/>
                <w:sz w:val="16"/>
                <w:szCs w:val="16"/>
                <w:lang w:eastAsia="en-AU"/>
              </w:rPr>
            </w:pPr>
            <w:r w:rsidRPr="003A5B9D">
              <w:rPr>
                <w:rFonts w:eastAsia="Times New Roman" w:cs="Open Sans Light"/>
                <w:sz w:val="16"/>
                <w:szCs w:val="16"/>
                <w:lang w:eastAsia="en-AU"/>
              </w:rPr>
              <w:t xml:space="preserve">48 </w:t>
            </w:r>
          </w:p>
        </w:tc>
        <w:tc>
          <w:tcPr>
            <w:tcW w:w="777" w:type="dxa"/>
            <w:tcBorders>
              <w:top w:val="nil"/>
              <w:left w:val="nil"/>
              <w:bottom w:val="single" w:sz="4" w:space="0" w:color="ADD6EA"/>
              <w:right w:val="nil"/>
            </w:tcBorders>
            <w:shd w:val="clear" w:color="000000" w:fill="FFFFFF"/>
            <w:vAlign w:val="bottom"/>
            <w:hideMark/>
          </w:tcPr>
          <w:p w14:paraId="2BCF0AA1" w14:textId="77777777" w:rsidR="003A5B9D" w:rsidRPr="003A5B9D" w:rsidRDefault="003A5B9D" w:rsidP="003A5B9D">
            <w:pPr>
              <w:tabs>
                <w:tab w:val="clear" w:pos="567"/>
              </w:tabs>
              <w:spacing w:before="0" w:line="240" w:lineRule="auto"/>
              <w:jc w:val="right"/>
              <w:rPr>
                <w:rFonts w:eastAsia="Times New Roman" w:cs="Open Sans Light"/>
                <w:sz w:val="16"/>
                <w:szCs w:val="16"/>
                <w:lang w:eastAsia="en-AU"/>
              </w:rPr>
            </w:pPr>
            <w:r w:rsidRPr="003A5B9D">
              <w:rPr>
                <w:rFonts w:eastAsia="Times New Roman" w:cs="Open Sans Light"/>
                <w:sz w:val="16"/>
                <w:szCs w:val="16"/>
                <w:lang w:eastAsia="en-AU"/>
              </w:rPr>
              <w:t xml:space="preserve">-19 </w:t>
            </w:r>
          </w:p>
        </w:tc>
        <w:tc>
          <w:tcPr>
            <w:tcW w:w="777" w:type="dxa"/>
            <w:tcBorders>
              <w:top w:val="nil"/>
              <w:left w:val="nil"/>
              <w:bottom w:val="single" w:sz="4" w:space="0" w:color="ADD6EA"/>
              <w:right w:val="nil"/>
            </w:tcBorders>
            <w:shd w:val="clear" w:color="000000" w:fill="FFFFFF"/>
            <w:vAlign w:val="bottom"/>
            <w:hideMark/>
          </w:tcPr>
          <w:p w14:paraId="40D7A013" w14:textId="77777777" w:rsidR="003A5B9D" w:rsidRPr="003A5B9D" w:rsidRDefault="003A5B9D" w:rsidP="003A5B9D">
            <w:pPr>
              <w:tabs>
                <w:tab w:val="clear" w:pos="567"/>
              </w:tabs>
              <w:spacing w:before="0" w:line="240" w:lineRule="auto"/>
              <w:jc w:val="right"/>
              <w:rPr>
                <w:rFonts w:eastAsia="Times New Roman" w:cs="Open Sans Light"/>
                <w:sz w:val="16"/>
                <w:szCs w:val="16"/>
                <w:lang w:eastAsia="en-AU"/>
              </w:rPr>
            </w:pPr>
            <w:r w:rsidRPr="003A5B9D">
              <w:rPr>
                <w:rFonts w:eastAsia="Times New Roman" w:cs="Open Sans Light"/>
                <w:sz w:val="16"/>
                <w:szCs w:val="16"/>
                <w:lang w:eastAsia="en-AU"/>
              </w:rPr>
              <w:t xml:space="preserve">-2 </w:t>
            </w:r>
          </w:p>
        </w:tc>
        <w:tc>
          <w:tcPr>
            <w:tcW w:w="777" w:type="dxa"/>
            <w:tcBorders>
              <w:top w:val="nil"/>
              <w:left w:val="nil"/>
              <w:bottom w:val="single" w:sz="4" w:space="0" w:color="ADD6EA"/>
              <w:right w:val="nil"/>
            </w:tcBorders>
            <w:shd w:val="clear" w:color="000000" w:fill="FFFFFF"/>
            <w:vAlign w:val="bottom"/>
            <w:hideMark/>
          </w:tcPr>
          <w:p w14:paraId="2B24CDB9" w14:textId="77777777" w:rsidR="003A5B9D" w:rsidRPr="003A5B9D" w:rsidRDefault="003A5B9D" w:rsidP="003A5B9D">
            <w:pPr>
              <w:tabs>
                <w:tab w:val="clear" w:pos="567"/>
              </w:tabs>
              <w:spacing w:before="0" w:line="240" w:lineRule="auto"/>
              <w:jc w:val="right"/>
              <w:rPr>
                <w:rFonts w:eastAsia="Times New Roman" w:cs="Open Sans Light"/>
                <w:sz w:val="16"/>
                <w:szCs w:val="16"/>
                <w:lang w:eastAsia="en-AU"/>
              </w:rPr>
            </w:pPr>
            <w:r w:rsidRPr="003A5B9D">
              <w:rPr>
                <w:rFonts w:eastAsia="Times New Roman" w:cs="Open Sans Light"/>
                <w:sz w:val="16"/>
                <w:szCs w:val="16"/>
                <w:lang w:eastAsia="en-AU"/>
              </w:rPr>
              <w:t xml:space="preserve">-2 </w:t>
            </w:r>
          </w:p>
        </w:tc>
        <w:tc>
          <w:tcPr>
            <w:tcW w:w="777" w:type="dxa"/>
            <w:tcBorders>
              <w:top w:val="nil"/>
              <w:left w:val="nil"/>
              <w:bottom w:val="single" w:sz="4" w:space="0" w:color="ADD6EA"/>
              <w:right w:val="nil"/>
            </w:tcBorders>
            <w:shd w:val="clear" w:color="000000" w:fill="FFFFFF"/>
            <w:vAlign w:val="bottom"/>
            <w:hideMark/>
          </w:tcPr>
          <w:p w14:paraId="3DF4FD5C" w14:textId="77777777" w:rsidR="003A5B9D" w:rsidRPr="003A5B9D" w:rsidRDefault="003A5B9D" w:rsidP="003A5B9D">
            <w:pPr>
              <w:tabs>
                <w:tab w:val="clear" w:pos="567"/>
              </w:tabs>
              <w:spacing w:before="0" w:line="240" w:lineRule="auto"/>
              <w:jc w:val="right"/>
              <w:rPr>
                <w:rFonts w:eastAsia="Times New Roman" w:cs="Open Sans Light"/>
                <w:sz w:val="16"/>
                <w:szCs w:val="16"/>
                <w:lang w:eastAsia="en-AU"/>
              </w:rPr>
            </w:pPr>
            <w:r w:rsidRPr="003A5B9D">
              <w:rPr>
                <w:rFonts w:eastAsia="Times New Roman" w:cs="Open Sans Light"/>
                <w:sz w:val="16"/>
                <w:szCs w:val="16"/>
                <w:lang w:eastAsia="en-AU"/>
              </w:rPr>
              <w:t xml:space="preserve">-17 </w:t>
            </w:r>
          </w:p>
        </w:tc>
        <w:tc>
          <w:tcPr>
            <w:tcW w:w="777" w:type="dxa"/>
            <w:tcBorders>
              <w:top w:val="nil"/>
              <w:left w:val="nil"/>
              <w:bottom w:val="single" w:sz="4" w:space="0" w:color="ADD6EA"/>
              <w:right w:val="nil"/>
            </w:tcBorders>
            <w:shd w:val="clear" w:color="000000" w:fill="FFFFFF"/>
            <w:vAlign w:val="bottom"/>
            <w:hideMark/>
          </w:tcPr>
          <w:p w14:paraId="7AA89360" w14:textId="77777777" w:rsidR="003A5B9D" w:rsidRPr="003A5B9D" w:rsidRDefault="003A5B9D" w:rsidP="003A5B9D">
            <w:pPr>
              <w:tabs>
                <w:tab w:val="clear" w:pos="567"/>
              </w:tabs>
              <w:spacing w:before="0" w:line="240" w:lineRule="auto"/>
              <w:jc w:val="right"/>
              <w:rPr>
                <w:rFonts w:eastAsia="Times New Roman" w:cs="Open Sans Light"/>
                <w:sz w:val="16"/>
                <w:szCs w:val="16"/>
                <w:lang w:eastAsia="en-AU"/>
              </w:rPr>
            </w:pPr>
            <w:r w:rsidRPr="003A5B9D">
              <w:rPr>
                <w:rFonts w:eastAsia="Times New Roman" w:cs="Open Sans Light"/>
                <w:sz w:val="16"/>
                <w:szCs w:val="16"/>
                <w:lang w:eastAsia="en-AU"/>
              </w:rPr>
              <w:t xml:space="preserve">9 </w:t>
            </w:r>
          </w:p>
        </w:tc>
        <w:tc>
          <w:tcPr>
            <w:tcW w:w="777" w:type="dxa"/>
            <w:tcBorders>
              <w:top w:val="nil"/>
              <w:left w:val="nil"/>
              <w:bottom w:val="single" w:sz="4" w:space="0" w:color="ADD6EA"/>
              <w:right w:val="nil"/>
            </w:tcBorders>
            <w:shd w:val="clear" w:color="000000" w:fill="FFFFFF"/>
            <w:vAlign w:val="bottom"/>
            <w:hideMark/>
          </w:tcPr>
          <w:p w14:paraId="302ACBBA" w14:textId="77777777" w:rsidR="003A5B9D" w:rsidRPr="003A5B9D" w:rsidRDefault="003A5B9D" w:rsidP="003A5B9D">
            <w:pPr>
              <w:tabs>
                <w:tab w:val="clear" w:pos="567"/>
              </w:tabs>
              <w:spacing w:before="0" w:line="240" w:lineRule="auto"/>
              <w:jc w:val="right"/>
              <w:rPr>
                <w:rFonts w:eastAsia="Times New Roman" w:cs="Open Sans Light"/>
                <w:sz w:val="16"/>
                <w:szCs w:val="16"/>
                <w:lang w:eastAsia="en-AU"/>
              </w:rPr>
            </w:pPr>
            <w:r w:rsidRPr="003A5B9D">
              <w:rPr>
                <w:rFonts w:eastAsia="Times New Roman" w:cs="Open Sans Light"/>
                <w:sz w:val="16"/>
                <w:szCs w:val="16"/>
                <w:lang w:eastAsia="en-AU"/>
              </w:rPr>
              <w:t xml:space="preserve">-42 </w:t>
            </w:r>
          </w:p>
        </w:tc>
        <w:tc>
          <w:tcPr>
            <w:tcW w:w="818" w:type="dxa"/>
            <w:tcBorders>
              <w:top w:val="nil"/>
              <w:left w:val="nil"/>
              <w:bottom w:val="single" w:sz="4" w:space="0" w:color="ADD6EA"/>
              <w:right w:val="nil"/>
            </w:tcBorders>
            <w:shd w:val="clear" w:color="000000" w:fill="FFFFFF"/>
            <w:vAlign w:val="bottom"/>
            <w:hideMark/>
          </w:tcPr>
          <w:p w14:paraId="74D6702A" w14:textId="5B8DDB41" w:rsidR="003A5B9D" w:rsidRPr="003A5B9D" w:rsidRDefault="003A5B9D" w:rsidP="003A5B9D">
            <w:pPr>
              <w:tabs>
                <w:tab w:val="clear" w:pos="567"/>
              </w:tabs>
              <w:spacing w:before="0" w:line="240" w:lineRule="auto"/>
              <w:jc w:val="right"/>
              <w:rPr>
                <w:rFonts w:eastAsia="Times New Roman" w:cs="Open Sans Light"/>
                <w:sz w:val="16"/>
                <w:szCs w:val="16"/>
                <w:lang w:eastAsia="en-AU"/>
              </w:rPr>
            </w:pPr>
            <w:r w:rsidRPr="003A5B9D">
              <w:rPr>
                <w:rFonts w:eastAsia="Times New Roman" w:cs="Open Sans Light"/>
                <w:sz w:val="16"/>
                <w:szCs w:val="16"/>
                <w:lang w:eastAsia="en-AU"/>
              </w:rPr>
              <w:t xml:space="preserve">0 </w:t>
            </w:r>
          </w:p>
        </w:tc>
      </w:tr>
      <w:tr w:rsidR="00A2124D" w:rsidRPr="003A5B9D" w14:paraId="146171D0" w14:textId="77777777" w:rsidTr="00A2124D">
        <w:trPr>
          <w:trHeight w:val="300"/>
        </w:trPr>
        <w:tc>
          <w:tcPr>
            <w:tcW w:w="1843" w:type="dxa"/>
            <w:tcBorders>
              <w:top w:val="nil"/>
              <w:left w:val="nil"/>
              <w:bottom w:val="single" w:sz="4" w:space="0" w:color="ADD6EA"/>
              <w:right w:val="nil"/>
            </w:tcBorders>
            <w:shd w:val="clear" w:color="000000" w:fill="D6E7F0"/>
            <w:vAlign w:val="bottom"/>
            <w:hideMark/>
          </w:tcPr>
          <w:p w14:paraId="6A341C57" w14:textId="77777777" w:rsidR="003A5B9D" w:rsidRPr="003A5B9D" w:rsidRDefault="003A5B9D" w:rsidP="003A5B9D">
            <w:pPr>
              <w:tabs>
                <w:tab w:val="clear" w:pos="567"/>
              </w:tabs>
              <w:spacing w:before="0" w:line="240" w:lineRule="auto"/>
              <w:rPr>
                <w:rFonts w:ascii="Open Sans Semibold" w:eastAsia="Times New Roman" w:hAnsi="Open Sans Semibold" w:cs="Open Sans Semibold"/>
                <w:color w:val="000000"/>
                <w:sz w:val="16"/>
                <w:szCs w:val="16"/>
                <w:lang w:eastAsia="en-AU"/>
              </w:rPr>
            </w:pPr>
            <w:r w:rsidRPr="003A5B9D">
              <w:rPr>
                <w:rFonts w:ascii="Open Sans Semibold" w:eastAsia="Times New Roman" w:hAnsi="Open Sans Semibold" w:cs="Open Sans Semibold"/>
                <w:color w:val="000000"/>
                <w:sz w:val="16"/>
                <w:szCs w:val="16"/>
                <w:lang w:eastAsia="en-AU"/>
              </w:rPr>
              <w:t>Difference ($pc)</w:t>
            </w:r>
          </w:p>
        </w:tc>
        <w:tc>
          <w:tcPr>
            <w:tcW w:w="920" w:type="dxa"/>
            <w:tcBorders>
              <w:top w:val="nil"/>
              <w:left w:val="nil"/>
              <w:bottom w:val="single" w:sz="4" w:space="0" w:color="ADD6EA"/>
              <w:right w:val="nil"/>
            </w:tcBorders>
            <w:shd w:val="clear" w:color="000000" w:fill="D6E7F0"/>
            <w:vAlign w:val="bottom"/>
            <w:hideMark/>
          </w:tcPr>
          <w:p w14:paraId="6C302758" w14:textId="77777777" w:rsidR="003A5B9D" w:rsidRPr="003A5B9D" w:rsidRDefault="003A5B9D" w:rsidP="003A5B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A5B9D">
              <w:rPr>
                <w:rFonts w:ascii="Open Sans Semibold" w:eastAsia="Times New Roman" w:hAnsi="Open Sans Semibold" w:cs="Open Sans Semibold"/>
                <w:color w:val="000000"/>
                <w:sz w:val="16"/>
                <w:szCs w:val="16"/>
                <w:lang w:eastAsia="en-AU"/>
              </w:rPr>
              <w:t xml:space="preserve">3 </w:t>
            </w:r>
          </w:p>
        </w:tc>
        <w:tc>
          <w:tcPr>
            <w:tcW w:w="777" w:type="dxa"/>
            <w:tcBorders>
              <w:top w:val="nil"/>
              <w:left w:val="nil"/>
              <w:bottom w:val="single" w:sz="4" w:space="0" w:color="ADD6EA"/>
              <w:right w:val="nil"/>
            </w:tcBorders>
            <w:shd w:val="clear" w:color="000000" w:fill="D6E7F0"/>
            <w:vAlign w:val="bottom"/>
            <w:hideMark/>
          </w:tcPr>
          <w:p w14:paraId="0E6250D6" w14:textId="77777777" w:rsidR="003A5B9D" w:rsidRPr="003A5B9D" w:rsidRDefault="003A5B9D" w:rsidP="003A5B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A5B9D">
              <w:rPr>
                <w:rFonts w:ascii="Open Sans Semibold" w:eastAsia="Times New Roman" w:hAnsi="Open Sans Semibold" w:cs="Open Sans Semibold"/>
                <w:color w:val="000000"/>
                <w:sz w:val="16"/>
                <w:szCs w:val="16"/>
                <w:lang w:eastAsia="en-AU"/>
              </w:rPr>
              <w:t xml:space="preserve">7 </w:t>
            </w:r>
          </w:p>
        </w:tc>
        <w:tc>
          <w:tcPr>
            <w:tcW w:w="777" w:type="dxa"/>
            <w:tcBorders>
              <w:top w:val="nil"/>
              <w:left w:val="nil"/>
              <w:bottom w:val="single" w:sz="4" w:space="0" w:color="ADD6EA"/>
              <w:right w:val="nil"/>
            </w:tcBorders>
            <w:shd w:val="clear" w:color="000000" w:fill="D6E7F0"/>
            <w:vAlign w:val="bottom"/>
            <w:hideMark/>
          </w:tcPr>
          <w:p w14:paraId="6CC3CA93" w14:textId="77777777" w:rsidR="003A5B9D" w:rsidRPr="003A5B9D" w:rsidRDefault="003A5B9D" w:rsidP="003A5B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A5B9D">
              <w:rPr>
                <w:rFonts w:ascii="Open Sans Semibold" w:eastAsia="Times New Roman" w:hAnsi="Open Sans Semibold" w:cs="Open Sans Semibold"/>
                <w:color w:val="000000"/>
                <w:sz w:val="16"/>
                <w:szCs w:val="16"/>
                <w:lang w:eastAsia="en-AU"/>
              </w:rPr>
              <w:t xml:space="preserve">-4 </w:t>
            </w:r>
          </w:p>
        </w:tc>
        <w:tc>
          <w:tcPr>
            <w:tcW w:w="777" w:type="dxa"/>
            <w:tcBorders>
              <w:top w:val="nil"/>
              <w:left w:val="nil"/>
              <w:bottom w:val="single" w:sz="4" w:space="0" w:color="ADD6EA"/>
              <w:right w:val="nil"/>
            </w:tcBorders>
            <w:shd w:val="clear" w:color="000000" w:fill="D6E7F0"/>
            <w:vAlign w:val="bottom"/>
            <w:hideMark/>
          </w:tcPr>
          <w:p w14:paraId="2E3F6962" w14:textId="77777777" w:rsidR="003A5B9D" w:rsidRPr="003A5B9D" w:rsidRDefault="003A5B9D" w:rsidP="003A5B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A5B9D">
              <w:rPr>
                <w:rFonts w:ascii="Open Sans Semibold" w:eastAsia="Times New Roman" w:hAnsi="Open Sans Semibold" w:cs="Open Sans Semibold"/>
                <w:color w:val="000000"/>
                <w:sz w:val="16"/>
                <w:szCs w:val="16"/>
                <w:lang w:eastAsia="en-AU"/>
              </w:rPr>
              <w:t xml:space="preserve">-1 </w:t>
            </w:r>
          </w:p>
        </w:tc>
        <w:tc>
          <w:tcPr>
            <w:tcW w:w="777" w:type="dxa"/>
            <w:tcBorders>
              <w:top w:val="nil"/>
              <w:left w:val="nil"/>
              <w:bottom w:val="single" w:sz="4" w:space="0" w:color="ADD6EA"/>
              <w:right w:val="nil"/>
            </w:tcBorders>
            <w:shd w:val="clear" w:color="000000" w:fill="D6E7F0"/>
            <w:vAlign w:val="bottom"/>
            <w:hideMark/>
          </w:tcPr>
          <w:p w14:paraId="51BA915E" w14:textId="77777777" w:rsidR="003A5B9D" w:rsidRPr="003A5B9D" w:rsidRDefault="003A5B9D" w:rsidP="003A5B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A5B9D">
              <w:rPr>
                <w:rFonts w:ascii="Open Sans Semibold" w:eastAsia="Times New Roman" w:hAnsi="Open Sans Semibold" w:cs="Open Sans Semibold"/>
                <w:color w:val="000000"/>
                <w:sz w:val="16"/>
                <w:szCs w:val="16"/>
                <w:lang w:eastAsia="en-AU"/>
              </w:rPr>
              <w:t xml:space="preserve">-1 </w:t>
            </w:r>
          </w:p>
        </w:tc>
        <w:tc>
          <w:tcPr>
            <w:tcW w:w="777" w:type="dxa"/>
            <w:tcBorders>
              <w:top w:val="nil"/>
              <w:left w:val="nil"/>
              <w:bottom w:val="single" w:sz="4" w:space="0" w:color="ADD6EA"/>
              <w:right w:val="nil"/>
            </w:tcBorders>
            <w:shd w:val="clear" w:color="000000" w:fill="D6E7F0"/>
            <w:vAlign w:val="bottom"/>
            <w:hideMark/>
          </w:tcPr>
          <w:p w14:paraId="7D67A8E6" w14:textId="77777777" w:rsidR="003A5B9D" w:rsidRPr="003A5B9D" w:rsidRDefault="003A5B9D" w:rsidP="003A5B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A5B9D">
              <w:rPr>
                <w:rFonts w:ascii="Open Sans Semibold" w:eastAsia="Times New Roman" w:hAnsi="Open Sans Semibold" w:cs="Open Sans Semibold"/>
                <w:color w:val="000000"/>
                <w:sz w:val="16"/>
                <w:szCs w:val="16"/>
                <w:lang w:eastAsia="en-AU"/>
              </w:rPr>
              <w:t xml:space="preserve">-31 </w:t>
            </w:r>
          </w:p>
        </w:tc>
        <w:tc>
          <w:tcPr>
            <w:tcW w:w="777" w:type="dxa"/>
            <w:tcBorders>
              <w:top w:val="nil"/>
              <w:left w:val="nil"/>
              <w:bottom w:val="single" w:sz="4" w:space="0" w:color="ADD6EA"/>
              <w:right w:val="nil"/>
            </w:tcBorders>
            <w:shd w:val="clear" w:color="000000" w:fill="D6E7F0"/>
            <w:vAlign w:val="bottom"/>
            <w:hideMark/>
          </w:tcPr>
          <w:p w14:paraId="0CC77306" w14:textId="77777777" w:rsidR="003A5B9D" w:rsidRPr="003A5B9D" w:rsidRDefault="003A5B9D" w:rsidP="003A5B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A5B9D">
              <w:rPr>
                <w:rFonts w:ascii="Open Sans Semibold" w:eastAsia="Times New Roman" w:hAnsi="Open Sans Semibold" w:cs="Open Sans Semibold"/>
                <w:color w:val="000000"/>
                <w:sz w:val="16"/>
                <w:szCs w:val="16"/>
                <w:lang w:eastAsia="en-AU"/>
              </w:rPr>
              <w:t xml:space="preserve">22 </w:t>
            </w:r>
          </w:p>
        </w:tc>
        <w:tc>
          <w:tcPr>
            <w:tcW w:w="777" w:type="dxa"/>
            <w:tcBorders>
              <w:top w:val="nil"/>
              <w:left w:val="nil"/>
              <w:bottom w:val="single" w:sz="4" w:space="0" w:color="ADD6EA"/>
              <w:right w:val="nil"/>
            </w:tcBorders>
            <w:shd w:val="clear" w:color="000000" w:fill="D6E7F0"/>
            <w:vAlign w:val="bottom"/>
            <w:hideMark/>
          </w:tcPr>
          <w:p w14:paraId="5A945D35" w14:textId="77777777" w:rsidR="003A5B9D" w:rsidRPr="003A5B9D" w:rsidRDefault="003A5B9D" w:rsidP="003A5B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A5B9D">
              <w:rPr>
                <w:rFonts w:ascii="Open Sans Semibold" w:eastAsia="Times New Roman" w:hAnsi="Open Sans Semibold" w:cs="Open Sans Semibold"/>
                <w:color w:val="000000"/>
                <w:sz w:val="16"/>
                <w:szCs w:val="16"/>
                <w:lang w:eastAsia="en-AU"/>
              </w:rPr>
              <w:t xml:space="preserve">-172 </w:t>
            </w:r>
          </w:p>
        </w:tc>
        <w:tc>
          <w:tcPr>
            <w:tcW w:w="818" w:type="dxa"/>
            <w:tcBorders>
              <w:top w:val="nil"/>
              <w:left w:val="nil"/>
              <w:bottom w:val="single" w:sz="4" w:space="0" w:color="ADD6EA"/>
              <w:right w:val="nil"/>
            </w:tcBorders>
            <w:shd w:val="clear" w:color="000000" w:fill="D6E7F0"/>
            <w:vAlign w:val="bottom"/>
            <w:hideMark/>
          </w:tcPr>
          <w:p w14:paraId="08C8A4A8" w14:textId="5C0E1029" w:rsidR="003A5B9D" w:rsidRPr="003A5B9D" w:rsidRDefault="000B5A80" w:rsidP="003A5B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eastAsia="Times New Roman" w:hAnsi="Open Sans Semibold" w:cs="Open Sans Semibold"/>
                <w:color w:val="000000"/>
                <w:sz w:val="16"/>
                <w:szCs w:val="16"/>
                <w:lang w:eastAsia="en-AU"/>
              </w:rPr>
              <w:t>0</w:t>
            </w:r>
            <w:r w:rsidR="003A5B9D" w:rsidRPr="003A5B9D">
              <w:rPr>
                <w:rFonts w:ascii="Open Sans Semibold" w:eastAsia="Times New Roman" w:hAnsi="Open Sans Semibold" w:cs="Open Sans Semibold"/>
                <w:color w:val="000000"/>
                <w:sz w:val="16"/>
                <w:szCs w:val="16"/>
                <w:lang w:eastAsia="en-AU"/>
              </w:rPr>
              <w:t xml:space="preserve"> </w:t>
            </w:r>
          </w:p>
        </w:tc>
      </w:tr>
    </w:tbl>
    <w:p w14:paraId="6AD3FD8B" w14:textId="016627C0" w:rsidR="00905C20" w:rsidRDefault="00905C20" w:rsidP="007522DA">
      <w:pPr>
        <w:pStyle w:val="CGCTablenote"/>
        <w:tabs>
          <w:tab w:val="clear" w:pos="567"/>
          <w:tab w:val="left" w:pos="709"/>
        </w:tabs>
        <w:ind w:left="709" w:hanging="596"/>
      </w:pPr>
      <w:r>
        <w:t>Note:</w:t>
      </w:r>
      <w:r>
        <w:tab/>
      </w:r>
      <w:r w:rsidR="003107B2">
        <w:t xml:space="preserve">This shows </w:t>
      </w:r>
      <w:r w:rsidR="00EB018F">
        <w:t>the effect on the GST distribution in the 2018-19 assessment year.</w:t>
      </w:r>
      <w:r w:rsidR="009D0E31">
        <w:t xml:space="preserve"> </w:t>
      </w:r>
      <w:r w:rsidR="00C25F71">
        <w:t>V</w:t>
      </w:r>
      <w:r w:rsidR="00D17B2D">
        <w:t>alues are assessed expenses</w:t>
      </w:r>
      <w:r w:rsidR="00D215F5">
        <w:t xml:space="preserve"> </w:t>
      </w:r>
      <w:r w:rsidR="00B56BB1">
        <w:t xml:space="preserve">calculated </w:t>
      </w:r>
      <w:r w:rsidR="0064394D">
        <w:t xml:space="preserve">using </w:t>
      </w:r>
      <w:r w:rsidR="00333B93">
        <w:t>NAP NWAU or the proxy indicator.</w:t>
      </w:r>
      <w:r w:rsidR="00C2718D">
        <w:t xml:space="preserve"> </w:t>
      </w:r>
    </w:p>
    <w:p w14:paraId="1725273E" w14:textId="628FAF6E" w:rsidR="00AD15A4" w:rsidRPr="008776C3" w:rsidRDefault="00AD15A4" w:rsidP="007522DA">
      <w:pPr>
        <w:pStyle w:val="CGCTablenote"/>
        <w:tabs>
          <w:tab w:val="clear" w:pos="567"/>
          <w:tab w:val="left" w:pos="709"/>
        </w:tabs>
        <w:ind w:left="709" w:hanging="596"/>
      </w:pPr>
      <w:r w:rsidRPr="008776C3">
        <w:t>Source:</w:t>
      </w:r>
      <w:r>
        <w:tab/>
      </w:r>
      <w:r w:rsidRPr="008776C3">
        <w:t>Staff calculation using ABS population</w:t>
      </w:r>
      <w:r w:rsidR="00C3119B">
        <w:t xml:space="preserve">, </w:t>
      </w:r>
      <w:r w:rsidR="00D55CCF">
        <w:rPr>
          <w:lang w:val="en-US"/>
        </w:rPr>
        <w:t>Government Financial Statistics</w:t>
      </w:r>
      <w:r w:rsidR="00D55CCF">
        <w:t xml:space="preserve"> (</w:t>
      </w:r>
      <w:r w:rsidR="00C3119B">
        <w:t>GFS</w:t>
      </w:r>
      <w:r w:rsidR="00D55CCF">
        <w:t>)</w:t>
      </w:r>
      <w:r w:rsidR="00C3119B">
        <w:t xml:space="preserve"> expenses</w:t>
      </w:r>
      <w:r w:rsidRPr="008776C3">
        <w:t xml:space="preserve"> and unpublished IHPA data.</w:t>
      </w:r>
    </w:p>
    <w:p w14:paraId="075F35AA" w14:textId="30BBEB56" w:rsidR="00AD15A4" w:rsidRDefault="00AD15A4" w:rsidP="00AD15A4">
      <w:pPr>
        <w:pStyle w:val="Heading4"/>
      </w:pPr>
      <w:bookmarkStart w:id="50" w:name="_Toc49170289"/>
      <w:r>
        <w:t xml:space="preserve">Summary and </w:t>
      </w:r>
      <w:r w:rsidR="006C57C5">
        <w:t>way forward</w:t>
      </w:r>
      <w:bookmarkEnd w:id="50"/>
    </w:p>
    <w:p w14:paraId="6A9A80D0" w14:textId="77777777" w:rsidR="00AD15A4" w:rsidRPr="000837AA" w:rsidRDefault="00AD15A4" w:rsidP="00AD15A4">
      <w:pPr>
        <w:pStyle w:val="CGCParaNumber"/>
        <w:rPr>
          <w:lang w:val="en-US"/>
        </w:rPr>
      </w:pPr>
      <w:r>
        <w:t xml:space="preserve">The 2018-19 NAP NWAU data are reasonably comprehensive. The coverage at 86% is moderately high. Moreover, </w:t>
      </w:r>
      <w:r w:rsidRPr="000837AA">
        <w:rPr>
          <w:lang w:val="en-US"/>
        </w:rPr>
        <w:t>adjustments can be applied to</w:t>
      </w:r>
      <w:r>
        <w:t xml:space="preserve"> compensate for the incomplete coverage but ensuring that no urban bias is introduced, which has been the approach to </w:t>
      </w:r>
      <w:r w:rsidRPr="000837AA">
        <w:rPr>
          <w:lang w:val="en-US"/>
        </w:rPr>
        <w:t>ED data from the 2015 Review to the present</w:t>
      </w:r>
      <w:r>
        <w:t>.</w:t>
      </w:r>
    </w:p>
    <w:p w14:paraId="4B71FADE" w14:textId="77777777" w:rsidR="00AD15A4" w:rsidRDefault="00AD15A4" w:rsidP="00AD15A4">
      <w:pPr>
        <w:pStyle w:val="CGCParaNumber"/>
      </w:pPr>
      <w:r>
        <w:t>The comparison of NAP spending with AP and ED showed good similarity in overall patterns — the population groups that are high cost for AP and ED services are also high cost for NAP services. This provides a measure of confidence in the reliability of the NAP NWAU data. The level of NAP spending is lower due to lower usage by high-cost groups — Indigenous people, people outside major cities and low SES people. This is mainly attributed to the lack of NAP services where people live, and the nature of demand for AP and ED relative to NAP services.</w:t>
      </w:r>
    </w:p>
    <w:p w14:paraId="6EB1F50E" w14:textId="684E0056" w:rsidR="00AD15A4" w:rsidRDefault="00AD15A4" w:rsidP="00AD15A4">
      <w:pPr>
        <w:pStyle w:val="CGCParaNumber"/>
      </w:pPr>
      <w:r>
        <w:t>The comparison of NAP NWAU with the proxy indicator showed that the latter, being based on AP separations, considerably overestimates NAP spending due to the lower usage rates for NAP compared to AP for high</w:t>
      </w:r>
      <w:r>
        <w:noBreakHyphen/>
        <w:t>cost groups</w:t>
      </w:r>
      <w:r w:rsidR="00430A7B">
        <w:t xml:space="preserve"> and </w:t>
      </w:r>
      <w:r w:rsidR="00FD7FB2">
        <w:t xml:space="preserve">the </w:t>
      </w:r>
      <w:r w:rsidR="0079269D">
        <w:t xml:space="preserve">application of </w:t>
      </w:r>
      <w:r w:rsidR="00034313">
        <w:t>remoteness adjustments to the proxy indicator.</w:t>
      </w:r>
    </w:p>
    <w:p w14:paraId="3C131532" w14:textId="4EDE214E" w:rsidR="00AD15A4" w:rsidRDefault="00AD15A4" w:rsidP="00AD15A4">
      <w:pPr>
        <w:pStyle w:val="CGCParaNumber"/>
      </w:pPr>
      <w:r>
        <w:t xml:space="preserve">In conclusion, given the relative comprehensiveness and reliability of the NAP NWAU data and the large difference between spending based on NAP NWAU and the proxy indicator, </w:t>
      </w:r>
      <w:r w:rsidR="002469EC">
        <w:t>staff propose</w:t>
      </w:r>
      <w:r w:rsidR="005671AC">
        <w:t xml:space="preserve"> to</w:t>
      </w:r>
      <w:r w:rsidR="002469EC">
        <w:t xml:space="preserve"> </w:t>
      </w:r>
      <w:r>
        <w:t>recommend</w:t>
      </w:r>
      <w:r w:rsidR="005671AC">
        <w:t xml:space="preserve"> that the Commission</w:t>
      </w:r>
      <w:r>
        <w:t xml:space="preserve"> shift to using NAP NWAU for the 2021 Update and subsequent inquiries</w:t>
      </w:r>
      <w:r w:rsidR="00DF7CFC">
        <w:t>, to be used in the same way</w:t>
      </w:r>
      <w:r w:rsidR="006646FC">
        <w:t xml:space="preserve"> </w:t>
      </w:r>
      <w:r w:rsidR="005671AC">
        <w:t xml:space="preserve">as it </w:t>
      </w:r>
      <w:r w:rsidR="006646FC">
        <w:t>use</w:t>
      </w:r>
      <w:r w:rsidR="00BD40D7">
        <w:t>s</w:t>
      </w:r>
      <w:r w:rsidR="006646FC">
        <w:t xml:space="preserve"> AP and ED </w:t>
      </w:r>
      <w:r w:rsidR="00F73166">
        <w:t xml:space="preserve">NWAU </w:t>
      </w:r>
      <w:r w:rsidR="006646FC">
        <w:t>dat</w:t>
      </w:r>
      <w:r w:rsidR="00F3140D">
        <w:t>a</w:t>
      </w:r>
      <w:r>
        <w:t>. As only 2018-19 NAP data are currently available, staff recommend that this data be used for all assessment years.</w:t>
      </w:r>
    </w:p>
    <w:p w14:paraId="4320E36D" w14:textId="77777777" w:rsidR="00AD15A4" w:rsidRDefault="00AD15A4" w:rsidP="00AD15A4">
      <w:pPr>
        <w:pStyle w:val="Heading4"/>
      </w:pPr>
      <w:bookmarkStart w:id="51" w:name="_Toc49170290"/>
      <w:r>
        <w:lastRenderedPageBreak/>
        <w:t>Recommendation</w:t>
      </w:r>
      <w:bookmarkEnd w:id="51"/>
    </w:p>
    <w:tbl>
      <w:tblPr>
        <w:tblW w:w="0" w:type="auto"/>
        <w:tblInd w:w="108" w:type="dxa"/>
        <w:shd w:val="clear" w:color="auto" w:fill="EBF3F5"/>
        <w:tblLook w:val="04A0" w:firstRow="1" w:lastRow="0" w:firstColumn="1" w:lastColumn="0" w:noHBand="0" w:noVBand="1"/>
      </w:tblPr>
      <w:tblGrid>
        <w:gridCol w:w="8600"/>
      </w:tblGrid>
      <w:tr w:rsidR="00AD15A4" w14:paraId="7A53A638" w14:textId="77777777" w:rsidTr="007123B0">
        <w:tc>
          <w:tcPr>
            <w:tcW w:w="8600" w:type="dxa"/>
            <w:shd w:val="clear" w:color="auto" w:fill="EBF3F5"/>
          </w:tcPr>
          <w:p w14:paraId="5FC19248" w14:textId="0307DA24" w:rsidR="00AD15A4" w:rsidRDefault="00AD15A4" w:rsidP="007123B0">
            <w:pPr>
              <w:ind w:left="-109"/>
            </w:pPr>
            <w:r>
              <w:t xml:space="preserve">Staff </w:t>
            </w:r>
            <w:r w:rsidR="00C06986">
              <w:t xml:space="preserve">propose to </w:t>
            </w:r>
            <w:r>
              <w:t>recommend that the Commission</w:t>
            </w:r>
            <w:r w:rsidR="005906EB">
              <w:t>:</w:t>
            </w:r>
          </w:p>
          <w:p w14:paraId="2015AB26" w14:textId="7F4A836D" w:rsidR="00AD15A4" w:rsidRDefault="00AD15A4" w:rsidP="00AD15A4">
            <w:pPr>
              <w:pStyle w:val="CGCBullet1"/>
              <w:tabs>
                <w:tab w:val="left" w:pos="851"/>
              </w:tabs>
              <w:spacing w:after="120"/>
            </w:pPr>
            <w:r>
              <w:t>endorse the use of NAP NWAU data for the 2021 Update and subsequent inquiries.</w:t>
            </w:r>
          </w:p>
        </w:tc>
      </w:tr>
    </w:tbl>
    <w:p w14:paraId="16DFB114" w14:textId="400C2543" w:rsidR="00F83EC1" w:rsidRPr="00E674AF" w:rsidRDefault="00F83EC1" w:rsidP="00F83EC1">
      <w:pPr>
        <w:pStyle w:val="Heading3"/>
      </w:pPr>
      <w:bookmarkStart w:id="52" w:name="_Toc49170291"/>
      <w:bookmarkEnd w:id="49"/>
      <w:r>
        <w:t xml:space="preserve">Revisions to </w:t>
      </w:r>
      <w:r w:rsidR="00344C30">
        <w:t>stamp</w:t>
      </w:r>
      <w:r>
        <w:t xml:space="preserve"> duty on conveyances and </w:t>
      </w:r>
      <w:r w:rsidR="00344C30">
        <w:t>land</w:t>
      </w:r>
      <w:r>
        <w:t xml:space="preserve"> tax data</w:t>
      </w:r>
      <w:bookmarkEnd w:id="52"/>
    </w:p>
    <w:p w14:paraId="4F53FE24" w14:textId="153D9BB4" w:rsidR="00E1182A" w:rsidRDefault="004F679F" w:rsidP="00F83EC1">
      <w:pPr>
        <w:pStyle w:val="CGCParaNumber"/>
      </w:pPr>
      <w:r>
        <w:t xml:space="preserve">The Commission sources transaction data for </w:t>
      </w:r>
      <w:r w:rsidR="00344C30">
        <w:t>land</w:t>
      </w:r>
      <w:r>
        <w:t xml:space="preserve"> tax, </w:t>
      </w:r>
      <w:r w:rsidR="00344C30">
        <w:t>stamp</w:t>
      </w:r>
      <w:r>
        <w:t xml:space="preserve"> duty on conveyances and </w:t>
      </w:r>
      <w:r w:rsidR="00344C30">
        <w:t>mining</w:t>
      </w:r>
      <w:r>
        <w:t xml:space="preserve"> revenue from State Revenue Offices (SROs). </w:t>
      </w:r>
      <w:r w:rsidR="00E1182A">
        <w:t xml:space="preserve">The data are collected </w:t>
      </w:r>
      <w:r w:rsidR="001E5AE0">
        <w:t>annually</w:t>
      </w:r>
      <w:r w:rsidR="00E1182A">
        <w:t>.</w:t>
      </w:r>
    </w:p>
    <w:p w14:paraId="5AFEE412" w14:textId="1F21B82F" w:rsidR="0069170A" w:rsidRDefault="00753103" w:rsidP="00F83EC1">
      <w:pPr>
        <w:pStyle w:val="CGCParaNumber"/>
      </w:pPr>
      <w:r>
        <w:t xml:space="preserve">In recent years there has been an increase in the size of </w:t>
      </w:r>
      <w:r w:rsidR="00316000">
        <w:t xml:space="preserve">the </w:t>
      </w:r>
      <w:r>
        <w:t>revisions</w:t>
      </w:r>
      <w:r w:rsidR="004F679F">
        <w:t xml:space="preserve"> </w:t>
      </w:r>
      <w:r w:rsidR="00316000">
        <w:t xml:space="preserve">States are making </w:t>
      </w:r>
      <w:r w:rsidR="004F679F">
        <w:t xml:space="preserve">to </w:t>
      </w:r>
      <w:r w:rsidR="00E1182A">
        <w:t xml:space="preserve">previously provided </w:t>
      </w:r>
      <w:r w:rsidR="004F679F">
        <w:t>data.</w:t>
      </w:r>
      <w:r w:rsidR="00E1182A">
        <w:t xml:space="preserve"> </w:t>
      </w:r>
      <w:r w:rsidR="008C3958">
        <w:t xml:space="preserve">The concern is that </w:t>
      </w:r>
      <w:r w:rsidR="00316000" w:rsidRPr="00EF053B">
        <w:rPr>
          <w:u w:val="single"/>
        </w:rPr>
        <w:t>large</w:t>
      </w:r>
      <w:r w:rsidR="00A33808">
        <w:t xml:space="preserve"> </w:t>
      </w:r>
      <w:r w:rsidR="008C3958">
        <w:t>revisions</w:t>
      </w:r>
      <w:r w:rsidR="00995758" w:rsidRPr="00995758">
        <w:t xml:space="preserve"> </w:t>
      </w:r>
      <w:r w:rsidR="00995758">
        <w:t>increas</w:t>
      </w:r>
      <w:r w:rsidR="00316000">
        <w:t>e</w:t>
      </w:r>
      <w:r w:rsidR="00995758">
        <w:t xml:space="preserve"> the volatility of State relativities</w:t>
      </w:r>
      <w:r w:rsidR="003228F6">
        <w:t xml:space="preserve"> and nega</w:t>
      </w:r>
      <w:r w:rsidR="00EC678F">
        <w:t>tively affect State budget management</w:t>
      </w:r>
      <w:r w:rsidR="00995758">
        <w:t>.</w:t>
      </w:r>
      <w:r w:rsidR="00142F3D">
        <w:t xml:space="preserve"> </w:t>
      </w:r>
      <w:r w:rsidR="0063371C">
        <w:t>Large revisions may also raise concerns over the reliability of State provided data.</w:t>
      </w:r>
    </w:p>
    <w:p w14:paraId="287B3BBA" w14:textId="0C0FB02E" w:rsidR="0013775C" w:rsidRPr="00E674AF" w:rsidRDefault="00643C3C" w:rsidP="0013775C">
      <w:pPr>
        <w:pStyle w:val="CGCParaNumber"/>
      </w:pPr>
      <w:r>
        <w:fldChar w:fldCharType="begin"/>
      </w:r>
      <w:r>
        <w:instrText xml:space="preserve"> REF _Ref46390317 \h </w:instrText>
      </w:r>
      <w:r>
        <w:fldChar w:fldCharType="separate"/>
      </w:r>
      <w:r w:rsidR="00A46D6F">
        <w:t xml:space="preserve">Table </w:t>
      </w:r>
      <w:r w:rsidR="00A46D6F">
        <w:rPr>
          <w:noProof/>
        </w:rPr>
        <w:t>6</w:t>
      </w:r>
      <w:r>
        <w:fldChar w:fldCharType="end"/>
      </w:r>
      <w:r w:rsidR="00273D02">
        <w:t xml:space="preserve"> </w:t>
      </w:r>
      <w:r>
        <w:t>s</w:t>
      </w:r>
      <w:r w:rsidR="00273D02">
        <w:t xml:space="preserve">hows the </w:t>
      </w:r>
      <w:r w:rsidR="00FD137F">
        <w:t xml:space="preserve">GST </w:t>
      </w:r>
      <w:r w:rsidR="00273D02">
        <w:t>effect</w:t>
      </w:r>
      <w:r w:rsidR="00445342">
        <w:t>s</w:t>
      </w:r>
      <w:r w:rsidR="00273D02">
        <w:t xml:space="preserve"> </w:t>
      </w:r>
      <w:r w:rsidR="00FD137F">
        <w:t xml:space="preserve">of </w:t>
      </w:r>
      <w:r w:rsidR="00273D02">
        <w:t xml:space="preserve">revisions </w:t>
      </w:r>
      <w:r w:rsidR="00445342">
        <w:t xml:space="preserve">to selected revenue bases </w:t>
      </w:r>
      <w:r w:rsidR="00273D02">
        <w:t>in recent years.</w:t>
      </w:r>
    </w:p>
    <w:p w14:paraId="6126182C" w14:textId="0DA0CE34" w:rsidR="005A0054" w:rsidRDefault="005A0054" w:rsidP="005A0054">
      <w:pPr>
        <w:pStyle w:val="Caption"/>
      </w:pPr>
      <w:bookmarkStart w:id="53" w:name="_Ref46390317"/>
      <w:r>
        <w:t xml:space="preserve">Table </w:t>
      </w:r>
      <w:fldSimple w:instr=" SEQ Table \* ARABIC ">
        <w:r w:rsidR="00A46D6F">
          <w:rPr>
            <w:noProof/>
          </w:rPr>
          <w:t>6</w:t>
        </w:r>
      </w:fldSimple>
      <w:bookmarkEnd w:id="53"/>
      <w:r w:rsidR="0006567A">
        <w:tab/>
      </w:r>
      <w:r w:rsidR="003427B4">
        <w:t xml:space="preserve">Change in GST from revisions </w:t>
      </w:r>
      <w:r w:rsidR="008D110D">
        <w:t>to</w:t>
      </w:r>
      <w:r w:rsidR="003427B4">
        <w:t xml:space="preserve"> State provided data</w:t>
      </w:r>
    </w:p>
    <w:p w14:paraId="3BA870F5" w14:textId="3A147694" w:rsidR="001A654E" w:rsidRDefault="0037114B" w:rsidP="005A0054">
      <w:pPr>
        <w:pStyle w:val="FootnoteText"/>
      </w:pPr>
      <w:r w:rsidRPr="0037114B">
        <w:rPr>
          <w:noProof/>
        </w:rPr>
        <w:drawing>
          <wp:inline distT="0" distB="0" distL="0" distR="0" wp14:anchorId="5A955A06" wp14:editId="4816C984">
            <wp:extent cx="5683885" cy="21990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83885" cy="2199005"/>
                    </a:xfrm>
                    <a:prstGeom prst="rect">
                      <a:avLst/>
                    </a:prstGeom>
                    <a:noFill/>
                    <a:ln>
                      <a:noFill/>
                    </a:ln>
                  </pic:spPr>
                </pic:pic>
              </a:graphicData>
            </a:graphic>
          </wp:inline>
        </w:drawing>
      </w:r>
    </w:p>
    <w:p w14:paraId="5DDB7D57" w14:textId="783C4823" w:rsidR="005A0054" w:rsidRDefault="005A0054" w:rsidP="005A0054">
      <w:pPr>
        <w:pStyle w:val="FootnoteText"/>
      </w:pPr>
      <w:r>
        <w:t>(a)</w:t>
      </w:r>
      <w:r>
        <w:tab/>
        <w:t xml:space="preserve">This also </w:t>
      </w:r>
      <w:r w:rsidR="0021394C">
        <w:t>reflects</w:t>
      </w:r>
      <w:r>
        <w:t xml:space="preserve"> the change in </w:t>
      </w:r>
      <w:r w:rsidR="00271990">
        <w:t xml:space="preserve">the </w:t>
      </w:r>
      <w:r>
        <w:t>composition of the category, with non-real property being assessed EPC.</w:t>
      </w:r>
    </w:p>
    <w:p w14:paraId="4864507E" w14:textId="77777777" w:rsidR="005A0054" w:rsidRDefault="005A0054" w:rsidP="005A0054">
      <w:pPr>
        <w:pStyle w:val="FootnoteText"/>
      </w:pPr>
      <w:r>
        <w:t>Source: CGC Update and Review reports.</w:t>
      </w:r>
    </w:p>
    <w:p w14:paraId="0A985423" w14:textId="5BD12DF7" w:rsidR="00DE297C" w:rsidRDefault="00823044" w:rsidP="00F83EC1">
      <w:pPr>
        <w:pStyle w:val="CGCParaNumber"/>
      </w:pPr>
      <w:r>
        <w:t xml:space="preserve">Commission staff have </w:t>
      </w:r>
      <w:r w:rsidR="00F8470E">
        <w:t xml:space="preserve">consulted with </w:t>
      </w:r>
      <w:r w:rsidR="009767D5">
        <w:t xml:space="preserve">the three </w:t>
      </w:r>
      <w:r w:rsidR="00445342">
        <w:t>most populous</w:t>
      </w:r>
      <w:r w:rsidR="009767D5">
        <w:t xml:space="preserve"> </w:t>
      </w:r>
      <w:r w:rsidR="00F8470E">
        <w:t xml:space="preserve">States on the </w:t>
      </w:r>
      <w:r w:rsidR="007E7436">
        <w:t xml:space="preserve">reasons for the </w:t>
      </w:r>
      <w:r w:rsidR="007C1D3D">
        <w:t>incr</w:t>
      </w:r>
      <w:r w:rsidR="00D907A2">
        <w:t xml:space="preserve">easing </w:t>
      </w:r>
      <w:r w:rsidR="00F8470E">
        <w:t xml:space="preserve">revisions </w:t>
      </w:r>
      <w:r w:rsidR="000809B9">
        <w:t xml:space="preserve">and whether </w:t>
      </w:r>
      <w:r w:rsidR="00AF057A">
        <w:t>this</w:t>
      </w:r>
      <w:r w:rsidR="000809B9">
        <w:t xml:space="preserve"> is </w:t>
      </w:r>
      <w:r w:rsidR="00D24E5C">
        <w:t xml:space="preserve">likely to be an ongoing issue. </w:t>
      </w:r>
      <w:r w:rsidR="00445342">
        <w:t>Staff sought information on</w:t>
      </w:r>
      <w:r w:rsidR="003A0F65">
        <w:t xml:space="preserve"> whether the </w:t>
      </w:r>
      <w:r w:rsidR="00AF59B7">
        <w:t xml:space="preserve">source of </w:t>
      </w:r>
      <w:r w:rsidR="003A0F65">
        <w:t xml:space="preserve">problem </w:t>
      </w:r>
      <w:r w:rsidR="009F6655">
        <w:t>is</w:t>
      </w:r>
      <w:r w:rsidR="003A0F65">
        <w:t xml:space="preserve"> in</w:t>
      </w:r>
      <w:r w:rsidR="00DE297C">
        <w:t>:</w:t>
      </w:r>
    </w:p>
    <w:p w14:paraId="705F082F" w14:textId="77777777" w:rsidR="00DE297C" w:rsidRDefault="003A0F65" w:rsidP="00DE297C">
      <w:pPr>
        <w:pStyle w:val="CGCBullet1"/>
      </w:pPr>
      <w:r>
        <w:t>the processes SROs use to extract the data</w:t>
      </w:r>
    </w:p>
    <w:p w14:paraId="3AEA3B9F" w14:textId="49659834" w:rsidR="00DE297C" w:rsidRDefault="00D00E14" w:rsidP="00DE297C">
      <w:pPr>
        <w:pStyle w:val="CGCBullet1"/>
      </w:pPr>
      <w:r>
        <w:t>staff turnover</w:t>
      </w:r>
      <w:r w:rsidR="00506080">
        <w:t xml:space="preserve"> and </w:t>
      </w:r>
      <w:r w:rsidR="0062659A">
        <w:t>the</w:t>
      </w:r>
      <w:r w:rsidR="00506080">
        <w:t xml:space="preserve"> </w:t>
      </w:r>
      <w:r w:rsidR="007B5449">
        <w:t xml:space="preserve">learning curve to acquire the </w:t>
      </w:r>
      <w:r w:rsidR="00506080">
        <w:t>knowledge to extract the data</w:t>
      </w:r>
    </w:p>
    <w:p w14:paraId="0F791816" w14:textId="46FE1914" w:rsidR="00DE297C" w:rsidRDefault="00D00E14" w:rsidP="00DE297C">
      <w:pPr>
        <w:pStyle w:val="CGCBullet1"/>
      </w:pPr>
      <w:r>
        <w:t xml:space="preserve">the complexity of </w:t>
      </w:r>
      <w:r w:rsidR="00AF59B7">
        <w:t>the Commission’s data requests.</w:t>
      </w:r>
    </w:p>
    <w:p w14:paraId="13CEA35C" w14:textId="551C8BB3" w:rsidR="003B1DAF" w:rsidRPr="00122555" w:rsidRDefault="00CD1179" w:rsidP="00F13096">
      <w:pPr>
        <w:pStyle w:val="CGCParaNumber"/>
      </w:pPr>
      <w:r>
        <w:t>In</w:t>
      </w:r>
      <w:r w:rsidR="00144E17">
        <w:t xml:space="preserve"> the latter</w:t>
      </w:r>
      <w:r>
        <w:t xml:space="preserve"> case,</w:t>
      </w:r>
      <w:r w:rsidR="00352703">
        <w:t xml:space="preserve"> Commission </w:t>
      </w:r>
      <w:r w:rsidR="00445342">
        <w:t xml:space="preserve">staff </w:t>
      </w:r>
      <w:r>
        <w:t xml:space="preserve">asked </w:t>
      </w:r>
      <w:r w:rsidR="00445342">
        <w:t xml:space="preserve">what </w:t>
      </w:r>
      <w:r w:rsidR="00352703">
        <w:t xml:space="preserve">could </w:t>
      </w:r>
      <w:r w:rsidR="00445342">
        <w:t>be done</w:t>
      </w:r>
      <w:r w:rsidR="00352703">
        <w:t xml:space="preserve"> to mitigate large revisions</w:t>
      </w:r>
      <w:r w:rsidR="0067362D">
        <w:t>.</w:t>
      </w:r>
      <w:r w:rsidR="00045289">
        <w:t xml:space="preserve"> </w:t>
      </w:r>
      <w:r w:rsidR="008623F3">
        <w:t>S</w:t>
      </w:r>
      <w:r w:rsidR="006A4362">
        <w:t>uggestion</w:t>
      </w:r>
      <w:r w:rsidR="008623F3">
        <w:t>s</w:t>
      </w:r>
      <w:r w:rsidR="006A4362">
        <w:t xml:space="preserve"> </w:t>
      </w:r>
      <w:r w:rsidR="008623F3">
        <w:t>included</w:t>
      </w:r>
      <w:r w:rsidR="00896E78">
        <w:t xml:space="preserve"> </w:t>
      </w:r>
      <w:r w:rsidR="00445342">
        <w:t xml:space="preserve">more </w:t>
      </w:r>
      <w:r w:rsidR="00896E78">
        <w:t>focussed rather than open ended</w:t>
      </w:r>
      <w:r w:rsidR="00045289">
        <w:t xml:space="preserve"> quality assurance </w:t>
      </w:r>
      <w:r w:rsidR="00976E60">
        <w:t xml:space="preserve">questions, </w:t>
      </w:r>
      <w:r w:rsidR="008623F3">
        <w:t>additional</w:t>
      </w:r>
      <w:r w:rsidR="00045289">
        <w:t xml:space="preserve"> error checking and </w:t>
      </w:r>
      <w:r w:rsidR="00976E60">
        <w:t>seeking</w:t>
      </w:r>
      <w:r w:rsidR="00045289">
        <w:t xml:space="preserve"> </w:t>
      </w:r>
      <w:r w:rsidR="00445342">
        <w:t>more</w:t>
      </w:r>
      <w:r w:rsidR="00045289">
        <w:t xml:space="preserve"> </w:t>
      </w:r>
      <w:r w:rsidR="008623F3">
        <w:t xml:space="preserve">detailed </w:t>
      </w:r>
      <w:r w:rsidR="00045289">
        <w:t>reasons for revisions.</w:t>
      </w:r>
    </w:p>
    <w:p w14:paraId="2CD0AF60" w14:textId="0DD3A0A1" w:rsidR="003F495D" w:rsidRDefault="00C43C16" w:rsidP="00F83EC1">
      <w:pPr>
        <w:pStyle w:val="CGCParaNumber"/>
      </w:pPr>
      <w:r>
        <w:t xml:space="preserve">States said </w:t>
      </w:r>
      <w:r w:rsidR="00364DB9">
        <w:t xml:space="preserve">some </w:t>
      </w:r>
      <w:r w:rsidR="007D0D0D">
        <w:t xml:space="preserve">revisions </w:t>
      </w:r>
      <w:r w:rsidR="0025297A">
        <w:t>wer</w:t>
      </w:r>
      <w:r w:rsidR="005A00A9">
        <w:t>e</w:t>
      </w:r>
      <w:r w:rsidR="00E40DFA">
        <w:t xml:space="preserve"> to</w:t>
      </w:r>
      <w:r w:rsidR="005A00A9">
        <w:t xml:space="preserve"> be expected</w:t>
      </w:r>
      <w:r w:rsidR="00E20D49">
        <w:t xml:space="preserve">. </w:t>
      </w:r>
      <w:r w:rsidR="0025297A">
        <w:t>One</w:t>
      </w:r>
      <w:r w:rsidR="00F90EB9">
        <w:t xml:space="preserve"> source of revisions was </w:t>
      </w:r>
      <w:r w:rsidR="000C78D1">
        <w:t xml:space="preserve">revaluations </w:t>
      </w:r>
      <w:r w:rsidR="005478DF">
        <w:t>resulting</w:t>
      </w:r>
      <w:r w:rsidR="000C78D1">
        <w:t xml:space="preserve"> </w:t>
      </w:r>
      <w:r w:rsidR="00F90EB9">
        <w:t>from t</w:t>
      </w:r>
      <w:r w:rsidR="000C78D1">
        <w:t xml:space="preserve">axpayers challenging </w:t>
      </w:r>
      <w:r w:rsidR="00FB6DF4">
        <w:t>a</w:t>
      </w:r>
      <w:r w:rsidR="000C78D1">
        <w:t xml:space="preserve"> </w:t>
      </w:r>
      <w:r w:rsidR="00F90EB9">
        <w:t xml:space="preserve">property’s </w:t>
      </w:r>
      <w:r w:rsidR="000C78D1">
        <w:t xml:space="preserve">valuation. </w:t>
      </w:r>
      <w:r w:rsidR="005D0DCA">
        <w:t>R</w:t>
      </w:r>
      <w:r w:rsidR="00F90EB9">
        <w:t>e</w:t>
      </w:r>
      <w:r w:rsidR="000C78D1">
        <w:t xml:space="preserve">valuations </w:t>
      </w:r>
      <w:r w:rsidR="00E04864">
        <w:t>c</w:t>
      </w:r>
      <w:r w:rsidR="0031117A">
        <w:t xml:space="preserve">an </w:t>
      </w:r>
      <w:r w:rsidR="00E04864">
        <w:t xml:space="preserve">be </w:t>
      </w:r>
      <w:r w:rsidR="00E87F0A">
        <w:t>significant (</w:t>
      </w:r>
      <w:r w:rsidR="00E04864">
        <w:t>as</w:t>
      </w:r>
      <w:r w:rsidR="0031117A">
        <w:t xml:space="preserve"> high</w:t>
      </w:r>
      <w:r w:rsidR="00E04864">
        <w:t xml:space="preserve"> as </w:t>
      </w:r>
      <w:r w:rsidR="00D22273">
        <w:t>9</w:t>
      </w:r>
      <w:r w:rsidR="000C78D1">
        <w:t>0%</w:t>
      </w:r>
      <w:r w:rsidR="00E87F0A">
        <w:t>) and affect</w:t>
      </w:r>
      <w:r w:rsidR="000C78D1">
        <w:t xml:space="preserve"> multiple years.</w:t>
      </w:r>
      <w:r w:rsidR="009246D0">
        <w:t xml:space="preserve"> Th</w:t>
      </w:r>
      <w:r w:rsidR="005B0A60">
        <w:t>e</w:t>
      </w:r>
      <w:r w:rsidR="009246D0">
        <w:t xml:space="preserve">se revisions were mostly negative because challenged assessments tended to be revised downward. Another </w:t>
      </w:r>
      <w:r w:rsidR="00530F4A">
        <w:t>source</w:t>
      </w:r>
      <w:r w:rsidR="009246D0">
        <w:t xml:space="preserve"> of revision </w:t>
      </w:r>
      <w:r w:rsidR="002310E7">
        <w:t>came from</w:t>
      </w:r>
      <w:r w:rsidR="00530F4A">
        <w:t xml:space="preserve"> increased</w:t>
      </w:r>
      <w:r w:rsidR="009246D0">
        <w:t xml:space="preserve"> compliance activit</w:t>
      </w:r>
      <w:r w:rsidR="00530F4A">
        <w:t>y</w:t>
      </w:r>
      <w:r w:rsidR="009246D0">
        <w:t xml:space="preserve">. This type of revision gave rise to positive adjustments in earlier years. </w:t>
      </w:r>
      <w:r w:rsidR="00267F84">
        <w:t>Both</w:t>
      </w:r>
      <w:r w:rsidR="009246D0">
        <w:t xml:space="preserve"> </w:t>
      </w:r>
      <w:r w:rsidR="00530F4A">
        <w:t>sources</w:t>
      </w:r>
      <w:r w:rsidR="009246D0">
        <w:t xml:space="preserve"> of revision </w:t>
      </w:r>
      <w:r w:rsidR="00530F4A">
        <w:t>would arise in the future</w:t>
      </w:r>
      <w:r w:rsidR="005F451A">
        <w:t>.</w:t>
      </w:r>
    </w:p>
    <w:p w14:paraId="26AAB058" w14:textId="5854AC60" w:rsidR="008E3FF9" w:rsidRDefault="00AE0B24" w:rsidP="00745985">
      <w:pPr>
        <w:pStyle w:val="CGCParaNumber"/>
      </w:pPr>
      <w:r>
        <w:lastRenderedPageBreak/>
        <w:t>O</w:t>
      </w:r>
      <w:r w:rsidR="003B1DAF">
        <w:t xml:space="preserve">ne State said it </w:t>
      </w:r>
      <w:r w:rsidR="008E3FF9">
        <w:t xml:space="preserve">experienced difficulties reconciling its SRO data </w:t>
      </w:r>
      <w:r w:rsidR="00BE41DA">
        <w:t>and</w:t>
      </w:r>
      <w:r w:rsidR="008E3FF9">
        <w:t xml:space="preserve"> budget </w:t>
      </w:r>
      <w:r w:rsidR="00BE41DA">
        <w:t>data</w:t>
      </w:r>
      <w:r w:rsidR="008E3FF9">
        <w:t>. It was also concerned about the number of:</w:t>
      </w:r>
    </w:p>
    <w:p w14:paraId="7D3BE619" w14:textId="53516219" w:rsidR="008E3FF9" w:rsidRDefault="008E3FF9" w:rsidP="008E3FF9">
      <w:pPr>
        <w:pStyle w:val="CGCBullet1"/>
      </w:pPr>
      <w:r>
        <w:t xml:space="preserve">reversals (placeholder transactions that </w:t>
      </w:r>
      <w:r w:rsidR="00FB220B">
        <w:t>we</w:t>
      </w:r>
      <w:r>
        <w:t>re subsequently replaced)</w:t>
      </w:r>
    </w:p>
    <w:p w14:paraId="7DF74DE1" w14:textId="77777777" w:rsidR="008E3FF9" w:rsidRDefault="008E3FF9" w:rsidP="008E3FF9">
      <w:pPr>
        <w:pStyle w:val="CGCBullet1"/>
      </w:pPr>
      <w:r>
        <w:t>negative transactions</w:t>
      </w:r>
    </w:p>
    <w:p w14:paraId="1373BA3C" w14:textId="3D042AD2" w:rsidR="008E3FF9" w:rsidRDefault="008E3FF9" w:rsidP="008E3FF9">
      <w:pPr>
        <w:pStyle w:val="CGCBullet1"/>
      </w:pPr>
      <w:r>
        <w:t>double count</w:t>
      </w:r>
      <w:r w:rsidR="00FB220B">
        <w:t>ing</w:t>
      </w:r>
      <w:r>
        <w:t xml:space="preserve"> of transactions</w:t>
      </w:r>
      <w:r w:rsidR="00045889">
        <w:t>.</w:t>
      </w:r>
      <w:r w:rsidR="00045889">
        <w:rPr>
          <w:rStyle w:val="FootnoteReference"/>
        </w:rPr>
        <w:footnoteReference w:id="15"/>
      </w:r>
    </w:p>
    <w:p w14:paraId="29DC34C7" w14:textId="7A07658A" w:rsidR="008E3FF9" w:rsidRDefault="009B745C" w:rsidP="00CB4F19">
      <w:pPr>
        <w:pStyle w:val="CGCParaNumber"/>
      </w:pPr>
      <w:r>
        <w:t>It</w:t>
      </w:r>
      <w:r w:rsidR="00504006">
        <w:t xml:space="preserve"> is undertaking further investigations with the aim of improving the data it is providing.</w:t>
      </w:r>
    </w:p>
    <w:p w14:paraId="54F51FC4" w14:textId="1A7F97D1" w:rsidR="007A035A" w:rsidRDefault="00051C61" w:rsidP="00F83EC1">
      <w:pPr>
        <w:pStyle w:val="CGCParaNumber"/>
      </w:pPr>
      <w:r>
        <w:t>C</w:t>
      </w:r>
      <w:r w:rsidR="00D832A7">
        <w:t>onsultations with States</w:t>
      </w:r>
      <w:r w:rsidR="007A035A">
        <w:t xml:space="preserve"> </w:t>
      </w:r>
      <w:r w:rsidR="00134104">
        <w:t xml:space="preserve">suggest </w:t>
      </w:r>
      <w:r w:rsidR="005F3212">
        <w:t>some</w:t>
      </w:r>
      <w:r w:rsidR="00C75AF8">
        <w:t xml:space="preserve"> </w:t>
      </w:r>
      <w:r w:rsidR="00745985">
        <w:t xml:space="preserve">revenue revisions are to be </w:t>
      </w:r>
      <w:r w:rsidR="00B267A4">
        <w:t>expected</w:t>
      </w:r>
      <w:r w:rsidR="00745985">
        <w:t>.</w:t>
      </w:r>
      <w:r w:rsidR="00CF2E21">
        <w:t xml:space="preserve"> </w:t>
      </w:r>
      <w:r w:rsidR="00B267A4">
        <w:t>However, w</w:t>
      </w:r>
      <w:r w:rsidR="00F742DB">
        <w:t>here the</w:t>
      </w:r>
      <w:r w:rsidR="00B267A4">
        <w:t>y</w:t>
      </w:r>
      <w:r w:rsidR="00FE07FF">
        <w:t xml:space="preserve"> </w:t>
      </w:r>
      <w:r w:rsidR="00F742DB">
        <w:t>are large</w:t>
      </w:r>
      <w:r w:rsidR="00FE07FF">
        <w:t xml:space="preserve">, the Commission will </w:t>
      </w:r>
      <w:r w:rsidR="000173EB">
        <w:t xml:space="preserve">seek </w:t>
      </w:r>
      <w:r w:rsidR="00FB178F">
        <w:t>additional information from</w:t>
      </w:r>
      <w:r w:rsidR="00FE07FF">
        <w:t xml:space="preserve"> the relevant State </w:t>
      </w:r>
      <w:r w:rsidR="0005305B">
        <w:t>that can be shared with other States.</w:t>
      </w:r>
      <w:r w:rsidR="00F742DB">
        <w:t xml:space="preserve"> </w:t>
      </w:r>
    </w:p>
    <w:p w14:paraId="2BEFE234" w14:textId="64818607" w:rsidR="00A01ABC" w:rsidRDefault="005C1A7B" w:rsidP="00F83EC1">
      <w:pPr>
        <w:pStyle w:val="CGCParaNumber"/>
      </w:pPr>
      <w:r>
        <w:t xml:space="preserve">As part of these </w:t>
      </w:r>
      <w:r w:rsidR="00A01ABC">
        <w:t xml:space="preserve">investigations </w:t>
      </w:r>
      <w:r w:rsidR="00D267B6">
        <w:t>a</w:t>
      </w:r>
      <w:r w:rsidR="00EE5B0B">
        <w:t xml:space="preserve"> State advised staff</w:t>
      </w:r>
      <w:r w:rsidR="00F71ECE">
        <w:t xml:space="preserve"> that AB</w:t>
      </w:r>
      <w:r w:rsidR="00E041ED">
        <w:t>S</w:t>
      </w:r>
      <w:r w:rsidR="00D267B6">
        <w:t xml:space="preserve"> GFS data</w:t>
      </w:r>
      <w:r w:rsidR="00F71ECE">
        <w:t xml:space="preserve"> classifie</w:t>
      </w:r>
      <w:r w:rsidR="00D267B6">
        <w:t>s</w:t>
      </w:r>
      <w:r w:rsidR="00F71ECE">
        <w:t xml:space="preserve"> duties relating to the sale of </w:t>
      </w:r>
      <w:r w:rsidR="00167029">
        <w:t xml:space="preserve">equity in </w:t>
      </w:r>
      <w:r w:rsidR="00F71ECE">
        <w:t>public</w:t>
      </w:r>
      <w:r w:rsidR="00E51425">
        <w:t>ly owned</w:t>
      </w:r>
      <w:r w:rsidR="00F71ECE">
        <w:t xml:space="preserve"> corporations to Tax Code 465. </w:t>
      </w:r>
      <w:r w:rsidR="008340B8">
        <w:t xml:space="preserve">This means the GFS conveyance </w:t>
      </w:r>
      <w:r w:rsidR="00A87CCE">
        <w:t>revenue</w:t>
      </w:r>
      <w:r w:rsidR="008340B8">
        <w:t xml:space="preserve"> used by the Commission (revenue classified to Tax Code 463) does not include these duties. </w:t>
      </w:r>
      <w:r w:rsidR="007B7406">
        <w:t>In the 2020 Review</w:t>
      </w:r>
      <w:r w:rsidR="00A47B50">
        <w:t xml:space="preserve"> the Commission </w:t>
      </w:r>
      <w:r w:rsidR="005D703E">
        <w:t>deduct</w:t>
      </w:r>
      <w:r w:rsidR="007B7406">
        <w:t>ed</w:t>
      </w:r>
      <w:r w:rsidR="005D703E">
        <w:t xml:space="preserve"> duties from the sale of major State assets</w:t>
      </w:r>
      <w:r w:rsidR="00212E45">
        <w:t>, corporate reconstructions and non</w:t>
      </w:r>
      <w:r w:rsidR="00212E45">
        <w:noBreakHyphen/>
        <w:t>real property</w:t>
      </w:r>
      <w:r w:rsidR="005D703E">
        <w:t xml:space="preserve"> from GFS conveyance </w:t>
      </w:r>
      <w:r w:rsidR="007B7406">
        <w:t>revenue</w:t>
      </w:r>
      <w:r w:rsidR="005D703E">
        <w:t xml:space="preserve">. </w:t>
      </w:r>
      <w:r w:rsidR="00BC4FDE">
        <w:t xml:space="preserve">Consequently, </w:t>
      </w:r>
      <w:r w:rsidR="00580FD7">
        <w:t xml:space="preserve">staff propose to cease </w:t>
      </w:r>
      <w:r w:rsidR="00212E45">
        <w:t>th</w:t>
      </w:r>
      <w:r w:rsidR="00061E39">
        <w:t>e</w:t>
      </w:r>
      <w:r w:rsidR="00212E45">
        <w:t xml:space="preserve"> de</w:t>
      </w:r>
      <w:r w:rsidR="00580FD7">
        <w:t>ducti</w:t>
      </w:r>
      <w:r w:rsidR="00212E45">
        <w:t>o</w:t>
      </w:r>
      <w:r w:rsidR="00580FD7">
        <w:t>n</w:t>
      </w:r>
      <w:r w:rsidR="00061E39">
        <w:t xml:space="preserve"> of duties from the sale of major State assets but retain the deduction for d</w:t>
      </w:r>
      <w:r w:rsidR="00212E45">
        <w:t xml:space="preserve">uties from corporate reconstructions and </w:t>
      </w:r>
      <w:r w:rsidR="00061E39">
        <w:t>non</w:t>
      </w:r>
      <w:r w:rsidR="00061E39">
        <w:noBreakHyphen/>
        <w:t>real property</w:t>
      </w:r>
      <w:r w:rsidR="00580FD7">
        <w:t>.</w:t>
      </w:r>
      <w:r w:rsidR="00941B90">
        <w:t xml:space="preserve"> </w:t>
      </w:r>
    </w:p>
    <w:p w14:paraId="3AFDFBA1" w14:textId="77777777" w:rsidR="00D74953" w:rsidRPr="00E674AF" w:rsidRDefault="00D74953" w:rsidP="00D74953">
      <w:pPr>
        <w:pStyle w:val="Heading4"/>
      </w:pPr>
      <w:bookmarkStart w:id="54" w:name="_Toc49170292"/>
      <w:r w:rsidRPr="00E674AF">
        <w:t>Recommendations</w:t>
      </w:r>
      <w:bookmarkEnd w:id="54"/>
    </w:p>
    <w:tbl>
      <w:tblPr>
        <w:tblW w:w="0" w:type="auto"/>
        <w:shd w:val="clear" w:color="auto" w:fill="EBF3F5"/>
        <w:tblLook w:val="0000" w:firstRow="0" w:lastRow="0" w:firstColumn="0" w:lastColumn="0" w:noHBand="0" w:noVBand="0"/>
      </w:tblPr>
      <w:tblGrid>
        <w:gridCol w:w="8931"/>
      </w:tblGrid>
      <w:tr w:rsidR="00D74953" w:rsidRPr="00E674AF" w14:paraId="0B518763" w14:textId="77777777" w:rsidTr="00747D4C">
        <w:tc>
          <w:tcPr>
            <w:tcW w:w="8931" w:type="dxa"/>
            <w:shd w:val="clear" w:color="auto" w:fill="EBF3F5"/>
            <w:tcMar>
              <w:left w:w="28" w:type="dxa"/>
            </w:tcMar>
          </w:tcPr>
          <w:p w14:paraId="3CAB225C" w14:textId="14755C11" w:rsidR="00D74953" w:rsidRPr="00E674AF" w:rsidRDefault="00D74953" w:rsidP="00747D4C">
            <w:pPr>
              <w:tabs>
                <w:tab w:val="clear" w:pos="567"/>
              </w:tabs>
              <w:rPr>
                <w:bCs/>
              </w:rPr>
            </w:pPr>
            <w:r w:rsidRPr="00E674AF">
              <w:rPr>
                <w:bCs/>
              </w:rPr>
              <w:t xml:space="preserve">Staff </w:t>
            </w:r>
            <w:r w:rsidR="00CD1179">
              <w:rPr>
                <w:bCs/>
              </w:rPr>
              <w:t xml:space="preserve">propose to </w:t>
            </w:r>
            <w:r w:rsidRPr="00E674AF">
              <w:rPr>
                <w:bCs/>
              </w:rPr>
              <w:t xml:space="preserve">recommend that the </w:t>
            </w:r>
            <w:r>
              <w:rPr>
                <w:bCs/>
              </w:rPr>
              <w:t>Commission:</w:t>
            </w:r>
          </w:p>
          <w:p w14:paraId="7EBA76FB" w14:textId="1EA89F07" w:rsidR="00641C55" w:rsidRDefault="00643B27" w:rsidP="00747D4C">
            <w:pPr>
              <w:pStyle w:val="CGCBullet1"/>
            </w:pPr>
            <w:r>
              <w:t xml:space="preserve">note </w:t>
            </w:r>
            <w:r w:rsidR="001B347C">
              <w:t>States are continu</w:t>
            </w:r>
            <w:r w:rsidR="00663A64">
              <w:t xml:space="preserve">ing </w:t>
            </w:r>
            <w:r w:rsidR="006E0187">
              <w:t>investigations</w:t>
            </w:r>
            <w:r w:rsidR="00663A64">
              <w:t xml:space="preserve"> on improving the data they provid</w:t>
            </w:r>
            <w:r w:rsidR="00096249">
              <w:t>e</w:t>
            </w:r>
          </w:p>
          <w:p w14:paraId="7D37C984" w14:textId="63DF0CF1" w:rsidR="00096249" w:rsidRDefault="00643B27" w:rsidP="00BD25BD">
            <w:pPr>
              <w:pStyle w:val="CGCBullet1"/>
            </w:pPr>
            <w:r>
              <w:t xml:space="preserve">note </w:t>
            </w:r>
            <w:r w:rsidR="008430F1">
              <w:t>revenue revisions are likely to continue</w:t>
            </w:r>
          </w:p>
          <w:p w14:paraId="5E2A483B" w14:textId="77777777" w:rsidR="00643B27" w:rsidRDefault="00643B27" w:rsidP="00747D4C">
            <w:pPr>
              <w:pStyle w:val="CGCBullet1"/>
            </w:pPr>
            <w:r>
              <w:t xml:space="preserve">note </w:t>
            </w:r>
            <w:r w:rsidR="00F642FC">
              <w:t>where there are large revisions, additional information will be sought from the relevant State</w:t>
            </w:r>
            <w:r w:rsidR="008430F1">
              <w:t xml:space="preserve"> that </w:t>
            </w:r>
            <w:r w:rsidR="00F642FC">
              <w:t>can be share</w:t>
            </w:r>
            <w:r w:rsidR="00C46A44">
              <w:t>d</w:t>
            </w:r>
            <w:r w:rsidR="00F642FC">
              <w:t xml:space="preserve"> with other States</w:t>
            </w:r>
          </w:p>
          <w:p w14:paraId="3FD28BFF" w14:textId="16D17FAF" w:rsidR="00D74953" w:rsidRPr="00E674AF" w:rsidRDefault="00133607" w:rsidP="008C0460">
            <w:pPr>
              <w:pStyle w:val="CGCBullet1"/>
              <w:spacing w:after="120"/>
            </w:pPr>
            <w:r>
              <w:t>cease deducting duties from the sale of major State assets from GFS conveyance revenue</w:t>
            </w:r>
            <w:r w:rsidR="00D74953">
              <w:t>.</w:t>
            </w:r>
          </w:p>
        </w:tc>
      </w:tr>
    </w:tbl>
    <w:p w14:paraId="72C53D95" w14:textId="0CB1C0A9" w:rsidR="00F83EC1" w:rsidRPr="00E674AF" w:rsidRDefault="00F83EC1" w:rsidP="00F83EC1">
      <w:pPr>
        <w:pStyle w:val="Heading3"/>
      </w:pPr>
      <w:bookmarkStart w:id="55" w:name="_Toc49170293"/>
      <w:r>
        <w:t>Revised data in the wage</w:t>
      </w:r>
      <w:r w:rsidR="0071553D">
        <w:t xml:space="preserve"> costs</w:t>
      </w:r>
      <w:r>
        <w:t xml:space="preserve"> assessment</w:t>
      </w:r>
      <w:bookmarkEnd w:id="55"/>
      <w:r>
        <w:t xml:space="preserve"> </w:t>
      </w:r>
    </w:p>
    <w:p w14:paraId="13D87E62" w14:textId="6F737DD6" w:rsidR="00F83EC1" w:rsidRPr="00E674AF" w:rsidRDefault="0076154F" w:rsidP="00F83EC1">
      <w:pPr>
        <w:pStyle w:val="CGCParaNumber"/>
      </w:pPr>
      <w:r>
        <w:t xml:space="preserve">In </w:t>
      </w:r>
      <w:r w:rsidR="0003633E">
        <w:t>its</w:t>
      </w:r>
      <w:r>
        <w:t xml:space="preserve"> 2020 Review</w:t>
      </w:r>
      <w:r w:rsidR="0003633E">
        <w:t xml:space="preserve"> report (Volume 2, Chapter 27)</w:t>
      </w:r>
      <w:r>
        <w:t xml:space="preserve">, the Commission noted that the ABS had revised </w:t>
      </w:r>
      <w:r w:rsidR="0003633E">
        <w:t>the</w:t>
      </w:r>
      <w:r>
        <w:t xml:space="preserve"> Characteristics of Employment </w:t>
      </w:r>
      <w:r w:rsidR="0003633E">
        <w:t>s</w:t>
      </w:r>
      <w:r w:rsidR="001D5503">
        <w:t xml:space="preserve">urvey </w:t>
      </w:r>
      <w:r>
        <w:t xml:space="preserve">(CoES) </w:t>
      </w:r>
      <w:r w:rsidR="001D5503">
        <w:t xml:space="preserve">data used </w:t>
      </w:r>
      <w:r w:rsidR="0003633E">
        <w:t xml:space="preserve">in the calculation of </w:t>
      </w:r>
      <w:r w:rsidR="001D5503">
        <w:t>wages costs modelled outcomes for 2016</w:t>
      </w:r>
      <w:r w:rsidR="001D5503">
        <w:noBreakHyphen/>
        <w:t>17 and 2017</w:t>
      </w:r>
      <w:r w:rsidR="001D5503">
        <w:noBreakHyphen/>
        <w:t xml:space="preserve">18. </w:t>
      </w:r>
      <w:r w:rsidR="00F3399E">
        <w:t>The Commission’s view was that, in line with the terms of reference direction to use the latest available data, it should ask the ABS to re-run its model for earlier years. However, s</w:t>
      </w:r>
      <w:r w:rsidR="001D5503">
        <w:t xml:space="preserve">ince the Commission had not had sufficient time to consult States on the issue, it decided to retain the modelled outcomes for </w:t>
      </w:r>
      <w:r w:rsidR="0003633E">
        <w:t>2016</w:t>
      </w:r>
      <w:r w:rsidR="0003633E">
        <w:noBreakHyphen/>
        <w:t>17 and 2017</w:t>
      </w:r>
      <w:r w:rsidR="0003633E">
        <w:noBreakHyphen/>
        <w:t xml:space="preserve">18 </w:t>
      </w:r>
      <w:r w:rsidR="001D5503">
        <w:t>from the 2019 Update.</w:t>
      </w:r>
    </w:p>
    <w:p w14:paraId="1B8802E2" w14:textId="0DDB123E" w:rsidR="001D5503" w:rsidRDefault="001D5503" w:rsidP="00F83EC1">
      <w:pPr>
        <w:pStyle w:val="CGCParaNumber"/>
      </w:pPr>
      <w:r>
        <w:t>The CoES is a point-in-time survey, conducted in August each year as a supplement to the ABS’ monthly labour force survey.</w:t>
      </w:r>
      <w:r w:rsidR="0003633E">
        <w:t xml:space="preserve"> The Commission has used data from the CoES in its wage costs assessment since the 2016 Update. Since the ABS has not previously revised these data, the usual practice for the Commission has been to bring in the modelled outcomes for </w:t>
      </w:r>
      <w:r w:rsidR="0003633E">
        <w:lastRenderedPageBreak/>
        <w:t>the latest assessment year and retain the outcomes from the previous inquiry for the earlier years.</w:t>
      </w:r>
    </w:p>
    <w:p w14:paraId="25ACDDA2" w14:textId="2541BC22" w:rsidR="001D5503" w:rsidRDefault="0037795D" w:rsidP="00F83EC1">
      <w:pPr>
        <w:pStyle w:val="CGCParaNumber"/>
      </w:pPr>
      <w:r>
        <w:t>T</w:t>
      </w:r>
      <w:r w:rsidR="00F3399E">
        <w:t xml:space="preserve">he ABS </w:t>
      </w:r>
      <w:r>
        <w:t xml:space="preserve">has </w:t>
      </w:r>
      <w:r w:rsidR="00F3399E">
        <w:t xml:space="preserve">rerun the </w:t>
      </w:r>
      <w:r>
        <w:t xml:space="preserve">Commission’s </w:t>
      </w:r>
      <w:r w:rsidR="00F3399E">
        <w:t>econometric model</w:t>
      </w:r>
      <w:r>
        <w:t>,</w:t>
      </w:r>
      <w:r w:rsidR="00F3399E">
        <w:t xml:space="preserve"> using the revised data for 201</w:t>
      </w:r>
      <w:r>
        <w:t>7</w:t>
      </w:r>
      <w:r w:rsidR="00F3399E">
        <w:noBreakHyphen/>
        <w:t>1</w:t>
      </w:r>
      <w:r>
        <w:t>8</w:t>
      </w:r>
      <w:r w:rsidR="00F3399E">
        <w:t xml:space="preserve"> </w:t>
      </w:r>
      <w:r>
        <w:t xml:space="preserve">and </w:t>
      </w:r>
      <w:r w:rsidR="00F3399E">
        <w:t>2018</w:t>
      </w:r>
      <w:r w:rsidR="00F3399E">
        <w:noBreakHyphen/>
        <w:t>19.</w:t>
      </w:r>
      <w:r w:rsidR="00F3399E">
        <w:rPr>
          <w:rStyle w:val="FootnoteReference"/>
        </w:rPr>
        <w:footnoteReference w:id="16"/>
      </w:r>
      <w:r w:rsidR="00F3399E">
        <w:t xml:space="preserve"> </w:t>
      </w:r>
      <w:r w:rsidR="004B3A55">
        <w:fldChar w:fldCharType="begin"/>
      </w:r>
      <w:r w:rsidR="004B3A55">
        <w:instrText xml:space="preserve"> REF _Ref47338310 \h </w:instrText>
      </w:r>
      <w:r w:rsidR="004B3A55">
        <w:fldChar w:fldCharType="separate"/>
      </w:r>
      <w:r w:rsidR="00A46D6F">
        <w:t xml:space="preserve">Table </w:t>
      </w:r>
      <w:r w:rsidR="00A46D6F">
        <w:rPr>
          <w:noProof/>
        </w:rPr>
        <w:t>7</w:t>
      </w:r>
      <w:r w:rsidR="004B3A55">
        <w:fldChar w:fldCharType="end"/>
      </w:r>
      <w:r w:rsidR="004B3A55">
        <w:t xml:space="preserve"> shows the change in relative private sector wage levels, after the low level discount has been applied. </w:t>
      </w:r>
      <w:r w:rsidR="001D5503">
        <w:t>Advice from the ABS is that the revisions</w:t>
      </w:r>
      <w:r w:rsidR="0003633E">
        <w:t xml:space="preserve"> primarily relate to the definition of employees and changes to its imputation </w:t>
      </w:r>
      <w:r w:rsidR="00F3399E">
        <w:t xml:space="preserve">and ‘outliering’ </w:t>
      </w:r>
      <w:r w:rsidR="0003633E">
        <w:t>process</w:t>
      </w:r>
      <w:r w:rsidR="00F3399E">
        <w:t>es</w:t>
      </w:r>
      <w:r w:rsidR="0003633E">
        <w:t>.</w:t>
      </w:r>
      <w:r w:rsidR="00722BA8">
        <w:t xml:space="preserve"> The revisions also include rebenchmarking to reflect the latest revisions to estimated resident population data</w:t>
      </w:r>
      <w:r w:rsidR="0003633E">
        <w:t>.</w:t>
      </w:r>
    </w:p>
    <w:p w14:paraId="6AC57DA2" w14:textId="7BBFADFE" w:rsidR="004B3A55" w:rsidRDefault="004B3A55" w:rsidP="00F83EC1">
      <w:pPr>
        <w:pStyle w:val="CGCParaNumber"/>
      </w:pPr>
      <w:r>
        <w:t xml:space="preserve">Commission staff consider that, </w:t>
      </w:r>
      <w:r w:rsidR="00722BA8">
        <w:t>assuming</w:t>
      </w:r>
      <w:r>
        <w:t xml:space="preserve"> terms of reference </w:t>
      </w:r>
      <w:r w:rsidR="00722BA8">
        <w:t xml:space="preserve">for the 2021 Update continue to include the requirement that the Commission use the latest available data, </w:t>
      </w:r>
      <w:r w:rsidR="00D53383">
        <w:t xml:space="preserve">the </w:t>
      </w:r>
      <w:r w:rsidR="00006B65">
        <w:t>Commission</w:t>
      </w:r>
      <w:r w:rsidR="00D53383">
        <w:t xml:space="preserve"> </w:t>
      </w:r>
      <w:r w:rsidR="00722BA8">
        <w:t>should adopt the modelled outcomes based on revised data for 2017</w:t>
      </w:r>
      <w:r w:rsidR="00722BA8">
        <w:noBreakHyphen/>
        <w:t>18 and 2018</w:t>
      </w:r>
      <w:r w:rsidR="00722BA8">
        <w:noBreakHyphen/>
        <w:t xml:space="preserve">19. </w:t>
      </w:r>
      <w:r>
        <w:t xml:space="preserve">The ABS has not indicated whether revisions </w:t>
      </w:r>
      <w:r w:rsidR="00831264">
        <w:t xml:space="preserve">to the CoES data </w:t>
      </w:r>
      <w:r>
        <w:t>are likely</w:t>
      </w:r>
      <w:r w:rsidR="00831264">
        <w:t xml:space="preserve"> to become a regular occurrence, although it has flagged that it intends to change the frequency of the survey at an unspecified future date</w:t>
      </w:r>
      <w:r>
        <w:t>.</w:t>
      </w:r>
      <w:r w:rsidR="00722BA8">
        <w:t xml:space="preserve"> As in previous inquiries, Commission staff will separately provide States with the modelled outcomes and associated statistical information for the most recent assessment year (2019</w:t>
      </w:r>
      <w:r w:rsidR="00722BA8">
        <w:noBreakHyphen/>
        <w:t>20).</w:t>
      </w:r>
    </w:p>
    <w:p w14:paraId="3F3BDEBD" w14:textId="5A96BE92" w:rsidR="003E6C4E" w:rsidRPr="00E674AF" w:rsidRDefault="0037795D" w:rsidP="0037795D">
      <w:pPr>
        <w:pStyle w:val="Caption"/>
      </w:pPr>
      <w:bookmarkStart w:id="56" w:name="_Ref47338310"/>
      <w:r>
        <w:t xml:space="preserve">Table </w:t>
      </w:r>
      <w:fldSimple w:instr=" SEQ Table \* ARABIC ">
        <w:r w:rsidR="00A46D6F">
          <w:rPr>
            <w:noProof/>
          </w:rPr>
          <w:t>7</w:t>
        </w:r>
      </w:fldSimple>
      <w:bookmarkEnd w:id="56"/>
      <w:r>
        <w:tab/>
        <w:t>Relative private sector wages, original and revised data, 2017</w:t>
      </w:r>
      <w:r>
        <w:noBreakHyphen/>
        <w:t>18 and 2018</w:t>
      </w:r>
      <w:r>
        <w:noBreakHyphen/>
        <w:t>19</w:t>
      </w:r>
    </w:p>
    <w:tbl>
      <w:tblPr>
        <w:tblW w:w="9280" w:type="dxa"/>
        <w:tblLook w:val="04A0" w:firstRow="1" w:lastRow="0" w:firstColumn="1" w:lastColumn="0" w:noHBand="0" w:noVBand="1"/>
      </w:tblPr>
      <w:tblGrid>
        <w:gridCol w:w="1500"/>
        <w:gridCol w:w="1100"/>
        <w:gridCol w:w="940"/>
        <w:gridCol w:w="980"/>
        <w:gridCol w:w="980"/>
        <w:gridCol w:w="900"/>
        <w:gridCol w:w="960"/>
        <w:gridCol w:w="1000"/>
        <w:gridCol w:w="920"/>
      </w:tblGrid>
      <w:tr w:rsidR="0037795D" w:rsidRPr="0037795D" w14:paraId="65808F87" w14:textId="77777777" w:rsidTr="0037795D">
        <w:trPr>
          <w:trHeight w:val="381"/>
        </w:trPr>
        <w:tc>
          <w:tcPr>
            <w:tcW w:w="1500" w:type="dxa"/>
            <w:tcBorders>
              <w:top w:val="single" w:sz="4" w:space="0" w:color="ADD6EA"/>
              <w:left w:val="nil"/>
              <w:bottom w:val="single" w:sz="4" w:space="0" w:color="ADD6EA"/>
              <w:right w:val="nil"/>
            </w:tcBorders>
            <w:shd w:val="clear" w:color="000000" w:fill="006991"/>
            <w:vAlign w:val="center"/>
            <w:hideMark/>
          </w:tcPr>
          <w:p w14:paraId="25E9F1C8" w14:textId="77777777" w:rsidR="0037795D" w:rsidRPr="0037795D" w:rsidRDefault="0037795D" w:rsidP="0062389F">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bookmarkStart w:id="57" w:name="RANGE!A2:I11"/>
            <w:r w:rsidRPr="0037795D">
              <w:rPr>
                <w:rFonts w:ascii="Open Sans Semibold" w:eastAsia="Times New Roman" w:hAnsi="Open Sans Semibold" w:cs="Open Sans Semibold"/>
                <w:color w:val="FFFFFF"/>
                <w:sz w:val="16"/>
                <w:szCs w:val="16"/>
                <w:lang w:eastAsia="en-AU"/>
              </w:rPr>
              <w:t> </w:t>
            </w:r>
            <w:bookmarkEnd w:id="57"/>
          </w:p>
        </w:tc>
        <w:tc>
          <w:tcPr>
            <w:tcW w:w="1100" w:type="dxa"/>
            <w:tcBorders>
              <w:top w:val="single" w:sz="4" w:space="0" w:color="ADD6EA"/>
              <w:left w:val="nil"/>
              <w:bottom w:val="single" w:sz="4" w:space="0" w:color="ADD6EA"/>
              <w:right w:val="nil"/>
            </w:tcBorders>
            <w:shd w:val="clear" w:color="000000" w:fill="006991"/>
            <w:vAlign w:val="center"/>
            <w:hideMark/>
          </w:tcPr>
          <w:p w14:paraId="1AED50A9" w14:textId="77777777" w:rsidR="0037795D" w:rsidRPr="0037795D" w:rsidRDefault="0037795D" w:rsidP="0062389F">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7795D">
              <w:rPr>
                <w:rFonts w:ascii="Open Sans Semibold" w:eastAsia="Times New Roman" w:hAnsi="Open Sans Semibold" w:cs="Open Sans Semibold"/>
                <w:color w:val="FFFFFF"/>
                <w:sz w:val="16"/>
                <w:szCs w:val="16"/>
                <w:lang w:eastAsia="en-AU"/>
              </w:rPr>
              <w:t>NSW</w:t>
            </w:r>
          </w:p>
        </w:tc>
        <w:tc>
          <w:tcPr>
            <w:tcW w:w="940" w:type="dxa"/>
            <w:tcBorders>
              <w:top w:val="single" w:sz="4" w:space="0" w:color="ADD6EA"/>
              <w:left w:val="nil"/>
              <w:bottom w:val="single" w:sz="4" w:space="0" w:color="ADD6EA"/>
              <w:right w:val="nil"/>
            </w:tcBorders>
            <w:shd w:val="clear" w:color="000000" w:fill="006991"/>
            <w:vAlign w:val="center"/>
            <w:hideMark/>
          </w:tcPr>
          <w:p w14:paraId="1D3C366B" w14:textId="77777777" w:rsidR="0037795D" w:rsidRPr="0037795D" w:rsidRDefault="0037795D" w:rsidP="0062389F">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7795D">
              <w:rPr>
                <w:rFonts w:ascii="Open Sans Semibold" w:eastAsia="Times New Roman" w:hAnsi="Open Sans Semibold" w:cs="Open Sans Semibold"/>
                <w:color w:val="FFFFFF"/>
                <w:sz w:val="16"/>
                <w:szCs w:val="16"/>
                <w:lang w:eastAsia="en-AU"/>
              </w:rPr>
              <w:t>Vic</w:t>
            </w:r>
          </w:p>
        </w:tc>
        <w:tc>
          <w:tcPr>
            <w:tcW w:w="980" w:type="dxa"/>
            <w:tcBorders>
              <w:top w:val="single" w:sz="4" w:space="0" w:color="ADD6EA"/>
              <w:left w:val="nil"/>
              <w:bottom w:val="single" w:sz="4" w:space="0" w:color="ADD6EA"/>
              <w:right w:val="nil"/>
            </w:tcBorders>
            <w:shd w:val="clear" w:color="000000" w:fill="006991"/>
            <w:vAlign w:val="center"/>
            <w:hideMark/>
          </w:tcPr>
          <w:p w14:paraId="2A00643D" w14:textId="77777777" w:rsidR="0037795D" w:rsidRPr="0037795D" w:rsidRDefault="0037795D" w:rsidP="0062389F">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7795D">
              <w:rPr>
                <w:rFonts w:ascii="Open Sans Semibold" w:eastAsia="Times New Roman" w:hAnsi="Open Sans Semibold" w:cs="Open Sans Semibold"/>
                <w:color w:val="FFFFFF"/>
                <w:sz w:val="16"/>
                <w:szCs w:val="16"/>
                <w:lang w:eastAsia="en-AU"/>
              </w:rPr>
              <w:t>Qld</w:t>
            </w:r>
          </w:p>
        </w:tc>
        <w:tc>
          <w:tcPr>
            <w:tcW w:w="980" w:type="dxa"/>
            <w:tcBorders>
              <w:top w:val="single" w:sz="4" w:space="0" w:color="ADD6EA"/>
              <w:left w:val="nil"/>
              <w:bottom w:val="single" w:sz="4" w:space="0" w:color="ADD6EA"/>
              <w:right w:val="nil"/>
            </w:tcBorders>
            <w:shd w:val="clear" w:color="000000" w:fill="006991"/>
            <w:vAlign w:val="center"/>
            <w:hideMark/>
          </w:tcPr>
          <w:p w14:paraId="6C1248EE" w14:textId="77777777" w:rsidR="0037795D" w:rsidRPr="0037795D" w:rsidRDefault="0037795D" w:rsidP="0062389F">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7795D">
              <w:rPr>
                <w:rFonts w:ascii="Open Sans Semibold" w:eastAsia="Times New Roman" w:hAnsi="Open Sans Semibold" w:cs="Open Sans Semibold"/>
                <w:color w:val="FFFFFF"/>
                <w:sz w:val="16"/>
                <w:szCs w:val="16"/>
                <w:lang w:eastAsia="en-AU"/>
              </w:rPr>
              <w:t>WA</w:t>
            </w:r>
          </w:p>
        </w:tc>
        <w:tc>
          <w:tcPr>
            <w:tcW w:w="900" w:type="dxa"/>
            <w:tcBorders>
              <w:top w:val="single" w:sz="4" w:space="0" w:color="ADD6EA"/>
              <w:left w:val="nil"/>
              <w:bottom w:val="single" w:sz="4" w:space="0" w:color="ADD6EA"/>
              <w:right w:val="nil"/>
            </w:tcBorders>
            <w:shd w:val="clear" w:color="000000" w:fill="006991"/>
            <w:vAlign w:val="center"/>
            <w:hideMark/>
          </w:tcPr>
          <w:p w14:paraId="1484CB53" w14:textId="77777777" w:rsidR="0037795D" w:rsidRPr="0037795D" w:rsidRDefault="0037795D" w:rsidP="0062389F">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7795D">
              <w:rPr>
                <w:rFonts w:ascii="Open Sans Semibold" w:eastAsia="Times New Roman" w:hAnsi="Open Sans Semibold" w:cs="Open Sans Semibold"/>
                <w:color w:val="FFFFFF"/>
                <w:sz w:val="16"/>
                <w:szCs w:val="16"/>
                <w:lang w:eastAsia="en-AU"/>
              </w:rPr>
              <w:t>SA</w:t>
            </w:r>
          </w:p>
        </w:tc>
        <w:tc>
          <w:tcPr>
            <w:tcW w:w="960" w:type="dxa"/>
            <w:tcBorders>
              <w:top w:val="single" w:sz="4" w:space="0" w:color="ADD6EA"/>
              <w:left w:val="nil"/>
              <w:bottom w:val="single" w:sz="4" w:space="0" w:color="ADD6EA"/>
              <w:right w:val="nil"/>
            </w:tcBorders>
            <w:shd w:val="clear" w:color="000000" w:fill="006991"/>
            <w:vAlign w:val="center"/>
            <w:hideMark/>
          </w:tcPr>
          <w:p w14:paraId="4578E22E" w14:textId="77777777" w:rsidR="0037795D" w:rsidRPr="0037795D" w:rsidRDefault="0037795D" w:rsidP="0062389F">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7795D">
              <w:rPr>
                <w:rFonts w:ascii="Open Sans Semibold" w:eastAsia="Times New Roman" w:hAnsi="Open Sans Semibold" w:cs="Open Sans Semibold"/>
                <w:color w:val="FFFFFF"/>
                <w:sz w:val="16"/>
                <w:szCs w:val="16"/>
                <w:lang w:eastAsia="en-AU"/>
              </w:rPr>
              <w:t>Tas</w:t>
            </w:r>
          </w:p>
        </w:tc>
        <w:tc>
          <w:tcPr>
            <w:tcW w:w="1000" w:type="dxa"/>
            <w:tcBorders>
              <w:top w:val="single" w:sz="4" w:space="0" w:color="ADD6EA"/>
              <w:left w:val="nil"/>
              <w:bottom w:val="single" w:sz="4" w:space="0" w:color="ADD6EA"/>
              <w:right w:val="nil"/>
            </w:tcBorders>
            <w:shd w:val="clear" w:color="000000" w:fill="006991"/>
            <w:vAlign w:val="center"/>
            <w:hideMark/>
          </w:tcPr>
          <w:p w14:paraId="4989CCF0" w14:textId="77777777" w:rsidR="0037795D" w:rsidRPr="0037795D" w:rsidRDefault="0037795D" w:rsidP="0062389F">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7795D">
              <w:rPr>
                <w:rFonts w:ascii="Open Sans Semibold" w:eastAsia="Times New Roman" w:hAnsi="Open Sans Semibold" w:cs="Open Sans Semibold"/>
                <w:color w:val="FFFFFF"/>
                <w:sz w:val="16"/>
                <w:szCs w:val="16"/>
                <w:lang w:eastAsia="en-AU"/>
              </w:rPr>
              <w:t>ACT</w:t>
            </w:r>
          </w:p>
        </w:tc>
        <w:tc>
          <w:tcPr>
            <w:tcW w:w="920" w:type="dxa"/>
            <w:tcBorders>
              <w:top w:val="single" w:sz="4" w:space="0" w:color="ADD6EA"/>
              <w:left w:val="nil"/>
              <w:bottom w:val="single" w:sz="4" w:space="0" w:color="ADD6EA"/>
              <w:right w:val="nil"/>
            </w:tcBorders>
            <w:shd w:val="clear" w:color="000000" w:fill="006991"/>
            <w:vAlign w:val="center"/>
            <w:hideMark/>
          </w:tcPr>
          <w:p w14:paraId="4687DEF1" w14:textId="77777777" w:rsidR="0037795D" w:rsidRPr="0037795D" w:rsidRDefault="0037795D" w:rsidP="0062389F">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7795D">
              <w:rPr>
                <w:rFonts w:ascii="Open Sans Semibold" w:eastAsia="Times New Roman" w:hAnsi="Open Sans Semibold" w:cs="Open Sans Semibold"/>
                <w:color w:val="FFFFFF"/>
                <w:sz w:val="16"/>
                <w:szCs w:val="16"/>
                <w:lang w:eastAsia="en-AU"/>
              </w:rPr>
              <w:t>NT</w:t>
            </w:r>
          </w:p>
        </w:tc>
      </w:tr>
      <w:tr w:rsidR="0037795D" w:rsidRPr="0037795D" w14:paraId="2F0E72B8" w14:textId="77777777" w:rsidTr="0037795D">
        <w:trPr>
          <w:trHeight w:val="315"/>
        </w:trPr>
        <w:tc>
          <w:tcPr>
            <w:tcW w:w="1500" w:type="dxa"/>
            <w:tcBorders>
              <w:top w:val="nil"/>
              <w:left w:val="nil"/>
              <w:bottom w:val="nil"/>
              <w:right w:val="nil"/>
            </w:tcBorders>
            <w:shd w:val="clear" w:color="auto" w:fill="auto"/>
            <w:noWrap/>
            <w:vAlign w:val="bottom"/>
            <w:hideMark/>
          </w:tcPr>
          <w:p w14:paraId="100F0EEE" w14:textId="77777777" w:rsidR="0037795D" w:rsidRPr="0037795D" w:rsidRDefault="0037795D" w:rsidP="0062389F">
            <w:pPr>
              <w:keepNext/>
              <w:keepLines/>
              <w:tabs>
                <w:tab w:val="clear" w:pos="567"/>
              </w:tabs>
              <w:spacing w:before="0" w:line="240" w:lineRule="auto"/>
              <w:rPr>
                <w:rFonts w:eastAsia="Times New Roman" w:cs="Open Sans Light"/>
                <w:sz w:val="16"/>
                <w:szCs w:val="16"/>
                <w:lang w:eastAsia="en-AU"/>
              </w:rPr>
            </w:pPr>
            <w:r w:rsidRPr="0037795D">
              <w:rPr>
                <w:rFonts w:eastAsia="Times New Roman" w:cs="Open Sans Light"/>
                <w:sz w:val="16"/>
                <w:szCs w:val="16"/>
                <w:lang w:eastAsia="en-AU"/>
              </w:rPr>
              <w:t xml:space="preserve">Original </w:t>
            </w:r>
          </w:p>
        </w:tc>
        <w:tc>
          <w:tcPr>
            <w:tcW w:w="1100" w:type="dxa"/>
            <w:tcBorders>
              <w:top w:val="nil"/>
              <w:left w:val="nil"/>
              <w:bottom w:val="nil"/>
              <w:right w:val="nil"/>
            </w:tcBorders>
            <w:shd w:val="clear" w:color="auto" w:fill="auto"/>
            <w:noWrap/>
            <w:vAlign w:val="bottom"/>
            <w:hideMark/>
          </w:tcPr>
          <w:p w14:paraId="2CBC6E9E" w14:textId="77777777" w:rsidR="0037795D" w:rsidRPr="0037795D" w:rsidRDefault="0037795D" w:rsidP="0062389F">
            <w:pPr>
              <w:keepNext/>
              <w:keepLines/>
              <w:tabs>
                <w:tab w:val="clear" w:pos="567"/>
              </w:tabs>
              <w:spacing w:before="0" w:line="240" w:lineRule="auto"/>
              <w:rPr>
                <w:rFonts w:eastAsia="Times New Roman" w:cs="Open Sans Light"/>
                <w:sz w:val="16"/>
                <w:szCs w:val="16"/>
                <w:lang w:eastAsia="en-AU"/>
              </w:rPr>
            </w:pPr>
          </w:p>
        </w:tc>
        <w:tc>
          <w:tcPr>
            <w:tcW w:w="940" w:type="dxa"/>
            <w:tcBorders>
              <w:top w:val="nil"/>
              <w:left w:val="nil"/>
              <w:bottom w:val="nil"/>
              <w:right w:val="nil"/>
            </w:tcBorders>
            <w:shd w:val="clear" w:color="auto" w:fill="auto"/>
            <w:noWrap/>
            <w:vAlign w:val="bottom"/>
            <w:hideMark/>
          </w:tcPr>
          <w:p w14:paraId="53EC790A" w14:textId="77777777" w:rsidR="0037795D" w:rsidRPr="0037795D" w:rsidRDefault="0037795D" w:rsidP="0062389F">
            <w:pPr>
              <w:keepNext/>
              <w:keepLines/>
              <w:tabs>
                <w:tab w:val="clear" w:pos="567"/>
              </w:tabs>
              <w:spacing w:before="0" w:line="240" w:lineRule="auto"/>
              <w:jc w:val="right"/>
              <w:rPr>
                <w:rFonts w:ascii="Times New Roman" w:eastAsia="Times New Roman" w:hAnsi="Times New Roman" w:cs="Times New Roman"/>
                <w:szCs w:val="20"/>
                <w:lang w:eastAsia="en-AU"/>
              </w:rPr>
            </w:pPr>
          </w:p>
        </w:tc>
        <w:tc>
          <w:tcPr>
            <w:tcW w:w="980" w:type="dxa"/>
            <w:tcBorders>
              <w:top w:val="nil"/>
              <w:left w:val="nil"/>
              <w:bottom w:val="nil"/>
              <w:right w:val="nil"/>
            </w:tcBorders>
            <w:shd w:val="clear" w:color="auto" w:fill="auto"/>
            <w:noWrap/>
            <w:vAlign w:val="bottom"/>
            <w:hideMark/>
          </w:tcPr>
          <w:p w14:paraId="31EC6613" w14:textId="77777777" w:rsidR="0037795D" w:rsidRPr="0037795D" w:rsidRDefault="0037795D" w:rsidP="0062389F">
            <w:pPr>
              <w:keepNext/>
              <w:keepLines/>
              <w:tabs>
                <w:tab w:val="clear" w:pos="567"/>
              </w:tabs>
              <w:spacing w:before="0" w:line="240" w:lineRule="auto"/>
              <w:jc w:val="right"/>
              <w:rPr>
                <w:rFonts w:ascii="Times New Roman" w:eastAsia="Times New Roman" w:hAnsi="Times New Roman" w:cs="Times New Roman"/>
                <w:szCs w:val="20"/>
                <w:lang w:eastAsia="en-AU"/>
              </w:rPr>
            </w:pPr>
          </w:p>
        </w:tc>
        <w:tc>
          <w:tcPr>
            <w:tcW w:w="980" w:type="dxa"/>
            <w:tcBorders>
              <w:top w:val="nil"/>
              <w:left w:val="nil"/>
              <w:bottom w:val="nil"/>
              <w:right w:val="nil"/>
            </w:tcBorders>
            <w:shd w:val="clear" w:color="auto" w:fill="auto"/>
            <w:noWrap/>
            <w:vAlign w:val="bottom"/>
            <w:hideMark/>
          </w:tcPr>
          <w:p w14:paraId="5514C0E4" w14:textId="77777777" w:rsidR="0037795D" w:rsidRPr="0037795D" w:rsidRDefault="0037795D" w:rsidP="0062389F">
            <w:pPr>
              <w:keepNext/>
              <w:keepLines/>
              <w:tabs>
                <w:tab w:val="clear" w:pos="567"/>
              </w:tabs>
              <w:spacing w:before="0" w:line="240" w:lineRule="auto"/>
              <w:jc w:val="right"/>
              <w:rPr>
                <w:rFonts w:ascii="Times New Roman" w:eastAsia="Times New Roman" w:hAnsi="Times New Roman" w:cs="Times New Roman"/>
                <w:szCs w:val="20"/>
                <w:lang w:eastAsia="en-AU"/>
              </w:rPr>
            </w:pPr>
          </w:p>
        </w:tc>
        <w:tc>
          <w:tcPr>
            <w:tcW w:w="900" w:type="dxa"/>
            <w:tcBorders>
              <w:top w:val="nil"/>
              <w:left w:val="nil"/>
              <w:bottom w:val="nil"/>
              <w:right w:val="nil"/>
            </w:tcBorders>
            <w:shd w:val="clear" w:color="auto" w:fill="auto"/>
            <w:noWrap/>
            <w:vAlign w:val="bottom"/>
            <w:hideMark/>
          </w:tcPr>
          <w:p w14:paraId="1838CA70" w14:textId="77777777" w:rsidR="0037795D" w:rsidRPr="0037795D" w:rsidRDefault="0037795D" w:rsidP="0062389F">
            <w:pPr>
              <w:keepNext/>
              <w:keepLines/>
              <w:tabs>
                <w:tab w:val="clear" w:pos="567"/>
              </w:tabs>
              <w:spacing w:before="0" w:line="240" w:lineRule="auto"/>
              <w:jc w:val="right"/>
              <w:rPr>
                <w:rFonts w:ascii="Times New Roman" w:eastAsia="Times New Roman" w:hAnsi="Times New Roman" w:cs="Times New Roman"/>
                <w:szCs w:val="20"/>
                <w:lang w:eastAsia="en-AU"/>
              </w:rPr>
            </w:pPr>
          </w:p>
        </w:tc>
        <w:tc>
          <w:tcPr>
            <w:tcW w:w="960" w:type="dxa"/>
            <w:tcBorders>
              <w:top w:val="nil"/>
              <w:left w:val="nil"/>
              <w:bottom w:val="nil"/>
              <w:right w:val="nil"/>
            </w:tcBorders>
            <w:shd w:val="clear" w:color="auto" w:fill="auto"/>
            <w:noWrap/>
            <w:vAlign w:val="bottom"/>
            <w:hideMark/>
          </w:tcPr>
          <w:p w14:paraId="55BAFBD5" w14:textId="77777777" w:rsidR="0037795D" w:rsidRPr="0037795D" w:rsidRDefault="0037795D" w:rsidP="0062389F">
            <w:pPr>
              <w:keepNext/>
              <w:keepLines/>
              <w:tabs>
                <w:tab w:val="clear" w:pos="567"/>
              </w:tabs>
              <w:spacing w:before="0" w:line="240" w:lineRule="auto"/>
              <w:jc w:val="right"/>
              <w:rPr>
                <w:rFonts w:ascii="Times New Roman" w:eastAsia="Times New Roman" w:hAnsi="Times New Roman" w:cs="Times New Roman"/>
                <w:szCs w:val="20"/>
                <w:lang w:eastAsia="en-AU"/>
              </w:rPr>
            </w:pPr>
          </w:p>
        </w:tc>
        <w:tc>
          <w:tcPr>
            <w:tcW w:w="1000" w:type="dxa"/>
            <w:tcBorders>
              <w:top w:val="nil"/>
              <w:left w:val="nil"/>
              <w:bottom w:val="nil"/>
              <w:right w:val="nil"/>
            </w:tcBorders>
            <w:shd w:val="clear" w:color="auto" w:fill="auto"/>
            <w:noWrap/>
            <w:vAlign w:val="bottom"/>
            <w:hideMark/>
          </w:tcPr>
          <w:p w14:paraId="015C0FB9" w14:textId="77777777" w:rsidR="0037795D" w:rsidRPr="0037795D" w:rsidRDefault="0037795D" w:rsidP="0062389F">
            <w:pPr>
              <w:keepNext/>
              <w:keepLines/>
              <w:tabs>
                <w:tab w:val="clear" w:pos="567"/>
              </w:tabs>
              <w:spacing w:before="0" w:line="240" w:lineRule="auto"/>
              <w:jc w:val="right"/>
              <w:rPr>
                <w:rFonts w:ascii="Times New Roman" w:eastAsia="Times New Roman" w:hAnsi="Times New Roman" w:cs="Times New Roman"/>
                <w:szCs w:val="20"/>
                <w:lang w:eastAsia="en-AU"/>
              </w:rPr>
            </w:pPr>
          </w:p>
        </w:tc>
        <w:tc>
          <w:tcPr>
            <w:tcW w:w="920" w:type="dxa"/>
            <w:tcBorders>
              <w:top w:val="nil"/>
              <w:left w:val="nil"/>
              <w:bottom w:val="nil"/>
              <w:right w:val="nil"/>
            </w:tcBorders>
            <w:shd w:val="clear" w:color="auto" w:fill="auto"/>
            <w:noWrap/>
            <w:vAlign w:val="bottom"/>
            <w:hideMark/>
          </w:tcPr>
          <w:p w14:paraId="43D3CA8E" w14:textId="77777777" w:rsidR="0037795D" w:rsidRPr="0037795D" w:rsidRDefault="0037795D" w:rsidP="0062389F">
            <w:pPr>
              <w:keepNext/>
              <w:keepLines/>
              <w:tabs>
                <w:tab w:val="clear" w:pos="567"/>
              </w:tabs>
              <w:spacing w:before="0" w:line="240" w:lineRule="auto"/>
              <w:jc w:val="right"/>
              <w:rPr>
                <w:rFonts w:ascii="Times New Roman" w:eastAsia="Times New Roman" w:hAnsi="Times New Roman" w:cs="Times New Roman"/>
                <w:szCs w:val="20"/>
                <w:lang w:eastAsia="en-AU"/>
              </w:rPr>
            </w:pPr>
          </w:p>
        </w:tc>
      </w:tr>
      <w:tr w:rsidR="0037795D" w:rsidRPr="0037795D" w14:paraId="2FFEA61E" w14:textId="77777777" w:rsidTr="0037795D">
        <w:trPr>
          <w:trHeight w:val="315"/>
        </w:trPr>
        <w:tc>
          <w:tcPr>
            <w:tcW w:w="1500" w:type="dxa"/>
            <w:tcBorders>
              <w:top w:val="single" w:sz="4" w:space="0" w:color="ADD6EA"/>
              <w:left w:val="nil"/>
              <w:bottom w:val="single" w:sz="4" w:space="0" w:color="ADD6EA"/>
              <w:right w:val="nil"/>
            </w:tcBorders>
            <w:shd w:val="clear" w:color="auto" w:fill="auto"/>
            <w:vAlign w:val="bottom"/>
            <w:hideMark/>
          </w:tcPr>
          <w:p w14:paraId="5853C692" w14:textId="77777777" w:rsidR="0037795D" w:rsidRPr="0037795D" w:rsidRDefault="0037795D" w:rsidP="0062389F">
            <w:pPr>
              <w:keepNext/>
              <w:keepLines/>
              <w:tabs>
                <w:tab w:val="clear" w:pos="567"/>
              </w:tabs>
              <w:spacing w:before="0" w:line="240" w:lineRule="auto"/>
              <w:ind w:firstLineChars="100" w:firstLine="160"/>
              <w:rPr>
                <w:rFonts w:eastAsia="Times New Roman" w:cs="Open Sans Light"/>
                <w:sz w:val="16"/>
                <w:szCs w:val="16"/>
                <w:lang w:eastAsia="en-AU"/>
              </w:rPr>
            </w:pPr>
            <w:r w:rsidRPr="0037795D">
              <w:rPr>
                <w:rFonts w:eastAsia="Times New Roman" w:cs="Open Sans Light"/>
                <w:sz w:val="16"/>
                <w:szCs w:val="16"/>
                <w:lang w:eastAsia="en-AU"/>
              </w:rPr>
              <w:t>2017-18</w:t>
            </w:r>
          </w:p>
        </w:tc>
        <w:tc>
          <w:tcPr>
            <w:tcW w:w="1100" w:type="dxa"/>
            <w:tcBorders>
              <w:top w:val="single" w:sz="4" w:space="0" w:color="ADD6EA"/>
              <w:left w:val="nil"/>
              <w:bottom w:val="single" w:sz="4" w:space="0" w:color="ADD6EA"/>
              <w:right w:val="nil"/>
            </w:tcBorders>
            <w:shd w:val="clear" w:color="auto" w:fill="auto"/>
            <w:vAlign w:val="bottom"/>
            <w:hideMark/>
          </w:tcPr>
          <w:p w14:paraId="20F5C50E"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0.9%</w:t>
            </w:r>
          </w:p>
        </w:tc>
        <w:tc>
          <w:tcPr>
            <w:tcW w:w="940" w:type="dxa"/>
            <w:tcBorders>
              <w:top w:val="single" w:sz="4" w:space="0" w:color="ADD6EA"/>
              <w:left w:val="nil"/>
              <w:bottom w:val="single" w:sz="4" w:space="0" w:color="ADD6EA"/>
              <w:right w:val="nil"/>
            </w:tcBorders>
            <w:shd w:val="clear" w:color="auto" w:fill="auto"/>
            <w:vAlign w:val="bottom"/>
            <w:hideMark/>
          </w:tcPr>
          <w:p w14:paraId="0F9560C9"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0.6%</w:t>
            </w:r>
          </w:p>
        </w:tc>
        <w:tc>
          <w:tcPr>
            <w:tcW w:w="980" w:type="dxa"/>
            <w:tcBorders>
              <w:top w:val="single" w:sz="4" w:space="0" w:color="ADD6EA"/>
              <w:left w:val="nil"/>
              <w:bottom w:val="single" w:sz="4" w:space="0" w:color="ADD6EA"/>
              <w:right w:val="nil"/>
            </w:tcBorders>
            <w:shd w:val="clear" w:color="auto" w:fill="auto"/>
            <w:vAlign w:val="bottom"/>
            <w:hideMark/>
          </w:tcPr>
          <w:p w14:paraId="70AEC96C"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-0.6%</w:t>
            </w:r>
          </w:p>
        </w:tc>
        <w:tc>
          <w:tcPr>
            <w:tcW w:w="980" w:type="dxa"/>
            <w:tcBorders>
              <w:top w:val="single" w:sz="4" w:space="0" w:color="ADD6EA"/>
              <w:left w:val="nil"/>
              <w:bottom w:val="single" w:sz="4" w:space="0" w:color="ADD6EA"/>
              <w:right w:val="nil"/>
            </w:tcBorders>
            <w:shd w:val="clear" w:color="auto" w:fill="auto"/>
            <w:vAlign w:val="bottom"/>
            <w:hideMark/>
          </w:tcPr>
          <w:p w14:paraId="7C721C3B"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-1.1%</w:t>
            </w:r>
          </w:p>
        </w:tc>
        <w:tc>
          <w:tcPr>
            <w:tcW w:w="900" w:type="dxa"/>
            <w:tcBorders>
              <w:top w:val="single" w:sz="4" w:space="0" w:color="ADD6EA"/>
              <w:left w:val="nil"/>
              <w:bottom w:val="single" w:sz="4" w:space="0" w:color="ADD6EA"/>
              <w:right w:val="nil"/>
            </w:tcBorders>
            <w:shd w:val="clear" w:color="auto" w:fill="auto"/>
            <w:vAlign w:val="bottom"/>
            <w:hideMark/>
          </w:tcPr>
          <w:p w14:paraId="40B20822"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-4.0%</w:t>
            </w:r>
          </w:p>
        </w:tc>
        <w:tc>
          <w:tcPr>
            <w:tcW w:w="960" w:type="dxa"/>
            <w:tcBorders>
              <w:top w:val="single" w:sz="4" w:space="0" w:color="ADD6EA"/>
              <w:left w:val="nil"/>
              <w:bottom w:val="single" w:sz="4" w:space="0" w:color="ADD6EA"/>
              <w:right w:val="nil"/>
            </w:tcBorders>
            <w:shd w:val="clear" w:color="auto" w:fill="auto"/>
            <w:vAlign w:val="bottom"/>
            <w:hideMark/>
          </w:tcPr>
          <w:p w14:paraId="08EECE35"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-4.6%</w:t>
            </w:r>
          </w:p>
        </w:tc>
        <w:tc>
          <w:tcPr>
            <w:tcW w:w="1000" w:type="dxa"/>
            <w:tcBorders>
              <w:top w:val="single" w:sz="4" w:space="0" w:color="ADD6EA"/>
              <w:left w:val="nil"/>
              <w:bottom w:val="single" w:sz="4" w:space="0" w:color="ADD6EA"/>
              <w:right w:val="nil"/>
            </w:tcBorders>
            <w:shd w:val="clear" w:color="auto" w:fill="auto"/>
            <w:vAlign w:val="bottom"/>
            <w:hideMark/>
          </w:tcPr>
          <w:p w14:paraId="4C69702A"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7.6%</w:t>
            </w:r>
          </w:p>
        </w:tc>
        <w:tc>
          <w:tcPr>
            <w:tcW w:w="920" w:type="dxa"/>
            <w:tcBorders>
              <w:top w:val="single" w:sz="4" w:space="0" w:color="ADD6EA"/>
              <w:left w:val="nil"/>
              <w:bottom w:val="single" w:sz="4" w:space="0" w:color="ADD6EA"/>
              <w:right w:val="nil"/>
            </w:tcBorders>
            <w:shd w:val="clear" w:color="auto" w:fill="auto"/>
            <w:vAlign w:val="bottom"/>
            <w:hideMark/>
          </w:tcPr>
          <w:p w14:paraId="0400DBD8"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4.7%</w:t>
            </w:r>
          </w:p>
        </w:tc>
      </w:tr>
      <w:tr w:rsidR="0037795D" w:rsidRPr="0037795D" w14:paraId="5D600184" w14:textId="77777777" w:rsidTr="0037795D">
        <w:trPr>
          <w:trHeight w:val="315"/>
        </w:trPr>
        <w:tc>
          <w:tcPr>
            <w:tcW w:w="1500" w:type="dxa"/>
            <w:tcBorders>
              <w:top w:val="nil"/>
              <w:left w:val="nil"/>
              <w:bottom w:val="single" w:sz="4" w:space="0" w:color="ADD6EA"/>
              <w:right w:val="nil"/>
            </w:tcBorders>
            <w:shd w:val="clear" w:color="auto" w:fill="auto"/>
            <w:vAlign w:val="bottom"/>
            <w:hideMark/>
          </w:tcPr>
          <w:p w14:paraId="57378CA9" w14:textId="77777777" w:rsidR="0037795D" w:rsidRPr="0037795D" w:rsidRDefault="0037795D" w:rsidP="0062389F">
            <w:pPr>
              <w:keepNext/>
              <w:keepLines/>
              <w:tabs>
                <w:tab w:val="clear" w:pos="567"/>
              </w:tabs>
              <w:spacing w:before="0" w:line="240" w:lineRule="auto"/>
              <w:ind w:firstLineChars="100" w:firstLine="160"/>
              <w:rPr>
                <w:rFonts w:eastAsia="Times New Roman" w:cs="Open Sans Light"/>
                <w:sz w:val="16"/>
                <w:szCs w:val="16"/>
                <w:lang w:eastAsia="en-AU"/>
              </w:rPr>
            </w:pPr>
            <w:r w:rsidRPr="0037795D">
              <w:rPr>
                <w:rFonts w:eastAsia="Times New Roman" w:cs="Open Sans Light"/>
                <w:sz w:val="16"/>
                <w:szCs w:val="16"/>
                <w:lang w:eastAsia="en-AU"/>
              </w:rPr>
              <w:t>2018-19</w:t>
            </w:r>
          </w:p>
        </w:tc>
        <w:tc>
          <w:tcPr>
            <w:tcW w:w="1100" w:type="dxa"/>
            <w:tcBorders>
              <w:top w:val="nil"/>
              <w:left w:val="nil"/>
              <w:bottom w:val="single" w:sz="4" w:space="0" w:color="ADD6EA"/>
              <w:right w:val="nil"/>
            </w:tcBorders>
            <w:shd w:val="clear" w:color="auto" w:fill="auto"/>
            <w:vAlign w:val="bottom"/>
            <w:hideMark/>
          </w:tcPr>
          <w:p w14:paraId="091C1F57"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1.0%</w:t>
            </w:r>
          </w:p>
        </w:tc>
        <w:tc>
          <w:tcPr>
            <w:tcW w:w="940" w:type="dxa"/>
            <w:tcBorders>
              <w:top w:val="nil"/>
              <w:left w:val="nil"/>
              <w:bottom w:val="single" w:sz="4" w:space="0" w:color="ADD6EA"/>
              <w:right w:val="nil"/>
            </w:tcBorders>
            <w:shd w:val="clear" w:color="auto" w:fill="auto"/>
            <w:vAlign w:val="bottom"/>
            <w:hideMark/>
          </w:tcPr>
          <w:p w14:paraId="16EB0E52"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-0.9%</w:t>
            </w:r>
          </w:p>
        </w:tc>
        <w:tc>
          <w:tcPr>
            <w:tcW w:w="980" w:type="dxa"/>
            <w:tcBorders>
              <w:top w:val="nil"/>
              <w:left w:val="nil"/>
              <w:bottom w:val="single" w:sz="4" w:space="0" w:color="ADD6EA"/>
              <w:right w:val="nil"/>
            </w:tcBorders>
            <w:shd w:val="clear" w:color="auto" w:fill="auto"/>
            <w:vAlign w:val="bottom"/>
            <w:hideMark/>
          </w:tcPr>
          <w:p w14:paraId="52911EBA"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-0.7%</w:t>
            </w:r>
          </w:p>
        </w:tc>
        <w:tc>
          <w:tcPr>
            <w:tcW w:w="980" w:type="dxa"/>
            <w:tcBorders>
              <w:top w:val="nil"/>
              <w:left w:val="nil"/>
              <w:bottom w:val="single" w:sz="4" w:space="0" w:color="ADD6EA"/>
              <w:right w:val="nil"/>
            </w:tcBorders>
            <w:shd w:val="clear" w:color="auto" w:fill="auto"/>
            <w:vAlign w:val="bottom"/>
            <w:hideMark/>
          </w:tcPr>
          <w:p w14:paraId="2454B597"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2.8%</w:t>
            </w:r>
          </w:p>
        </w:tc>
        <w:tc>
          <w:tcPr>
            <w:tcW w:w="900" w:type="dxa"/>
            <w:tcBorders>
              <w:top w:val="nil"/>
              <w:left w:val="nil"/>
              <w:bottom w:val="single" w:sz="4" w:space="0" w:color="ADD6EA"/>
              <w:right w:val="nil"/>
            </w:tcBorders>
            <w:shd w:val="clear" w:color="auto" w:fill="auto"/>
            <w:vAlign w:val="bottom"/>
            <w:hideMark/>
          </w:tcPr>
          <w:p w14:paraId="60C72A89"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-3.4%</w:t>
            </w:r>
          </w:p>
        </w:tc>
        <w:tc>
          <w:tcPr>
            <w:tcW w:w="960" w:type="dxa"/>
            <w:tcBorders>
              <w:top w:val="nil"/>
              <w:left w:val="nil"/>
              <w:bottom w:val="single" w:sz="4" w:space="0" w:color="ADD6EA"/>
              <w:right w:val="nil"/>
            </w:tcBorders>
            <w:shd w:val="clear" w:color="auto" w:fill="auto"/>
            <w:vAlign w:val="bottom"/>
            <w:hideMark/>
          </w:tcPr>
          <w:p w14:paraId="53B7AAF3"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-4.4%</w:t>
            </w:r>
          </w:p>
        </w:tc>
        <w:tc>
          <w:tcPr>
            <w:tcW w:w="1000" w:type="dxa"/>
            <w:tcBorders>
              <w:top w:val="nil"/>
              <w:left w:val="nil"/>
              <w:bottom w:val="single" w:sz="4" w:space="0" w:color="ADD6EA"/>
              <w:right w:val="nil"/>
            </w:tcBorders>
            <w:shd w:val="clear" w:color="auto" w:fill="auto"/>
            <w:vAlign w:val="bottom"/>
            <w:hideMark/>
          </w:tcPr>
          <w:p w14:paraId="48261CAB"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3.0%</w:t>
            </w:r>
          </w:p>
        </w:tc>
        <w:tc>
          <w:tcPr>
            <w:tcW w:w="920" w:type="dxa"/>
            <w:tcBorders>
              <w:top w:val="nil"/>
              <w:left w:val="nil"/>
              <w:bottom w:val="single" w:sz="4" w:space="0" w:color="ADD6EA"/>
              <w:right w:val="nil"/>
            </w:tcBorders>
            <w:shd w:val="clear" w:color="auto" w:fill="auto"/>
            <w:vAlign w:val="bottom"/>
            <w:hideMark/>
          </w:tcPr>
          <w:p w14:paraId="7926B7A4"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4.6%</w:t>
            </w:r>
          </w:p>
        </w:tc>
      </w:tr>
      <w:tr w:rsidR="0037795D" w:rsidRPr="0037795D" w14:paraId="49A9191A" w14:textId="77777777" w:rsidTr="0037795D">
        <w:trPr>
          <w:trHeight w:val="315"/>
        </w:trPr>
        <w:tc>
          <w:tcPr>
            <w:tcW w:w="1500" w:type="dxa"/>
            <w:tcBorders>
              <w:top w:val="nil"/>
              <w:left w:val="nil"/>
              <w:bottom w:val="nil"/>
              <w:right w:val="nil"/>
            </w:tcBorders>
            <w:shd w:val="clear" w:color="auto" w:fill="auto"/>
            <w:noWrap/>
            <w:vAlign w:val="bottom"/>
            <w:hideMark/>
          </w:tcPr>
          <w:p w14:paraId="4727175E" w14:textId="77777777" w:rsidR="0037795D" w:rsidRPr="0037795D" w:rsidRDefault="0037795D" w:rsidP="0062389F">
            <w:pPr>
              <w:keepNext/>
              <w:keepLines/>
              <w:tabs>
                <w:tab w:val="clear" w:pos="567"/>
              </w:tabs>
              <w:spacing w:before="0" w:line="240" w:lineRule="auto"/>
              <w:rPr>
                <w:rFonts w:eastAsia="Times New Roman" w:cs="Open Sans Light"/>
                <w:sz w:val="16"/>
                <w:szCs w:val="16"/>
                <w:lang w:eastAsia="en-AU"/>
              </w:rPr>
            </w:pPr>
            <w:r w:rsidRPr="0037795D">
              <w:rPr>
                <w:rFonts w:eastAsia="Times New Roman" w:cs="Open Sans Light"/>
                <w:sz w:val="16"/>
                <w:szCs w:val="16"/>
                <w:lang w:eastAsia="en-AU"/>
              </w:rPr>
              <w:t>Revised</w:t>
            </w:r>
          </w:p>
        </w:tc>
        <w:tc>
          <w:tcPr>
            <w:tcW w:w="1100" w:type="dxa"/>
            <w:tcBorders>
              <w:top w:val="nil"/>
              <w:left w:val="nil"/>
              <w:bottom w:val="nil"/>
              <w:right w:val="nil"/>
            </w:tcBorders>
            <w:shd w:val="clear" w:color="auto" w:fill="auto"/>
            <w:noWrap/>
            <w:vAlign w:val="bottom"/>
            <w:hideMark/>
          </w:tcPr>
          <w:p w14:paraId="41B85900" w14:textId="77777777" w:rsidR="0037795D" w:rsidRPr="0037795D" w:rsidRDefault="0037795D" w:rsidP="0062389F">
            <w:pPr>
              <w:keepNext/>
              <w:keepLines/>
              <w:tabs>
                <w:tab w:val="clear" w:pos="567"/>
              </w:tabs>
              <w:spacing w:before="0" w:line="240" w:lineRule="auto"/>
              <w:rPr>
                <w:rFonts w:eastAsia="Times New Roman" w:cs="Open Sans Light"/>
                <w:sz w:val="16"/>
                <w:szCs w:val="16"/>
                <w:lang w:eastAsia="en-AU"/>
              </w:rPr>
            </w:pPr>
          </w:p>
        </w:tc>
        <w:tc>
          <w:tcPr>
            <w:tcW w:w="940" w:type="dxa"/>
            <w:tcBorders>
              <w:top w:val="nil"/>
              <w:left w:val="nil"/>
              <w:bottom w:val="nil"/>
              <w:right w:val="nil"/>
            </w:tcBorders>
            <w:shd w:val="clear" w:color="auto" w:fill="auto"/>
            <w:noWrap/>
            <w:vAlign w:val="bottom"/>
            <w:hideMark/>
          </w:tcPr>
          <w:p w14:paraId="583B2566" w14:textId="77777777" w:rsidR="0037795D" w:rsidRPr="0037795D" w:rsidRDefault="0037795D" w:rsidP="0062389F">
            <w:pPr>
              <w:keepNext/>
              <w:keepLines/>
              <w:tabs>
                <w:tab w:val="clear" w:pos="567"/>
              </w:tabs>
              <w:spacing w:before="0" w:line="240" w:lineRule="auto"/>
              <w:jc w:val="right"/>
              <w:rPr>
                <w:rFonts w:ascii="Times New Roman" w:eastAsia="Times New Roman" w:hAnsi="Times New Roman" w:cs="Times New Roman"/>
                <w:szCs w:val="20"/>
                <w:lang w:eastAsia="en-AU"/>
              </w:rPr>
            </w:pPr>
          </w:p>
        </w:tc>
        <w:tc>
          <w:tcPr>
            <w:tcW w:w="980" w:type="dxa"/>
            <w:tcBorders>
              <w:top w:val="nil"/>
              <w:left w:val="nil"/>
              <w:bottom w:val="nil"/>
              <w:right w:val="nil"/>
            </w:tcBorders>
            <w:shd w:val="clear" w:color="auto" w:fill="auto"/>
            <w:noWrap/>
            <w:vAlign w:val="bottom"/>
            <w:hideMark/>
          </w:tcPr>
          <w:p w14:paraId="70169012" w14:textId="77777777" w:rsidR="0037795D" w:rsidRPr="0037795D" w:rsidRDefault="0037795D" w:rsidP="0062389F">
            <w:pPr>
              <w:keepNext/>
              <w:keepLines/>
              <w:tabs>
                <w:tab w:val="clear" w:pos="567"/>
              </w:tabs>
              <w:spacing w:before="0" w:line="240" w:lineRule="auto"/>
              <w:jc w:val="right"/>
              <w:rPr>
                <w:rFonts w:ascii="Times New Roman" w:eastAsia="Times New Roman" w:hAnsi="Times New Roman" w:cs="Times New Roman"/>
                <w:szCs w:val="20"/>
                <w:lang w:eastAsia="en-AU"/>
              </w:rPr>
            </w:pPr>
          </w:p>
        </w:tc>
        <w:tc>
          <w:tcPr>
            <w:tcW w:w="980" w:type="dxa"/>
            <w:tcBorders>
              <w:top w:val="nil"/>
              <w:left w:val="nil"/>
              <w:bottom w:val="nil"/>
              <w:right w:val="nil"/>
            </w:tcBorders>
            <w:shd w:val="clear" w:color="auto" w:fill="auto"/>
            <w:noWrap/>
            <w:vAlign w:val="bottom"/>
            <w:hideMark/>
          </w:tcPr>
          <w:p w14:paraId="2CA1F076" w14:textId="77777777" w:rsidR="0037795D" w:rsidRPr="0037795D" w:rsidRDefault="0037795D" w:rsidP="0062389F">
            <w:pPr>
              <w:keepNext/>
              <w:keepLines/>
              <w:tabs>
                <w:tab w:val="clear" w:pos="567"/>
              </w:tabs>
              <w:spacing w:before="0" w:line="240" w:lineRule="auto"/>
              <w:jc w:val="right"/>
              <w:rPr>
                <w:rFonts w:ascii="Times New Roman" w:eastAsia="Times New Roman" w:hAnsi="Times New Roman" w:cs="Times New Roman"/>
                <w:szCs w:val="20"/>
                <w:lang w:eastAsia="en-AU"/>
              </w:rPr>
            </w:pPr>
          </w:p>
        </w:tc>
        <w:tc>
          <w:tcPr>
            <w:tcW w:w="900" w:type="dxa"/>
            <w:tcBorders>
              <w:top w:val="nil"/>
              <w:left w:val="nil"/>
              <w:bottom w:val="nil"/>
              <w:right w:val="nil"/>
            </w:tcBorders>
            <w:shd w:val="clear" w:color="auto" w:fill="auto"/>
            <w:noWrap/>
            <w:vAlign w:val="bottom"/>
            <w:hideMark/>
          </w:tcPr>
          <w:p w14:paraId="5B92A453" w14:textId="77777777" w:rsidR="0037795D" w:rsidRPr="0037795D" w:rsidRDefault="0037795D" w:rsidP="0062389F">
            <w:pPr>
              <w:keepNext/>
              <w:keepLines/>
              <w:tabs>
                <w:tab w:val="clear" w:pos="567"/>
              </w:tabs>
              <w:spacing w:before="0" w:line="240" w:lineRule="auto"/>
              <w:jc w:val="right"/>
              <w:rPr>
                <w:rFonts w:ascii="Times New Roman" w:eastAsia="Times New Roman" w:hAnsi="Times New Roman" w:cs="Times New Roman"/>
                <w:szCs w:val="20"/>
                <w:lang w:eastAsia="en-AU"/>
              </w:rPr>
            </w:pPr>
          </w:p>
        </w:tc>
        <w:tc>
          <w:tcPr>
            <w:tcW w:w="960" w:type="dxa"/>
            <w:tcBorders>
              <w:top w:val="nil"/>
              <w:left w:val="nil"/>
              <w:bottom w:val="nil"/>
              <w:right w:val="nil"/>
            </w:tcBorders>
            <w:shd w:val="clear" w:color="auto" w:fill="auto"/>
            <w:noWrap/>
            <w:vAlign w:val="bottom"/>
            <w:hideMark/>
          </w:tcPr>
          <w:p w14:paraId="23B6EC9B" w14:textId="77777777" w:rsidR="0037795D" w:rsidRPr="0037795D" w:rsidRDefault="0037795D" w:rsidP="0062389F">
            <w:pPr>
              <w:keepNext/>
              <w:keepLines/>
              <w:tabs>
                <w:tab w:val="clear" w:pos="567"/>
              </w:tabs>
              <w:spacing w:before="0" w:line="240" w:lineRule="auto"/>
              <w:jc w:val="right"/>
              <w:rPr>
                <w:rFonts w:ascii="Times New Roman" w:eastAsia="Times New Roman" w:hAnsi="Times New Roman" w:cs="Times New Roman"/>
                <w:szCs w:val="20"/>
                <w:lang w:eastAsia="en-AU"/>
              </w:rPr>
            </w:pPr>
          </w:p>
        </w:tc>
        <w:tc>
          <w:tcPr>
            <w:tcW w:w="1000" w:type="dxa"/>
            <w:tcBorders>
              <w:top w:val="nil"/>
              <w:left w:val="nil"/>
              <w:bottom w:val="nil"/>
              <w:right w:val="nil"/>
            </w:tcBorders>
            <w:shd w:val="clear" w:color="auto" w:fill="auto"/>
            <w:noWrap/>
            <w:vAlign w:val="bottom"/>
            <w:hideMark/>
          </w:tcPr>
          <w:p w14:paraId="3B9FB1BA" w14:textId="77777777" w:rsidR="0037795D" w:rsidRPr="0037795D" w:rsidRDefault="0037795D" w:rsidP="0062389F">
            <w:pPr>
              <w:keepNext/>
              <w:keepLines/>
              <w:tabs>
                <w:tab w:val="clear" w:pos="567"/>
              </w:tabs>
              <w:spacing w:before="0" w:line="240" w:lineRule="auto"/>
              <w:jc w:val="right"/>
              <w:rPr>
                <w:rFonts w:ascii="Times New Roman" w:eastAsia="Times New Roman" w:hAnsi="Times New Roman" w:cs="Times New Roman"/>
                <w:szCs w:val="20"/>
                <w:lang w:eastAsia="en-AU"/>
              </w:rPr>
            </w:pPr>
          </w:p>
        </w:tc>
        <w:tc>
          <w:tcPr>
            <w:tcW w:w="920" w:type="dxa"/>
            <w:tcBorders>
              <w:top w:val="nil"/>
              <w:left w:val="nil"/>
              <w:bottom w:val="nil"/>
              <w:right w:val="nil"/>
            </w:tcBorders>
            <w:shd w:val="clear" w:color="auto" w:fill="auto"/>
            <w:noWrap/>
            <w:vAlign w:val="bottom"/>
            <w:hideMark/>
          </w:tcPr>
          <w:p w14:paraId="787207FB" w14:textId="77777777" w:rsidR="0037795D" w:rsidRPr="0037795D" w:rsidRDefault="0037795D" w:rsidP="0062389F">
            <w:pPr>
              <w:keepNext/>
              <w:keepLines/>
              <w:tabs>
                <w:tab w:val="clear" w:pos="567"/>
              </w:tabs>
              <w:spacing w:before="0" w:line="240" w:lineRule="auto"/>
              <w:jc w:val="right"/>
              <w:rPr>
                <w:rFonts w:ascii="Times New Roman" w:eastAsia="Times New Roman" w:hAnsi="Times New Roman" w:cs="Times New Roman"/>
                <w:szCs w:val="20"/>
                <w:lang w:eastAsia="en-AU"/>
              </w:rPr>
            </w:pPr>
          </w:p>
        </w:tc>
      </w:tr>
      <w:tr w:rsidR="0037795D" w:rsidRPr="0037795D" w14:paraId="61330D95" w14:textId="77777777" w:rsidTr="0037795D">
        <w:trPr>
          <w:trHeight w:val="315"/>
        </w:trPr>
        <w:tc>
          <w:tcPr>
            <w:tcW w:w="1500" w:type="dxa"/>
            <w:tcBorders>
              <w:top w:val="single" w:sz="4" w:space="0" w:color="ADD6EA"/>
              <w:left w:val="nil"/>
              <w:bottom w:val="single" w:sz="4" w:space="0" w:color="ADD6EA"/>
              <w:right w:val="nil"/>
            </w:tcBorders>
            <w:shd w:val="clear" w:color="auto" w:fill="auto"/>
            <w:vAlign w:val="bottom"/>
            <w:hideMark/>
          </w:tcPr>
          <w:p w14:paraId="7734CA17" w14:textId="77777777" w:rsidR="0037795D" w:rsidRPr="0037795D" w:rsidRDefault="0037795D" w:rsidP="0062389F">
            <w:pPr>
              <w:keepNext/>
              <w:keepLines/>
              <w:tabs>
                <w:tab w:val="clear" w:pos="567"/>
              </w:tabs>
              <w:spacing w:before="0" w:line="240" w:lineRule="auto"/>
              <w:ind w:firstLineChars="100" w:firstLine="160"/>
              <w:rPr>
                <w:rFonts w:eastAsia="Times New Roman" w:cs="Open Sans Light"/>
                <w:sz w:val="16"/>
                <w:szCs w:val="16"/>
                <w:lang w:eastAsia="en-AU"/>
              </w:rPr>
            </w:pPr>
            <w:r w:rsidRPr="0037795D">
              <w:rPr>
                <w:rFonts w:eastAsia="Times New Roman" w:cs="Open Sans Light"/>
                <w:sz w:val="16"/>
                <w:szCs w:val="16"/>
                <w:lang w:eastAsia="en-AU"/>
              </w:rPr>
              <w:t>2017-18</w:t>
            </w:r>
          </w:p>
        </w:tc>
        <w:tc>
          <w:tcPr>
            <w:tcW w:w="1100" w:type="dxa"/>
            <w:tcBorders>
              <w:top w:val="single" w:sz="4" w:space="0" w:color="ADD6EA"/>
              <w:left w:val="nil"/>
              <w:bottom w:val="single" w:sz="4" w:space="0" w:color="ADD6EA"/>
              <w:right w:val="nil"/>
            </w:tcBorders>
            <w:shd w:val="clear" w:color="auto" w:fill="auto"/>
            <w:vAlign w:val="bottom"/>
            <w:hideMark/>
          </w:tcPr>
          <w:p w14:paraId="3F39D7C8"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1.3%</w:t>
            </w:r>
          </w:p>
        </w:tc>
        <w:tc>
          <w:tcPr>
            <w:tcW w:w="940" w:type="dxa"/>
            <w:tcBorders>
              <w:top w:val="single" w:sz="4" w:space="0" w:color="ADD6EA"/>
              <w:left w:val="nil"/>
              <w:bottom w:val="single" w:sz="4" w:space="0" w:color="ADD6EA"/>
              <w:right w:val="nil"/>
            </w:tcBorders>
            <w:shd w:val="clear" w:color="auto" w:fill="auto"/>
            <w:vAlign w:val="bottom"/>
            <w:hideMark/>
          </w:tcPr>
          <w:p w14:paraId="2917DE36"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0.0%</w:t>
            </w:r>
          </w:p>
        </w:tc>
        <w:tc>
          <w:tcPr>
            <w:tcW w:w="980" w:type="dxa"/>
            <w:tcBorders>
              <w:top w:val="single" w:sz="4" w:space="0" w:color="ADD6EA"/>
              <w:left w:val="nil"/>
              <w:bottom w:val="single" w:sz="4" w:space="0" w:color="ADD6EA"/>
              <w:right w:val="nil"/>
            </w:tcBorders>
            <w:shd w:val="clear" w:color="auto" w:fill="auto"/>
            <w:vAlign w:val="bottom"/>
            <w:hideMark/>
          </w:tcPr>
          <w:p w14:paraId="13B48D32"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-0.3%</w:t>
            </w:r>
          </w:p>
        </w:tc>
        <w:tc>
          <w:tcPr>
            <w:tcW w:w="980" w:type="dxa"/>
            <w:tcBorders>
              <w:top w:val="single" w:sz="4" w:space="0" w:color="ADD6EA"/>
              <w:left w:val="nil"/>
              <w:bottom w:val="single" w:sz="4" w:space="0" w:color="ADD6EA"/>
              <w:right w:val="nil"/>
            </w:tcBorders>
            <w:shd w:val="clear" w:color="auto" w:fill="auto"/>
            <w:vAlign w:val="bottom"/>
            <w:hideMark/>
          </w:tcPr>
          <w:p w14:paraId="109966E6"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-0.2%</w:t>
            </w:r>
          </w:p>
        </w:tc>
        <w:tc>
          <w:tcPr>
            <w:tcW w:w="900" w:type="dxa"/>
            <w:tcBorders>
              <w:top w:val="single" w:sz="4" w:space="0" w:color="ADD6EA"/>
              <w:left w:val="nil"/>
              <w:bottom w:val="single" w:sz="4" w:space="0" w:color="ADD6EA"/>
              <w:right w:val="nil"/>
            </w:tcBorders>
            <w:shd w:val="clear" w:color="auto" w:fill="auto"/>
            <w:vAlign w:val="bottom"/>
            <w:hideMark/>
          </w:tcPr>
          <w:p w14:paraId="680D2DB7"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-5.6%</w:t>
            </w:r>
          </w:p>
        </w:tc>
        <w:tc>
          <w:tcPr>
            <w:tcW w:w="960" w:type="dxa"/>
            <w:tcBorders>
              <w:top w:val="single" w:sz="4" w:space="0" w:color="ADD6EA"/>
              <w:left w:val="nil"/>
              <w:bottom w:val="single" w:sz="4" w:space="0" w:color="ADD6EA"/>
              <w:right w:val="nil"/>
            </w:tcBorders>
            <w:shd w:val="clear" w:color="auto" w:fill="auto"/>
            <w:vAlign w:val="bottom"/>
            <w:hideMark/>
          </w:tcPr>
          <w:p w14:paraId="5C9FAD1B"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-5.5%</w:t>
            </w:r>
          </w:p>
        </w:tc>
        <w:tc>
          <w:tcPr>
            <w:tcW w:w="1000" w:type="dxa"/>
            <w:tcBorders>
              <w:top w:val="single" w:sz="4" w:space="0" w:color="ADD6EA"/>
              <w:left w:val="nil"/>
              <w:bottom w:val="single" w:sz="4" w:space="0" w:color="ADD6EA"/>
              <w:right w:val="nil"/>
            </w:tcBorders>
            <w:shd w:val="clear" w:color="auto" w:fill="auto"/>
            <w:vAlign w:val="bottom"/>
            <w:hideMark/>
          </w:tcPr>
          <w:p w14:paraId="74C0C6A9"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7.5%</w:t>
            </w:r>
          </w:p>
        </w:tc>
        <w:tc>
          <w:tcPr>
            <w:tcW w:w="920" w:type="dxa"/>
            <w:tcBorders>
              <w:top w:val="single" w:sz="4" w:space="0" w:color="ADD6EA"/>
              <w:left w:val="nil"/>
              <w:bottom w:val="single" w:sz="4" w:space="0" w:color="ADD6EA"/>
              <w:right w:val="nil"/>
            </w:tcBorders>
            <w:shd w:val="clear" w:color="auto" w:fill="auto"/>
            <w:vAlign w:val="bottom"/>
            <w:hideMark/>
          </w:tcPr>
          <w:p w14:paraId="22924A24"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4.7%</w:t>
            </w:r>
          </w:p>
        </w:tc>
      </w:tr>
      <w:tr w:rsidR="0037795D" w:rsidRPr="0037795D" w14:paraId="18153BC2" w14:textId="77777777" w:rsidTr="0037795D">
        <w:trPr>
          <w:trHeight w:val="315"/>
        </w:trPr>
        <w:tc>
          <w:tcPr>
            <w:tcW w:w="1500" w:type="dxa"/>
            <w:tcBorders>
              <w:top w:val="nil"/>
              <w:left w:val="nil"/>
              <w:bottom w:val="single" w:sz="4" w:space="0" w:color="ADD6EA"/>
              <w:right w:val="nil"/>
            </w:tcBorders>
            <w:shd w:val="clear" w:color="auto" w:fill="auto"/>
            <w:vAlign w:val="bottom"/>
            <w:hideMark/>
          </w:tcPr>
          <w:p w14:paraId="7E9D0A68" w14:textId="77777777" w:rsidR="0037795D" w:rsidRPr="0037795D" w:rsidRDefault="0037795D" w:rsidP="0062389F">
            <w:pPr>
              <w:keepNext/>
              <w:keepLines/>
              <w:tabs>
                <w:tab w:val="clear" w:pos="567"/>
              </w:tabs>
              <w:spacing w:before="0" w:line="240" w:lineRule="auto"/>
              <w:ind w:firstLineChars="100" w:firstLine="160"/>
              <w:rPr>
                <w:rFonts w:eastAsia="Times New Roman" w:cs="Open Sans Light"/>
                <w:sz w:val="16"/>
                <w:szCs w:val="16"/>
                <w:lang w:eastAsia="en-AU"/>
              </w:rPr>
            </w:pPr>
            <w:r w:rsidRPr="0037795D">
              <w:rPr>
                <w:rFonts w:eastAsia="Times New Roman" w:cs="Open Sans Light"/>
                <w:sz w:val="16"/>
                <w:szCs w:val="16"/>
                <w:lang w:eastAsia="en-AU"/>
              </w:rPr>
              <w:t>2018-19</w:t>
            </w:r>
          </w:p>
        </w:tc>
        <w:tc>
          <w:tcPr>
            <w:tcW w:w="1100" w:type="dxa"/>
            <w:tcBorders>
              <w:top w:val="nil"/>
              <w:left w:val="nil"/>
              <w:bottom w:val="single" w:sz="4" w:space="0" w:color="ADD6EA"/>
              <w:right w:val="nil"/>
            </w:tcBorders>
            <w:shd w:val="clear" w:color="auto" w:fill="auto"/>
            <w:vAlign w:val="bottom"/>
            <w:hideMark/>
          </w:tcPr>
          <w:p w14:paraId="69A52C98"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1.4%</w:t>
            </w:r>
          </w:p>
        </w:tc>
        <w:tc>
          <w:tcPr>
            <w:tcW w:w="940" w:type="dxa"/>
            <w:tcBorders>
              <w:top w:val="nil"/>
              <w:left w:val="nil"/>
              <w:bottom w:val="single" w:sz="4" w:space="0" w:color="ADD6EA"/>
              <w:right w:val="nil"/>
            </w:tcBorders>
            <w:shd w:val="clear" w:color="auto" w:fill="auto"/>
            <w:vAlign w:val="bottom"/>
            <w:hideMark/>
          </w:tcPr>
          <w:p w14:paraId="00ACA3F5"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-0.9%</w:t>
            </w:r>
          </w:p>
        </w:tc>
        <w:tc>
          <w:tcPr>
            <w:tcW w:w="980" w:type="dxa"/>
            <w:tcBorders>
              <w:top w:val="nil"/>
              <w:left w:val="nil"/>
              <w:bottom w:val="single" w:sz="4" w:space="0" w:color="ADD6EA"/>
              <w:right w:val="nil"/>
            </w:tcBorders>
            <w:shd w:val="clear" w:color="auto" w:fill="auto"/>
            <w:vAlign w:val="bottom"/>
            <w:hideMark/>
          </w:tcPr>
          <w:p w14:paraId="7A1A8E38"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-1.4%</w:t>
            </w:r>
          </w:p>
        </w:tc>
        <w:tc>
          <w:tcPr>
            <w:tcW w:w="980" w:type="dxa"/>
            <w:tcBorders>
              <w:top w:val="nil"/>
              <w:left w:val="nil"/>
              <w:bottom w:val="single" w:sz="4" w:space="0" w:color="ADD6EA"/>
              <w:right w:val="nil"/>
            </w:tcBorders>
            <w:shd w:val="clear" w:color="auto" w:fill="auto"/>
            <w:vAlign w:val="bottom"/>
            <w:hideMark/>
          </w:tcPr>
          <w:p w14:paraId="67CEFE97"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3.2%</w:t>
            </w:r>
          </w:p>
        </w:tc>
        <w:tc>
          <w:tcPr>
            <w:tcW w:w="900" w:type="dxa"/>
            <w:tcBorders>
              <w:top w:val="nil"/>
              <w:left w:val="nil"/>
              <w:bottom w:val="single" w:sz="4" w:space="0" w:color="ADD6EA"/>
              <w:right w:val="nil"/>
            </w:tcBorders>
            <w:shd w:val="clear" w:color="auto" w:fill="auto"/>
            <w:vAlign w:val="bottom"/>
            <w:hideMark/>
          </w:tcPr>
          <w:p w14:paraId="0B09E32A"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-3.8%</w:t>
            </w:r>
          </w:p>
        </w:tc>
        <w:tc>
          <w:tcPr>
            <w:tcW w:w="960" w:type="dxa"/>
            <w:tcBorders>
              <w:top w:val="nil"/>
              <w:left w:val="nil"/>
              <w:bottom w:val="single" w:sz="4" w:space="0" w:color="ADD6EA"/>
              <w:right w:val="nil"/>
            </w:tcBorders>
            <w:shd w:val="clear" w:color="auto" w:fill="auto"/>
            <w:vAlign w:val="bottom"/>
            <w:hideMark/>
          </w:tcPr>
          <w:p w14:paraId="155C82D9"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-5.1%</w:t>
            </w:r>
          </w:p>
        </w:tc>
        <w:tc>
          <w:tcPr>
            <w:tcW w:w="1000" w:type="dxa"/>
            <w:tcBorders>
              <w:top w:val="nil"/>
              <w:left w:val="nil"/>
              <w:bottom w:val="single" w:sz="4" w:space="0" w:color="ADD6EA"/>
              <w:right w:val="nil"/>
            </w:tcBorders>
            <w:shd w:val="clear" w:color="auto" w:fill="auto"/>
            <w:vAlign w:val="bottom"/>
            <w:hideMark/>
          </w:tcPr>
          <w:p w14:paraId="19148857"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2.9%</w:t>
            </w:r>
          </w:p>
        </w:tc>
        <w:tc>
          <w:tcPr>
            <w:tcW w:w="920" w:type="dxa"/>
            <w:tcBorders>
              <w:top w:val="nil"/>
              <w:left w:val="nil"/>
              <w:bottom w:val="single" w:sz="4" w:space="0" w:color="ADD6EA"/>
              <w:right w:val="nil"/>
            </w:tcBorders>
            <w:shd w:val="clear" w:color="auto" w:fill="auto"/>
            <w:vAlign w:val="bottom"/>
            <w:hideMark/>
          </w:tcPr>
          <w:p w14:paraId="43BF2C59"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4.7%</w:t>
            </w:r>
          </w:p>
        </w:tc>
      </w:tr>
      <w:tr w:rsidR="0037795D" w:rsidRPr="0037795D" w14:paraId="74230D08" w14:textId="77777777" w:rsidTr="0037795D">
        <w:trPr>
          <w:trHeight w:val="315"/>
        </w:trPr>
        <w:tc>
          <w:tcPr>
            <w:tcW w:w="1500" w:type="dxa"/>
            <w:tcBorders>
              <w:top w:val="nil"/>
              <w:left w:val="nil"/>
              <w:bottom w:val="nil"/>
              <w:right w:val="nil"/>
            </w:tcBorders>
            <w:shd w:val="clear" w:color="auto" w:fill="auto"/>
            <w:noWrap/>
            <w:vAlign w:val="bottom"/>
            <w:hideMark/>
          </w:tcPr>
          <w:p w14:paraId="01A24AC3" w14:textId="77777777" w:rsidR="0037795D" w:rsidRPr="0037795D" w:rsidRDefault="0037795D" w:rsidP="0062389F">
            <w:pPr>
              <w:keepNext/>
              <w:keepLines/>
              <w:tabs>
                <w:tab w:val="clear" w:pos="567"/>
              </w:tabs>
              <w:spacing w:before="0" w:line="240" w:lineRule="auto"/>
              <w:rPr>
                <w:rFonts w:eastAsia="Times New Roman" w:cs="Open Sans Light"/>
                <w:sz w:val="16"/>
                <w:szCs w:val="16"/>
                <w:lang w:eastAsia="en-AU"/>
              </w:rPr>
            </w:pPr>
            <w:r w:rsidRPr="0037795D">
              <w:rPr>
                <w:rFonts w:eastAsia="Times New Roman" w:cs="Open Sans Light"/>
                <w:sz w:val="16"/>
                <w:szCs w:val="16"/>
                <w:lang w:eastAsia="en-AU"/>
              </w:rPr>
              <w:t>Difference</w:t>
            </w:r>
          </w:p>
        </w:tc>
        <w:tc>
          <w:tcPr>
            <w:tcW w:w="1100" w:type="dxa"/>
            <w:tcBorders>
              <w:top w:val="nil"/>
              <w:left w:val="nil"/>
              <w:bottom w:val="nil"/>
              <w:right w:val="nil"/>
            </w:tcBorders>
            <w:shd w:val="clear" w:color="auto" w:fill="auto"/>
            <w:noWrap/>
            <w:vAlign w:val="bottom"/>
            <w:hideMark/>
          </w:tcPr>
          <w:p w14:paraId="4A1AC0AE" w14:textId="77777777" w:rsidR="0037795D" w:rsidRPr="0037795D" w:rsidRDefault="0037795D" w:rsidP="0062389F">
            <w:pPr>
              <w:keepNext/>
              <w:keepLines/>
              <w:tabs>
                <w:tab w:val="clear" w:pos="567"/>
              </w:tabs>
              <w:spacing w:before="0" w:line="240" w:lineRule="auto"/>
              <w:rPr>
                <w:rFonts w:eastAsia="Times New Roman" w:cs="Open Sans Light"/>
                <w:sz w:val="16"/>
                <w:szCs w:val="16"/>
                <w:lang w:eastAsia="en-AU"/>
              </w:rPr>
            </w:pPr>
          </w:p>
        </w:tc>
        <w:tc>
          <w:tcPr>
            <w:tcW w:w="940" w:type="dxa"/>
            <w:tcBorders>
              <w:top w:val="nil"/>
              <w:left w:val="nil"/>
              <w:bottom w:val="nil"/>
              <w:right w:val="nil"/>
            </w:tcBorders>
            <w:shd w:val="clear" w:color="auto" w:fill="auto"/>
            <w:noWrap/>
            <w:vAlign w:val="bottom"/>
            <w:hideMark/>
          </w:tcPr>
          <w:p w14:paraId="7F5EA2A2" w14:textId="77777777" w:rsidR="0037795D" w:rsidRPr="0037795D" w:rsidRDefault="0037795D" w:rsidP="0062389F">
            <w:pPr>
              <w:keepNext/>
              <w:keepLines/>
              <w:tabs>
                <w:tab w:val="clear" w:pos="567"/>
              </w:tabs>
              <w:spacing w:before="0" w:line="240" w:lineRule="auto"/>
              <w:jc w:val="right"/>
              <w:rPr>
                <w:rFonts w:ascii="Times New Roman" w:eastAsia="Times New Roman" w:hAnsi="Times New Roman" w:cs="Times New Roman"/>
                <w:szCs w:val="20"/>
                <w:lang w:eastAsia="en-AU"/>
              </w:rPr>
            </w:pPr>
          </w:p>
        </w:tc>
        <w:tc>
          <w:tcPr>
            <w:tcW w:w="980" w:type="dxa"/>
            <w:tcBorders>
              <w:top w:val="nil"/>
              <w:left w:val="nil"/>
              <w:bottom w:val="nil"/>
              <w:right w:val="nil"/>
            </w:tcBorders>
            <w:shd w:val="clear" w:color="auto" w:fill="auto"/>
            <w:noWrap/>
            <w:vAlign w:val="bottom"/>
            <w:hideMark/>
          </w:tcPr>
          <w:p w14:paraId="6C921AD5" w14:textId="77777777" w:rsidR="0037795D" w:rsidRPr="0037795D" w:rsidRDefault="0037795D" w:rsidP="0062389F">
            <w:pPr>
              <w:keepNext/>
              <w:keepLines/>
              <w:tabs>
                <w:tab w:val="clear" w:pos="567"/>
              </w:tabs>
              <w:spacing w:before="0" w:line="240" w:lineRule="auto"/>
              <w:jc w:val="right"/>
              <w:rPr>
                <w:rFonts w:ascii="Times New Roman" w:eastAsia="Times New Roman" w:hAnsi="Times New Roman" w:cs="Times New Roman"/>
                <w:szCs w:val="20"/>
                <w:lang w:eastAsia="en-AU"/>
              </w:rPr>
            </w:pPr>
          </w:p>
        </w:tc>
        <w:tc>
          <w:tcPr>
            <w:tcW w:w="980" w:type="dxa"/>
            <w:tcBorders>
              <w:top w:val="nil"/>
              <w:left w:val="nil"/>
              <w:bottom w:val="nil"/>
              <w:right w:val="nil"/>
            </w:tcBorders>
            <w:shd w:val="clear" w:color="auto" w:fill="auto"/>
            <w:noWrap/>
            <w:vAlign w:val="bottom"/>
            <w:hideMark/>
          </w:tcPr>
          <w:p w14:paraId="3C1C527E" w14:textId="77777777" w:rsidR="0037795D" w:rsidRPr="0037795D" w:rsidRDefault="0037795D" w:rsidP="0062389F">
            <w:pPr>
              <w:keepNext/>
              <w:keepLines/>
              <w:tabs>
                <w:tab w:val="clear" w:pos="567"/>
              </w:tabs>
              <w:spacing w:before="0" w:line="240" w:lineRule="auto"/>
              <w:jc w:val="right"/>
              <w:rPr>
                <w:rFonts w:ascii="Times New Roman" w:eastAsia="Times New Roman" w:hAnsi="Times New Roman" w:cs="Times New Roman"/>
                <w:szCs w:val="20"/>
                <w:lang w:eastAsia="en-AU"/>
              </w:rPr>
            </w:pPr>
          </w:p>
        </w:tc>
        <w:tc>
          <w:tcPr>
            <w:tcW w:w="900" w:type="dxa"/>
            <w:tcBorders>
              <w:top w:val="nil"/>
              <w:left w:val="nil"/>
              <w:bottom w:val="nil"/>
              <w:right w:val="nil"/>
            </w:tcBorders>
            <w:shd w:val="clear" w:color="auto" w:fill="auto"/>
            <w:noWrap/>
            <w:vAlign w:val="bottom"/>
            <w:hideMark/>
          </w:tcPr>
          <w:p w14:paraId="25958205" w14:textId="77777777" w:rsidR="0037795D" w:rsidRPr="0037795D" w:rsidRDefault="0037795D" w:rsidP="0062389F">
            <w:pPr>
              <w:keepNext/>
              <w:keepLines/>
              <w:tabs>
                <w:tab w:val="clear" w:pos="567"/>
              </w:tabs>
              <w:spacing w:before="0" w:line="240" w:lineRule="auto"/>
              <w:jc w:val="right"/>
              <w:rPr>
                <w:rFonts w:ascii="Times New Roman" w:eastAsia="Times New Roman" w:hAnsi="Times New Roman" w:cs="Times New Roman"/>
                <w:szCs w:val="20"/>
                <w:lang w:eastAsia="en-AU"/>
              </w:rPr>
            </w:pPr>
          </w:p>
        </w:tc>
        <w:tc>
          <w:tcPr>
            <w:tcW w:w="960" w:type="dxa"/>
            <w:tcBorders>
              <w:top w:val="nil"/>
              <w:left w:val="nil"/>
              <w:bottom w:val="nil"/>
              <w:right w:val="nil"/>
            </w:tcBorders>
            <w:shd w:val="clear" w:color="auto" w:fill="auto"/>
            <w:noWrap/>
            <w:vAlign w:val="bottom"/>
            <w:hideMark/>
          </w:tcPr>
          <w:p w14:paraId="73A9AFE9" w14:textId="77777777" w:rsidR="0037795D" w:rsidRPr="0037795D" w:rsidRDefault="0037795D" w:rsidP="0062389F">
            <w:pPr>
              <w:keepNext/>
              <w:keepLines/>
              <w:tabs>
                <w:tab w:val="clear" w:pos="567"/>
              </w:tabs>
              <w:spacing w:before="0" w:line="240" w:lineRule="auto"/>
              <w:jc w:val="right"/>
              <w:rPr>
                <w:rFonts w:ascii="Times New Roman" w:eastAsia="Times New Roman" w:hAnsi="Times New Roman" w:cs="Times New Roman"/>
                <w:szCs w:val="20"/>
                <w:lang w:eastAsia="en-AU"/>
              </w:rPr>
            </w:pPr>
          </w:p>
        </w:tc>
        <w:tc>
          <w:tcPr>
            <w:tcW w:w="1000" w:type="dxa"/>
            <w:tcBorders>
              <w:top w:val="nil"/>
              <w:left w:val="nil"/>
              <w:bottom w:val="nil"/>
              <w:right w:val="nil"/>
            </w:tcBorders>
            <w:shd w:val="clear" w:color="auto" w:fill="auto"/>
            <w:noWrap/>
            <w:vAlign w:val="bottom"/>
            <w:hideMark/>
          </w:tcPr>
          <w:p w14:paraId="4FCE8364" w14:textId="77777777" w:rsidR="0037795D" w:rsidRPr="0037795D" w:rsidRDefault="0037795D" w:rsidP="0062389F">
            <w:pPr>
              <w:keepNext/>
              <w:keepLines/>
              <w:tabs>
                <w:tab w:val="clear" w:pos="567"/>
              </w:tabs>
              <w:spacing w:before="0" w:line="240" w:lineRule="auto"/>
              <w:jc w:val="right"/>
              <w:rPr>
                <w:rFonts w:ascii="Times New Roman" w:eastAsia="Times New Roman" w:hAnsi="Times New Roman" w:cs="Times New Roman"/>
                <w:szCs w:val="20"/>
                <w:lang w:eastAsia="en-AU"/>
              </w:rPr>
            </w:pPr>
          </w:p>
        </w:tc>
        <w:tc>
          <w:tcPr>
            <w:tcW w:w="920" w:type="dxa"/>
            <w:tcBorders>
              <w:top w:val="nil"/>
              <w:left w:val="nil"/>
              <w:bottom w:val="nil"/>
              <w:right w:val="nil"/>
            </w:tcBorders>
            <w:shd w:val="clear" w:color="auto" w:fill="auto"/>
            <w:noWrap/>
            <w:vAlign w:val="bottom"/>
            <w:hideMark/>
          </w:tcPr>
          <w:p w14:paraId="40937602" w14:textId="77777777" w:rsidR="0037795D" w:rsidRPr="0037795D" w:rsidRDefault="0037795D" w:rsidP="0062389F">
            <w:pPr>
              <w:keepNext/>
              <w:keepLines/>
              <w:tabs>
                <w:tab w:val="clear" w:pos="567"/>
              </w:tabs>
              <w:spacing w:before="0" w:line="240" w:lineRule="auto"/>
              <w:jc w:val="right"/>
              <w:rPr>
                <w:rFonts w:ascii="Times New Roman" w:eastAsia="Times New Roman" w:hAnsi="Times New Roman" w:cs="Times New Roman"/>
                <w:szCs w:val="20"/>
                <w:lang w:eastAsia="en-AU"/>
              </w:rPr>
            </w:pPr>
          </w:p>
        </w:tc>
      </w:tr>
      <w:tr w:rsidR="0037795D" w:rsidRPr="0037795D" w14:paraId="61EF8FAF" w14:textId="77777777" w:rsidTr="0037795D">
        <w:trPr>
          <w:trHeight w:val="315"/>
        </w:trPr>
        <w:tc>
          <w:tcPr>
            <w:tcW w:w="1500" w:type="dxa"/>
            <w:tcBorders>
              <w:top w:val="single" w:sz="4" w:space="0" w:color="ADD6EA"/>
              <w:left w:val="nil"/>
              <w:bottom w:val="single" w:sz="4" w:space="0" w:color="ADD6EA"/>
              <w:right w:val="nil"/>
            </w:tcBorders>
            <w:shd w:val="clear" w:color="auto" w:fill="auto"/>
            <w:vAlign w:val="bottom"/>
            <w:hideMark/>
          </w:tcPr>
          <w:p w14:paraId="7FB7D1BB" w14:textId="77777777" w:rsidR="0037795D" w:rsidRPr="0037795D" w:rsidRDefault="0037795D" w:rsidP="0062389F">
            <w:pPr>
              <w:keepNext/>
              <w:keepLines/>
              <w:tabs>
                <w:tab w:val="clear" w:pos="567"/>
              </w:tabs>
              <w:spacing w:before="0" w:line="240" w:lineRule="auto"/>
              <w:ind w:firstLineChars="100" w:firstLine="160"/>
              <w:rPr>
                <w:rFonts w:eastAsia="Times New Roman" w:cs="Open Sans Light"/>
                <w:sz w:val="16"/>
                <w:szCs w:val="16"/>
                <w:lang w:eastAsia="en-AU"/>
              </w:rPr>
            </w:pPr>
            <w:r w:rsidRPr="0037795D">
              <w:rPr>
                <w:rFonts w:eastAsia="Times New Roman" w:cs="Open Sans Light"/>
                <w:sz w:val="16"/>
                <w:szCs w:val="16"/>
                <w:lang w:eastAsia="en-AU"/>
              </w:rPr>
              <w:t>2017-18</w:t>
            </w:r>
          </w:p>
        </w:tc>
        <w:tc>
          <w:tcPr>
            <w:tcW w:w="1100" w:type="dxa"/>
            <w:tcBorders>
              <w:top w:val="single" w:sz="4" w:space="0" w:color="ADD6EA"/>
              <w:left w:val="nil"/>
              <w:bottom w:val="single" w:sz="4" w:space="0" w:color="ADD6EA"/>
              <w:right w:val="nil"/>
            </w:tcBorders>
            <w:shd w:val="clear" w:color="auto" w:fill="auto"/>
            <w:vAlign w:val="bottom"/>
            <w:hideMark/>
          </w:tcPr>
          <w:p w14:paraId="49F5ED71"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0.4%</w:t>
            </w:r>
          </w:p>
        </w:tc>
        <w:tc>
          <w:tcPr>
            <w:tcW w:w="940" w:type="dxa"/>
            <w:tcBorders>
              <w:top w:val="single" w:sz="4" w:space="0" w:color="ADD6EA"/>
              <w:left w:val="nil"/>
              <w:bottom w:val="single" w:sz="4" w:space="0" w:color="ADD6EA"/>
              <w:right w:val="nil"/>
            </w:tcBorders>
            <w:shd w:val="clear" w:color="auto" w:fill="auto"/>
            <w:vAlign w:val="bottom"/>
            <w:hideMark/>
          </w:tcPr>
          <w:p w14:paraId="7AA2E14A"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-0.6%</w:t>
            </w:r>
          </w:p>
        </w:tc>
        <w:tc>
          <w:tcPr>
            <w:tcW w:w="980" w:type="dxa"/>
            <w:tcBorders>
              <w:top w:val="single" w:sz="4" w:space="0" w:color="ADD6EA"/>
              <w:left w:val="nil"/>
              <w:bottom w:val="single" w:sz="4" w:space="0" w:color="ADD6EA"/>
              <w:right w:val="nil"/>
            </w:tcBorders>
            <w:shd w:val="clear" w:color="auto" w:fill="auto"/>
            <w:vAlign w:val="bottom"/>
            <w:hideMark/>
          </w:tcPr>
          <w:p w14:paraId="55A9BA89"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0.4%</w:t>
            </w:r>
          </w:p>
        </w:tc>
        <w:tc>
          <w:tcPr>
            <w:tcW w:w="980" w:type="dxa"/>
            <w:tcBorders>
              <w:top w:val="single" w:sz="4" w:space="0" w:color="ADD6EA"/>
              <w:left w:val="nil"/>
              <w:bottom w:val="single" w:sz="4" w:space="0" w:color="ADD6EA"/>
              <w:right w:val="nil"/>
            </w:tcBorders>
            <w:shd w:val="clear" w:color="auto" w:fill="auto"/>
            <w:vAlign w:val="bottom"/>
            <w:hideMark/>
          </w:tcPr>
          <w:p w14:paraId="6B65EDE9"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0.8%</w:t>
            </w:r>
          </w:p>
        </w:tc>
        <w:tc>
          <w:tcPr>
            <w:tcW w:w="900" w:type="dxa"/>
            <w:tcBorders>
              <w:top w:val="single" w:sz="4" w:space="0" w:color="ADD6EA"/>
              <w:left w:val="nil"/>
              <w:bottom w:val="single" w:sz="4" w:space="0" w:color="ADD6EA"/>
              <w:right w:val="nil"/>
            </w:tcBorders>
            <w:shd w:val="clear" w:color="auto" w:fill="auto"/>
            <w:vAlign w:val="bottom"/>
            <w:hideMark/>
          </w:tcPr>
          <w:p w14:paraId="4065032C"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-1.6%</w:t>
            </w:r>
          </w:p>
        </w:tc>
        <w:tc>
          <w:tcPr>
            <w:tcW w:w="960" w:type="dxa"/>
            <w:tcBorders>
              <w:top w:val="single" w:sz="4" w:space="0" w:color="ADD6EA"/>
              <w:left w:val="nil"/>
              <w:bottom w:val="single" w:sz="4" w:space="0" w:color="ADD6EA"/>
              <w:right w:val="nil"/>
            </w:tcBorders>
            <w:shd w:val="clear" w:color="auto" w:fill="auto"/>
            <w:vAlign w:val="bottom"/>
            <w:hideMark/>
          </w:tcPr>
          <w:p w14:paraId="7E378ED0"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-0.9%</w:t>
            </w:r>
          </w:p>
        </w:tc>
        <w:tc>
          <w:tcPr>
            <w:tcW w:w="1000" w:type="dxa"/>
            <w:tcBorders>
              <w:top w:val="single" w:sz="4" w:space="0" w:color="ADD6EA"/>
              <w:left w:val="nil"/>
              <w:bottom w:val="single" w:sz="4" w:space="0" w:color="ADD6EA"/>
              <w:right w:val="nil"/>
            </w:tcBorders>
            <w:shd w:val="clear" w:color="auto" w:fill="auto"/>
            <w:vAlign w:val="bottom"/>
            <w:hideMark/>
          </w:tcPr>
          <w:p w14:paraId="346ECDFB"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0.0%</w:t>
            </w:r>
          </w:p>
        </w:tc>
        <w:tc>
          <w:tcPr>
            <w:tcW w:w="920" w:type="dxa"/>
            <w:tcBorders>
              <w:top w:val="single" w:sz="4" w:space="0" w:color="ADD6EA"/>
              <w:left w:val="nil"/>
              <w:bottom w:val="single" w:sz="4" w:space="0" w:color="ADD6EA"/>
              <w:right w:val="nil"/>
            </w:tcBorders>
            <w:shd w:val="clear" w:color="auto" w:fill="auto"/>
            <w:vAlign w:val="bottom"/>
            <w:hideMark/>
          </w:tcPr>
          <w:p w14:paraId="19E0D8F3"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0.0%</w:t>
            </w:r>
          </w:p>
        </w:tc>
      </w:tr>
      <w:tr w:rsidR="0037795D" w:rsidRPr="0037795D" w14:paraId="6D66C07F" w14:textId="77777777" w:rsidTr="0037795D">
        <w:trPr>
          <w:trHeight w:val="315"/>
        </w:trPr>
        <w:tc>
          <w:tcPr>
            <w:tcW w:w="1500" w:type="dxa"/>
            <w:tcBorders>
              <w:top w:val="nil"/>
              <w:left w:val="nil"/>
              <w:bottom w:val="single" w:sz="4" w:space="0" w:color="ADD6EA"/>
              <w:right w:val="nil"/>
            </w:tcBorders>
            <w:shd w:val="clear" w:color="auto" w:fill="auto"/>
            <w:vAlign w:val="bottom"/>
            <w:hideMark/>
          </w:tcPr>
          <w:p w14:paraId="3E680943" w14:textId="77777777" w:rsidR="0037795D" w:rsidRPr="0037795D" w:rsidRDefault="0037795D" w:rsidP="0062389F">
            <w:pPr>
              <w:keepNext/>
              <w:keepLines/>
              <w:tabs>
                <w:tab w:val="clear" w:pos="567"/>
              </w:tabs>
              <w:spacing w:before="0" w:line="240" w:lineRule="auto"/>
              <w:ind w:firstLineChars="100" w:firstLine="160"/>
              <w:rPr>
                <w:rFonts w:eastAsia="Times New Roman" w:cs="Open Sans Light"/>
                <w:sz w:val="16"/>
                <w:szCs w:val="16"/>
                <w:lang w:eastAsia="en-AU"/>
              </w:rPr>
            </w:pPr>
            <w:r w:rsidRPr="0037795D">
              <w:rPr>
                <w:rFonts w:eastAsia="Times New Roman" w:cs="Open Sans Light"/>
                <w:sz w:val="16"/>
                <w:szCs w:val="16"/>
                <w:lang w:eastAsia="en-AU"/>
              </w:rPr>
              <w:t>2018-19</w:t>
            </w:r>
          </w:p>
        </w:tc>
        <w:tc>
          <w:tcPr>
            <w:tcW w:w="1100" w:type="dxa"/>
            <w:tcBorders>
              <w:top w:val="nil"/>
              <w:left w:val="nil"/>
              <w:bottom w:val="single" w:sz="4" w:space="0" w:color="ADD6EA"/>
              <w:right w:val="nil"/>
            </w:tcBorders>
            <w:shd w:val="clear" w:color="auto" w:fill="auto"/>
            <w:vAlign w:val="bottom"/>
            <w:hideMark/>
          </w:tcPr>
          <w:p w14:paraId="38381D44"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0.4%</w:t>
            </w:r>
          </w:p>
        </w:tc>
        <w:tc>
          <w:tcPr>
            <w:tcW w:w="940" w:type="dxa"/>
            <w:tcBorders>
              <w:top w:val="nil"/>
              <w:left w:val="nil"/>
              <w:bottom w:val="single" w:sz="4" w:space="0" w:color="ADD6EA"/>
              <w:right w:val="nil"/>
            </w:tcBorders>
            <w:shd w:val="clear" w:color="auto" w:fill="auto"/>
            <w:vAlign w:val="bottom"/>
            <w:hideMark/>
          </w:tcPr>
          <w:p w14:paraId="5BC78FF2"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0.0%</w:t>
            </w:r>
          </w:p>
        </w:tc>
        <w:tc>
          <w:tcPr>
            <w:tcW w:w="980" w:type="dxa"/>
            <w:tcBorders>
              <w:top w:val="nil"/>
              <w:left w:val="nil"/>
              <w:bottom w:val="single" w:sz="4" w:space="0" w:color="ADD6EA"/>
              <w:right w:val="nil"/>
            </w:tcBorders>
            <w:shd w:val="clear" w:color="auto" w:fill="auto"/>
            <w:vAlign w:val="bottom"/>
            <w:hideMark/>
          </w:tcPr>
          <w:p w14:paraId="11EA1361"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-0.7%</w:t>
            </w:r>
          </w:p>
        </w:tc>
        <w:tc>
          <w:tcPr>
            <w:tcW w:w="980" w:type="dxa"/>
            <w:tcBorders>
              <w:top w:val="nil"/>
              <w:left w:val="nil"/>
              <w:bottom w:val="single" w:sz="4" w:space="0" w:color="ADD6EA"/>
              <w:right w:val="nil"/>
            </w:tcBorders>
            <w:shd w:val="clear" w:color="auto" w:fill="auto"/>
            <w:vAlign w:val="bottom"/>
            <w:hideMark/>
          </w:tcPr>
          <w:p w14:paraId="5BF62942"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0.4%</w:t>
            </w:r>
          </w:p>
        </w:tc>
        <w:tc>
          <w:tcPr>
            <w:tcW w:w="900" w:type="dxa"/>
            <w:tcBorders>
              <w:top w:val="nil"/>
              <w:left w:val="nil"/>
              <w:bottom w:val="single" w:sz="4" w:space="0" w:color="ADD6EA"/>
              <w:right w:val="nil"/>
            </w:tcBorders>
            <w:shd w:val="clear" w:color="auto" w:fill="auto"/>
            <w:vAlign w:val="bottom"/>
            <w:hideMark/>
          </w:tcPr>
          <w:p w14:paraId="0D99AB96"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-0.4%</w:t>
            </w:r>
          </w:p>
        </w:tc>
        <w:tc>
          <w:tcPr>
            <w:tcW w:w="960" w:type="dxa"/>
            <w:tcBorders>
              <w:top w:val="nil"/>
              <w:left w:val="nil"/>
              <w:bottom w:val="single" w:sz="4" w:space="0" w:color="ADD6EA"/>
              <w:right w:val="nil"/>
            </w:tcBorders>
            <w:shd w:val="clear" w:color="auto" w:fill="auto"/>
            <w:vAlign w:val="bottom"/>
            <w:hideMark/>
          </w:tcPr>
          <w:p w14:paraId="5B584E77"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-0.7%</w:t>
            </w:r>
          </w:p>
        </w:tc>
        <w:tc>
          <w:tcPr>
            <w:tcW w:w="1000" w:type="dxa"/>
            <w:tcBorders>
              <w:top w:val="nil"/>
              <w:left w:val="nil"/>
              <w:bottom w:val="single" w:sz="4" w:space="0" w:color="ADD6EA"/>
              <w:right w:val="nil"/>
            </w:tcBorders>
            <w:shd w:val="clear" w:color="auto" w:fill="auto"/>
            <w:vAlign w:val="bottom"/>
            <w:hideMark/>
          </w:tcPr>
          <w:p w14:paraId="65C7152D"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-0.1%</w:t>
            </w:r>
          </w:p>
        </w:tc>
        <w:tc>
          <w:tcPr>
            <w:tcW w:w="920" w:type="dxa"/>
            <w:tcBorders>
              <w:top w:val="nil"/>
              <w:left w:val="nil"/>
              <w:bottom w:val="single" w:sz="4" w:space="0" w:color="ADD6EA"/>
              <w:right w:val="nil"/>
            </w:tcBorders>
            <w:shd w:val="clear" w:color="auto" w:fill="auto"/>
            <w:vAlign w:val="bottom"/>
            <w:hideMark/>
          </w:tcPr>
          <w:p w14:paraId="21845968" w14:textId="77777777" w:rsidR="0037795D" w:rsidRPr="0037795D" w:rsidRDefault="0037795D" w:rsidP="0062389F">
            <w:pPr>
              <w:keepNext/>
              <w:keepLines/>
              <w:tabs>
                <w:tab w:val="clear" w:pos="567"/>
              </w:tabs>
              <w:spacing w:before="0" w:line="240" w:lineRule="auto"/>
              <w:jc w:val="right"/>
              <w:rPr>
                <w:rFonts w:eastAsia="Times New Roman" w:cs="Open Sans Light"/>
                <w:sz w:val="16"/>
                <w:szCs w:val="16"/>
                <w:lang w:eastAsia="en-AU"/>
              </w:rPr>
            </w:pPr>
            <w:r w:rsidRPr="0037795D">
              <w:rPr>
                <w:rFonts w:eastAsia="Times New Roman" w:cs="Open Sans Light"/>
                <w:sz w:val="16"/>
                <w:szCs w:val="16"/>
                <w:lang w:eastAsia="en-AU"/>
              </w:rPr>
              <w:t>0.1%</w:t>
            </w:r>
          </w:p>
        </w:tc>
      </w:tr>
    </w:tbl>
    <w:p w14:paraId="41BCA24D" w14:textId="3E6EC412" w:rsidR="0037795D" w:rsidRDefault="0037795D" w:rsidP="002D4123">
      <w:pPr>
        <w:pStyle w:val="CGCTablenote"/>
        <w:keepNext/>
        <w:keepLines/>
      </w:pPr>
      <w:r>
        <w:t>Note:</w:t>
      </w:r>
      <w:r>
        <w:tab/>
      </w:r>
      <w:r>
        <w:tab/>
        <w:t xml:space="preserve">The modelled outcomes are expressed relative to the national average </w:t>
      </w:r>
      <w:r w:rsidR="00493DF2">
        <w:t xml:space="preserve">private sector </w:t>
      </w:r>
      <w:r>
        <w:t>wage level.</w:t>
      </w:r>
      <w:r w:rsidR="007D7E09">
        <w:t xml:space="preserve"> </w:t>
      </w:r>
      <w:r>
        <w:t>A 12.5% discount has been applied.</w:t>
      </w:r>
    </w:p>
    <w:p w14:paraId="7D5DB03B" w14:textId="786FC926" w:rsidR="0037795D" w:rsidRPr="0037795D" w:rsidRDefault="0037795D" w:rsidP="002D4123">
      <w:pPr>
        <w:pStyle w:val="CGCTablenote"/>
        <w:keepNext/>
        <w:keepLines/>
      </w:pPr>
      <w:r>
        <w:t>Source:</w:t>
      </w:r>
      <w:r>
        <w:tab/>
        <w:t>Commission modelling based on CoES data.</w:t>
      </w:r>
    </w:p>
    <w:p w14:paraId="47B2A0A2" w14:textId="77777777" w:rsidR="004B3A55" w:rsidRPr="00E674AF" w:rsidRDefault="004B3A55" w:rsidP="004B3A55">
      <w:pPr>
        <w:pStyle w:val="Heading4"/>
      </w:pPr>
      <w:bookmarkStart w:id="58" w:name="_Toc49170294"/>
      <w:r w:rsidRPr="00E674AF">
        <w:t>Recommendations</w:t>
      </w:r>
      <w:bookmarkEnd w:id="58"/>
    </w:p>
    <w:tbl>
      <w:tblPr>
        <w:tblW w:w="0" w:type="auto"/>
        <w:shd w:val="clear" w:color="auto" w:fill="EBF3F5"/>
        <w:tblLook w:val="0000" w:firstRow="0" w:lastRow="0" w:firstColumn="0" w:lastColumn="0" w:noHBand="0" w:noVBand="0"/>
      </w:tblPr>
      <w:tblGrid>
        <w:gridCol w:w="8931"/>
      </w:tblGrid>
      <w:tr w:rsidR="004B3A55" w:rsidRPr="00E674AF" w14:paraId="2679ED98" w14:textId="77777777" w:rsidTr="00831264">
        <w:tc>
          <w:tcPr>
            <w:tcW w:w="8931" w:type="dxa"/>
            <w:shd w:val="clear" w:color="auto" w:fill="EBF3F5"/>
            <w:tcMar>
              <w:left w:w="28" w:type="dxa"/>
            </w:tcMar>
          </w:tcPr>
          <w:p w14:paraId="2AC9517A" w14:textId="7559BD55" w:rsidR="004B3A55" w:rsidRPr="00E674AF" w:rsidRDefault="004B3A55" w:rsidP="00831264">
            <w:pPr>
              <w:tabs>
                <w:tab w:val="clear" w:pos="567"/>
              </w:tabs>
              <w:rPr>
                <w:bCs/>
              </w:rPr>
            </w:pPr>
            <w:r w:rsidRPr="00E674AF">
              <w:rPr>
                <w:bCs/>
              </w:rPr>
              <w:t xml:space="preserve">Staff </w:t>
            </w:r>
            <w:r w:rsidR="00493DF2">
              <w:rPr>
                <w:bCs/>
              </w:rPr>
              <w:t xml:space="preserve">propose </w:t>
            </w:r>
            <w:r>
              <w:rPr>
                <w:bCs/>
              </w:rPr>
              <w:t xml:space="preserve">to </w:t>
            </w:r>
            <w:r w:rsidRPr="00E674AF">
              <w:rPr>
                <w:bCs/>
              </w:rPr>
              <w:t xml:space="preserve">recommend that the </w:t>
            </w:r>
            <w:r>
              <w:rPr>
                <w:bCs/>
              </w:rPr>
              <w:t>Commission:</w:t>
            </w:r>
          </w:p>
          <w:p w14:paraId="6303DE74" w14:textId="3E1515E3" w:rsidR="004B3A55" w:rsidRPr="00E674AF" w:rsidRDefault="004B3A55" w:rsidP="008C0460">
            <w:pPr>
              <w:pStyle w:val="CGCBullet1"/>
              <w:spacing w:after="120"/>
            </w:pPr>
            <w:r>
              <w:t>use the modelled outcomes based on revised CoES data for 2017</w:t>
            </w:r>
            <w:r>
              <w:noBreakHyphen/>
              <w:t>18 and 2018</w:t>
            </w:r>
            <w:r>
              <w:noBreakHyphen/>
              <w:t>19.</w:t>
            </w:r>
          </w:p>
        </w:tc>
      </w:tr>
    </w:tbl>
    <w:p w14:paraId="737535D0" w14:textId="5226EC1E" w:rsidR="00F83EC1" w:rsidRPr="001E6379" w:rsidRDefault="00F83EC1" w:rsidP="001E6379">
      <w:pPr>
        <w:pStyle w:val="Heading3"/>
      </w:pPr>
      <w:bookmarkStart w:id="59" w:name="_Toc49170295"/>
      <w:r w:rsidRPr="001E6379">
        <w:lastRenderedPageBreak/>
        <w:t>Changes to the compilation of the adjusted budget</w:t>
      </w:r>
      <w:bookmarkEnd w:id="59"/>
    </w:p>
    <w:p w14:paraId="1D12F702" w14:textId="77777777" w:rsidR="00A75488" w:rsidRDefault="00A75488" w:rsidP="00DA1D27">
      <w:pPr>
        <w:pStyle w:val="CGCParaNumber"/>
        <w:keepNext/>
        <w:keepLines/>
      </w:pPr>
      <w:r>
        <w:t>Commission staff have reviewed the approach taken in the 2020 Review to deriving consolidated expenses, user charges and investment</w:t>
      </w:r>
      <w:r w:rsidRPr="00920293">
        <w:t xml:space="preserve"> </w:t>
      </w:r>
      <w:r>
        <w:t xml:space="preserve">for urban transport and housing. </w:t>
      </w:r>
    </w:p>
    <w:p w14:paraId="7B9AB9C6" w14:textId="665410FC" w:rsidR="00A75488" w:rsidRPr="002D6770" w:rsidRDefault="00A75488" w:rsidP="00DA1D27">
      <w:pPr>
        <w:pStyle w:val="CGCParaNumber"/>
        <w:keepNext/>
        <w:keepLines/>
        <w:rPr>
          <w:rFonts w:ascii="Calibri" w:hAnsi="Calibri"/>
        </w:rPr>
      </w:pPr>
      <w:r>
        <w:t>Following discussions with the ABS, f</w:t>
      </w:r>
      <w:r w:rsidRPr="002D6770">
        <w:t xml:space="preserve">or </w:t>
      </w:r>
      <w:r w:rsidR="00021E2A">
        <w:t xml:space="preserve">assessment </w:t>
      </w:r>
      <w:r w:rsidRPr="002D6770">
        <w:t>years up to year 2,</w:t>
      </w:r>
      <w:r w:rsidR="00021E2A">
        <w:rPr>
          <w:rStyle w:val="FootnoteReference"/>
        </w:rPr>
        <w:footnoteReference w:id="17"/>
      </w:r>
      <w:r w:rsidRPr="002D6770">
        <w:t xml:space="preserve"> user</w:t>
      </w:r>
      <w:r>
        <w:t xml:space="preserve"> charges</w:t>
      </w:r>
      <w:r w:rsidRPr="002D6770">
        <w:t xml:space="preserve">, expenses and investment for the urban transport and housing assessments will be based on ABS </w:t>
      </w:r>
      <w:r>
        <w:t>GFS</w:t>
      </w:r>
      <w:r w:rsidR="0078697E">
        <w:rPr>
          <w:rStyle w:val="FootnoteReference"/>
        </w:rPr>
        <w:footnoteReference w:id="18"/>
      </w:r>
      <w:r>
        <w:t xml:space="preserve"> </w:t>
      </w:r>
      <w:r w:rsidRPr="002D6770">
        <w:t>data for the non-financial public sector (NFPS). The NFPS is a consolidation of the general government (GG) and public non-financial corporations (PNFC) sectors. In the 2020</w:t>
      </w:r>
      <w:r w:rsidR="00DF383A">
        <w:t> </w:t>
      </w:r>
      <w:r w:rsidRPr="002D6770">
        <w:t>Review, the</w:t>
      </w:r>
      <w:r>
        <w:t xml:space="preserve"> consolidation</w:t>
      </w:r>
      <w:r w:rsidRPr="002D6770">
        <w:t xml:space="preserve"> w</w:t>
      </w:r>
      <w:r>
        <w:t>as made</w:t>
      </w:r>
      <w:r w:rsidRPr="002D6770">
        <w:t xml:space="preserve"> by the Commission</w:t>
      </w:r>
      <w:r>
        <w:t xml:space="preserve"> using the ABS</w:t>
      </w:r>
      <w:r w:rsidRPr="002D6770">
        <w:t xml:space="preserve"> State general government (GG) sector and public non-financial corporations (PNFC) sector data. This change will simplify the adjusted budget calculations</w:t>
      </w:r>
      <w:r>
        <w:t xml:space="preserve"> and </w:t>
      </w:r>
      <w:r w:rsidR="00BD7221">
        <w:t xml:space="preserve">improve </w:t>
      </w:r>
      <w:r>
        <w:t>the reliability of the data</w:t>
      </w:r>
      <w:r w:rsidRPr="002D6770">
        <w:t>.</w:t>
      </w:r>
    </w:p>
    <w:p w14:paraId="79D5EE04" w14:textId="6ED29221" w:rsidR="00A75488" w:rsidRDefault="00A75488" w:rsidP="00A75488">
      <w:pPr>
        <w:pStyle w:val="CGCParaNumber"/>
      </w:pPr>
      <w:r>
        <w:t>For year 3,</w:t>
      </w:r>
      <w:r w:rsidR="00021E2A">
        <w:rPr>
          <w:rStyle w:val="FootnoteReference"/>
        </w:rPr>
        <w:footnoteReference w:id="19"/>
      </w:r>
      <w:r>
        <w:t xml:space="preserve"> ABS GFS data are not available. User charges, expenses and investment for the urban transport and housing assessments will continue to be sourced from preliminary State GFS GG and PNFC data. The Commission will eliminate intra-sector transactions using the source destination (SD) codes in the State data to derive consolidated estimates for the NFPS. </w:t>
      </w:r>
    </w:p>
    <w:p w14:paraId="1F1910DB" w14:textId="53620127" w:rsidR="00A75488" w:rsidRDefault="00A75488" w:rsidP="00A75488">
      <w:pPr>
        <w:pStyle w:val="CGCParaNumber"/>
      </w:pPr>
      <w:r>
        <w:t xml:space="preserve">Experience from the 2020 Review indicates that the urban transport SD codes in the preliminary State GFS data are not as reliable as those in the final ABS GFS data. Because of these issues with the State GFS data, the Commission intends to undertake additional checks to validate year 3 user charges and expenses data using published State financial reports from relevant transport agencies. In addition, the capital data request will now request urban transport investment data in addition to the balance sheet data. There are no similar issues with the housing transactions. </w:t>
      </w:r>
    </w:p>
    <w:p w14:paraId="1FA86FB6" w14:textId="77777777" w:rsidR="00A75488" w:rsidRDefault="00A75488" w:rsidP="00A75488">
      <w:pPr>
        <w:pStyle w:val="CGCParaNumber"/>
      </w:pPr>
      <w:r>
        <w:t>Commission staff have identified further issues with the urban transport data.</w:t>
      </w:r>
    </w:p>
    <w:p w14:paraId="1BD25DE7" w14:textId="71FC2244" w:rsidR="00A75488" w:rsidRDefault="00A75488" w:rsidP="00A75488">
      <w:pPr>
        <w:pStyle w:val="CGCParaNumber"/>
      </w:pPr>
      <w:r>
        <w:t>Detailed analysis of State unit record data indicate</w:t>
      </w:r>
      <w:r w:rsidR="00E904C4">
        <w:t>s</w:t>
      </w:r>
      <w:r>
        <w:t xml:space="preserve"> that the majority of transactions in COFOG-A</w:t>
      </w:r>
      <w:r w:rsidR="00DF383A">
        <w:rPr>
          <w:rStyle w:val="FootnoteReference"/>
        </w:rPr>
        <w:footnoteReference w:id="20"/>
      </w:r>
      <w:r>
        <w:t xml:space="preserve"> 1132 Urban water transport </w:t>
      </w:r>
      <w:r w:rsidR="00006830">
        <w:t>frei</w:t>
      </w:r>
      <w:r w:rsidR="00871472">
        <w:t xml:space="preserve">ght </w:t>
      </w:r>
      <w:r>
        <w:t>services relate to port services and not urban transport. Therefore, the Commission intends to reclassify this COFOG-A from the urban transport component to non-urban transport component.</w:t>
      </w:r>
    </w:p>
    <w:p w14:paraId="70693704" w14:textId="1D2F67C7" w:rsidR="00A75488" w:rsidRDefault="00A75488" w:rsidP="00A75488">
      <w:pPr>
        <w:pStyle w:val="CGCParaNumber"/>
      </w:pPr>
      <w:r>
        <w:t>Victoria’s GG subsidies to V/Line are recorded as urban transport by Victoria and the ABS. However, the Commission considers V/Line services to be non-urban transport. From this update onwards, the Commission will ensure that the GG subsidies to V/Line are included in the non-urban transport expenses component.</w:t>
      </w:r>
    </w:p>
    <w:p w14:paraId="0F7074F7" w14:textId="529596FD" w:rsidR="00A75488" w:rsidRPr="00016944" w:rsidRDefault="00A75488" w:rsidP="00A75488">
      <w:pPr>
        <w:pStyle w:val="CGCParaNumber"/>
      </w:pPr>
      <w:r>
        <w:t>In the NFPS data, all Queensland Rail (QR) expenses and user charges (urban and non</w:t>
      </w:r>
      <w:r>
        <w:noBreakHyphen/>
        <w:t xml:space="preserve">urban) are classified as urban transport. Non-urban rail passenger transport expenses can be identified from the ABS GFS GG data and the State unit record data. From this update onwards, the Commission will use these two datasets to identify </w:t>
      </w:r>
      <w:r w:rsidR="008047F1">
        <w:t xml:space="preserve">QR </w:t>
      </w:r>
      <w:r>
        <w:t>non-urban rail passenger transport expenses and reallocate them to the non-urban transport component. The non</w:t>
      </w:r>
      <w:r>
        <w:noBreakHyphen/>
        <w:t>urban transport share of QR user charges could not be identified</w:t>
      </w:r>
      <w:r w:rsidR="003C35BF">
        <w:t xml:space="preserve"> but the </w:t>
      </w:r>
      <w:r w:rsidRPr="00016944">
        <w:t xml:space="preserve">amount is likely to be </w:t>
      </w:r>
      <w:r w:rsidR="00681D21">
        <w:t xml:space="preserve">relatively </w:t>
      </w:r>
      <w:r w:rsidRPr="00016944">
        <w:t xml:space="preserve">small. Therefore, </w:t>
      </w:r>
      <w:r>
        <w:t>the Commission does not intend to make an</w:t>
      </w:r>
      <w:r w:rsidRPr="00016944">
        <w:t xml:space="preserve"> adjustment</w:t>
      </w:r>
      <w:r w:rsidR="003C35BF">
        <w:t xml:space="preserve"> to the user charges</w:t>
      </w:r>
      <w:r w:rsidRPr="00016944">
        <w:t xml:space="preserve">. </w:t>
      </w:r>
    </w:p>
    <w:p w14:paraId="6843D968" w14:textId="7C1375A2" w:rsidR="00A75488" w:rsidRDefault="00A75488" w:rsidP="00A75488">
      <w:pPr>
        <w:pStyle w:val="CGCParaNumber"/>
      </w:pPr>
      <w:r>
        <w:lastRenderedPageBreak/>
        <w:t xml:space="preserve">Commission staff will consult with Victoria and Queensland about these adjustments after State GFS data are received later this year. If other significant adjustments are required, </w:t>
      </w:r>
      <w:r w:rsidR="00AA4B5D">
        <w:t>staff</w:t>
      </w:r>
      <w:r>
        <w:t xml:space="preserve"> will consult the affected States.</w:t>
      </w:r>
    </w:p>
    <w:p w14:paraId="0DF85508" w14:textId="77777777" w:rsidR="00A75488" w:rsidRPr="00E674AF" w:rsidRDefault="00A75488" w:rsidP="00A75488">
      <w:pPr>
        <w:pStyle w:val="Heading4"/>
      </w:pPr>
      <w:bookmarkStart w:id="60" w:name="_Toc49170296"/>
      <w:r w:rsidRPr="00E674AF">
        <w:t>Recommendations</w:t>
      </w:r>
      <w:bookmarkEnd w:id="60"/>
    </w:p>
    <w:tbl>
      <w:tblPr>
        <w:tblW w:w="0" w:type="auto"/>
        <w:shd w:val="clear" w:color="auto" w:fill="EBF3F5"/>
        <w:tblLook w:val="0000" w:firstRow="0" w:lastRow="0" w:firstColumn="0" w:lastColumn="0" w:noHBand="0" w:noVBand="0"/>
      </w:tblPr>
      <w:tblGrid>
        <w:gridCol w:w="8931"/>
      </w:tblGrid>
      <w:tr w:rsidR="00A75488" w:rsidRPr="00E674AF" w14:paraId="30EF8166" w14:textId="77777777" w:rsidTr="007123B0">
        <w:tc>
          <w:tcPr>
            <w:tcW w:w="8931" w:type="dxa"/>
            <w:shd w:val="clear" w:color="auto" w:fill="EBF3F5"/>
            <w:tcMar>
              <w:left w:w="28" w:type="dxa"/>
            </w:tcMar>
          </w:tcPr>
          <w:p w14:paraId="0AE2DD1D" w14:textId="792D9652" w:rsidR="00A75488" w:rsidRPr="00E674AF" w:rsidRDefault="00A75488" w:rsidP="007123B0">
            <w:pPr>
              <w:tabs>
                <w:tab w:val="clear" w:pos="567"/>
              </w:tabs>
              <w:rPr>
                <w:bCs/>
              </w:rPr>
            </w:pPr>
            <w:r w:rsidRPr="00E674AF">
              <w:rPr>
                <w:bCs/>
              </w:rPr>
              <w:t xml:space="preserve">Staff </w:t>
            </w:r>
            <w:r>
              <w:rPr>
                <w:bCs/>
              </w:rPr>
              <w:t>intend to:</w:t>
            </w:r>
          </w:p>
          <w:p w14:paraId="3C4966C5" w14:textId="1194CC07" w:rsidR="00A75488" w:rsidRDefault="00A75488" w:rsidP="00A75488">
            <w:pPr>
              <w:pStyle w:val="CGCBullet1"/>
            </w:pPr>
            <w:r>
              <w:t xml:space="preserve">for years up to year 2 </w:t>
            </w:r>
            <w:r w:rsidR="00B51168" w:rsidRPr="000A0239">
              <w:rPr>
                <w:rFonts w:eastAsia="Times New Roman" w:cs="Open Sans Light"/>
                <w:sz w:val="16"/>
                <w:szCs w:val="16"/>
                <w:lang w:eastAsia="en-AU"/>
              </w:rPr>
              <w:t>—</w:t>
            </w:r>
            <w:r w:rsidRPr="000A0239">
              <w:rPr>
                <w:rFonts w:eastAsia="Times New Roman" w:cs="Open Sans Light"/>
                <w:sz w:val="16"/>
                <w:szCs w:val="16"/>
                <w:lang w:eastAsia="en-AU"/>
              </w:rPr>
              <w:t xml:space="preserve"> </w:t>
            </w:r>
            <w:r>
              <w:t xml:space="preserve">use the ABS GFS NFPS data to estimate user charges, expenses and investment for urban transport and housing </w:t>
            </w:r>
          </w:p>
          <w:p w14:paraId="66F8671C" w14:textId="1463EBE8" w:rsidR="00A75488" w:rsidRDefault="00735EC9" w:rsidP="00A75488">
            <w:pPr>
              <w:pStyle w:val="CGCBullet1"/>
            </w:pPr>
            <w:r>
              <w:t>for year 3</w:t>
            </w:r>
            <w:r w:rsidR="00B51168">
              <w:t xml:space="preserve"> </w:t>
            </w:r>
            <w:r w:rsidR="00B51168" w:rsidRPr="000A0239">
              <w:rPr>
                <w:rFonts w:eastAsia="Times New Roman" w:cs="Open Sans Light"/>
                <w:sz w:val="16"/>
                <w:szCs w:val="16"/>
                <w:lang w:eastAsia="en-AU"/>
              </w:rPr>
              <w:t>—</w:t>
            </w:r>
            <w:r>
              <w:t xml:space="preserve"> </w:t>
            </w:r>
            <w:r w:rsidR="00A75488">
              <w:t>continue the 2020 Review approach of consolidating the State GG and PNFC data</w:t>
            </w:r>
          </w:p>
          <w:p w14:paraId="62988B51" w14:textId="77777777" w:rsidR="00A75488" w:rsidRDefault="00A75488" w:rsidP="00A75488">
            <w:pPr>
              <w:pStyle w:val="CGCBullet1"/>
            </w:pPr>
            <w:r>
              <w:t>check the accuracy of the year 3 urban transport data accuracy against published information</w:t>
            </w:r>
          </w:p>
          <w:p w14:paraId="11257CB8" w14:textId="69FBCBFF" w:rsidR="00A75488" w:rsidRDefault="00A75488" w:rsidP="00A75488">
            <w:pPr>
              <w:pStyle w:val="CGCBullet1"/>
            </w:pPr>
            <w:r w:rsidRPr="00943CCB">
              <w:t xml:space="preserve">reclassify COFOG-A </w:t>
            </w:r>
            <w:r w:rsidR="006535BE">
              <w:t xml:space="preserve">1132 </w:t>
            </w:r>
            <w:r w:rsidR="00871472">
              <w:t>Urban water transport freight services</w:t>
            </w:r>
            <w:r w:rsidR="00871472" w:rsidRPr="00943CCB">
              <w:t xml:space="preserve"> </w:t>
            </w:r>
            <w:r w:rsidRPr="00943CCB">
              <w:t>from the urban transport component to non-urban transport component</w:t>
            </w:r>
          </w:p>
          <w:p w14:paraId="662E4D99" w14:textId="77777777" w:rsidR="00A75488" w:rsidRDefault="00A75488" w:rsidP="00A75488">
            <w:pPr>
              <w:pStyle w:val="CGCBullet1"/>
            </w:pPr>
            <w:r>
              <w:t>ensure that the GG subsidies to V/Line are included in the non-urban transport expenses component</w:t>
            </w:r>
          </w:p>
          <w:p w14:paraId="1963CD9C" w14:textId="15CAF1C2" w:rsidR="00A75488" w:rsidRDefault="00A75488" w:rsidP="00A75488">
            <w:pPr>
              <w:pStyle w:val="CGCBullet1"/>
            </w:pPr>
            <w:r>
              <w:t xml:space="preserve">adjust Queensland Rail expenses to remove non-urban expenses using </w:t>
            </w:r>
            <w:r w:rsidR="00593CF0">
              <w:t>t</w:t>
            </w:r>
            <w:r w:rsidRPr="00F85961">
              <w:t>he ABS GFS GG and the State unit record data</w:t>
            </w:r>
          </w:p>
          <w:p w14:paraId="24D3AA26" w14:textId="54C90EBA" w:rsidR="00A75488" w:rsidRDefault="00A75488" w:rsidP="00A75488">
            <w:pPr>
              <w:pStyle w:val="CGCBullet1"/>
            </w:pPr>
            <w:r>
              <w:t>make no adjustment to Queensland Rail user charges unless the non-urban share can be identified reliabl</w:t>
            </w:r>
            <w:r w:rsidR="0019668C">
              <w:t>y</w:t>
            </w:r>
          </w:p>
          <w:p w14:paraId="67332A6D" w14:textId="77777777" w:rsidR="00A75488" w:rsidRPr="00E674AF" w:rsidRDefault="00A75488" w:rsidP="008C0460">
            <w:pPr>
              <w:pStyle w:val="CGCBullet1"/>
              <w:spacing w:after="120"/>
            </w:pPr>
            <w:r>
              <w:t>consult with affected States before making significant changes.</w:t>
            </w:r>
          </w:p>
        </w:tc>
      </w:tr>
    </w:tbl>
    <w:p w14:paraId="40D3E2FD" w14:textId="5B66C0F7" w:rsidR="00F83EC1" w:rsidRPr="001E6379" w:rsidRDefault="002E6054" w:rsidP="001E6379">
      <w:pPr>
        <w:pStyle w:val="Heading3"/>
      </w:pPr>
      <w:bookmarkStart w:id="61" w:name="_Toc49170297"/>
      <w:r w:rsidRPr="001E6379">
        <w:t xml:space="preserve">Assessing loans under </w:t>
      </w:r>
      <w:r w:rsidR="007D107F" w:rsidRPr="001E6379">
        <w:t xml:space="preserve">natural disaster </w:t>
      </w:r>
      <w:r w:rsidRPr="001E6379">
        <w:t>relief expenses</w:t>
      </w:r>
      <w:bookmarkEnd w:id="61"/>
    </w:p>
    <w:p w14:paraId="21DE968C" w14:textId="4295537D" w:rsidR="006617E3" w:rsidRDefault="006617E3" w:rsidP="006617E3">
      <w:pPr>
        <w:pStyle w:val="CGCParaNumber"/>
      </w:pPr>
      <w:r w:rsidRPr="00E20724">
        <w:t>The natural disaster relief expenses assessment recognises the net costs States incur due to natural disaster</w:t>
      </w:r>
      <w:r w:rsidR="003F7F42">
        <w:t>s</w:t>
      </w:r>
      <w:r w:rsidRPr="00E20724">
        <w:t xml:space="preserve">. </w:t>
      </w:r>
      <w:r w:rsidR="0004079A" w:rsidRPr="0004079A">
        <w:t xml:space="preserve">The assessment should apply a consistent treatment to the various types of assistance </w:t>
      </w:r>
      <w:r w:rsidR="00722780" w:rsidRPr="0004079A">
        <w:t>(grants, concessional loans and interest rate subsidies)</w:t>
      </w:r>
      <w:r w:rsidR="00722780">
        <w:t xml:space="preserve"> </w:t>
      </w:r>
      <w:r w:rsidR="0004079A" w:rsidRPr="0004079A">
        <w:t>provided by States to individuals, businesses, community organisations and local governments as well as to the different forms of reimbursement provided by the Commonwealth (grants and concessional loans).</w:t>
      </w:r>
    </w:p>
    <w:p w14:paraId="527AD053" w14:textId="585DE212" w:rsidR="002C62C0" w:rsidRDefault="002C62C0" w:rsidP="006617E3">
      <w:pPr>
        <w:pStyle w:val="CGCParaNumber"/>
      </w:pPr>
      <w:r w:rsidRPr="002C62C0">
        <w:t>Previous assessments inflated the value of concessional loan expenses relative to interest rate subsidies because loan values were used in the assessment. Staff propose to correct this by including in the assessment only the net cost to States of providing concessional loans</w:t>
      </w:r>
      <w:r w:rsidR="00F448EC">
        <w:t xml:space="preserve">, that is, </w:t>
      </w:r>
      <w:r w:rsidR="00974484">
        <w:t xml:space="preserve">a </w:t>
      </w:r>
      <w:r w:rsidR="00F448EC">
        <w:t>State</w:t>
      </w:r>
      <w:r w:rsidR="00974484">
        <w:t>’</w:t>
      </w:r>
      <w:r w:rsidR="00F13B01">
        <w:t>s</w:t>
      </w:r>
      <w:r w:rsidR="00F448EC">
        <w:t xml:space="preserve"> interest rate subsidies on loans</w:t>
      </w:r>
      <w:r w:rsidR="00447CC0">
        <w:t>.</w:t>
      </w:r>
      <w:r w:rsidR="005A7550">
        <w:t xml:space="preserve"> </w:t>
      </w:r>
    </w:p>
    <w:p w14:paraId="168C7641" w14:textId="37BC404F" w:rsidR="006617E3" w:rsidRDefault="006617E3" w:rsidP="006617E3">
      <w:pPr>
        <w:pStyle w:val="CGCParaNumber"/>
      </w:pPr>
      <w:r>
        <w:t xml:space="preserve">In recent years only New South Wales, Queensland and Tasmania have provided concessional loans, and these loans have been small. To change the treatment of concessional loans would move </w:t>
      </w:r>
      <w:r w:rsidR="00BA0BE7">
        <w:t xml:space="preserve">up to </w:t>
      </w:r>
      <w:r>
        <w:t>$2 per capita (</w:t>
      </w:r>
      <w:r w:rsidR="00AA7363">
        <w:fldChar w:fldCharType="begin"/>
      </w:r>
      <w:r w:rsidR="00AA7363">
        <w:instrText xml:space="preserve"> REF _Ref46137974 \h </w:instrText>
      </w:r>
      <w:r w:rsidR="00AA7363">
        <w:fldChar w:fldCharType="separate"/>
      </w:r>
      <w:r w:rsidR="00A46D6F">
        <w:t xml:space="preserve">Table </w:t>
      </w:r>
      <w:r w:rsidR="00A46D6F">
        <w:rPr>
          <w:noProof/>
        </w:rPr>
        <w:t>8</w:t>
      </w:r>
      <w:r w:rsidR="00AA7363">
        <w:fldChar w:fldCharType="end"/>
      </w:r>
      <w:r>
        <w:t>).</w:t>
      </w:r>
      <w:r w:rsidR="007A5FEB">
        <w:t xml:space="preserve"> As the change is not material, </w:t>
      </w:r>
      <w:r w:rsidR="0001241E">
        <w:t>no</w:t>
      </w:r>
      <w:r w:rsidR="007A5FEB">
        <w:t xml:space="preserve"> adjustment will be made to correct for the overstatement of expenses in previous years, </w:t>
      </w:r>
      <w:r w:rsidR="00E94156">
        <w:t xml:space="preserve">as per </w:t>
      </w:r>
      <w:r w:rsidR="007A5FEB">
        <w:t>the Commission’s revision policy for this assessment.</w:t>
      </w:r>
      <w:r w:rsidR="007A5FEB">
        <w:rPr>
          <w:rStyle w:val="FootnoteReference"/>
        </w:rPr>
        <w:footnoteReference w:id="21"/>
      </w:r>
    </w:p>
    <w:p w14:paraId="7A098A02" w14:textId="366468B2" w:rsidR="00A02EFE" w:rsidRDefault="00A02EFE" w:rsidP="00A02EFE">
      <w:pPr>
        <w:pStyle w:val="Caption"/>
      </w:pPr>
      <w:bookmarkStart w:id="62" w:name="_Ref46137974"/>
      <w:r>
        <w:lastRenderedPageBreak/>
        <w:t xml:space="preserve">Table </w:t>
      </w:r>
      <w:fldSimple w:instr=" SEQ Table \* ARABIC ">
        <w:r w:rsidR="00A46D6F">
          <w:rPr>
            <w:noProof/>
          </w:rPr>
          <w:t>8</w:t>
        </w:r>
      </w:fldSimple>
      <w:bookmarkEnd w:id="62"/>
      <w:r>
        <w:tab/>
      </w:r>
      <w:r w:rsidR="004D74CA" w:rsidRPr="004D74CA">
        <w:t>Change in the redistribution after modifying the natural disaster relief expenses assessment, 2020-21</w:t>
      </w:r>
    </w:p>
    <w:tbl>
      <w:tblPr>
        <w:tblW w:w="5000" w:type="pct"/>
        <w:tblLook w:val="04A0" w:firstRow="1" w:lastRow="0" w:firstColumn="1" w:lastColumn="0" w:noHBand="0" w:noVBand="1"/>
      </w:tblPr>
      <w:tblGrid>
        <w:gridCol w:w="2945"/>
        <w:gridCol w:w="581"/>
        <w:gridCol w:w="643"/>
        <w:gridCol w:w="675"/>
        <w:gridCol w:w="659"/>
        <w:gridCol w:w="609"/>
        <w:gridCol w:w="659"/>
        <w:gridCol w:w="709"/>
        <w:gridCol w:w="625"/>
        <w:gridCol w:w="846"/>
      </w:tblGrid>
      <w:tr w:rsidR="00602950" w:rsidRPr="00602950" w14:paraId="304BF9D6" w14:textId="77777777" w:rsidTr="00602950">
        <w:trPr>
          <w:trHeight w:val="375"/>
        </w:trPr>
        <w:tc>
          <w:tcPr>
            <w:tcW w:w="1663" w:type="pct"/>
            <w:tcBorders>
              <w:top w:val="nil"/>
              <w:left w:val="nil"/>
              <w:bottom w:val="nil"/>
              <w:right w:val="nil"/>
            </w:tcBorders>
            <w:shd w:val="clear" w:color="000000" w:fill="006991"/>
            <w:vAlign w:val="center"/>
            <w:hideMark/>
          </w:tcPr>
          <w:p w14:paraId="424C5014" w14:textId="77777777" w:rsidR="00602950" w:rsidRPr="00602950" w:rsidRDefault="00602950" w:rsidP="002243BA">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02950">
              <w:rPr>
                <w:rFonts w:ascii="Open Sans Semibold" w:eastAsia="Times New Roman" w:hAnsi="Open Sans Semibold" w:cs="Open Sans Semibold"/>
                <w:color w:val="FFFFFF"/>
                <w:sz w:val="16"/>
                <w:szCs w:val="16"/>
                <w:lang w:eastAsia="en-AU"/>
              </w:rPr>
              <w:t> </w:t>
            </w:r>
          </w:p>
        </w:tc>
        <w:tc>
          <w:tcPr>
            <w:tcW w:w="164" w:type="pct"/>
            <w:tcBorders>
              <w:top w:val="nil"/>
              <w:left w:val="nil"/>
              <w:bottom w:val="nil"/>
              <w:right w:val="nil"/>
            </w:tcBorders>
            <w:shd w:val="clear" w:color="000000" w:fill="006991"/>
            <w:vAlign w:val="center"/>
            <w:hideMark/>
          </w:tcPr>
          <w:p w14:paraId="04A8E164" w14:textId="77777777" w:rsidR="00602950" w:rsidRPr="00602950" w:rsidRDefault="00602950" w:rsidP="002243BA">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02950">
              <w:rPr>
                <w:rFonts w:ascii="Open Sans Semibold" w:eastAsia="Times New Roman" w:hAnsi="Open Sans Semibold" w:cs="Open Sans Semibold"/>
                <w:color w:val="FFFFFF"/>
                <w:sz w:val="16"/>
                <w:szCs w:val="16"/>
                <w:lang w:eastAsia="en-AU"/>
              </w:rPr>
              <w:t>NSW</w:t>
            </w:r>
          </w:p>
        </w:tc>
        <w:tc>
          <w:tcPr>
            <w:tcW w:w="377" w:type="pct"/>
            <w:tcBorders>
              <w:top w:val="nil"/>
              <w:left w:val="nil"/>
              <w:bottom w:val="nil"/>
              <w:right w:val="nil"/>
            </w:tcBorders>
            <w:shd w:val="clear" w:color="000000" w:fill="006991"/>
            <w:vAlign w:val="center"/>
            <w:hideMark/>
          </w:tcPr>
          <w:p w14:paraId="5DDB6FCD" w14:textId="77777777" w:rsidR="00602950" w:rsidRPr="00602950" w:rsidRDefault="00602950" w:rsidP="002243BA">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02950">
              <w:rPr>
                <w:rFonts w:ascii="Open Sans Semibold" w:eastAsia="Times New Roman" w:hAnsi="Open Sans Semibold" w:cs="Open Sans Semibold"/>
                <w:color w:val="FFFFFF"/>
                <w:sz w:val="16"/>
                <w:szCs w:val="16"/>
                <w:lang w:eastAsia="en-AU"/>
              </w:rPr>
              <w:t>Vic</w:t>
            </w:r>
          </w:p>
        </w:tc>
        <w:tc>
          <w:tcPr>
            <w:tcW w:w="395" w:type="pct"/>
            <w:tcBorders>
              <w:top w:val="nil"/>
              <w:left w:val="nil"/>
              <w:bottom w:val="nil"/>
              <w:right w:val="nil"/>
            </w:tcBorders>
            <w:shd w:val="clear" w:color="000000" w:fill="006991"/>
            <w:vAlign w:val="center"/>
            <w:hideMark/>
          </w:tcPr>
          <w:p w14:paraId="465CE756" w14:textId="77777777" w:rsidR="00602950" w:rsidRPr="00602950" w:rsidRDefault="00602950" w:rsidP="002243BA">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02950">
              <w:rPr>
                <w:rFonts w:ascii="Open Sans Semibold" w:eastAsia="Times New Roman" w:hAnsi="Open Sans Semibold" w:cs="Open Sans Semibold"/>
                <w:color w:val="FFFFFF"/>
                <w:sz w:val="16"/>
                <w:szCs w:val="16"/>
                <w:lang w:eastAsia="en-AU"/>
              </w:rPr>
              <w:t>Qld</w:t>
            </w:r>
          </w:p>
        </w:tc>
        <w:tc>
          <w:tcPr>
            <w:tcW w:w="386" w:type="pct"/>
            <w:tcBorders>
              <w:top w:val="nil"/>
              <w:left w:val="nil"/>
              <w:bottom w:val="nil"/>
              <w:right w:val="nil"/>
            </w:tcBorders>
            <w:shd w:val="clear" w:color="000000" w:fill="006991"/>
            <w:vAlign w:val="center"/>
            <w:hideMark/>
          </w:tcPr>
          <w:p w14:paraId="75239C3D" w14:textId="77777777" w:rsidR="00602950" w:rsidRPr="00602950" w:rsidRDefault="00602950" w:rsidP="002243BA">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02950">
              <w:rPr>
                <w:rFonts w:ascii="Open Sans Semibold" w:eastAsia="Times New Roman" w:hAnsi="Open Sans Semibold" w:cs="Open Sans Semibold"/>
                <w:color w:val="FFFFFF"/>
                <w:sz w:val="16"/>
                <w:szCs w:val="16"/>
                <w:lang w:eastAsia="en-AU"/>
              </w:rPr>
              <w:t>WA</w:t>
            </w:r>
          </w:p>
        </w:tc>
        <w:tc>
          <w:tcPr>
            <w:tcW w:w="358" w:type="pct"/>
            <w:tcBorders>
              <w:top w:val="nil"/>
              <w:left w:val="nil"/>
              <w:bottom w:val="nil"/>
              <w:right w:val="nil"/>
            </w:tcBorders>
            <w:shd w:val="clear" w:color="000000" w:fill="006991"/>
            <w:vAlign w:val="center"/>
            <w:hideMark/>
          </w:tcPr>
          <w:p w14:paraId="722DD3BB" w14:textId="77777777" w:rsidR="00602950" w:rsidRPr="00602950" w:rsidRDefault="00602950" w:rsidP="002243BA">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02950">
              <w:rPr>
                <w:rFonts w:ascii="Open Sans Semibold" w:eastAsia="Times New Roman" w:hAnsi="Open Sans Semibold" w:cs="Open Sans Semibold"/>
                <w:color w:val="FFFFFF"/>
                <w:sz w:val="16"/>
                <w:szCs w:val="16"/>
                <w:lang w:eastAsia="en-AU"/>
              </w:rPr>
              <w:t>SA</w:t>
            </w:r>
          </w:p>
        </w:tc>
        <w:tc>
          <w:tcPr>
            <w:tcW w:w="386" w:type="pct"/>
            <w:tcBorders>
              <w:top w:val="nil"/>
              <w:left w:val="nil"/>
              <w:bottom w:val="nil"/>
              <w:right w:val="nil"/>
            </w:tcBorders>
            <w:shd w:val="clear" w:color="000000" w:fill="006991"/>
            <w:vAlign w:val="center"/>
            <w:hideMark/>
          </w:tcPr>
          <w:p w14:paraId="6320ABA3" w14:textId="77777777" w:rsidR="00602950" w:rsidRPr="00602950" w:rsidRDefault="00602950" w:rsidP="002243BA">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02950">
              <w:rPr>
                <w:rFonts w:ascii="Open Sans Semibold" w:eastAsia="Times New Roman" w:hAnsi="Open Sans Semibold" w:cs="Open Sans Semibold"/>
                <w:color w:val="FFFFFF"/>
                <w:sz w:val="16"/>
                <w:szCs w:val="16"/>
                <w:lang w:eastAsia="en-AU"/>
              </w:rPr>
              <w:t>Tas</w:t>
            </w:r>
          </w:p>
        </w:tc>
        <w:tc>
          <w:tcPr>
            <w:tcW w:w="414" w:type="pct"/>
            <w:tcBorders>
              <w:top w:val="nil"/>
              <w:left w:val="nil"/>
              <w:bottom w:val="nil"/>
              <w:right w:val="nil"/>
            </w:tcBorders>
            <w:shd w:val="clear" w:color="000000" w:fill="006991"/>
            <w:vAlign w:val="center"/>
            <w:hideMark/>
          </w:tcPr>
          <w:p w14:paraId="77656C0C" w14:textId="77777777" w:rsidR="00602950" w:rsidRPr="00602950" w:rsidRDefault="00602950" w:rsidP="002243BA">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02950">
              <w:rPr>
                <w:rFonts w:ascii="Open Sans Semibold" w:eastAsia="Times New Roman" w:hAnsi="Open Sans Semibold" w:cs="Open Sans Semibold"/>
                <w:color w:val="FFFFFF"/>
                <w:sz w:val="16"/>
                <w:szCs w:val="16"/>
                <w:lang w:eastAsia="en-AU"/>
              </w:rPr>
              <w:t>ACT</w:t>
            </w:r>
          </w:p>
        </w:tc>
        <w:tc>
          <w:tcPr>
            <w:tcW w:w="367" w:type="pct"/>
            <w:tcBorders>
              <w:top w:val="nil"/>
              <w:left w:val="nil"/>
              <w:bottom w:val="nil"/>
              <w:right w:val="nil"/>
            </w:tcBorders>
            <w:shd w:val="clear" w:color="000000" w:fill="006991"/>
            <w:vAlign w:val="center"/>
            <w:hideMark/>
          </w:tcPr>
          <w:p w14:paraId="08EEEE6A" w14:textId="77777777" w:rsidR="00602950" w:rsidRPr="00602950" w:rsidRDefault="00602950" w:rsidP="002243BA">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602950">
              <w:rPr>
                <w:rFonts w:ascii="Open Sans Semibold" w:eastAsia="Times New Roman" w:hAnsi="Open Sans Semibold" w:cs="Open Sans Semibold"/>
                <w:color w:val="FFFFFF"/>
                <w:sz w:val="16"/>
                <w:szCs w:val="16"/>
                <w:lang w:eastAsia="en-AU"/>
              </w:rPr>
              <w:t>NT</w:t>
            </w:r>
          </w:p>
        </w:tc>
        <w:tc>
          <w:tcPr>
            <w:tcW w:w="490" w:type="pct"/>
            <w:tcBorders>
              <w:top w:val="nil"/>
              <w:left w:val="nil"/>
              <w:bottom w:val="nil"/>
              <w:right w:val="nil"/>
            </w:tcBorders>
            <w:shd w:val="clear" w:color="000000" w:fill="006991"/>
            <w:vAlign w:val="center"/>
            <w:hideMark/>
          </w:tcPr>
          <w:p w14:paraId="513D1B45" w14:textId="7242FA1C" w:rsidR="00602950" w:rsidRPr="00602950" w:rsidRDefault="00D3180F" w:rsidP="002243BA">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Pr>
                <w:rFonts w:ascii="Open Sans Semibold" w:eastAsia="Times New Roman" w:hAnsi="Open Sans Semibold" w:cs="Open Sans Semibold"/>
                <w:color w:val="FFFFFF"/>
                <w:sz w:val="16"/>
                <w:szCs w:val="16"/>
                <w:lang w:eastAsia="en-AU"/>
              </w:rPr>
              <w:t>Total</w:t>
            </w:r>
          </w:p>
        </w:tc>
      </w:tr>
      <w:tr w:rsidR="00602950" w:rsidRPr="00602950" w14:paraId="26BB3A1C" w14:textId="77777777" w:rsidTr="00602950">
        <w:trPr>
          <w:trHeight w:val="315"/>
        </w:trPr>
        <w:tc>
          <w:tcPr>
            <w:tcW w:w="1663" w:type="pct"/>
            <w:tcBorders>
              <w:top w:val="single" w:sz="4" w:space="0" w:color="ADD6EA"/>
              <w:left w:val="nil"/>
              <w:bottom w:val="single" w:sz="4" w:space="0" w:color="ADD6EA"/>
              <w:right w:val="nil"/>
            </w:tcBorders>
            <w:shd w:val="clear" w:color="auto" w:fill="auto"/>
            <w:vAlign w:val="bottom"/>
            <w:hideMark/>
          </w:tcPr>
          <w:p w14:paraId="6DBC636D" w14:textId="77777777" w:rsidR="00602950" w:rsidRPr="00602950" w:rsidRDefault="00602950" w:rsidP="002243BA">
            <w:pPr>
              <w:keepNext/>
              <w:keepLines/>
              <w:tabs>
                <w:tab w:val="clear" w:pos="567"/>
              </w:tabs>
              <w:spacing w:before="0" w:line="240" w:lineRule="auto"/>
              <w:rPr>
                <w:rFonts w:eastAsia="Times New Roman" w:cs="Open Sans Light"/>
                <w:sz w:val="16"/>
                <w:szCs w:val="16"/>
                <w:lang w:eastAsia="en-AU"/>
              </w:rPr>
            </w:pPr>
            <w:r w:rsidRPr="00602950">
              <w:rPr>
                <w:rFonts w:eastAsia="Times New Roman" w:cs="Open Sans Light"/>
                <w:sz w:val="16"/>
                <w:szCs w:val="16"/>
                <w:lang w:eastAsia="en-AU"/>
              </w:rPr>
              <w:t>Change in the redistribution ($m)</w:t>
            </w:r>
          </w:p>
        </w:tc>
        <w:tc>
          <w:tcPr>
            <w:tcW w:w="164" w:type="pct"/>
            <w:tcBorders>
              <w:top w:val="single" w:sz="4" w:space="0" w:color="ADD6EA"/>
              <w:left w:val="nil"/>
              <w:bottom w:val="single" w:sz="4" w:space="0" w:color="ADD6EA"/>
              <w:right w:val="nil"/>
            </w:tcBorders>
            <w:shd w:val="clear" w:color="auto" w:fill="auto"/>
            <w:vAlign w:val="bottom"/>
            <w:hideMark/>
          </w:tcPr>
          <w:p w14:paraId="6F3F40E2" w14:textId="77777777" w:rsidR="00602950" w:rsidRPr="00602950" w:rsidRDefault="00602950" w:rsidP="002243BA">
            <w:pPr>
              <w:keepNext/>
              <w:keepLines/>
              <w:tabs>
                <w:tab w:val="clear" w:pos="567"/>
              </w:tabs>
              <w:spacing w:before="0" w:line="240" w:lineRule="auto"/>
              <w:jc w:val="right"/>
              <w:rPr>
                <w:rFonts w:eastAsia="Times New Roman" w:cs="Open Sans Light"/>
                <w:sz w:val="16"/>
                <w:szCs w:val="16"/>
                <w:lang w:eastAsia="en-AU"/>
              </w:rPr>
            </w:pPr>
            <w:r w:rsidRPr="00602950">
              <w:rPr>
                <w:rFonts w:eastAsia="Times New Roman" w:cs="Open Sans Light"/>
                <w:sz w:val="16"/>
                <w:szCs w:val="16"/>
                <w:lang w:eastAsia="en-AU"/>
              </w:rPr>
              <w:t>5</w:t>
            </w:r>
          </w:p>
        </w:tc>
        <w:tc>
          <w:tcPr>
            <w:tcW w:w="377" w:type="pct"/>
            <w:tcBorders>
              <w:top w:val="single" w:sz="4" w:space="0" w:color="ADD6EA"/>
              <w:left w:val="nil"/>
              <w:bottom w:val="single" w:sz="4" w:space="0" w:color="ADD6EA"/>
              <w:right w:val="nil"/>
            </w:tcBorders>
            <w:shd w:val="clear" w:color="auto" w:fill="auto"/>
            <w:vAlign w:val="bottom"/>
            <w:hideMark/>
          </w:tcPr>
          <w:p w14:paraId="68A91AB5" w14:textId="77777777" w:rsidR="00602950" w:rsidRPr="00602950" w:rsidRDefault="00602950" w:rsidP="002243BA">
            <w:pPr>
              <w:keepNext/>
              <w:keepLines/>
              <w:tabs>
                <w:tab w:val="clear" w:pos="567"/>
              </w:tabs>
              <w:spacing w:before="0" w:line="240" w:lineRule="auto"/>
              <w:jc w:val="right"/>
              <w:rPr>
                <w:rFonts w:eastAsia="Times New Roman" w:cs="Open Sans Light"/>
                <w:sz w:val="16"/>
                <w:szCs w:val="16"/>
                <w:lang w:eastAsia="en-AU"/>
              </w:rPr>
            </w:pPr>
            <w:r w:rsidRPr="00602950">
              <w:rPr>
                <w:rFonts w:eastAsia="Times New Roman" w:cs="Open Sans Light"/>
                <w:sz w:val="16"/>
                <w:szCs w:val="16"/>
                <w:lang w:eastAsia="en-AU"/>
              </w:rPr>
              <w:t>4</w:t>
            </w:r>
          </w:p>
        </w:tc>
        <w:tc>
          <w:tcPr>
            <w:tcW w:w="395" w:type="pct"/>
            <w:tcBorders>
              <w:top w:val="single" w:sz="4" w:space="0" w:color="ADD6EA"/>
              <w:left w:val="nil"/>
              <w:bottom w:val="single" w:sz="4" w:space="0" w:color="ADD6EA"/>
              <w:right w:val="nil"/>
            </w:tcBorders>
            <w:shd w:val="clear" w:color="auto" w:fill="auto"/>
            <w:vAlign w:val="bottom"/>
            <w:hideMark/>
          </w:tcPr>
          <w:p w14:paraId="3A726E4A" w14:textId="77777777" w:rsidR="00602950" w:rsidRPr="00602950" w:rsidRDefault="00602950" w:rsidP="002243BA">
            <w:pPr>
              <w:keepNext/>
              <w:keepLines/>
              <w:tabs>
                <w:tab w:val="clear" w:pos="567"/>
              </w:tabs>
              <w:spacing w:before="0" w:line="240" w:lineRule="auto"/>
              <w:jc w:val="right"/>
              <w:rPr>
                <w:rFonts w:eastAsia="Times New Roman" w:cs="Open Sans Light"/>
                <w:sz w:val="16"/>
                <w:szCs w:val="16"/>
                <w:lang w:eastAsia="en-AU"/>
              </w:rPr>
            </w:pPr>
            <w:r w:rsidRPr="00602950">
              <w:rPr>
                <w:rFonts w:eastAsia="Times New Roman" w:cs="Open Sans Light"/>
                <w:sz w:val="16"/>
                <w:szCs w:val="16"/>
                <w:lang w:eastAsia="en-AU"/>
              </w:rPr>
              <w:t>-13</w:t>
            </w:r>
          </w:p>
        </w:tc>
        <w:tc>
          <w:tcPr>
            <w:tcW w:w="386" w:type="pct"/>
            <w:tcBorders>
              <w:top w:val="single" w:sz="4" w:space="0" w:color="ADD6EA"/>
              <w:left w:val="nil"/>
              <w:bottom w:val="single" w:sz="4" w:space="0" w:color="ADD6EA"/>
              <w:right w:val="nil"/>
            </w:tcBorders>
            <w:shd w:val="clear" w:color="auto" w:fill="auto"/>
            <w:vAlign w:val="bottom"/>
            <w:hideMark/>
          </w:tcPr>
          <w:p w14:paraId="52FDF33C" w14:textId="77777777" w:rsidR="00602950" w:rsidRPr="00602950" w:rsidRDefault="00602950" w:rsidP="002243BA">
            <w:pPr>
              <w:keepNext/>
              <w:keepLines/>
              <w:tabs>
                <w:tab w:val="clear" w:pos="567"/>
              </w:tabs>
              <w:spacing w:before="0" w:line="240" w:lineRule="auto"/>
              <w:jc w:val="right"/>
              <w:rPr>
                <w:rFonts w:eastAsia="Times New Roman" w:cs="Open Sans Light"/>
                <w:sz w:val="16"/>
                <w:szCs w:val="16"/>
                <w:lang w:eastAsia="en-AU"/>
              </w:rPr>
            </w:pPr>
            <w:r w:rsidRPr="00602950">
              <w:rPr>
                <w:rFonts w:eastAsia="Times New Roman" w:cs="Open Sans Light"/>
                <w:sz w:val="16"/>
                <w:szCs w:val="16"/>
                <w:lang w:eastAsia="en-AU"/>
              </w:rPr>
              <w:t>2</w:t>
            </w:r>
          </w:p>
        </w:tc>
        <w:tc>
          <w:tcPr>
            <w:tcW w:w="358" w:type="pct"/>
            <w:tcBorders>
              <w:top w:val="single" w:sz="4" w:space="0" w:color="ADD6EA"/>
              <w:left w:val="nil"/>
              <w:bottom w:val="single" w:sz="4" w:space="0" w:color="ADD6EA"/>
              <w:right w:val="nil"/>
            </w:tcBorders>
            <w:shd w:val="clear" w:color="auto" w:fill="auto"/>
            <w:vAlign w:val="bottom"/>
            <w:hideMark/>
          </w:tcPr>
          <w:p w14:paraId="73692347" w14:textId="77777777" w:rsidR="00602950" w:rsidRPr="00602950" w:rsidRDefault="00602950" w:rsidP="002243BA">
            <w:pPr>
              <w:keepNext/>
              <w:keepLines/>
              <w:tabs>
                <w:tab w:val="clear" w:pos="567"/>
              </w:tabs>
              <w:spacing w:before="0" w:line="240" w:lineRule="auto"/>
              <w:jc w:val="right"/>
              <w:rPr>
                <w:rFonts w:eastAsia="Times New Roman" w:cs="Open Sans Light"/>
                <w:sz w:val="16"/>
                <w:szCs w:val="16"/>
                <w:lang w:eastAsia="en-AU"/>
              </w:rPr>
            </w:pPr>
            <w:r w:rsidRPr="00602950">
              <w:rPr>
                <w:rFonts w:eastAsia="Times New Roman" w:cs="Open Sans Light"/>
                <w:sz w:val="16"/>
                <w:szCs w:val="16"/>
                <w:lang w:eastAsia="en-AU"/>
              </w:rPr>
              <w:t>1</w:t>
            </w:r>
          </w:p>
        </w:tc>
        <w:tc>
          <w:tcPr>
            <w:tcW w:w="386" w:type="pct"/>
            <w:tcBorders>
              <w:top w:val="single" w:sz="4" w:space="0" w:color="ADD6EA"/>
              <w:left w:val="nil"/>
              <w:bottom w:val="single" w:sz="4" w:space="0" w:color="ADD6EA"/>
              <w:right w:val="nil"/>
            </w:tcBorders>
            <w:shd w:val="clear" w:color="auto" w:fill="auto"/>
            <w:vAlign w:val="bottom"/>
            <w:hideMark/>
          </w:tcPr>
          <w:p w14:paraId="237B5CDF" w14:textId="77777777" w:rsidR="00602950" w:rsidRPr="00602950" w:rsidRDefault="00602950" w:rsidP="002243BA">
            <w:pPr>
              <w:keepNext/>
              <w:keepLines/>
              <w:tabs>
                <w:tab w:val="clear" w:pos="567"/>
              </w:tabs>
              <w:spacing w:before="0" w:line="240" w:lineRule="auto"/>
              <w:jc w:val="right"/>
              <w:rPr>
                <w:rFonts w:eastAsia="Times New Roman" w:cs="Open Sans Light"/>
                <w:sz w:val="16"/>
                <w:szCs w:val="16"/>
                <w:lang w:eastAsia="en-AU"/>
              </w:rPr>
            </w:pPr>
            <w:r w:rsidRPr="00602950">
              <w:rPr>
                <w:rFonts w:eastAsia="Times New Roman" w:cs="Open Sans Light"/>
                <w:sz w:val="16"/>
                <w:szCs w:val="16"/>
                <w:lang w:eastAsia="en-AU"/>
              </w:rPr>
              <w:t>0</w:t>
            </w:r>
          </w:p>
        </w:tc>
        <w:tc>
          <w:tcPr>
            <w:tcW w:w="414" w:type="pct"/>
            <w:tcBorders>
              <w:top w:val="single" w:sz="4" w:space="0" w:color="ADD6EA"/>
              <w:left w:val="nil"/>
              <w:bottom w:val="single" w:sz="4" w:space="0" w:color="ADD6EA"/>
              <w:right w:val="nil"/>
            </w:tcBorders>
            <w:shd w:val="clear" w:color="auto" w:fill="auto"/>
            <w:vAlign w:val="bottom"/>
            <w:hideMark/>
          </w:tcPr>
          <w:p w14:paraId="4EA69713" w14:textId="77777777" w:rsidR="00602950" w:rsidRPr="00602950" w:rsidRDefault="00602950" w:rsidP="002243BA">
            <w:pPr>
              <w:keepNext/>
              <w:keepLines/>
              <w:tabs>
                <w:tab w:val="clear" w:pos="567"/>
              </w:tabs>
              <w:spacing w:before="0" w:line="240" w:lineRule="auto"/>
              <w:jc w:val="right"/>
              <w:rPr>
                <w:rFonts w:eastAsia="Times New Roman" w:cs="Open Sans Light"/>
                <w:sz w:val="16"/>
                <w:szCs w:val="16"/>
                <w:lang w:eastAsia="en-AU"/>
              </w:rPr>
            </w:pPr>
            <w:r w:rsidRPr="00602950">
              <w:rPr>
                <w:rFonts w:eastAsia="Times New Roman" w:cs="Open Sans Light"/>
                <w:sz w:val="16"/>
                <w:szCs w:val="16"/>
                <w:lang w:eastAsia="en-AU"/>
              </w:rPr>
              <w:t>0</w:t>
            </w:r>
          </w:p>
        </w:tc>
        <w:tc>
          <w:tcPr>
            <w:tcW w:w="367" w:type="pct"/>
            <w:tcBorders>
              <w:top w:val="single" w:sz="4" w:space="0" w:color="ADD6EA"/>
              <w:left w:val="nil"/>
              <w:bottom w:val="single" w:sz="4" w:space="0" w:color="ADD6EA"/>
              <w:right w:val="nil"/>
            </w:tcBorders>
            <w:shd w:val="clear" w:color="auto" w:fill="auto"/>
            <w:vAlign w:val="bottom"/>
            <w:hideMark/>
          </w:tcPr>
          <w:p w14:paraId="67FE995A" w14:textId="77777777" w:rsidR="00602950" w:rsidRPr="00602950" w:rsidRDefault="00602950" w:rsidP="002243BA">
            <w:pPr>
              <w:keepNext/>
              <w:keepLines/>
              <w:tabs>
                <w:tab w:val="clear" w:pos="567"/>
              </w:tabs>
              <w:spacing w:before="0" w:line="240" w:lineRule="auto"/>
              <w:jc w:val="right"/>
              <w:rPr>
                <w:rFonts w:eastAsia="Times New Roman" w:cs="Open Sans Light"/>
                <w:sz w:val="16"/>
                <w:szCs w:val="16"/>
                <w:lang w:eastAsia="en-AU"/>
              </w:rPr>
            </w:pPr>
            <w:r w:rsidRPr="00602950">
              <w:rPr>
                <w:rFonts w:eastAsia="Times New Roman" w:cs="Open Sans Light"/>
                <w:sz w:val="16"/>
                <w:szCs w:val="16"/>
                <w:lang w:eastAsia="en-AU"/>
              </w:rPr>
              <w:t>0</w:t>
            </w:r>
          </w:p>
        </w:tc>
        <w:tc>
          <w:tcPr>
            <w:tcW w:w="490" w:type="pct"/>
            <w:tcBorders>
              <w:top w:val="single" w:sz="4" w:space="0" w:color="ADD6EA"/>
              <w:left w:val="nil"/>
              <w:bottom w:val="single" w:sz="4" w:space="0" w:color="ADD6EA"/>
              <w:right w:val="nil"/>
            </w:tcBorders>
            <w:shd w:val="clear" w:color="auto" w:fill="auto"/>
            <w:vAlign w:val="bottom"/>
            <w:hideMark/>
          </w:tcPr>
          <w:p w14:paraId="2D4E0FA7" w14:textId="77777777" w:rsidR="00602950" w:rsidRPr="00602950" w:rsidRDefault="00602950" w:rsidP="002243BA">
            <w:pPr>
              <w:keepNext/>
              <w:keepLines/>
              <w:tabs>
                <w:tab w:val="clear" w:pos="567"/>
              </w:tabs>
              <w:spacing w:before="0" w:line="240" w:lineRule="auto"/>
              <w:jc w:val="right"/>
              <w:rPr>
                <w:rFonts w:eastAsia="Times New Roman" w:cs="Open Sans Light"/>
                <w:sz w:val="16"/>
                <w:szCs w:val="16"/>
                <w:lang w:eastAsia="en-AU"/>
              </w:rPr>
            </w:pPr>
            <w:r w:rsidRPr="00602950">
              <w:rPr>
                <w:rFonts w:eastAsia="Times New Roman" w:cs="Open Sans Light"/>
                <w:sz w:val="16"/>
                <w:szCs w:val="16"/>
                <w:lang w:eastAsia="en-AU"/>
              </w:rPr>
              <w:t>-11</w:t>
            </w:r>
          </w:p>
        </w:tc>
      </w:tr>
      <w:tr w:rsidR="00602950" w:rsidRPr="00602950" w14:paraId="546B285D" w14:textId="77777777" w:rsidTr="00602950">
        <w:trPr>
          <w:trHeight w:val="315"/>
        </w:trPr>
        <w:tc>
          <w:tcPr>
            <w:tcW w:w="1663" w:type="pct"/>
            <w:tcBorders>
              <w:top w:val="nil"/>
              <w:left w:val="nil"/>
              <w:bottom w:val="single" w:sz="4" w:space="0" w:color="ADD6EA"/>
              <w:right w:val="nil"/>
            </w:tcBorders>
            <w:shd w:val="clear" w:color="auto" w:fill="auto"/>
            <w:vAlign w:val="bottom"/>
            <w:hideMark/>
          </w:tcPr>
          <w:p w14:paraId="77B0FFBD" w14:textId="77777777" w:rsidR="00602950" w:rsidRPr="00602950" w:rsidRDefault="00602950" w:rsidP="002243BA">
            <w:pPr>
              <w:keepNext/>
              <w:keepLines/>
              <w:tabs>
                <w:tab w:val="clear" w:pos="567"/>
              </w:tabs>
              <w:spacing w:before="0" w:line="240" w:lineRule="auto"/>
              <w:rPr>
                <w:rFonts w:eastAsia="Times New Roman" w:cs="Open Sans Light"/>
                <w:sz w:val="16"/>
                <w:szCs w:val="16"/>
                <w:lang w:eastAsia="en-AU"/>
              </w:rPr>
            </w:pPr>
            <w:r w:rsidRPr="00602950">
              <w:rPr>
                <w:rFonts w:eastAsia="Times New Roman" w:cs="Open Sans Light"/>
                <w:sz w:val="16"/>
                <w:szCs w:val="16"/>
                <w:lang w:eastAsia="en-AU"/>
              </w:rPr>
              <w:t>Change in the redistribution ($pc)</w:t>
            </w:r>
          </w:p>
        </w:tc>
        <w:tc>
          <w:tcPr>
            <w:tcW w:w="164" w:type="pct"/>
            <w:tcBorders>
              <w:top w:val="nil"/>
              <w:left w:val="nil"/>
              <w:bottom w:val="single" w:sz="4" w:space="0" w:color="ADD6EA"/>
              <w:right w:val="nil"/>
            </w:tcBorders>
            <w:shd w:val="clear" w:color="auto" w:fill="auto"/>
            <w:vAlign w:val="bottom"/>
            <w:hideMark/>
          </w:tcPr>
          <w:p w14:paraId="5C4FDF02" w14:textId="77777777" w:rsidR="00602950" w:rsidRPr="00602950" w:rsidRDefault="00602950" w:rsidP="002243BA">
            <w:pPr>
              <w:keepNext/>
              <w:keepLines/>
              <w:tabs>
                <w:tab w:val="clear" w:pos="567"/>
              </w:tabs>
              <w:spacing w:before="0" w:line="240" w:lineRule="auto"/>
              <w:jc w:val="right"/>
              <w:rPr>
                <w:rFonts w:eastAsia="Times New Roman" w:cs="Open Sans Light"/>
                <w:sz w:val="16"/>
                <w:szCs w:val="16"/>
                <w:lang w:eastAsia="en-AU"/>
              </w:rPr>
            </w:pPr>
            <w:r w:rsidRPr="00602950">
              <w:rPr>
                <w:rFonts w:eastAsia="Times New Roman" w:cs="Open Sans Light"/>
                <w:sz w:val="16"/>
                <w:szCs w:val="16"/>
                <w:lang w:eastAsia="en-AU"/>
              </w:rPr>
              <w:t>1</w:t>
            </w:r>
          </w:p>
        </w:tc>
        <w:tc>
          <w:tcPr>
            <w:tcW w:w="377" w:type="pct"/>
            <w:tcBorders>
              <w:top w:val="nil"/>
              <w:left w:val="nil"/>
              <w:bottom w:val="single" w:sz="4" w:space="0" w:color="ADD6EA"/>
              <w:right w:val="nil"/>
            </w:tcBorders>
            <w:shd w:val="clear" w:color="auto" w:fill="auto"/>
            <w:vAlign w:val="bottom"/>
            <w:hideMark/>
          </w:tcPr>
          <w:p w14:paraId="7F2B388C" w14:textId="77777777" w:rsidR="00602950" w:rsidRPr="00602950" w:rsidRDefault="00602950" w:rsidP="002243BA">
            <w:pPr>
              <w:keepNext/>
              <w:keepLines/>
              <w:tabs>
                <w:tab w:val="clear" w:pos="567"/>
              </w:tabs>
              <w:spacing w:before="0" w:line="240" w:lineRule="auto"/>
              <w:jc w:val="right"/>
              <w:rPr>
                <w:rFonts w:eastAsia="Times New Roman" w:cs="Open Sans Light"/>
                <w:sz w:val="16"/>
                <w:szCs w:val="16"/>
                <w:lang w:eastAsia="en-AU"/>
              </w:rPr>
            </w:pPr>
            <w:r w:rsidRPr="00602950">
              <w:rPr>
                <w:rFonts w:eastAsia="Times New Roman" w:cs="Open Sans Light"/>
                <w:sz w:val="16"/>
                <w:szCs w:val="16"/>
                <w:lang w:eastAsia="en-AU"/>
              </w:rPr>
              <w:t>1</w:t>
            </w:r>
          </w:p>
        </w:tc>
        <w:tc>
          <w:tcPr>
            <w:tcW w:w="395" w:type="pct"/>
            <w:tcBorders>
              <w:top w:val="nil"/>
              <w:left w:val="nil"/>
              <w:bottom w:val="single" w:sz="4" w:space="0" w:color="ADD6EA"/>
              <w:right w:val="nil"/>
            </w:tcBorders>
            <w:shd w:val="clear" w:color="auto" w:fill="auto"/>
            <w:vAlign w:val="bottom"/>
            <w:hideMark/>
          </w:tcPr>
          <w:p w14:paraId="3825577C" w14:textId="77777777" w:rsidR="00602950" w:rsidRPr="00602950" w:rsidRDefault="00602950" w:rsidP="002243BA">
            <w:pPr>
              <w:keepNext/>
              <w:keepLines/>
              <w:tabs>
                <w:tab w:val="clear" w:pos="567"/>
              </w:tabs>
              <w:spacing w:before="0" w:line="240" w:lineRule="auto"/>
              <w:jc w:val="right"/>
              <w:rPr>
                <w:rFonts w:eastAsia="Times New Roman" w:cs="Open Sans Light"/>
                <w:sz w:val="16"/>
                <w:szCs w:val="16"/>
                <w:lang w:eastAsia="en-AU"/>
              </w:rPr>
            </w:pPr>
            <w:r w:rsidRPr="00602950">
              <w:rPr>
                <w:rFonts w:eastAsia="Times New Roman" w:cs="Open Sans Light"/>
                <w:sz w:val="16"/>
                <w:szCs w:val="16"/>
                <w:lang w:eastAsia="en-AU"/>
              </w:rPr>
              <w:t>-2</w:t>
            </w:r>
          </w:p>
        </w:tc>
        <w:tc>
          <w:tcPr>
            <w:tcW w:w="386" w:type="pct"/>
            <w:tcBorders>
              <w:top w:val="nil"/>
              <w:left w:val="nil"/>
              <w:bottom w:val="single" w:sz="4" w:space="0" w:color="ADD6EA"/>
              <w:right w:val="nil"/>
            </w:tcBorders>
            <w:shd w:val="clear" w:color="auto" w:fill="auto"/>
            <w:vAlign w:val="bottom"/>
            <w:hideMark/>
          </w:tcPr>
          <w:p w14:paraId="0B99F702" w14:textId="77777777" w:rsidR="00602950" w:rsidRPr="00602950" w:rsidRDefault="00602950" w:rsidP="002243BA">
            <w:pPr>
              <w:keepNext/>
              <w:keepLines/>
              <w:tabs>
                <w:tab w:val="clear" w:pos="567"/>
              </w:tabs>
              <w:spacing w:before="0" w:line="240" w:lineRule="auto"/>
              <w:jc w:val="right"/>
              <w:rPr>
                <w:rFonts w:eastAsia="Times New Roman" w:cs="Open Sans Light"/>
                <w:sz w:val="16"/>
                <w:szCs w:val="16"/>
                <w:lang w:eastAsia="en-AU"/>
              </w:rPr>
            </w:pPr>
            <w:r w:rsidRPr="00602950">
              <w:rPr>
                <w:rFonts w:eastAsia="Times New Roman" w:cs="Open Sans Light"/>
                <w:sz w:val="16"/>
                <w:szCs w:val="16"/>
                <w:lang w:eastAsia="en-AU"/>
              </w:rPr>
              <w:t>1</w:t>
            </w:r>
          </w:p>
        </w:tc>
        <w:tc>
          <w:tcPr>
            <w:tcW w:w="358" w:type="pct"/>
            <w:tcBorders>
              <w:top w:val="nil"/>
              <w:left w:val="nil"/>
              <w:bottom w:val="single" w:sz="4" w:space="0" w:color="ADD6EA"/>
              <w:right w:val="nil"/>
            </w:tcBorders>
            <w:shd w:val="clear" w:color="auto" w:fill="auto"/>
            <w:vAlign w:val="bottom"/>
            <w:hideMark/>
          </w:tcPr>
          <w:p w14:paraId="2CA5BBBA" w14:textId="77777777" w:rsidR="00602950" w:rsidRPr="00602950" w:rsidRDefault="00602950" w:rsidP="002243BA">
            <w:pPr>
              <w:keepNext/>
              <w:keepLines/>
              <w:tabs>
                <w:tab w:val="clear" w:pos="567"/>
              </w:tabs>
              <w:spacing w:before="0" w:line="240" w:lineRule="auto"/>
              <w:jc w:val="right"/>
              <w:rPr>
                <w:rFonts w:eastAsia="Times New Roman" w:cs="Open Sans Light"/>
                <w:sz w:val="16"/>
                <w:szCs w:val="16"/>
                <w:lang w:eastAsia="en-AU"/>
              </w:rPr>
            </w:pPr>
            <w:r w:rsidRPr="00602950">
              <w:rPr>
                <w:rFonts w:eastAsia="Times New Roman" w:cs="Open Sans Light"/>
                <w:sz w:val="16"/>
                <w:szCs w:val="16"/>
                <w:lang w:eastAsia="en-AU"/>
              </w:rPr>
              <w:t>1</w:t>
            </w:r>
          </w:p>
        </w:tc>
        <w:tc>
          <w:tcPr>
            <w:tcW w:w="386" w:type="pct"/>
            <w:tcBorders>
              <w:top w:val="nil"/>
              <w:left w:val="nil"/>
              <w:bottom w:val="single" w:sz="4" w:space="0" w:color="ADD6EA"/>
              <w:right w:val="nil"/>
            </w:tcBorders>
            <w:shd w:val="clear" w:color="auto" w:fill="auto"/>
            <w:vAlign w:val="bottom"/>
            <w:hideMark/>
          </w:tcPr>
          <w:p w14:paraId="6D1FAAA8" w14:textId="77777777" w:rsidR="00602950" w:rsidRPr="00602950" w:rsidRDefault="00602950" w:rsidP="002243BA">
            <w:pPr>
              <w:keepNext/>
              <w:keepLines/>
              <w:tabs>
                <w:tab w:val="clear" w:pos="567"/>
              </w:tabs>
              <w:spacing w:before="0" w:line="240" w:lineRule="auto"/>
              <w:jc w:val="right"/>
              <w:rPr>
                <w:rFonts w:eastAsia="Times New Roman" w:cs="Open Sans Light"/>
                <w:sz w:val="16"/>
                <w:szCs w:val="16"/>
                <w:lang w:eastAsia="en-AU"/>
              </w:rPr>
            </w:pPr>
            <w:r w:rsidRPr="00602950">
              <w:rPr>
                <w:rFonts w:eastAsia="Times New Roman" w:cs="Open Sans Light"/>
                <w:sz w:val="16"/>
                <w:szCs w:val="16"/>
                <w:lang w:eastAsia="en-AU"/>
              </w:rPr>
              <w:t>0</w:t>
            </w:r>
          </w:p>
        </w:tc>
        <w:tc>
          <w:tcPr>
            <w:tcW w:w="414" w:type="pct"/>
            <w:tcBorders>
              <w:top w:val="nil"/>
              <w:left w:val="nil"/>
              <w:bottom w:val="single" w:sz="4" w:space="0" w:color="ADD6EA"/>
              <w:right w:val="nil"/>
            </w:tcBorders>
            <w:shd w:val="clear" w:color="auto" w:fill="auto"/>
            <w:vAlign w:val="bottom"/>
            <w:hideMark/>
          </w:tcPr>
          <w:p w14:paraId="72E2D1EF" w14:textId="77777777" w:rsidR="00602950" w:rsidRPr="00602950" w:rsidRDefault="00602950" w:rsidP="002243BA">
            <w:pPr>
              <w:keepNext/>
              <w:keepLines/>
              <w:tabs>
                <w:tab w:val="clear" w:pos="567"/>
              </w:tabs>
              <w:spacing w:before="0" w:line="240" w:lineRule="auto"/>
              <w:jc w:val="right"/>
              <w:rPr>
                <w:rFonts w:eastAsia="Times New Roman" w:cs="Open Sans Light"/>
                <w:sz w:val="16"/>
                <w:szCs w:val="16"/>
                <w:lang w:eastAsia="en-AU"/>
              </w:rPr>
            </w:pPr>
            <w:r w:rsidRPr="00602950">
              <w:rPr>
                <w:rFonts w:eastAsia="Times New Roman" w:cs="Open Sans Light"/>
                <w:sz w:val="16"/>
                <w:szCs w:val="16"/>
                <w:lang w:eastAsia="en-AU"/>
              </w:rPr>
              <w:t>1</w:t>
            </w:r>
          </w:p>
        </w:tc>
        <w:tc>
          <w:tcPr>
            <w:tcW w:w="367" w:type="pct"/>
            <w:tcBorders>
              <w:top w:val="nil"/>
              <w:left w:val="nil"/>
              <w:bottom w:val="single" w:sz="4" w:space="0" w:color="ADD6EA"/>
              <w:right w:val="nil"/>
            </w:tcBorders>
            <w:shd w:val="clear" w:color="auto" w:fill="auto"/>
            <w:vAlign w:val="bottom"/>
            <w:hideMark/>
          </w:tcPr>
          <w:p w14:paraId="029CB50A" w14:textId="77777777" w:rsidR="00602950" w:rsidRPr="00602950" w:rsidRDefault="00602950" w:rsidP="002243BA">
            <w:pPr>
              <w:keepNext/>
              <w:keepLines/>
              <w:tabs>
                <w:tab w:val="clear" w:pos="567"/>
              </w:tabs>
              <w:spacing w:before="0" w:line="240" w:lineRule="auto"/>
              <w:jc w:val="right"/>
              <w:rPr>
                <w:rFonts w:eastAsia="Times New Roman" w:cs="Open Sans Light"/>
                <w:sz w:val="16"/>
                <w:szCs w:val="16"/>
                <w:lang w:eastAsia="en-AU"/>
              </w:rPr>
            </w:pPr>
            <w:r w:rsidRPr="00602950">
              <w:rPr>
                <w:rFonts w:eastAsia="Times New Roman" w:cs="Open Sans Light"/>
                <w:sz w:val="16"/>
                <w:szCs w:val="16"/>
                <w:lang w:eastAsia="en-AU"/>
              </w:rPr>
              <w:t>1</w:t>
            </w:r>
          </w:p>
        </w:tc>
        <w:tc>
          <w:tcPr>
            <w:tcW w:w="490" w:type="pct"/>
            <w:tcBorders>
              <w:top w:val="nil"/>
              <w:left w:val="nil"/>
              <w:bottom w:val="single" w:sz="4" w:space="0" w:color="ADD6EA"/>
              <w:right w:val="nil"/>
            </w:tcBorders>
            <w:shd w:val="clear" w:color="auto" w:fill="auto"/>
            <w:vAlign w:val="bottom"/>
            <w:hideMark/>
          </w:tcPr>
          <w:p w14:paraId="50D9F3CF" w14:textId="77777777" w:rsidR="00602950" w:rsidRPr="00602950" w:rsidRDefault="00602950" w:rsidP="002243BA">
            <w:pPr>
              <w:keepNext/>
              <w:keepLines/>
              <w:tabs>
                <w:tab w:val="clear" w:pos="567"/>
              </w:tabs>
              <w:spacing w:before="0" w:line="240" w:lineRule="auto"/>
              <w:jc w:val="right"/>
              <w:rPr>
                <w:rFonts w:eastAsia="Times New Roman" w:cs="Open Sans Light"/>
                <w:sz w:val="16"/>
                <w:szCs w:val="16"/>
                <w:lang w:eastAsia="en-AU"/>
              </w:rPr>
            </w:pPr>
            <w:r w:rsidRPr="00602950">
              <w:rPr>
                <w:rFonts w:eastAsia="Times New Roman" w:cs="Open Sans Light"/>
                <w:sz w:val="16"/>
                <w:szCs w:val="16"/>
                <w:lang w:eastAsia="en-AU"/>
              </w:rPr>
              <w:t>0</w:t>
            </w:r>
          </w:p>
        </w:tc>
      </w:tr>
    </w:tbl>
    <w:p w14:paraId="38D86B90" w14:textId="07E5E5AA" w:rsidR="00AA7363" w:rsidRDefault="00A15725" w:rsidP="002243BA">
      <w:pPr>
        <w:pStyle w:val="CGCTablenote"/>
        <w:keepNext/>
        <w:keepLines/>
      </w:pPr>
      <w:r>
        <w:t>Source:</w:t>
      </w:r>
      <w:r>
        <w:tab/>
        <w:t xml:space="preserve">State and EMA data from the </w:t>
      </w:r>
      <w:r w:rsidR="00427856">
        <w:t>2020 Review</w:t>
      </w:r>
      <w:r w:rsidR="009A7C0A">
        <w:t xml:space="preserve"> and 2021 Update.</w:t>
      </w:r>
    </w:p>
    <w:p w14:paraId="25A164E5" w14:textId="7E196D6C" w:rsidR="006617E3" w:rsidRDefault="00393617" w:rsidP="00A02EFE">
      <w:pPr>
        <w:pStyle w:val="CGCParaNumber"/>
      </w:pPr>
      <w:r>
        <w:t>T</w:t>
      </w:r>
      <w:r w:rsidR="006617E3">
        <w:t xml:space="preserve">o calculate </w:t>
      </w:r>
      <w:r w:rsidR="0062795C">
        <w:t xml:space="preserve">the net cost of providing </w:t>
      </w:r>
      <w:r w:rsidR="006617E3">
        <w:t xml:space="preserve">concessional </w:t>
      </w:r>
      <w:r w:rsidR="0062795C">
        <w:t>loans</w:t>
      </w:r>
      <w:r w:rsidR="006617E3">
        <w:t xml:space="preserve">, States will be asked to separately identify their concessional loans and their cost of borrowing. </w:t>
      </w:r>
    </w:p>
    <w:p w14:paraId="3BA87165" w14:textId="77777777" w:rsidR="006617E3" w:rsidRPr="00E674AF" w:rsidRDefault="006617E3" w:rsidP="006617E3">
      <w:pPr>
        <w:pStyle w:val="Heading4"/>
      </w:pPr>
      <w:bookmarkStart w:id="63" w:name="_Toc49170298"/>
      <w:r w:rsidRPr="00E674AF">
        <w:t>Recommendations</w:t>
      </w:r>
      <w:bookmarkEnd w:id="63"/>
    </w:p>
    <w:tbl>
      <w:tblPr>
        <w:tblW w:w="0" w:type="auto"/>
        <w:shd w:val="clear" w:color="auto" w:fill="EBF3F5"/>
        <w:tblLook w:val="0000" w:firstRow="0" w:lastRow="0" w:firstColumn="0" w:lastColumn="0" w:noHBand="0" w:noVBand="0"/>
      </w:tblPr>
      <w:tblGrid>
        <w:gridCol w:w="8931"/>
      </w:tblGrid>
      <w:tr w:rsidR="006617E3" w:rsidRPr="00E674AF" w14:paraId="0EA71F13" w14:textId="77777777" w:rsidTr="00E94156">
        <w:tc>
          <w:tcPr>
            <w:tcW w:w="8931" w:type="dxa"/>
            <w:shd w:val="clear" w:color="auto" w:fill="EBF3F5"/>
            <w:tcMar>
              <w:left w:w="28" w:type="dxa"/>
            </w:tcMar>
          </w:tcPr>
          <w:p w14:paraId="4812FF1D" w14:textId="77777777" w:rsidR="006617E3" w:rsidRPr="00E674AF" w:rsidRDefault="006617E3" w:rsidP="00E94156">
            <w:pPr>
              <w:tabs>
                <w:tab w:val="clear" w:pos="567"/>
              </w:tabs>
              <w:rPr>
                <w:bCs/>
              </w:rPr>
            </w:pPr>
            <w:r w:rsidRPr="00E674AF">
              <w:rPr>
                <w:bCs/>
              </w:rPr>
              <w:t xml:space="preserve">Staff </w:t>
            </w:r>
            <w:r>
              <w:rPr>
                <w:bCs/>
              </w:rPr>
              <w:t xml:space="preserve">propose to </w:t>
            </w:r>
            <w:r w:rsidRPr="00E674AF">
              <w:rPr>
                <w:bCs/>
              </w:rPr>
              <w:t xml:space="preserve">recommend that the </w:t>
            </w:r>
            <w:r>
              <w:rPr>
                <w:bCs/>
              </w:rPr>
              <w:t>Commission:</w:t>
            </w:r>
          </w:p>
          <w:p w14:paraId="1BD1EA0F" w14:textId="70912C61" w:rsidR="006617E3" w:rsidRDefault="006617E3" w:rsidP="006617E3">
            <w:pPr>
              <w:pStyle w:val="CGCBullet1"/>
            </w:pPr>
            <w:r>
              <w:t xml:space="preserve">change the natural disaster relief expense assessment of concessional loans to only assess the cost of providing the concessional interest rate, and not to assess the initial </w:t>
            </w:r>
            <w:r w:rsidR="00792C61">
              <w:t xml:space="preserve">loan </w:t>
            </w:r>
            <w:r>
              <w:t>value</w:t>
            </w:r>
          </w:p>
          <w:p w14:paraId="5F0CF1DA" w14:textId="2077549D" w:rsidR="006617E3" w:rsidRPr="00E674AF" w:rsidRDefault="006617E3" w:rsidP="008C0460">
            <w:pPr>
              <w:pStyle w:val="CGCBullet1"/>
              <w:spacing w:after="120"/>
            </w:pPr>
            <w:r>
              <w:t>request data</w:t>
            </w:r>
            <w:r w:rsidR="001D4269">
              <w:t xml:space="preserve"> from States</w:t>
            </w:r>
            <w:r>
              <w:t xml:space="preserve"> on concessional loans and States’ cost of borrowing</w:t>
            </w:r>
            <w:r w:rsidR="00886E76">
              <w:t xml:space="preserve"> in the natural disasters data request</w:t>
            </w:r>
            <w:r>
              <w:t>.</w:t>
            </w:r>
          </w:p>
        </w:tc>
      </w:tr>
    </w:tbl>
    <w:p w14:paraId="1BB7EB8A" w14:textId="77777777" w:rsidR="00F83EC1" w:rsidRPr="00E674AF" w:rsidRDefault="00F83EC1" w:rsidP="00CB4F19">
      <w:pPr>
        <w:pStyle w:val="CGCParaNumber"/>
        <w:numPr>
          <w:ilvl w:val="0"/>
          <w:numId w:val="0"/>
        </w:numPr>
        <w:ind w:left="567"/>
      </w:pPr>
    </w:p>
    <w:p w14:paraId="38D0CF51" w14:textId="77777777" w:rsidR="00981C1C" w:rsidRDefault="00981C1C" w:rsidP="00C21EF9"/>
    <w:p w14:paraId="71DD2104" w14:textId="6F10E1FF" w:rsidR="00DC0F02" w:rsidRPr="00C21EF9" w:rsidRDefault="00DC0F02" w:rsidP="00C21EF9"/>
    <w:sectPr w:rsidR="00DC0F02" w:rsidRPr="00C21EF9" w:rsidSect="00294FE9">
      <w:pgSz w:w="11899" w:h="16838" w:code="9"/>
      <w:pgMar w:top="1418" w:right="1474" w:bottom="1134" w:left="1474" w:header="709" w:footer="56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FAA32" w14:textId="77777777" w:rsidR="00233B5E" w:rsidRDefault="00233B5E">
      <w:r>
        <w:separator/>
      </w:r>
    </w:p>
  </w:endnote>
  <w:endnote w:type="continuationSeparator" w:id="0">
    <w:p w14:paraId="7144DF0E" w14:textId="77777777" w:rsidR="00233B5E" w:rsidRDefault="00233B5E">
      <w:r>
        <w:continuationSeparator/>
      </w:r>
    </w:p>
  </w:endnote>
  <w:endnote w:type="continuationNotice" w:id="1">
    <w:p w14:paraId="562E128F" w14:textId="77777777" w:rsidR="00233B5E" w:rsidRDefault="00233B5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ontserrat Ultra Light">
    <w:panose1 w:val="000003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ontserrat Extra Bold">
    <w:panose1 w:val="00000900000000000000"/>
    <w:charset w:val="00"/>
    <w:family w:val="modern"/>
    <w:notTrueType/>
    <w:pitch w:val="variable"/>
    <w:sig w:usb0="00000007" w:usb1="00000000" w:usb2="00000000" w:usb3="00000000" w:csb0="00000093"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7996344"/>
      <w:docPartObj>
        <w:docPartGallery w:val="Page Numbers (Bottom of Page)"/>
        <w:docPartUnique/>
      </w:docPartObj>
    </w:sdtPr>
    <w:sdtEndPr/>
    <w:sdtContent>
      <w:p w14:paraId="603B22AA" w14:textId="77777777" w:rsidR="000E4971" w:rsidRPr="00875C0F" w:rsidRDefault="00233B5E" w:rsidP="00195A2B">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D2114" w14:textId="66A1340B" w:rsidR="009C18B8" w:rsidRDefault="0044339E" w:rsidP="00965724">
    <w:pPr>
      <w:pStyle w:val="Footer"/>
    </w:pPr>
    <w:r>
      <w:t>CGC 2020-01</w:t>
    </w:r>
    <w:r w:rsidR="00A96921">
      <w:t>-</w:t>
    </w:r>
    <w:r>
      <w:t xml:space="preserve">S: </w:t>
    </w:r>
    <w:r w:rsidR="00611763" w:rsidRPr="00611763">
      <w:t>New Issues for the 2021 Update</w:t>
    </w:r>
    <w:r w:rsidR="00611763">
      <w:tab/>
    </w:r>
    <w:r w:rsidR="00611763">
      <w:tab/>
    </w:r>
    <w:r w:rsidR="00F56813">
      <w:fldChar w:fldCharType="begin"/>
    </w:r>
    <w:r w:rsidR="00F56813">
      <w:instrText xml:space="preserve"> PAGE  \* Arabic  \* MERGEFORMAT </w:instrText>
    </w:r>
    <w:r w:rsidR="00F56813">
      <w:fldChar w:fldCharType="separate"/>
    </w:r>
    <w:r w:rsidR="001C1AC5">
      <w:rPr>
        <w:noProof/>
      </w:rPr>
      <w:t>5</w:t>
    </w:r>
    <w:r w:rsidR="00F5681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D2115" w14:textId="3A95541F" w:rsidR="009C18B8" w:rsidRPr="001C1AC5" w:rsidRDefault="009C18B8" w:rsidP="00611763">
    <w:pPr>
      <w:pStyle w:val="Footer"/>
      <w:tabs>
        <w:tab w:val="right" w:pos="8931"/>
      </w:tabs>
      <w:ind w:left="-567"/>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9C11E" w14:textId="77777777" w:rsidR="00233B5E" w:rsidRPr="001C1AC5" w:rsidRDefault="00233B5E">
      <w:pPr>
        <w:rPr>
          <w:color w:val="ADD6EA"/>
        </w:rPr>
      </w:pPr>
      <w:r w:rsidRPr="001C1AC5">
        <w:rPr>
          <w:color w:val="ADD6EA"/>
        </w:rPr>
        <w:separator/>
      </w:r>
    </w:p>
  </w:footnote>
  <w:footnote w:type="continuationSeparator" w:id="0">
    <w:p w14:paraId="126ABD22" w14:textId="77777777" w:rsidR="00233B5E" w:rsidRDefault="00233B5E">
      <w:r>
        <w:continuationSeparator/>
      </w:r>
    </w:p>
  </w:footnote>
  <w:footnote w:type="continuationNotice" w:id="1">
    <w:p w14:paraId="59B28AFB" w14:textId="77777777" w:rsidR="00233B5E" w:rsidRDefault="00233B5E">
      <w:pPr>
        <w:spacing w:before="0" w:line="240" w:lineRule="auto"/>
      </w:pPr>
    </w:p>
  </w:footnote>
  <w:footnote w:id="2">
    <w:p w14:paraId="53F7947B" w14:textId="685368B2" w:rsidR="008B5F3F" w:rsidRPr="00E65E1C" w:rsidRDefault="008B5F3F">
      <w:pPr>
        <w:pStyle w:val="FootnoteText"/>
      </w:pPr>
      <w:r>
        <w:rPr>
          <w:rStyle w:val="FootnoteReference"/>
        </w:rPr>
        <w:footnoteRef/>
      </w:r>
      <w:r>
        <w:t xml:space="preserve"> </w:t>
      </w:r>
      <w:r>
        <w:tab/>
      </w:r>
      <w:r w:rsidR="009F1AA1">
        <w:t xml:space="preserve">Includes only those expenses within scope of the national partnership. </w:t>
      </w:r>
      <w:r w:rsidR="00774CAA">
        <w:t xml:space="preserve">States have announced COVID-19 </w:t>
      </w:r>
      <w:r w:rsidR="00CF5CAB">
        <w:t>related health spending of $4</w:t>
      </w:r>
      <w:r w:rsidR="00892143">
        <w:t> </w:t>
      </w:r>
      <w:r w:rsidR="00CF5CAB">
        <w:t xml:space="preserve">billion, </w:t>
      </w:r>
      <w:r w:rsidR="00915603">
        <w:t xml:space="preserve">although this </w:t>
      </w:r>
      <w:r w:rsidR="006545CB">
        <w:t>spending is not restricted to 2019-20.</w:t>
      </w:r>
    </w:p>
  </w:footnote>
  <w:footnote w:id="3">
    <w:p w14:paraId="42A927B4" w14:textId="447A15DA" w:rsidR="00A20F23" w:rsidRPr="0013711A" w:rsidRDefault="00A20F23">
      <w:pPr>
        <w:pStyle w:val="FootnoteText"/>
      </w:pPr>
      <w:r>
        <w:rPr>
          <w:rStyle w:val="FootnoteReference"/>
        </w:rPr>
        <w:footnoteRef/>
      </w:r>
      <w:r>
        <w:t xml:space="preserve"> </w:t>
      </w:r>
      <w:r w:rsidR="00F61AE7">
        <w:tab/>
      </w:r>
      <w:r w:rsidR="00720974">
        <w:t>State spending announcements compiled by the Board of Treasurers</w:t>
      </w:r>
    </w:p>
  </w:footnote>
  <w:footnote w:id="4">
    <w:p w14:paraId="6E069FD6" w14:textId="772E40D5" w:rsidR="00D45BAE" w:rsidRPr="0013711A" w:rsidRDefault="00D45BAE">
      <w:pPr>
        <w:pStyle w:val="FootnoteText"/>
      </w:pPr>
      <w:r>
        <w:rPr>
          <w:rStyle w:val="FootnoteReference"/>
        </w:rPr>
        <w:footnoteRef/>
      </w:r>
      <w:r>
        <w:t xml:space="preserve"> </w:t>
      </w:r>
      <w:r>
        <w:tab/>
        <w:t xml:space="preserve">Some announcements may refer to the value of </w:t>
      </w:r>
      <w:r w:rsidR="00FB210B">
        <w:t>interest-fre</w:t>
      </w:r>
      <w:r w:rsidR="0075632C">
        <w:t xml:space="preserve">e or low-interest loans to business, rather than the </w:t>
      </w:r>
      <w:r w:rsidR="00F86285">
        <w:t xml:space="preserve">cost to government of providing such loans. </w:t>
      </w:r>
    </w:p>
  </w:footnote>
  <w:footnote w:id="5">
    <w:p w14:paraId="190A167D" w14:textId="4536E367" w:rsidR="00C759F1" w:rsidRDefault="00C759F1">
      <w:pPr>
        <w:pStyle w:val="FootnoteText"/>
      </w:pPr>
      <w:r>
        <w:rPr>
          <w:rStyle w:val="FootnoteReference"/>
        </w:rPr>
        <w:footnoteRef/>
      </w:r>
      <w:r w:rsidR="00A45E3B">
        <w:tab/>
      </w:r>
      <w:r>
        <w:t>Options</w:t>
      </w:r>
      <w:r w:rsidR="00D51EEB">
        <w:t xml:space="preserve"> for indexing </w:t>
      </w:r>
      <w:r w:rsidR="00547903">
        <w:t xml:space="preserve">businesses regulation expenses include growth in </w:t>
      </w:r>
      <w:r w:rsidRPr="00C759F1">
        <w:t xml:space="preserve">total State spending </w:t>
      </w:r>
      <w:r w:rsidR="00547903">
        <w:t>or</w:t>
      </w:r>
      <w:r w:rsidRPr="00C759F1">
        <w:t xml:space="preserve"> the national accounts general government implicit price deflator</w:t>
      </w:r>
      <w:r w:rsidR="006E509C">
        <w:t>.</w:t>
      </w:r>
    </w:p>
  </w:footnote>
  <w:footnote w:id="6">
    <w:p w14:paraId="37AD3EB4" w14:textId="77777777" w:rsidR="002543C8" w:rsidRDefault="002543C8" w:rsidP="002543C8">
      <w:pPr>
        <w:pStyle w:val="FootnoteText"/>
      </w:pPr>
      <w:r>
        <w:rPr>
          <w:rStyle w:val="FootnoteReference"/>
        </w:rPr>
        <w:footnoteRef/>
      </w:r>
      <w:r>
        <w:t xml:space="preserve"> </w:t>
      </w:r>
      <w:r>
        <w:tab/>
        <w:t>For example, from 2014-15 to 2015-16, GST revenue grew by 5.5%, while growth reduced to 4.3% from 2015-16 to 2016-17, before returning to 5.5% in the following year.</w:t>
      </w:r>
    </w:p>
  </w:footnote>
  <w:footnote w:id="7">
    <w:p w14:paraId="0C4B49A6" w14:textId="77777777" w:rsidR="002543C8" w:rsidRDefault="002543C8" w:rsidP="002543C8">
      <w:pPr>
        <w:pStyle w:val="FootnoteText"/>
      </w:pPr>
      <w:r>
        <w:rPr>
          <w:rStyle w:val="FootnoteReference"/>
        </w:rPr>
        <w:footnoteRef/>
      </w:r>
      <w:r>
        <w:t xml:space="preserve"> </w:t>
      </w:r>
      <w:r>
        <w:tab/>
        <w:t xml:space="preserve">See CGC, </w:t>
      </w:r>
      <w:r w:rsidRPr="004523A5">
        <w:rPr>
          <w:i/>
          <w:iCs/>
        </w:rPr>
        <w:t>Report on GST Revenue Sharing Relativities 2020 Review</w:t>
      </w:r>
      <w:r>
        <w:t>, Volume 2, Part A, Chapter 2, pp 128-131.</w:t>
      </w:r>
    </w:p>
  </w:footnote>
  <w:footnote w:id="8">
    <w:p w14:paraId="3F551901" w14:textId="77777777" w:rsidR="002543C8" w:rsidRDefault="002543C8" w:rsidP="002543C8">
      <w:pPr>
        <w:pStyle w:val="FootnoteText"/>
      </w:pPr>
      <w:r>
        <w:rPr>
          <w:rStyle w:val="FootnoteReference"/>
        </w:rPr>
        <w:footnoteRef/>
      </w:r>
      <w:r>
        <w:t xml:space="preserve"> </w:t>
      </w:r>
      <w:r>
        <w:tab/>
        <w:t>It is conceivable that the standard State will vary between New South Wales and Victoria from assessment year to assessment year.</w:t>
      </w:r>
    </w:p>
  </w:footnote>
  <w:footnote w:id="9">
    <w:p w14:paraId="3EAD21F1" w14:textId="77777777" w:rsidR="002543C8" w:rsidRDefault="002543C8" w:rsidP="002543C8">
      <w:pPr>
        <w:pStyle w:val="FootnoteText"/>
      </w:pPr>
      <w:r>
        <w:rPr>
          <w:rStyle w:val="FootnoteReference"/>
        </w:rPr>
        <w:footnoteRef/>
      </w:r>
      <w:r>
        <w:tab/>
        <w:t>This approach differs slightly from that adopted by the Productivity Commission and the Australian Treasury. In their modelling, they derived standard State relativities using application year estimates of the GST pool and State populations. If standard State relativities are based on application year pools and populations, then the calculation of standard State relativities could differ, most likely only slightly, depending on the estimates used. The Commission’s approach avoids the question of which application year pool and population estimates to use in the calculations.</w:t>
      </w:r>
    </w:p>
  </w:footnote>
  <w:footnote w:id="10">
    <w:p w14:paraId="506F53C7" w14:textId="47CDD26A" w:rsidR="006B2BBF" w:rsidRPr="0090756F" w:rsidRDefault="006B2BBF" w:rsidP="006B2BBF">
      <w:pPr>
        <w:pStyle w:val="FootnoteText"/>
      </w:pPr>
      <w:r>
        <w:rPr>
          <w:rStyle w:val="FootnoteReference"/>
        </w:rPr>
        <w:footnoteRef/>
      </w:r>
      <w:r>
        <w:t xml:space="preserve"> </w:t>
      </w:r>
      <w:r w:rsidR="006C44FE">
        <w:tab/>
      </w:r>
      <w:r>
        <w:t xml:space="preserve">Independent Hospital Pricing Authority, 2019, </w:t>
      </w:r>
      <w:hyperlink r:id="rId1" w:history="1">
        <w:r w:rsidRPr="008B3FBB">
          <w:rPr>
            <w:rStyle w:val="Hyperlink"/>
            <w:i/>
          </w:rPr>
          <w:t>General List of In-Scope Public Hospital Services Eligibility Policy Version 5.0</w:t>
        </w:r>
      </w:hyperlink>
      <w:r>
        <w:rPr>
          <w:i/>
        </w:rPr>
        <w:t xml:space="preserve">, </w:t>
      </w:r>
      <w:r>
        <w:t>pp 10-11.</w:t>
      </w:r>
    </w:p>
  </w:footnote>
  <w:footnote w:id="11">
    <w:p w14:paraId="59EDCA70" w14:textId="332BE77B" w:rsidR="006B2BBF" w:rsidRPr="007809B2" w:rsidRDefault="006B2BBF" w:rsidP="006B2BBF">
      <w:pPr>
        <w:pStyle w:val="FootnoteText"/>
      </w:pPr>
      <w:r>
        <w:rPr>
          <w:rStyle w:val="FootnoteReference"/>
        </w:rPr>
        <w:footnoteRef/>
      </w:r>
      <w:r w:rsidR="00860137">
        <w:tab/>
      </w:r>
      <w:r>
        <w:t xml:space="preserve">A staff analysis of </w:t>
      </w:r>
      <w:r w:rsidR="00D93359">
        <w:t>GFS</w:t>
      </w:r>
      <w:r>
        <w:t xml:space="preserve"> expenses on outpatients used for the ED and NAP assessments indicates that the NAP GFS data are consistent with IHPA expenditure on in-scope service events.</w:t>
      </w:r>
    </w:p>
  </w:footnote>
  <w:footnote w:id="12">
    <w:p w14:paraId="542F0A13" w14:textId="77777777" w:rsidR="00F11B5E" w:rsidRDefault="00F11B5E" w:rsidP="00F11B5E">
      <w:pPr>
        <w:pStyle w:val="FootnoteText"/>
      </w:pPr>
      <w:r>
        <w:rPr>
          <w:rStyle w:val="FootnoteReference"/>
        </w:rPr>
        <w:footnoteRef/>
      </w:r>
      <w:r>
        <w:t xml:space="preserve"> </w:t>
      </w:r>
      <w:r>
        <w:tab/>
        <w:t xml:space="preserve">See AP price formula in IHPA </w:t>
      </w:r>
      <w:hyperlink r:id="rId2" w:history="1">
        <w:r w:rsidRPr="00BE565A">
          <w:rPr>
            <w:rStyle w:val="Hyperlink"/>
            <w:i/>
            <w:iCs/>
          </w:rPr>
          <w:t>National Pricing Model Technical Specifications 2020-21</w:t>
        </w:r>
      </w:hyperlink>
      <w:r>
        <w:t xml:space="preserve">, pp 19-20.  </w:t>
      </w:r>
    </w:p>
  </w:footnote>
  <w:footnote w:id="13">
    <w:p w14:paraId="65C5105C" w14:textId="7361E01E" w:rsidR="004B4186" w:rsidRPr="00097B59" w:rsidRDefault="004B4186" w:rsidP="004B4186">
      <w:pPr>
        <w:pStyle w:val="FootnoteText"/>
      </w:pPr>
      <w:r>
        <w:rPr>
          <w:rStyle w:val="FootnoteReference"/>
        </w:rPr>
        <w:footnoteRef/>
      </w:r>
      <w:r>
        <w:t xml:space="preserve"> </w:t>
      </w:r>
      <w:r w:rsidR="009C593A">
        <w:tab/>
      </w:r>
      <w:r>
        <w:t xml:space="preserve">Except for the adjustment to reflect SDS costs that </w:t>
      </w:r>
      <w:r w:rsidR="00CB4423">
        <w:t xml:space="preserve">are </w:t>
      </w:r>
      <w:r>
        <w:t>applied to all components</w:t>
      </w:r>
      <w:r w:rsidRPr="00097B59">
        <w:t>.</w:t>
      </w:r>
    </w:p>
  </w:footnote>
  <w:footnote w:id="14">
    <w:p w14:paraId="35E07AE5" w14:textId="106AFC68" w:rsidR="00AD15A4" w:rsidRPr="00DF1E44" w:rsidRDefault="00AD15A4" w:rsidP="00AD15A4">
      <w:pPr>
        <w:pStyle w:val="FootnoteText"/>
      </w:pPr>
      <w:r>
        <w:rPr>
          <w:rStyle w:val="FootnoteReference"/>
        </w:rPr>
        <w:footnoteRef/>
      </w:r>
      <w:r w:rsidR="009C593A">
        <w:tab/>
        <w:t>T</w:t>
      </w:r>
      <w:r w:rsidRPr="008771DB">
        <w:t>he</w:t>
      </w:r>
      <w:r w:rsidRPr="00DF1E44">
        <w:t xml:space="preserve"> materiality threshold for data changes is $10 per capita</w:t>
      </w:r>
      <w:r>
        <w:t>.</w:t>
      </w:r>
    </w:p>
  </w:footnote>
  <w:footnote w:id="15">
    <w:p w14:paraId="1B2BF47A" w14:textId="0CEBDFCC" w:rsidR="00045889" w:rsidRDefault="00045889">
      <w:pPr>
        <w:pStyle w:val="FootnoteText"/>
      </w:pPr>
      <w:r>
        <w:rPr>
          <w:rStyle w:val="FootnoteReference"/>
        </w:rPr>
        <w:footnoteRef/>
      </w:r>
      <w:r w:rsidR="004C1B12">
        <w:tab/>
      </w:r>
      <w:r w:rsidR="00DD40F7">
        <w:t>Double counting could arise with f</w:t>
      </w:r>
      <w:r w:rsidR="00162CAC">
        <w:t>or</w:t>
      </w:r>
      <w:r w:rsidR="008D4E3C">
        <w:t xml:space="preserve">eign surcharge </w:t>
      </w:r>
      <w:proofErr w:type="gramStart"/>
      <w:r w:rsidR="008D4E3C">
        <w:t>transactions</w:t>
      </w:r>
      <w:r w:rsidR="00DD40F7">
        <w:t>, because</w:t>
      </w:r>
      <w:proofErr w:type="gramEnd"/>
      <w:r w:rsidR="00DD40F7">
        <w:t xml:space="preserve"> they were</w:t>
      </w:r>
      <w:r w:rsidR="008D4E3C">
        <w:t xml:space="preserve"> entered twice</w:t>
      </w:r>
      <w:r w:rsidR="0095527C">
        <w:t>. O</w:t>
      </w:r>
      <w:r w:rsidR="008D4E3C">
        <w:t>nce at the base rate and once with the surcharge. However, the full valuation was recorded against both transactions.</w:t>
      </w:r>
      <w:r w:rsidR="003006FC">
        <w:t xml:space="preserve"> </w:t>
      </w:r>
      <w:r w:rsidR="00DD40F7">
        <w:t>Similarly</w:t>
      </w:r>
      <w:r w:rsidR="003006FC">
        <w:t xml:space="preserve">, </w:t>
      </w:r>
      <w:r w:rsidR="00DD40F7">
        <w:t>double counting could arise with</w:t>
      </w:r>
      <w:r w:rsidR="003006FC">
        <w:t xml:space="preserve"> transactions </w:t>
      </w:r>
      <w:r w:rsidR="00DD40F7">
        <w:t>that</w:t>
      </w:r>
      <w:r w:rsidR="003006FC">
        <w:t xml:space="preserve"> </w:t>
      </w:r>
      <w:r w:rsidR="00162CAC">
        <w:t>we</w:t>
      </w:r>
      <w:r w:rsidR="003006FC">
        <w:t>re split across financial years</w:t>
      </w:r>
      <w:r w:rsidR="00DC55C6">
        <w:t>. T</w:t>
      </w:r>
      <w:r w:rsidR="003006FC">
        <w:t>he full valuation was recorded against both transactions.</w:t>
      </w:r>
    </w:p>
  </w:footnote>
  <w:footnote w:id="16">
    <w:p w14:paraId="2B0431A8" w14:textId="0B2FE3E5" w:rsidR="0037795D" w:rsidRDefault="0037795D">
      <w:pPr>
        <w:pStyle w:val="FootnoteText"/>
      </w:pPr>
      <w:r>
        <w:rPr>
          <w:rStyle w:val="FootnoteReference"/>
        </w:rPr>
        <w:footnoteRef/>
      </w:r>
      <w:r>
        <w:t xml:space="preserve"> </w:t>
      </w:r>
      <w:r>
        <w:tab/>
        <w:t>The 2018 CoES data, used to model relative wage costs for 2018-19, were also revised after the modelled outcomes were provided to the Commission for the 2020 Review.</w:t>
      </w:r>
    </w:p>
  </w:footnote>
  <w:footnote w:id="17">
    <w:p w14:paraId="0C414A34" w14:textId="04633657" w:rsidR="00021E2A" w:rsidRPr="00021E2A" w:rsidRDefault="00021E2A">
      <w:pPr>
        <w:pStyle w:val="FootnoteText"/>
      </w:pPr>
      <w:r>
        <w:rPr>
          <w:rStyle w:val="FootnoteReference"/>
        </w:rPr>
        <w:footnoteRef/>
      </w:r>
      <w:r w:rsidR="00345232">
        <w:tab/>
      </w:r>
      <w:r>
        <w:t>Year 2 is the second last assessment year.</w:t>
      </w:r>
      <w:r w:rsidR="0095692C">
        <w:t xml:space="preserve"> </w:t>
      </w:r>
      <w:r w:rsidR="005F0043">
        <w:t xml:space="preserve">In the 2021 Update, </w:t>
      </w:r>
      <w:r w:rsidR="00AF06F9">
        <w:t xml:space="preserve">2017-18 is year 1 and </w:t>
      </w:r>
      <w:r w:rsidR="00D56598">
        <w:t>2018-19 is year 2.</w:t>
      </w:r>
    </w:p>
  </w:footnote>
  <w:footnote w:id="18">
    <w:p w14:paraId="25FECCDC" w14:textId="34A2F5F6" w:rsidR="0078697E" w:rsidRPr="0078697E" w:rsidRDefault="0078697E">
      <w:pPr>
        <w:pStyle w:val="FootnoteText"/>
      </w:pPr>
      <w:r>
        <w:rPr>
          <w:rStyle w:val="FootnoteReference"/>
        </w:rPr>
        <w:footnoteRef/>
      </w:r>
      <w:r>
        <w:tab/>
      </w:r>
      <w:r w:rsidR="00DF383A">
        <w:t>ABS Government Financial Statistics.</w:t>
      </w:r>
    </w:p>
  </w:footnote>
  <w:footnote w:id="19">
    <w:p w14:paraId="1F3CF54D" w14:textId="6AC2B522" w:rsidR="00021E2A" w:rsidRPr="00021E2A" w:rsidRDefault="00021E2A" w:rsidP="00097B59">
      <w:pPr>
        <w:pStyle w:val="FootnoteText"/>
      </w:pPr>
      <w:r>
        <w:rPr>
          <w:rStyle w:val="FootnoteReference"/>
        </w:rPr>
        <w:footnoteRef/>
      </w:r>
      <w:r w:rsidR="00345232">
        <w:tab/>
        <w:t xml:space="preserve">Year 3 is last </w:t>
      </w:r>
      <w:r w:rsidR="00A4612A">
        <w:t xml:space="preserve">assessment year. </w:t>
      </w:r>
      <w:r w:rsidR="005B5FA8">
        <w:t>It is 2019-20 in the 2021 Update.</w:t>
      </w:r>
      <w:r w:rsidR="00BC62D4">
        <w:t xml:space="preserve"> </w:t>
      </w:r>
      <w:r w:rsidR="00F519BA">
        <w:t xml:space="preserve">Final </w:t>
      </w:r>
      <w:r w:rsidR="00BC62D4">
        <w:t xml:space="preserve">State budget data </w:t>
      </w:r>
      <w:r w:rsidR="00F519BA">
        <w:t xml:space="preserve">for Year 3 are not available </w:t>
      </w:r>
      <w:r w:rsidR="00155241">
        <w:t xml:space="preserve">from the ABS on time </w:t>
      </w:r>
      <w:r w:rsidR="00BD2A82">
        <w:t>for the update. Year 3 data are sourced from the States.</w:t>
      </w:r>
    </w:p>
  </w:footnote>
  <w:footnote w:id="20">
    <w:p w14:paraId="1BAF4D5B" w14:textId="39FA59F8" w:rsidR="00DF383A" w:rsidRPr="00DF383A" w:rsidRDefault="00DF383A" w:rsidP="00097B59">
      <w:pPr>
        <w:pStyle w:val="FootnoteText"/>
      </w:pPr>
      <w:r>
        <w:rPr>
          <w:rStyle w:val="FootnoteReference"/>
        </w:rPr>
        <w:footnoteRef/>
      </w:r>
      <w:r>
        <w:t xml:space="preserve"> </w:t>
      </w:r>
      <w:r>
        <w:tab/>
      </w:r>
      <w:r w:rsidR="005C5E43" w:rsidRPr="005C5E43">
        <w:t xml:space="preserve">Classification of the functions of government </w:t>
      </w:r>
      <w:r w:rsidR="00D64774">
        <w:t>–</w:t>
      </w:r>
      <w:r w:rsidR="005C5E43" w:rsidRPr="005C5E43">
        <w:t xml:space="preserve"> Australia</w:t>
      </w:r>
      <w:r w:rsidR="00D64774">
        <w:t xml:space="preserve">. </w:t>
      </w:r>
      <w:r w:rsidR="00440004">
        <w:t>Its purpose is</w:t>
      </w:r>
      <w:r w:rsidR="00D64774" w:rsidRPr="00D64774">
        <w:t xml:space="preserve"> to classify revenues, expenses, and transactions in non</w:t>
      </w:r>
      <w:r w:rsidR="00440004">
        <w:noBreakHyphen/>
      </w:r>
      <w:r w:rsidR="00D64774" w:rsidRPr="00D64774">
        <w:t>financial assets in terms of the government purpose</w:t>
      </w:r>
      <w:r w:rsidR="00440004">
        <w:t xml:space="preserve"> (for example, education and health)</w:t>
      </w:r>
      <w:r w:rsidR="003C4553">
        <w:t>.</w:t>
      </w:r>
    </w:p>
  </w:footnote>
  <w:footnote w:id="21">
    <w:p w14:paraId="66D7867D" w14:textId="2AC786D7" w:rsidR="007A5FEB" w:rsidRPr="007A5FEB" w:rsidRDefault="007A5FEB">
      <w:pPr>
        <w:pStyle w:val="FootnoteText"/>
      </w:pPr>
      <w:r>
        <w:rPr>
          <w:rStyle w:val="FootnoteReference"/>
        </w:rPr>
        <w:footnoteRef/>
      </w:r>
      <w:r w:rsidR="004C1B12">
        <w:tab/>
      </w:r>
      <w:r w:rsidRPr="007A5FEB">
        <w:t>The Commission’s policy is described in the 2017 Update report, page 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3612A" w14:textId="77777777" w:rsidR="000E4971" w:rsidRDefault="000E49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6EBCAC5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DE40FDDC"/>
    <w:lvl w:ilvl="0">
      <w:start w:val="1"/>
      <w:numFmt w:val="decimal"/>
      <w:lvlText w:val="%1."/>
      <w:lvlJc w:val="left"/>
      <w:pPr>
        <w:tabs>
          <w:tab w:val="num" w:pos="360"/>
        </w:tabs>
        <w:ind w:left="360" w:hanging="360"/>
      </w:pPr>
    </w:lvl>
  </w:abstractNum>
  <w:abstractNum w:abstractNumId="2"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412F81"/>
    <w:multiLevelType w:val="hybridMultilevel"/>
    <w:tmpl w:val="3FC6F610"/>
    <w:lvl w:ilvl="0" w:tplc="4CE8D1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BF05D3"/>
    <w:multiLevelType w:val="hybridMultilevel"/>
    <w:tmpl w:val="11624ED6"/>
    <w:lvl w:ilvl="0" w:tplc="51BAAD84">
      <w:start w:val="1"/>
      <w:numFmt w:val="bullet"/>
      <w:pStyle w:val="CGCBullet2"/>
      <w:lvlText w:val=""/>
      <w:lvlJc w:val="left"/>
      <w:pPr>
        <w:ind w:left="720" w:hanging="360"/>
      </w:pPr>
      <w:rPr>
        <w:rFonts w:ascii="Symbol" w:hAnsi="Symbol" w:hint="default"/>
        <w:b/>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E71B9C"/>
    <w:multiLevelType w:val="hybridMultilevel"/>
    <w:tmpl w:val="E06AECE0"/>
    <w:lvl w:ilvl="0" w:tplc="CA885F44">
      <w:start w:val="1"/>
      <w:numFmt w:val="bullet"/>
      <w:pStyle w:val="CGCBullet1"/>
      <w:lvlText w:val=""/>
      <w:lvlJc w:val="left"/>
      <w:pPr>
        <w:ind w:left="720" w:hanging="360"/>
      </w:pPr>
      <w:rPr>
        <w:rFonts w:ascii="Symbol" w:hAnsi="Symbol" w:hint="default"/>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7" w15:restartNumberingAfterBreak="0">
    <w:nsid w:val="305A2F29"/>
    <w:multiLevelType w:val="hybridMultilevel"/>
    <w:tmpl w:val="624C9D60"/>
    <w:lvl w:ilvl="0" w:tplc="11CE85DE">
      <w:start w:val="1"/>
      <w:numFmt w:val="decimal"/>
      <w:pStyle w:val="CGCParaNumber"/>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17A6023"/>
    <w:multiLevelType w:val="hybridMultilevel"/>
    <w:tmpl w:val="1262912E"/>
    <w:lvl w:ilvl="0" w:tplc="9B9083DC">
      <w:start w:val="1"/>
      <w:numFmt w:val="lowerRoman"/>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B5158B"/>
    <w:multiLevelType w:val="hybridMultilevel"/>
    <w:tmpl w:val="9BC0B1A4"/>
    <w:lvl w:ilvl="0" w:tplc="356AA2EA">
      <w:start w:val="1"/>
      <w:numFmt w:val="lowerLetter"/>
      <w:lvlText w:val="(%1)"/>
      <w:lvlJc w:val="left"/>
      <w:pPr>
        <w:ind w:left="1440" w:hanging="10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0F2BBA"/>
    <w:multiLevelType w:val="hybridMultilevel"/>
    <w:tmpl w:val="7F06A084"/>
    <w:lvl w:ilvl="0" w:tplc="AA42385C">
      <w:start w:val="1"/>
      <w:numFmt w:val="bullet"/>
      <w:lvlText w:val=""/>
      <w:lvlJc w:val="left"/>
      <w:pPr>
        <w:ind w:left="720" w:hanging="360"/>
      </w:pPr>
      <w:rPr>
        <w:rFonts w:ascii="Symbol" w:hAnsi="Symbol" w:hint="default"/>
        <w:b/>
        <w:color w:val="5CA5C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2" w15:restartNumberingAfterBreak="0">
    <w:nsid w:val="76113BB6"/>
    <w:multiLevelType w:val="hybridMultilevel"/>
    <w:tmpl w:val="DF926C28"/>
    <w:lvl w:ilvl="0" w:tplc="D85003E6">
      <w:start w:val="1"/>
      <w:numFmt w:val="decimal"/>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13"/>
  </w:num>
  <w:num w:numId="4">
    <w:abstractNumId w:val="7"/>
  </w:num>
  <w:num w:numId="5">
    <w:abstractNumId w:val="5"/>
  </w:num>
  <w:num w:numId="6">
    <w:abstractNumId w:val="4"/>
  </w:num>
  <w:num w:numId="7">
    <w:abstractNumId w:val="2"/>
  </w:num>
  <w:num w:numId="8">
    <w:abstractNumId w:val="11"/>
  </w:num>
  <w:num w:numId="9">
    <w:abstractNumId w:val="2"/>
    <w:lvlOverride w:ilvl="0">
      <w:startOverride w:val="1"/>
    </w:lvlOverride>
  </w:num>
  <w:num w:numId="10">
    <w:abstractNumId w:val="7"/>
    <w:lvlOverride w:ilvl="0">
      <w:startOverride w:val="1"/>
    </w:lvlOverride>
  </w:num>
  <w:num w:numId="11">
    <w:abstractNumId w:val="9"/>
  </w:num>
  <w:num w:numId="12">
    <w:abstractNumId w:val="12"/>
  </w:num>
  <w:num w:numId="13">
    <w:abstractNumId w:val="1"/>
  </w:num>
  <w:num w:numId="14">
    <w:abstractNumId w:val="0"/>
  </w:num>
  <w:num w:numId="15">
    <w:abstractNumId w:val="10"/>
  </w:num>
  <w:num w:numId="16">
    <w:abstractNumId w:val="3"/>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680"/>
  <w:drawingGridHorizontalSpacing w:val="57"/>
  <w:drawingGridVerticalSpacing w:val="57"/>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904"/>
    <w:rsid w:val="000009F4"/>
    <w:rsid w:val="00000D05"/>
    <w:rsid w:val="00000DFD"/>
    <w:rsid w:val="00000FE7"/>
    <w:rsid w:val="000014AF"/>
    <w:rsid w:val="00002566"/>
    <w:rsid w:val="00002997"/>
    <w:rsid w:val="00002CD4"/>
    <w:rsid w:val="0000322E"/>
    <w:rsid w:val="00003628"/>
    <w:rsid w:val="00003800"/>
    <w:rsid w:val="0000426F"/>
    <w:rsid w:val="00004582"/>
    <w:rsid w:val="00004721"/>
    <w:rsid w:val="00004902"/>
    <w:rsid w:val="00005229"/>
    <w:rsid w:val="000055AF"/>
    <w:rsid w:val="0000564F"/>
    <w:rsid w:val="00005D5D"/>
    <w:rsid w:val="00006384"/>
    <w:rsid w:val="000064FC"/>
    <w:rsid w:val="000066C2"/>
    <w:rsid w:val="00006830"/>
    <w:rsid w:val="00006B65"/>
    <w:rsid w:val="000070E8"/>
    <w:rsid w:val="00007244"/>
    <w:rsid w:val="000075E7"/>
    <w:rsid w:val="00007B5A"/>
    <w:rsid w:val="00007DFC"/>
    <w:rsid w:val="0001012C"/>
    <w:rsid w:val="00010EEA"/>
    <w:rsid w:val="0001100E"/>
    <w:rsid w:val="00011047"/>
    <w:rsid w:val="000115DE"/>
    <w:rsid w:val="0001241E"/>
    <w:rsid w:val="00012A3F"/>
    <w:rsid w:val="00013006"/>
    <w:rsid w:val="00013400"/>
    <w:rsid w:val="00013A9C"/>
    <w:rsid w:val="00013D0A"/>
    <w:rsid w:val="000146A4"/>
    <w:rsid w:val="00014E1D"/>
    <w:rsid w:val="00014EB9"/>
    <w:rsid w:val="0001508E"/>
    <w:rsid w:val="00015F45"/>
    <w:rsid w:val="000164F6"/>
    <w:rsid w:val="0001697D"/>
    <w:rsid w:val="00016ADD"/>
    <w:rsid w:val="00016FE0"/>
    <w:rsid w:val="000173EB"/>
    <w:rsid w:val="00017586"/>
    <w:rsid w:val="00017AD6"/>
    <w:rsid w:val="00017E7E"/>
    <w:rsid w:val="00020A2D"/>
    <w:rsid w:val="00020AFD"/>
    <w:rsid w:val="00020BC5"/>
    <w:rsid w:val="000212DE"/>
    <w:rsid w:val="00021C94"/>
    <w:rsid w:val="00021E2A"/>
    <w:rsid w:val="00022EA9"/>
    <w:rsid w:val="0002354D"/>
    <w:rsid w:val="000241AC"/>
    <w:rsid w:val="00024745"/>
    <w:rsid w:val="00024812"/>
    <w:rsid w:val="0002490E"/>
    <w:rsid w:val="00024983"/>
    <w:rsid w:val="0002512D"/>
    <w:rsid w:val="000257CC"/>
    <w:rsid w:val="00025A00"/>
    <w:rsid w:val="00026A95"/>
    <w:rsid w:val="00026DA8"/>
    <w:rsid w:val="0002715D"/>
    <w:rsid w:val="00027B14"/>
    <w:rsid w:val="00030354"/>
    <w:rsid w:val="000305F4"/>
    <w:rsid w:val="00030F05"/>
    <w:rsid w:val="00031973"/>
    <w:rsid w:val="00031DF8"/>
    <w:rsid w:val="00031E64"/>
    <w:rsid w:val="00031EC2"/>
    <w:rsid w:val="0003219C"/>
    <w:rsid w:val="0003259E"/>
    <w:rsid w:val="00032B93"/>
    <w:rsid w:val="00032F41"/>
    <w:rsid w:val="00033609"/>
    <w:rsid w:val="000340CB"/>
    <w:rsid w:val="000342B9"/>
    <w:rsid w:val="00034313"/>
    <w:rsid w:val="00034CC6"/>
    <w:rsid w:val="00035018"/>
    <w:rsid w:val="000350D3"/>
    <w:rsid w:val="00035428"/>
    <w:rsid w:val="00035481"/>
    <w:rsid w:val="00035693"/>
    <w:rsid w:val="0003633E"/>
    <w:rsid w:val="00037454"/>
    <w:rsid w:val="00037527"/>
    <w:rsid w:val="00037A23"/>
    <w:rsid w:val="00040398"/>
    <w:rsid w:val="00040611"/>
    <w:rsid w:val="0004079A"/>
    <w:rsid w:val="0004123E"/>
    <w:rsid w:val="00041620"/>
    <w:rsid w:val="000416CF"/>
    <w:rsid w:val="00041748"/>
    <w:rsid w:val="00041E84"/>
    <w:rsid w:val="0004202B"/>
    <w:rsid w:val="000422B0"/>
    <w:rsid w:val="000424EA"/>
    <w:rsid w:val="0004258C"/>
    <w:rsid w:val="00042EDF"/>
    <w:rsid w:val="00042EE4"/>
    <w:rsid w:val="0004305D"/>
    <w:rsid w:val="000436DF"/>
    <w:rsid w:val="000440DD"/>
    <w:rsid w:val="00044349"/>
    <w:rsid w:val="000445E8"/>
    <w:rsid w:val="00045060"/>
    <w:rsid w:val="00045289"/>
    <w:rsid w:val="0004559B"/>
    <w:rsid w:val="000457D3"/>
    <w:rsid w:val="00045889"/>
    <w:rsid w:val="0004596E"/>
    <w:rsid w:val="000504E5"/>
    <w:rsid w:val="00050827"/>
    <w:rsid w:val="00050BB2"/>
    <w:rsid w:val="00050D4B"/>
    <w:rsid w:val="00051192"/>
    <w:rsid w:val="0005127F"/>
    <w:rsid w:val="00051760"/>
    <w:rsid w:val="00051873"/>
    <w:rsid w:val="00051C61"/>
    <w:rsid w:val="00051DA6"/>
    <w:rsid w:val="000525D1"/>
    <w:rsid w:val="0005305B"/>
    <w:rsid w:val="00053664"/>
    <w:rsid w:val="00053B13"/>
    <w:rsid w:val="00053D94"/>
    <w:rsid w:val="00053E46"/>
    <w:rsid w:val="00053F61"/>
    <w:rsid w:val="0005483F"/>
    <w:rsid w:val="00055292"/>
    <w:rsid w:val="00055CD8"/>
    <w:rsid w:val="00055F0B"/>
    <w:rsid w:val="00056373"/>
    <w:rsid w:val="00057222"/>
    <w:rsid w:val="000572F5"/>
    <w:rsid w:val="0005738B"/>
    <w:rsid w:val="00057708"/>
    <w:rsid w:val="000600CB"/>
    <w:rsid w:val="000606F1"/>
    <w:rsid w:val="00060D2E"/>
    <w:rsid w:val="00061111"/>
    <w:rsid w:val="000616AA"/>
    <w:rsid w:val="00061D3A"/>
    <w:rsid w:val="00061DA1"/>
    <w:rsid w:val="00061E39"/>
    <w:rsid w:val="00061FA6"/>
    <w:rsid w:val="000623D9"/>
    <w:rsid w:val="000624BB"/>
    <w:rsid w:val="000627C4"/>
    <w:rsid w:val="00062E37"/>
    <w:rsid w:val="00062E6B"/>
    <w:rsid w:val="0006388D"/>
    <w:rsid w:val="00063DC6"/>
    <w:rsid w:val="00063EF2"/>
    <w:rsid w:val="0006451D"/>
    <w:rsid w:val="0006456F"/>
    <w:rsid w:val="000648E8"/>
    <w:rsid w:val="000653F2"/>
    <w:rsid w:val="000653F5"/>
    <w:rsid w:val="0006567A"/>
    <w:rsid w:val="00065A22"/>
    <w:rsid w:val="0006756E"/>
    <w:rsid w:val="00067958"/>
    <w:rsid w:val="00067C46"/>
    <w:rsid w:val="00070944"/>
    <w:rsid w:val="00071BE3"/>
    <w:rsid w:val="00072132"/>
    <w:rsid w:val="00072691"/>
    <w:rsid w:val="00072700"/>
    <w:rsid w:val="00073892"/>
    <w:rsid w:val="00074240"/>
    <w:rsid w:val="000742CA"/>
    <w:rsid w:val="0007452D"/>
    <w:rsid w:val="00074FB8"/>
    <w:rsid w:val="0007510A"/>
    <w:rsid w:val="00075B41"/>
    <w:rsid w:val="00075BF2"/>
    <w:rsid w:val="00076075"/>
    <w:rsid w:val="00076688"/>
    <w:rsid w:val="00077429"/>
    <w:rsid w:val="0007777E"/>
    <w:rsid w:val="00077EF6"/>
    <w:rsid w:val="00080279"/>
    <w:rsid w:val="0008027D"/>
    <w:rsid w:val="000803B5"/>
    <w:rsid w:val="000806A6"/>
    <w:rsid w:val="000809B9"/>
    <w:rsid w:val="00080EC4"/>
    <w:rsid w:val="0008137F"/>
    <w:rsid w:val="0008144A"/>
    <w:rsid w:val="0008193F"/>
    <w:rsid w:val="00081E1C"/>
    <w:rsid w:val="0008226F"/>
    <w:rsid w:val="00082292"/>
    <w:rsid w:val="0008231C"/>
    <w:rsid w:val="00082540"/>
    <w:rsid w:val="000827F9"/>
    <w:rsid w:val="00082C23"/>
    <w:rsid w:val="00083296"/>
    <w:rsid w:val="00083B61"/>
    <w:rsid w:val="00083E4E"/>
    <w:rsid w:val="00085098"/>
    <w:rsid w:val="000855A7"/>
    <w:rsid w:val="00085A09"/>
    <w:rsid w:val="00086580"/>
    <w:rsid w:val="000865AE"/>
    <w:rsid w:val="00086CD9"/>
    <w:rsid w:val="00087B3D"/>
    <w:rsid w:val="00090626"/>
    <w:rsid w:val="00090830"/>
    <w:rsid w:val="00090AFA"/>
    <w:rsid w:val="00090D8A"/>
    <w:rsid w:val="0009205D"/>
    <w:rsid w:val="00092332"/>
    <w:rsid w:val="0009244C"/>
    <w:rsid w:val="0009255E"/>
    <w:rsid w:val="0009299B"/>
    <w:rsid w:val="00093279"/>
    <w:rsid w:val="0009352F"/>
    <w:rsid w:val="0009354F"/>
    <w:rsid w:val="00093590"/>
    <w:rsid w:val="00093796"/>
    <w:rsid w:val="00093A39"/>
    <w:rsid w:val="00093C8E"/>
    <w:rsid w:val="00094855"/>
    <w:rsid w:val="00094BC8"/>
    <w:rsid w:val="0009600C"/>
    <w:rsid w:val="00096249"/>
    <w:rsid w:val="0009653F"/>
    <w:rsid w:val="00096820"/>
    <w:rsid w:val="00097790"/>
    <w:rsid w:val="00097B59"/>
    <w:rsid w:val="00097B70"/>
    <w:rsid w:val="000A00DB"/>
    <w:rsid w:val="000A069B"/>
    <w:rsid w:val="000A100D"/>
    <w:rsid w:val="000A1F1E"/>
    <w:rsid w:val="000A2044"/>
    <w:rsid w:val="000A3554"/>
    <w:rsid w:val="000A3556"/>
    <w:rsid w:val="000A3898"/>
    <w:rsid w:val="000A3F4B"/>
    <w:rsid w:val="000A400C"/>
    <w:rsid w:val="000A50EA"/>
    <w:rsid w:val="000A52A1"/>
    <w:rsid w:val="000A57E8"/>
    <w:rsid w:val="000A6537"/>
    <w:rsid w:val="000A6704"/>
    <w:rsid w:val="000A705B"/>
    <w:rsid w:val="000A71A8"/>
    <w:rsid w:val="000A7A89"/>
    <w:rsid w:val="000A7A96"/>
    <w:rsid w:val="000A7B05"/>
    <w:rsid w:val="000B0584"/>
    <w:rsid w:val="000B0874"/>
    <w:rsid w:val="000B144E"/>
    <w:rsid w:val="000B1BCE"/>
    <w:rsid w:val="000B2942"/>
    <w:rsid w:val="000B3557"/>
    <w:rsid w:val="000B36F3"/>
    <w:rsid w:val="000B3754"/>
    <w:rsid w:val="000B3FBD"/>
    <w:rsid w:val="000B4223"/>
    <w:rsid w:val="000B437C"/>
    <w:rsid w:val="000B488F"/>
    <w:rsid w:val="000B501F"/>
    <w:rsid w:val="000B5263"/>
    <w:rsid w:val="000B5783"/>
    <w:rsid w:val="000B5954"/>
    <w:rsid w:val="000B5A80"/>
    <w:rsid w:val="000B6481"/>
    <w:rsid w:val="000B64E3"/>
    <w:rsid w:val="000B6C80"/>
    <w:rsid w:val="000C0674"/>
    <w:rsid w:val="000C08BC"/>
    <w:rsid w:val="000C14D5"/>
    <w:rsid w:val="000C2716"/>
    <w:rsid w:val="000C2AD2"/>
    <w:rsid w:val="000C2E57"/>
    <w:rsid w:val="000C3B49"/>
    <w:rsid w:val="000C421E"/>
    <w:rsid w:val="000C5965"/>
    <w:rsid w:val="000C59E2"/>
    <w:rsid w:val="000C62A7"/>
    <w:rsid w:val="000C670A"/>
    <w:rsid w:val="000C6884"/>
    <w:rsid w:val="000C6A62"/>
    <w:rsid w:val="000C6F97"/>
    <w:rsid w:val="000C6F99"/>
    <w:rsid w:val="000C7824"/>
    <w:rsid w:val="000C78D1"/>
    <w:rsid w:val="000C7D16"/>
    <w:rsid w:val="000D046B"/>
    <w:rsid w:val="000D1236"/>
    <w:rsid w:val="000D1354"/>
    <w:rsid w:val="000D213B"/>
    <w:rsid w:val="000D3035"/>
    <w:rsid w:val="000D3D0B"/>
    <w:rsid w:val="000D3F62"/>
    <w:rsid w:val="000D5213"/>
    <w:rsid w:val="000D569C"/>
    <w:rsid w:val="000D65EE"/>
    <w:rsid w:val="000D66BC"/>
    <w:rsid w:val="000D67AA"/>
    <w:rsid w:val="000D6969"/>
    <w:rsid w:val="000D6CE7"/>
    <w:rsid w:val="000D6D04"/>
    <w:rsid w:val="000D6DDD"/>
    <w:rsid w:val="000D7420"/>
    <w:rsid w:val="000D76E4"/>
    <w:rsid w:val="000D7C54"/>
    <w:rsid w:val="000E0210"/>
    <w:rsid w:val="000E021C"/>
    <w:rsid w:val="000E0576"/>
    <w:rsid w:val="000E057C"/>
    <w:rsid w:val="000E084E"/>
    <w:rsid w:val="000E0BB8"/>
    <w:rsid w:val="000E0C44"/>
    <w:rsid w:val="000E1254"/>
    <w:rsid w:val="000E144C"/>
    <w:rsid w:val="000E153F"/>
    <w:rsid w:val="000E180D"/>
    <w:rsid w:val="000E2377"/>
    <w:rsid w:val="000E27C0"/>
    <w:rsid w:val="000E283C"/>
    <w:rsid w:val="000E28F2"/>
    <w:rsid w:val="000E2955"/>
    <w:rsid w:val="000E2C4D"/>
    <w:rsid w:val="000E31E4"/>
    <w:rsid w:val="000E347E"/>
    <w:rsid w:val="000E3494"/>
    <w:rsid w:val="000E3E13"/>
    <w:rsid w:val="000E460F"/>
    <w:rsid w:val="000E491E"/>
    <w:rsid w:val="000E4971"/>
    <w:rsid w:val="000E4F7E"/>
    <w:rsid w:val="000E5C60"/>
    <w:rsid w:val="000E5E4A"/>
    <w:rsid w:val="000E611A"/>
    <w:rsid w:val="000E6228"/>
    <w:rsid w:val="000E6244"/>
    <w:rsid w:val="000E6AA5"/>
    <w:rsid w:val="000E6FCF"/>
    <w:rsid w:val="000E7452"/>
    <w:rsid w:val="000E7619"/>
    <w:rsid w:val="000E78BE"/>
    <w:rsid w:val="000E7F56"/>
    <w:rsid w:val="000F0745"/>
    <w:rsid w:val="000F078A"/>
    <w:rsid w:val="000F07E9"/>
    <w:rsid w:val="000F0A18"/>
    <w:rsid w:val="000F1413"/>
    <w:rsid w:val="000F1AF7"/>
    <w:rsid w:val="000F1CDA"/>
    <w:rsid w:val="000F219F"/>
    <w:rsid w:val="000F2538"/>
    <w:rsid w:val="000F2CFE"/>
    <w:rsid w:val="000F3150"/>
    <w:rsid w:val="000F3226"/>
    <w:rsid w:val="000F379F"/>
    <w:rsid w:val="000F4602"/>
    <w:rsid w:val="000F4AE1"/>
    <w:rsid w:val="000F557D"/>
    <w:rsid w:val="000F5AA8"/>
    <w:rsid w:val="000F5CCC"/>
    <w:rsid w:val="000F5FBC"/>
    <w:rsid w:val="000F5FD9"/>
    <w:rsid w:val="000F66F9"/>
    <w:rsid w:val="000F677A"/>
    <w:rsid w:val="000F69D0"/>
    <w:rsid w:val="001007BB"/>
    <w:rsid w:val="00100BEE"/>
    <w:rsid w:val="00100C32"/>
    <w:rsid w:val="00101175"/>
    <w:rsid w:val="0010167F"/>
    <w:rsid w:val="00101D3C"/>
    <w:rsid w:val="00101F4C"/>
    <w:rsid w:val="001023EE"/>
    <w:rsid w:val="0010296A"/>
    <w:rsid w:val="001033EC"/>
    <w:rsid w:val="00103762"/>
    <w:rsid w:val="001039C2"/>
    <w:rsid w:val="00103B0E"/>
    <w:rsid w:val="00103C3C"/>
    <w:rsid w:val="001040AD"/>
    <w:rsid w:val="0010468A"/>
    <w:rsid w:val="0010469C"/>
    <w:rsid w:val="001046F7"/>
    <w:rsid w:val="00105692"/>
    <w:rsid w:val="001061DC"/>
    <w:rsid w:val="00106A5C"/>
    <w:rsid w:val="00106D2B"/>
    <w:rsid w:val="00106DB6"/>
    <w:rsid w:val="001071E7"/>
    <w:rsid w:val="001108F2"/>
    <w:rsid w:val="00110CCB"/>
    <w:rsid w:val="00110EF0"/>
    <w:rsid w:val="00110F62"/>
    <w:rsid w:val="00111586"/>
    <w:rsid w:val="001115A4"/>
    <w:rsid w:val="0011178C"/>
    <w:rsid w:val="00111ED5"/>
    <w:rsid w:val="001120D5"/>
    <w:rsid w:val="00112609"/>
    <w:rsid w:val="001126CA"/>
    <w:rsid w:val="00112CF0"/>
    <w:rsid w:val="0011354C"/>
    <w:rsid w:val="00113D5B"/>
    <w:rsid w:val="00114FD6"/>
    <w:rsid w:val="0011515C"/>
    <w:rsid w:val="00115222"/>
    <w:rsid w:val="001153ED"/>
    <w:rsid w:val="00115729"/>
    <w:rsid w:val="00115B9D"/>
    <w:rsid w:val="00115F9F"/>
    <w:rsid w:val="0011670C"/>
    <w:rsid w:val="00117629"/>
    <w:rsid w:val="00117D2D"/>
    <w:rsid w:val="001202CB"/>
    <w:rsid w:val="00120347"/>
    <w:rsid w:val="001211AB"/>
    <w:rsid w:val="001216CA"/>
    <w:rsid w:val="001218B8"/>
    <w:rsid w:val="00122555"/>
    <w:rsid w:val="001228D1"/>
    <w:rsid w:val="00122FED"/>
    <w:rsid w:val="00123523"/>
    <w:rsid w:val="00123872"/>
    <w:rsid w:val="00123D7F"/>
    <w:rsid w:val="001240D7"/>
    <w:rsid w:val="0012416E"/>
    <w:rsid w:val="00124C2B"/>
    <w:rsid w:val="00124CF6"/>
    <w:rsid w:val="00124E49"/>
    <w:rsid w:val="00124ED1"/>
    <w:rsid w:val="001250E3"/>
    <w:rsid w:val="00125213"/>
    <w:rsid w:val="0012547C"/>
    <w:rsid w:val="00125E55"/>
    <w:rsid w:val="00127B5E"/>
    <w:rsid w:val="001306AD"/>
    <w:rsid w:val="00130724"/>
    <w:rsid w:val="00130DA1"/>
    <w:rsid w:val="0013107B"/>
    <w:rsid w:val="0013125D"/>
    <w:rsid w:val="00131D8F"/>
    <w:rsid w:val="001327FD"/>
    <w:rsid w:val="00132B15"/>
    <w:rsid w:val="00133362"/>
    <w:rsid w:val="00133607"/>
    <w:rsid w:val="0013389F"/>
    <w:rsid w:val="00133BFD"/>
    <w:rsid w:val="00134104"/>
    <w:rsid w:val="001352B4"/>
    <w:rsid w:val="00135973"/>
    <w:rsid w:val="00136497"/>
    <w:rsid w:val="0013682A"/>
    <w:rsid w:val="0013711A"/>
    <w:rsid w:val="0013727B"/>
    <w:rsid w:val="001372C0"/>
    <w:rsid w:val="001376A2"/>
    <w:rsid w:val="0013775C"/>
    <w:rsid w:val="00137969"/>
    <w:rsid w:val="00137B78"/>
    <w:rsid w:val="00140087"/>
    <w:rsid w:val="001409B1"/>
    <w:rsid w:val="00140BEE"/>
    <w:rsid w:val="001413BD"/>
    <w:rsid w:val="00141480"/>
    <w:rsid w:val="00141787"/>
    <w:rsid w:val="001417FA"/>
    <w:rsid w:val="00141BD1"/>
    <w:rsid w:val="00141BD9"/>
    <w:rsid w:val="00142F3D"/>
    <w:rsid w:val="0014301D"/>
    <w:rsid w:val="0014342F"/>
    <w:rsid w:val="00143548"/>
    <w:rsid w:val="001436A6"/>
    <w:rsid w:val="001438D6"/>
    <w:rsid w:val="00143A24"/>
    <w:rsid w:val="00143E9B"/>
    <w:rsid w:val="00143EE0"/>
    <w:rsid w:val="001441DA"/>
    <w:rsid w:val="00144E17"/>
    <w:rsid w:val="001451DA"/>
    <w:rsid w:val="001467DE"/>
    <w:rsid w:val="00146896"/>
    <w:rsid w:val="00146C80"/>
    <w:rsid w:val="001470FB"/>
    <w:rsid w:val="00147115"/>
    <w:rsid w:val="0014759B"/>
    <w:rsid w:val="001477CE"/>
    <w:rsid w:val="00147AF9"/>
    <w:rsid w:val="0015033B"/>
    <w:rsid w:val="00150407"/>
    <w:rsid w:val="0015119C"/>
    <w:rsid w:val="001512DF"/>
    <w:rsid w:val="00151BE8"/>
    <w:rsid w:val="00151FCA"/>
    <w:rsid w:val="001525CA"/>
    <w:rsid w:val="00152D38"/>
    <w:rsid w:val="001531CF"/>
    <w:rsid w:val="00154286"/>
    <w:rsid w:val="00154CBB"/>
    <w:rsid w:val="00154E63"/>
    <w:rsid w:val="00155241"/>
    <w:rsid w:val="00155409"/>
    <w:rsid w:val="00155AB4"/>
    <w:rsid w:val="00155AC7"/>
    <w:rsid w:val="0015631F"/>
    <w:rsid w:val="001564EF"/>
    <w:rsid w:val="001569E2"/>
    <w:rsid w:val="00157EBE"/>
    <w:rsid w:val="0016032F"/>
    <w:rsid w:val="001605D3"/>
    <w:rsid w:val="00160B9E"/>
    <w:rsid w:val="00160C98"/>
    <w:rsid w:val="00160CDD"/>
    <w:rsid w:val="00161077"/>
    <w:rsid w:val="001613E1"/>
    <w:rsid w:val="00162CAC"/>
    <w:rsid w:val="00162CFB"/>
    <w:rsid w:val="00162D41"/>
    <w:rsid w:val="001632E9"/>
    <w:rsid w:val="001634D3"/>
    <w:rsid w:val="001636C8"/>
    <w:rsid w:val="00163807"/>
    <w:rsid w:val="00163A22"/>
    <w:rsid w:val="00163C0C"/>
    <w:rsid w:val="00163C28"/>
    <w:rsid w:val="00163E34"/>
    <w:rsid w:val="00164103"/>
    <w:rsid w:val="00165392"/>
    <w:rsid w:val="00165EE9"/>
    <w:rsid w:val="001662FF"/>
    <w:rsid w:val="0016657A"/>
    <w:rsid w:val="0016666E"/>
    <w:rsid w:val="00166B75"/>
    <w:rsid w:val="00167029"/>
    <w:rsid w:val="0016723A"/>
    <w:rsid w:val="001679EF"/>
    <w:rsid w:val="00167ACD"/>
    <w:rsid w:val="00167E6D"/>
    <w:rsid w:val="001700FA"/>
    <w:rsid w:val="00170999"/>
    <w:rsid w:val="00170B08"/>
    <w:rsid w:val="00170DC9"/>
    <w:rsid w:val="00170F25"/>
    <w:rsid w:val="00171A05"/>
    <w:rsid w:val="0017268B"/>
    <w:rsid w:val="00172DBA"/>
    <w:rsid w:val="00172E02"/>
    <w:rsid w:val="00172E1C"/>
    <w:rsid w:val="00172F3A"/>
    <w:rsid w:val="00173017"/>
    <w:rsid w:val="001730FD"/>
    <w:rsid w:val="001734F1"/>
    <w:rsid w:val="001735C3"/>
    <w:rsid w:val="00173798"/>
    <w:rsid w:val="00173877"/>
    <w:rsid w:val="00173BE6"/>
    <w:rsid w:val="00173E72"/>
    <w:rsid w:val="00174161"/>
    <w:rsid w:val="00174167"/>
    <w:rsid w:val="001744D2"/>
    <w:rsid w:val="001746E3"/>
    <w:rsid w:val="001752FC"/>
    <w:rsid w:val="00175637"/>
    <w:rsid w:val="00175A91"/>
    <w:rsid w:val="00175E03"/>
    <w:rsid w:val="001763E7"/>
    <w:rsid w:val="001769B4"/>
    <w:rsid w:val="00176A01"/>
    <w:rsid w:val="00176B05"/>
    <w:rsid w:val="00176F48"/>
    <w:rsid w:val="0017754A"/>
    <w:rsid w:val="00180581"/>
    <w:rsid w:val="001807C0"/>
    <w:rsid w:val="00180D07"/>
    <w:rsid w:val="001811DE"/>
    <w:rsid w:val="00181FE8"/>
    <w:rsid w:val="00182665"/>
    <w:rsid w:val="001828A4"/>
    <w:rsid w:val="00182BCB"/>
    <w:rsid w:val="00182C4A"/>
    <w:rsid w:val="00183090"/>
    <w:rsid w:val="00183331"/>
    <w:rsid w:val="0018368D"/>
    <w:rsid w:val="001837F5"/>
    <w:rsid w:val="001839CE"/>
    <w:rsid w:val="001839EC"/>
    <w:rsid w:val="00183F76"/>
    <w:rsid w:val="001848D0"/>
    <w:rsid w:val="00184A7E"/>
    <w:rsid w:val="001855CA"/>
    <w:rsid w:val="0018598C"/>
    <w:rsid w:val="0018602C"/>
    <w:rsid w:val="00186543"/>
    <w:rsid w:val="001868CE"/>
    <w:rsid w:val="0018699A"/>
    <w:rsid w:val="00186BC1"/>
    <w:rsid w:val="00187145"/>
    <w:rsid w:val="001871D9"/>
    <w:rsid w:val="00187722"/>
    <w:rsid w:val="0018785E"/>
    <w:rsid w:val="00190164"/>
    <w:rsid w:val="0019066E"/>
    <w:rsid w:val="00190AED"/>
    <w:rsid w:val="00190FB5"/>
    <w:rsid w:val="00190FC5"/>
    <w:rsid w:val="00191ED8"/>
    <w:rsid w:val="00191FB2"/>
    <w:rsid w:val="00192011"/>
    <w:rsid w:val="0019254C"/>
    <w:rsid w:val="00192B27"/>
    <w:rsid w:val="00193437"/>
    <w:rsid w:val="00193480"/>
    <w:rsid w:val="00193B58"/>
    <w:rsid w:val="00193CFF"/>
    <w:rsid w:val="00193F91"/>
    <w:rsid w:val="001947F8"/>
    <w:rsid w:val="00194FC7"/>
    <w:rsid w:val="0019548B"/>
    <w:rsid w:val="00195878"/>
    <w:rsid w:val="00195A2B"/>
    <w:rsid w:val="0019668C"/>
    <w:rsid w:val="001969B3"/>
    <w:rsid w:val="00196B79"/>
    <w:rsid w:val="00197E07"/>
    <w:rsid w:val="001A052A"/>
    <w:rsid w:val="001A0591"/>
    <w:rsid w:val="001A24EF"/>
    <w:rsid w:val="001A30F5"/>
    <w:rsid w:val="001A4336"/>
    <w:rsid w:val="001A54D4"/>
    <w:rsid w:val="001A6137"/>
    <w:rsid w:val="001A6173"/>
    <w:rsid w:val="001A654E"/>
    <w:rsid w:val="001A69EE"/>
    <w:rsid w:val="001A6B15"/>
    <w:rsid w:val="001A6F4F"/>
    <w:rsid w:val="001A70AC"/>
    <w:rsid w:val="001A7458"/>
    <w:rsid w:val="001B0110"/>
    <w:rsid w:val="001B0ACE"/>
    <w:rsid w:val="001B0CD3"/>
    <w:rsid w:val="001B0FA5"/>
    <w:rsid w:val="001B10CE"/>
    <w:rsid w:val="001B1E30"/>
    <w:rsid w:val="001B23D7"/>
    <w:rsid w:val="001B2A4C"/>
    <w:rsid w:val="001B2ECA"/>
    <w:rsid w:val="001B3048"/>
    <w:rsid w:val="001B347C"/>
    <w:rsid w:val="001B376B"/>
    <w:rsid w:val="001B38D1"/>
    <w:rsid w:val="001B3BBB"/>
    <w:rsid w:val="001B3CEF"/>
    <w:rsid w:val="001B403F"/>
    <w:rsid w:val="001B5310"/>
    <w:rsid w:val="001B6462"/>
    <w:rsid w:val="001B696E"/>
    <w:rsid w:val="001B6A56"/>
    <w:rsid w:val="001B6CA2"/>
    <w:rsid w:val="001C0577"/>
    <w:rsid w:val="001C0D71"/>
    <w:rsid w:val="001C1728"/>
    <w:rsid w:val="001C1AC5"/>
    <w:rsid w:val="001C21D6"/>
    <w:rsid w:val="001C2446"/>
    <w:rsid w:val="001C2B0E"/>
    <w:rsid w:val="001C2E57"/>
    <w:rsid w:val="001C310A"/>
    <w:rsid w:val="001C44E2"/>
    <w:rsid w:val="001C4644"/>
    <w:rsid w:val="001C469B"/>
    <w:rsid w:val="001C5029"/>
    <w:rsid w:val="001C51DE"/>
    <w:rsid w:val="001C5506"/>
    <w:rsid w:val="001C6421"/>
    <w:rsid w:val="001C64B0"/>
    <w:rsid w:val="001C6899"/>
    <w:rsid w:val="001C6A71"/>
    <w:rsid w:val="001C6CA7"/>
    <w:rsid w:val="001C7026"/>
    <w:rsid w:val="001D0127"/>
    <w:rsid w:val="001D0E44"/>
    <w:rsid w:val="001D26E0"/>
    <w:rsid w:val="001D290A"/>
    <w:rsid w:val="001D3874"/>
    <w:rsid w:val="001D39A3"/>
    <w:rsid w:val="001D3A2C"/>
    <w:rsid w:val="001D4195"/>
    <w:rsid w:val="001D4269"/>
    <w:rsid w:val="001D4949"/>
    <w:rsid w:val="001D4F86"/>
    <w:rsid w:val="001D5217"/>
    <w:rsid w:val="001D526D"/>
    <w:rsid w:val="001D5503"/>
    <w:rsid w:val="001D5FA9"/>
    <w:rsid w:val="001D6123"/>
    <w:rsid w:val="001D638B"/>
    <w:rsid w:val="001D6512"/>
    <w:rsid w:val="001D6DDC"/>
    <w:rsid w:val="001D6DFA"/>
    <w:rsid w:val="001D7683"/>
    <w:rsid w:val="001D7814"/>
    <w:rsid w:val="001D7F2F"/>
    <w:rsid w:val="001D7F4B"/>
    <w:rsid w:val="001E05C4"/>
    <w:rsid w:val="001E06E1"/>
    <w:rsid w:val="001E079D"/>
    <w:rsid w:val="001E093A"/>
    <w:rsid w:val="001E0A89"/>
    <w:rsid w:val="001E11C8"/>
    <w:rsid w:val="001E1534"/>
    <w:rsid w:val="001E1740"/>
    <w:rsid w:val="001E1C57"/>
    <w:rsid w:val="001E1C95"/>
    <w:rsid w:val="001E2307"/>
    <w:rsid w:val="001E230F"/>
    <w:rsid w:val="001E37D0"/>
    <w:rsid w:val="001E42C9"/>
    <w:rsid w:val="001E42CB"/>
    <w:rsid w:val="001E4707"/>
    <w:rsid w:val="001E4ABA"/>
    <w:rsid w:val="001E4F20"/>
    <w:rsid w:val="001E5062"/>
    <w:rsid w:val="001E5614"/>
    <w:rsid w:val="001E5AE0"/>
    <w:rsid w:val="001E6180"/>
    <w:rsid w:val="001E6379"/>
    <w:rsid w:val="001E64A3"/>
    <w:rsid w:val="001E674B"/>
    <w:rsid w:val="001E68FC"/>
    <w:rsid w:val="001E6F0E"/>
    <w:rsid w:val="001E7262"/>
    <w:rsid w:val="001E72B6"/>
    <w:rsid w:val="001E7D3D"/>
    <w:rsid w:val="001F0010"/>
    <w:rsid w:val="001F1D58"/>
    <w:rsid w:val="001F1E72"/>
    <w:rsid w:val="001F215B"/>
    <w:rsid w:val="001F3224"/>
    <w:rsid w:val="001F35DC"/>
    <w:rsid w:val="001F37FA"/>
    <w:rsid w:val="001F3BD7"/>
    <w:rsid w:val="001F419E"/>
    <w:rsid w:val="001F43A0"/>
    <w:rsid w:val="001F4F5A"/>
    <w:rsid w:val="001F503A"/>
    <w:rsid w:val="001F5C8D"/>
    <w:rsid w:val="001F651C"/>
    <w:rsid w:val="001F6CBC"/>
    <w:rsid w:val="001F6EC5"/>
    <w:rsid w:val="001F792E"/>
    <w:rsid w:val="00200223"/>
    <w:rsid w:val="002002EE"/>
    <w:rsid w:val="00200EF1"/>
    <w:rsid w:val="00201CE0"/>
    <w:rsid w:val="00202116"/>
    <w:rsid w:val="002022DB"/>
    <w:rsid w:val="00202955"/>
    <w:rsid w:val="00202DFE"/>
    <w:rsid w:val="0020322C"/>
    <w:rsid w:val="0020327C"/>
    <w:rsid w:val="002037F4"/>
    <w:rsid w:val="00203B45"/>
    <w:rsid w:val="00203E7B"/>
    <w:rsid w:val="00203ECD"/>
    <w:rsid w:val="00204026"/>
    <w:rsid w:val="002044A9"/>
    <w:rsid w:val="00204736"/>
    <w:rsid w:val="00204C0F"/>
    <w:rsid w:val="00204E66"/>
    <w:rsid w:val="0020503A"/>
    <w:rsid w:val="00205BBB"/>
    <w:rsid w:val="00205D34"/>
    <w:rsid w:val="00206389"/>
    <w:rsid w:val="00206FD7"/>
    <w:rsid w:val="00207848"/>
    <w:rsid w:val="002078DD"/>
    <w:rsid w:val="00207A23"/>
    <w:rsid w:val="00210890"/>
    <w:rsid w:val="00210904"/>
    <w:rsid w:val="00211650"/>
    <w:rsid w:val="00212283"/>
    <w:rsid w:val="002128AB"/>
    <w:rsid w:val="00212948"/>
    <w:rsid w:val="00212E45"/>
    <w:rsid w:val="0021394C"/>
    <w:rsid w:val="00213DAD"/>
    <w:rsid w:val="0021437C"/>
    <w:rsid w:val="00214420"/>
    <w:rsid w:val="002150B8"/>
    <w:rsid w:val="00215514"/>
    <w:rsid w:val="002162BB"/>
    <w:rsid w:val="0021650E"/>
    <w:rsid w:val="00216F28"/>
    <w:rsid w:val="00217839"/>
    <w:rsid w:val="0022071A"/>
    <w:rsid w:val="002208DE"/>
    <w:rsid w:val="002209CD"/>
    <w:rsid w:val="00220F53"/>
    <w:rsid w:val="00220F5C"/>
    <w:rsid w:val="00222280"/>
    <w:rsid w:val="002226C8"/>
    <w:rsid w:val="002226F6"/>
    <w:rsid w:val="00222A84"/>
    <w:rsid w:val="00222C74"/>
    <w:rsid w:val="00222D3F"/>
    <w:rsid w:val="002234FD"/>
    <w:rsid w:val="002235FC"/>
    <w:rsid w:val="00223861"/>
    <w:rsid w:val="00223BEB"/>
    <w:rsid w:val="002243BA"/>
    <w:rsid w:val="00224E67"/>
    <w:rsid w:val="00224FB6"/>
    <w:rsid w:val="00225A3B"/>
    <w:rsid w:val="0022687D"/>
    <w:rsid w:val="0022717C"/>
    <w:rsid w:val="002276D7"/>
    <w:rsid w:val="00227CBD"/>
    <w:rsid w:val="002302C9"/>
    <w:rsid w:val="0023081D"/>
    <w:rsid w:val="00231068"/>
    <w:rsid w:val="002310E7"/>
    <w:rsid w:val="00231789"/>
    <w:rsid w:val="002317C7"/>
    <w:rsid w:val="00231DEB"/>
    <w:rsid w:val="002322FE"/>
    <w:rsid w:val="002324DD"/>
    <w:rsid w:val="0023273B"/>
    <w:rsid w:val="002328BA"/>
    <w:rsid w:val="00232969"/>
    <w:rsid w:val="00232AC2"/>
    <w:rsid w:val="00232AC6"/>
    <w:rsid w:val="0023329C"/>
    <w:rsid w:val="002333EE"/>
    <w:rsid w:val="002335C4"/>
    <w:rsid w:val="00233B5E"/>
    <w:rsid w:val="00234C5F"/>
    <w:rsid w:val="00234D4F"/>
    <w:rsid w:val="0023550F"/>
    <w:rsid w:val="00235824"/>
    <w:rsid w:val="00235B12"/>
    <w:rsid w:val="00235F76"/>
    <w:rsid w:val="00236176"/>
    <w:rsid w:val="002361A6"/>
    <w:rsid w:val="00236283"/>
    <w:rsid w:val="00236DC0"/>
    <w:rsid w:val="002371B2"/>
    <w:rsid w:val="00237223"/>
    <w:rsid w:val="002373A2"/>
    <w:rsid w:val="00237ACE"/>
    <w:rsid w:val="00237E7E"/>
    <w:rsid w:val="002400E4"/>
    <w:rsid w:val="0024039C"/>
    <w:rsid w:val="002405C0"/>
    <w:rsid w:val="002410D4"/>
    <w:rsid w:val="00241538"/>
    <w:rsid w:val="00241A1D"/>
    <w:rsid w:val="00242274"/>
    <w:rsid w:val="002423A6"/>
    <w:rsid w:val="00242517"/>
    <w:rsid w:val="0024260B"/>
    <w:rsid w:val="0024283B"/>
    <w:rsid w:val="00242A47"/>
    <w:rsid w:val="00243423"/>
    <w:rsid w:val="00243B95"/>
    <w:rsid w:val="00243EFF"/>
    <w:rsid w:val="0024401F"/>
    <w:rsid w:val="0024402F"/>
    <w:rsid w:val="0024569B"/>
    <w:rsid w:val="002469EC"/>
    <w:rsid w:val="00246BC7"/>
    <w:rsid w:val="0024720E"/>
    <w:rsid w:val="00247278"/>
    <w:rsid w:val="002476C1"/>
    <w:rsid w:val="0024787C"/>
    <w:rsid w:val="00247D52"/>
    <w:rsid w:val="00247DB9"/>
    <w:rsid w:val="002504E7"/>
    <w:rsid w:val="00250F17"/>
    <w:rsid w:val="00251308"/>
    <w:rsid w:val="00252572"/>
    <w:rsid w:val="00252705"/>
    <w:rsid w:val="0025297A"/>
    <w:rsid w:val="00252D08"/>
    <w:rsid w:val="00252E58"/>
    <w:rsid w:val="00252F4F"/>
    <w:rsid w:val="00253435"/>
    <w:rsid w:val="00253910"/>
    <w:rsid w:val="00253BDF"/>
    <w:rsid w:val="00253D5B"/>
    <w:rsid w:val="002543C8"/>
    <w:rsid w:val="00254B3F"/>
    <w:rsid w:val="0025525B"/>
    <w:rsid w:val="00255745"/>
    <w:rsid w:val="00255AA0"/>
    <w:rsid w:val="00255B5A"/>
    <w:rsid w:val="00255D31"/>
    <w:rsid w:val="00256AA2"/>
    <w:rsid w:val="00257214"/>
    <w:rsid w:val="00257746"/>
    <w:rsid w:val="00260EEB"/>
    <w:rsid w:val="00261189"/>
    <w:rsid w:val="002613B0"/>
    <w:rsid w:val="0026149B"/>
    <w:rsid w:val="00261E8A"/>
    <w:rsid w:val="00262881"/>
    <w:rsid w:val="00262E03"/>
    <w:rsid w:val="00263542"/>
    <w:rsid w:val="00263B47"/>
    <w:rsid w:val="00263B61"/>
    <w:rsid w:val="00264C7A"/>
    <w:rsid w:val="00265073"/>
    <w:rsid w:val="0026520A"/>
    <w:rsid w:val="00265326"/>
    <w:rsid w:val="002657D5"/>
    <w:rsid w:val="00266951"/>
    <w:rsid w:val="00266A14"/>
    <w:rsid w:val="00266BB0"/>
    <w:rsid w:val="00266CB0"/>
    <w:rsid w:val="00266E0B"/>
    <w:rsid w:val="002671A2"/>
    <w:rsid w:val="002673EE"/>
    <w:rsid w:val="00267496"/>
    <w:rsid w:val="0026750E"/>
    <w:rsid w:val="00267CD5"/>
    <w:rsid w:val="00267F84"/>
    <w:rsid w:val="00270A2C"/>
    <w:rsid w:val="0027105C"/>
    <w:rsid w:val="002710BB"/>
    <w:rsid w:val="00271990"/>
    <w:rsid w:val="00271A24"/>
    <w:rsid w:val="00272317"/>
    <w:rsid w:val="0027246B"/>
    <w:rsid w:val="00272505"/>
    <w:rsid w:val="00272656"/>
    <w:rsid w:val="00272F2D"/>
    <w:rsid w:val="0027314B"/>
    <w:rsid w:val="00273CE7"/>
    <w:rsid w:val="00273D02"/>
    <w:rsid w:val="00274B80"/>
    <w:rsid w:val="00275479"/>
    <w:rsid w:val="00275A72"/>
    <w:rsid w:val="00275B19"/>
    <w:rsid w:val="00275B68"/>
    <w:rsid w:val="00275F78"/>
    <w:rsid w:val="0027620E"/>
    <w:rsid w:val="00276718"/>
    <w:rsid w:val="00276ACF"/>
    <w:rsid w:val="00276EDE"/>
    <w:rsid w:val="0027712A"/>
    <w:rsid w:val="0027715B"/>
    <w:rsid w:val="002775B9"/>
    <w:rsid w:val="00277EBD"/>
    <w:rsid w:val="00280CB2"/>
    <w:rsid w:val="00281BAD"/>
    <w:rsid w:val="00281D97"/>
    <w:rsid w:val="0028233E"/>
    <w:rsid w:val="002829DB"/>
    <w:rsid w:val="00282BFD"/>
    <w:rsid w:val="00282FE1"/>
    <w:rsid w:val="00283846"/>
    <w:rsid w:val="002840F0"/>
    <w:rsid w:val="002845EA"/>
    <w:rsid w:val="00284632"/>
    <w:rsid w:val="00284AE1"/>
    <w:rsid w:val="002858BC"/>
    <w:rsid w:val="00286537"/>
    <w:rsid w:val="00286C08"/>
    <w:rsid w:val="00286EBE"/>
    <w:rsid w:val="0028736E"/>
    <w:rsid w:val="00287601"/>
    <w:rsid w:val="00287CAB"/>
    <w:rsid w:val="00290807"/>
    <w:rsid w:val="00290891"/>
    <w:rsid w:val="00290CE1"/>
    <w:rsid w:val="00291440"/>
    <w:rsid w:val="00291563"/>
    <w:rsid w:val="00291855"/>
    <w:rsid w:val="00291CA7"/>
    <w:rsid w:val="002920DF"/>
    <w:rsid w:val="00292219"/>
    <w:rsid w:val="002930D6"/>
    <w:rsid w:val="00293577"/>
    <w:rsid w:val="00293B0C"/>
    <w:rsid w:val="0029483F"/>
    <w:rsid w:val="00294852"/>
    <w:rsid w:val="00294FE9"/>
    <w:rsid w:val="00295478"/>
    <w:rsid w:val="00295B70"/>
    <w:rsid w:val="00295BB2"/>
    <w:rsid w:val="00297239"/>
    <w:rsid w:val="00297758"/>
    <w:rsid w:val="00297E4A"/>
    <w:rsid w:val="002A043D"/>
    <w:rsid w:val="002A15B9"/>
    <w:rsid w:val="002A2046"/>
    <w:rsid w:val="002A2082"/>
    <w:rsid w:val="002A2A08"/>
    <w:rsid w:val="002A2A39"/>
    <w:rsid w:val="002A2ADF"/>
    <w:rsid w:val="002A2D93"/>
    <w:rsid w:val="002A382D"/>
    <w:rsid w:val="002A3B1F"/>
    <w:rsid w:val="002A3B36"/>
    <w:rsid w:val="002A3D33"/>
    <w:rsid w:val="002A4E42"/>
    <w:rsid w:val="002A4FCD"/>
    <w:rsid w:val="002A54BB"/>
    <w:rsid w:val="002A551F"/>
    <w:rsid w:val="002A5954"/>
    <w:rsid w:val="002A5F2E"/>
    <w:rsid w:val="002A6007"/>
    <w:rsid w:val="002A6CFE"/>
    <w:rsid w:val="002A6E53"/>
    <w:rsid w:val="002A77C3"/>
    <w:rsid w:val="002B0351"/>
    <w:rsid w:val="002B10B0"/>
    <w:rsid w:val="002B169C"/>
    <w:rsid w:val="002B195C"/>
    <w:rsid w:val="002B1BA8"/>
    <w:rsid w:val="002B224D"/>
    <w:rsid w:val="002B236D"/>
    <w:rsid w:val="002B2E62"/>
    <w:rsid w:val="002B34C4"/>
    <w:rsid w:val="002B3A92"/>
    <w:rsid w:val="002B3CC1"/>
    <w:rsid w:val="002B437F"/>
    <w:rsid w:val="002B4CF8"/>
    <w:rsid w:val="002B54C2"/>
    <w:rsid w:val="002B570F"/>
    <w:rsid w:val="002B62A6"/>
    <w:rsid w:val="002B63BA"/>
    <w:rsid w:val="002B6BFD"/>
    <w:rsid w:val="002B6C09"/>
    <w:rsid w:val="002B6DCA"/>
    <w:rsid w:val="002B6EFD"/>
    <w:rsid w:val="002B6F33"/>
    <w:rsid w:val="002B72BF"/>
    <w:rsid w:val="002B76F2"/>
    <w:rsid w:val="002B79C6"/>
    <w:rsid w:val="002B79F0"/>
    <w:rsid w:val="002B7B3B"/>
    <w:rsid w:val="002B7B45"/>
    <w:rsid w:val="002B7BC5"/>
    <w:rsid w:val="002B7F3E"/>
    <w:rsid w:val="002B7FB6"/>
    <w:rsid w:val="002C03F3"/>
    <w:rsid w:val="002C1498"/>
    <w:rsid w:val="002C1AC2"/>
    <w:rsid w:val="002C1C2B"/>
    <w:rsid w:val="002C1D9C"/>
    <w:rsid w:val="002C2A00"/>
    <w:rsid w:val="002C2C8E"/>
    <w:rsid w:val="002C2DD1"/>
    <w:rsid w:val="002C35E7"/>
    <w:rsid w:val="002C366F"/>
    <w:rsid w:val="002C43CC"/>
    <w:rsid w:val="002C4BC2"/>
    <w:rsid w:val="002C4CA9"/>
    <w:rsid w:val="002C4D13"/>
    <w:rsid w:val="002C514F"/>
    <w:rsid w:val="002C515E"/>
    <w:rsid w:val="002C5332"/>
    <w:rsid w:val="002C5396"/>
    <w:rsid w:val="002C56FA"/>
    <w:rsid w:val="002C5E56"/>
    <w:rsid w:val="002C61F6"/>
    <w:rsid w:val="002C62C0"/>
    <w:rsid w:val="002C723D"/>
    <w:rsid w:val="002C74A5"/>
    <w:rsid w:val="002C7E33"/>
    <w:rsid w:val="002D0736"/>
    <w:rsid w:val="002D07BA"/>
    <w:rsid w:val="002D07C5"/>
    <w:rsid w:val="002D1969"/>
    <w:rsid w:val="002D1D78"/>
    <w:rsid w:val="002D1FB8"/>
    <w:rsid w:val="002D1FD6"/>
    <w:rsid w:val="002D2018"/>
    <w:rsid w:val="002D2270"/>
    <w:rsid w:val="002D2348"/>
    <w:rsid w:val="002D322D"/>
    <w:rsid w:val="002D34FC"/>
    <w:rsid w:val="002D35F8"/>
    <w:rsid w:val="002D35FF"/>
    <w:rsid w:val="002D361B"/>
    <w:rsid w:val="002D3BFE"/>
    <w:rsid w:val="002D3E3D"/>
    <w:rsid w:val="002D3E6D"/>
    <w:rsid w:val="002D4123"/>
    <w:rsid w:val="002D456E"/>
    <w:rsid w:val="002D4E83"/>
    <w:rsid w:val="002D51A9"/>
    <w:rsid w:val="002D5341"/>
    <w:rsid w:val="002D5C19"/>
    <w:rsid w:val="002D63A6"/>
    <w:rsid w:val="002D67D2"/>
    <w:rsid w:val="002D6E80"/>
    <w:rsid w:val="002D6F22"/>
    <w:rsid w:val="002D7955"/>
    <w:rsid w:val="002D795A"/>
    <w:rsid w:val="002D7AEA"/>
    <w:rsid w:val="002D7ED2"/>
    <w:rsid w:val="002E00DA"/>
    <w:rsid w:val="002E05C7"/>
    <w:rsid w:val="002E06E5"/>
    <w:rsid w:val="002E074C"/>
    <w:rsid w:val="002E0CD7"/>
    <w:rsid w:val="002E15B9"/>
    <w:rsid w:val="002E17D1"/>
    <w:rsid w:val="002E1E47"/>
    <w:rsid w:val="002E21CB"/>
    <w:rsid w:val="002E2315"/>
    <w:rsid w:val="002E25A8"/>
    <w:rsid w:val="002E2EC9"/>
    <w:rsid w:val="002E2F69"/>
    <w:rsid w:val="002E3433"/>
    <w:rsid w:val="002E35D5"/>
    <w:rsid w:val="002E3B66"/>
    <w:rsid w:val="002E3CD3"/>
    <w:rsid w:val="002E4711"/>
    <w:rsid w:val="002E475C"/>
    <w:rsid w:val="002E490F"/>
    <w:rsid w:val="002E4A85"/>
    <w:rsid w:val="002E4E0C"/>
    <w:rsid w:val="002E5235"/>
    <w:rsid w:val="002E5323"/>
    <w:rsid w:val="002E547C"/>
    <w:rsid w:val="002E54EF"/>
    <w:rsid w:val="002E551C"/>
    <w:rsid w:val="002E5BF8"/>
    <w:rsid w:val="002E5CE4"/>
    <w:rsid w:val="002E5F6F"/>
    <w:rsid w:val="002E5FFC"/>
    <w:rsid w:val="002E6054"/>
    <w:rsid w:val="002E6406"/>
    <w:rsid w:val="002E688A"/>
    <w:rsid w:val="002E764B"/>
    <w:rsid w:val="002E7770"/>
    <w:rsid w:val="002E7791"/>
    <w:rsid w:val="002F02C9"/>
    <w:rsid w:val="002F03AE"/>
    <w:rsid w:val="002F03FD"/>
    <w:rsid w:val="002F04DE"/>
    <w:rsid w:val="002F0C15"/>
    <w:rsid w:val="002F0C61"/>
    <w:rsid w:val="002F118C"/>
    <w:rsid w:val="002F148A"/>
    <w:rsid w:val="002F1CD3"/>
    <w:rsid w:val="002F1D24"/>
    <w:rsid w:val="002F314E"/>
    <w:rsid w:val="002F4064"/>
    <w:rsid w:val="002F4271"/>
    <w:rsid w:val="002F441A"/>
    <w:rsid w:val="002F4709"/>
    <w:rsid w:val="002F4AB3"/>
    <w:rsid w:val="002F4B97"/>
    <w:rsid w:val="002F4D9A"/>
    <w:rsid w:val="002F4E7C"/>
    <w:rsid w:val="002F5821"/>
    <w:rsid w:val="002F655C"/>
    <w:rsid w:val="002F6E28"/>
    <w:rsid w:val="002F7568"/>
    <w:rsid w:val="002F79B6"/>
    <w:rsid w:val="002F7A5B"/>
    <w:rsid w:val="002F7E68"/>
    <w:rsid w:val="00300482"/>
    <w:rsid w:val="003006FC"/>
    <w:rsid w:val="00301ECA"/>
    <w:rsid w:val="00301F32"/>
    <w:rsid w:val="00302099"/>
    <w:rsid w:val="003020F9"/>
    <w:rsid w:val="00302745"/>
    <w:rsid w:val="003027D2"/>
    <w:rsid w:val="00302E5E"/>
    <w:rsid w:val="00303139"/>
    <w:rsid w:val="00303BF9"/>
    <w:rsid w:val="0030489E"/>
    <w:rsid w:val="00304B6C"/>
    <w:rsid w:val="0030527C"/>
    <w:rsid w:val="00305DCE"/>
    <w:rsid w:val="003062AA"/>
    <w:rsid w:val="003062DB"/>
    <w:rsid w:val="0030663C"/>
    <w:rsid w:val="00306E1A"/>
    <w:rsid w:val="00307017"/>
    <w:rsid w:val="00307154"/>
    <w:rsid w:val="00307A00"/>
    <w:rsid w:val="00307DEF"/>
    <w:rsid w:val="003107B2"/>
    <w:rsid w:val="0031117A"/>
    <w:rsid w:val="00311861"/>
    <w:rsid w:val="003118FB"/>
    <w:rsid w:val="00311D33"/>
    <w:rsid w:val="00312446"/>
    <w:rsid w:val="00312554"/>
    <w:rsid w:val="003127B8"/>
    <w:rsid w:val="00313351"/>
    <w:rsid w:val="00313437"/>
    <w:rsid w:val="00313664"/>
    <w:rsid w:val="003136D5"/>
    <w:rsid w:val="003137AB"/>
    <w:rsid w:val="00313BD6"/>
    <w:rsid w:val="00313EA2"/>
    <w:rsid w:val="003143DF"/>
    <w:rsid w:val="0031497E"/>
    <w:rsid w:val="00314DFB"/>
    <w:rsid w:val="00314F89"/>
    <w:rsid w:val="00314F90"/>
    <w:rsid w:val="003153E5"/>
    <w:rsid w:val="0031560A"/>
    <w:rsid w:val="00315898"/>
    <w:rsid w:val="003158EF"/>
    <w:rsid w:val="00315C80"/>
    <w:rsid w:val="00315CA1"/>
    <w:rsid w:val="00315E14"/>
    <w:rsid w:val="00315FEF"/>
    <w:rsid w:val="00316000"/>
    <w:rsid w:val="00316057"/>
    <w:rsid w:val="00316629"/>
    <w:rsid w:val="00316DC8"/>
    <w:rsid w:val="00316FB9"/>
    <w:rsid w:val="003174A7"/>
    <w:rsid w:val="00317E83"/>
    <w:rsid w:val="00317F68"/>
    <w:rsid w:val="00320194"/>
    <w:rsid w:val="003201C4"/>
    <w:rsid w:val="003203DC"/>
    <w:rsid w:val="003206E9"/>
    <w:rsid w:val="003208A7"/>
    <w:rsid w:val="0032093C"/>
    <w:rsid w:val="003209A6"/>
    <w:rsid w:val="00320A37"/>
    <w:rsid w:val="00321320"/>
    <w:rsid w:val="003214F0"/>
    <w:rsid w:val="0032162E"/>
    <w:rsid w:val="00321A8C"/>
    <w:rsid w:val="00321CD5"/>
    <w:rsid w:val="0032253E"/>
    <w:rsid w:val="00322746"/>
    <w:rsid w:val="003228F6"/>
    <w:rsid w:val="00322B39"/>
    <w:rsid w:val="0032367D"/>
    <w:rsid w:val="00323740"/>
    <w:rsid w:val="00323905"/>
    <w:rsid w:val="00323DB7"/>
    <w:rsid w:val="0032408F"/>
    <w:rsid w:val="00324E9A"/>
    <w:rsid w:val="0032520A"/>
    <w:rsid w:val="0032550E"/>
    <w:rsid w:val="0032626E"/>
    <w:rsid w:val="003262B0"/>
    <w:rsid w:val="00326975"/>
    <w:rsid w:val="00326C65"/>
    <w:rsid w:val="00326C6C"/>
    <w:rsid w:val="00327034"/>
    <w:rsid w:val="003270D8"/>
    <w:rsid w:val="00327196"/>
    <w:rsid w:val="0032730D"/>
    <w:rsid w:val="00330D20"/>
    <w:rsid w:val="0033102E"/>
    <w:rsid w:val="00331117"/>
    <w:rsid w:val="00331370"/>
    <w:rsid w:val="003313F9"/>
    <w:rsid w:val="00331401"/>
    <w:rsid w:val="00331862"/>
    <w:rsid w:val="00332918"/>
    <w:rsid w:val="00332CF0"/>
    <w:rsid w:val="00333234"/>
    <w:rsid w:val="003336F9"/>
    <w:rsid w:val="00333B93"/>
    <w:rsid w:val="00333C2E"/>
    <w:rsid w:val="00333D82"/>
    <w:rsid w:val="0033467B"/>
    <w:rsid w:val="003354CF"/>
    <w:rsid w:val="0033577A"/>
    <w:rsid w:val="00335C7E"/>
    <w:rsid w:val="00335ED1"/>
    <w:rsid w:val="003361F8"/>
    <w:rsid w:val="00336501"/>
    <w:rsid w:val="00336CFA"/>
    <w:rsid w:val="00337050"/>
    <w:rsid w:val="00337546"/>
    <w:rsid w:val="003375CA"/>
    <w:rsid w:val="00337C40"/>
    <w:rsid w:val="00337EF8"/>
    <w:rsid w:val="0034032D"/>
    <w:rsid w:val="00340461"/>
    <w:rsid w:val="003404D6"/>
    <w:rsid w:val="0034078B"/>
    <w:rsid w:val="00340A4C"/>
    <w:rsid w:val="00341176"/>
    <w:rsid w:val="0034211E"/>
    <w:rsid w:val="00342296"/>
    <w:rsid w:val="003423C2"/>
    <w:rsid w:val="00342587"/>
    <w:rsid w:val="003427B4"/>
    <w:rsid w:val="00342A60"/>
    <w:rsid w:val="00343433"/>
    <w:rsid w:val="0034379D"/>
    <w:rsid w:val="00343A0E"/>
    <w:rsid w:val="00343BFD"/>
    <w:rsid w:val="0034421A"/>
    <w:rsid w:val="0034449B"/>
    <w:rsid w:val="00344C30"/>
    <w:rsid w:val="00344FD7"/>
    <w:rsid w:val="003450FD"/>
    <w:rsid w:val="00345232"/>
    <w:rsid w:val="003452D3"/>
    <w:rsid w:val="00345682"/>
    <w:rsid w:val="0034646D"/>
    <w:rsid w:val="0034661D"/>
    <w:rsid w:val="00346925"/>
    <w:rsid w:val="00347BE5"/>
    <w:rsid w:val="0035058E"/>
    <w:rsid w:val="00350917"/>
    <w:rsid w:val="00350AE3"/>
    <w:rsid w:val="00350D7F"/>
    <w:rsid w:val="003510A5"/>
    <w:rsid w:val="00351880"/>
    <w:rsid w:val="00351EE9"/>
    <w:rsid w:val="00352007"/>
    <w:rsid w:val="003521C9"/>
    <w:rsid w:val="003521CF"/>
    <w:rsid w:val="003522E0"/>
    <w:rsid w:val="003524B0"/>
    <w:rsid w:val="0035267F"/>
    <w:rsid w:val="00352703"/>
    <w:rsid w:val="00353043"/>
    <w:rsid w:val="00353474"/>
    <w:rsid w:val="003537B5"/>
    <w:rsid w:val="00353865"/>
    <w:rsid w:val="00353B4C"/>
    <w:rsid w:val="00353B52"/>
    <w:rsid w:val="00353E11"/>
    <w:rsid w:val="00353E38"/>
    <w:rsid w:val="00354006"/>
    <w:rsid w:val="003548E5"/>
    <w:rsid w:val="00355003"/>
    <w:rsid w:val="00355252"/>
    <w:rsid w:val="0035580D"/>
    <w:rsid w:val="003559ED"/>
    <w:rsid w:val="00355B73"/>
    <w:rsid w:val="00355C66"/>
    <w:rsid w:val="0035642B"/>
    <w:rsid w:val="003566FE"/>
    <w:rsid w:val="00356BD2"/>
    <w:rsid w:val="00357033"/>
    <w:rsid w:val="00357160"/>
    <w:rsid w:val="003573C0"/>
    <w:rsid w:val="00357492"/>
    <w:rsid w:val="003575AA"/>
    <w:rsid w:val="003577CB"/>
    <w:rsid w:val="00357E73"/>
    <w:rsid w:val="00360265"/>
    <w:rsid w:val="00360A68"/>
    <w:rsid w:val="00360BB1"/>
    <w:rsid w:val="00360EC4"/>
    <w:rsid w:val="003610B0"/>
    <w:rsid w:val="0036197B"/>
    <w:rsid w:val="00361BFF"/>
    <w:rsid w:val="003635DD"/>
    <w:rsid w:val="003639FB"/>
    <w:rsid w:val="00363BF7"/>
    <w:rsid w:val="00363CB6"/>
    <w:rsid w:val="00363CEE"/>
    <w:rsid w:val="003644E5"/>
    <w:rsid w:val="00364598"/>
    <w:rsid w:val="00364836"/>
    <w:rsid w:val="00364DB9"/>
    <w:rsid w:val="00364E89"/>
    <w:rsid w:val="003659FF"/>
    <w:rsid w:val="00365C51"/>
    <w:rsid w:val="00367C6A"/>
    <w:rsid w:val="00367CF8"/>
    <w:rsid w:val="00370037"/>
    <w:rsid w:val="00370B60"/>
    <w:rsid w:val="0037114B"/>
    <w:rsid w:val="00371C2B"/>
    <w:rsid w:val="003721A7"/>
    <w:rsid w:val="003728AF"/>
    <w:rsid w:val="0037349F"/>
    <w:rsid w:val="00374187"/>
    <w:rsid w:val="00374690"/>
    <w:rsid w:val="00375463"/>
    <w:rsid w:val="00375A3D"/>
    <w:rsid w:val="003764CF"/>
    <w:rsid w:val="00376829"/>
    <w:rsid w:val="00377746"/>
    <w:rsid w:val="0037777B"/>
    <w:rsid w:val="003778BE"/>
    <w:rsid w:val="0037795D"/>
    <w:rsid w:val="00377E91"/>
    <w:rsid w:val="00380721"/>
    <w:rsid w:val="00381ABA"/>
    <w:rsid w:val="00381B5D"/>
    <w:rsid w:val="00381CEB"/>
    <w:rsid w:val="0038253B"/>
    <w:rsid w:val="003826EC"/>
    <w:rsid w:val="00382AE5"/>
    <w:rsid w:val="00382AEA"/>
    <w:rsid w:val="00383273"/>
    <w:rsid w:val="00383B07"/>
    <w:rsid w:val="00383BBB"/>
    <w:rsid w:val="00384584"/>
    <w:rsid w:val="00384E0B"/>
    <w:rsid w:val="00385601"/>
    <w:rsid w:val="00385A06"/>
    <w:rsid w:val="00385BB1"/>
    <w:rsid w:val="00385EB2"/>
    <w:rsid w:val="00386386"/>
    <w:rsid w:val="00386CAE"/>
    <w:rsid w:val="00386F93"/>
    <w:rsid w:val="0038736B"/>
    <w:rsid w:val="00387815"/>
    <w:rsid w:val="00387C5B"/>
    <w:rsid w:val="00390AFD"/>
    <w:rsid w:val="00390CEB"/>
    <w:rsid w:val="00390D84"/>
    <w:rsid w:val="00390E7B"/>
    <w:rsid w:val="00391408"/>
    <w:rsid w:val="00391628"/>
    <w:rsid w:val="00391973"/>
    <w:rsid w:val="00392078"/>
    <w:rsid w:val="003922E7"/>
    <w:rsid w:val="0039255E"/>
    <w:rsid w:val="003928B2"/>
    <w:rsid w:val="003929D2"/>
    <w:rsid w:val="00392DA9"/>
    <w:rsid w:val="00392E25"/>
    <w:rsid w:val="00392E71"/>
    <w:rsid w:val="003932E6"/>
    <w:rsid w:val="00393617"/>
    <w:rsid w:val="00393E3E"/>
    <w:rsid w:val="00393FA5"/>
    <w:rsid w:val="0039415E"/>
    <w:rsid w:val="00394475"/>
    <w:rsid w:val="003953F6"/>
    <w:rsid w:val="00395A04"/>
    <w:rsid w:val="00395A38"/>
    <w:rsid w:val="00395A55"/>
    <w:rsid w:val="0039664A"/>
    <w:rsid w:val="00397271"/>
    <w:rsid w:val="003972B2"/>
    <w:rsid w:val="003976EE"/>
    <w:rsid w:val="00397A45"/>
    <w:rsid w:val="00397FC0"/>
    <w:rsid w:val="003A0CAD"/>
    <w:rsid w:val="003A0F65"/>
    <w:rsid w:val="003A15FD"/>
    <w:rsid w:val="003A1D77"/>
    <w:rsid w:val="003A2037"/>
    <w:rsid w:val="003A2415"/>
    <w:rsid w:val="003A27BB"/>
    <w:rsid w:val="003A3D51"/>
    <w:rsid w:val="003A44D8"/>
    <w:rsid w:val="003A4693"/>
    <w:rsid w:val="003A506C"/>
    <w:rsid w:val="003A5529"/>
    <w:rsid w:val="003A5B36"/>
    <w:rsid w:val="003A5B9D"/>
    <w:rsid w:val="003A60BB"/>
    <w:rsid w:val="003A6302"/>
    <w:rsid w:val="003A6A4C"/>
    <w:rsid w:val="003A6C7C"/>
    <w:rsid w:val="003A6DFC"/>
    <w:rsid w:val="003A71D4"/>
    <w:rsid w:val="003A7462"/>
    <w:rsid w:val="003A75BE"/>
    <w:rsid w:val="003A76ED"/>
    <w:rsid w:val="003A788A"/>
    <w:rsid w:val="003B0E69"/>
    <w:rsid w:val="003B12B9"/>
    <w:rsid w:val="003B1352"/>
    <w:rsid w:val="003B1435"/>
    <w:rsid w:val="003B1A62"/>
    <w:rsid w:val="003B1DAF"/>
    <w:rsid w:val="003B3544"/>
    <w:rsid w:val="003B41B6"/>
    <w:rsid w:val="003B452D"/>
    <w:rsid w:val="003B4553"/>
    <w:rsid w:val="003B4720"/>
    <w:rsid w:val="003B4CAF"/>
    <w:rsid w:val="003B52A6"/>
    <w:rsid w:val="003B5A18"/>
    <w:rsid w:val="003B610F"/>
    <w:rsid w:val="003B6137"/>
    <w:rsid w:val="003B626B"/>
    <w:rsid w:val="003B673D"/>
    <w:rsid w:val="003B692F"/>
    <w:rsid w:val="003B7091"/>
    <w:rsid w:val="003B7B07"/>
    <w:rsid w:val="003C0332"/>
    <w:rsid w:val="003C03FD"/>
    <w:rsid w:val="003C04D1"/>
    <w:rsid w:val="003C04E2"/>
    <w:rsid w:val="003C09EC"/>
    <w:rsid w:val="003C119B"/>
    <w:rsid w:val="003C1847"/>
    <w:rsid w:val="003C1AF1"/>
    <w:rsid w:val="003C20A7"/>
    <w:rsid w:val="003C20E5"/>
    <w:rsid w:val="003C2577"/>
    <w:rsid w:val="003C258D"/>
    <w:rsid w:val="003C2C08"/>
    <w:rsid w:val="003C32B9"/>
    <w:rsid w:val="003C35BF"/>
    <w:rsid w:val="003C36D8"/>
    <w:rsid w:val="003C4039"/>
    <w:rsid w:val="003C40CE"/>
    <w:rsid w:val="003C4448"/>
    <w:rsid w:val="003C4553"/>
    <w:rsid w:val="003C5929"/>
    <w:rsid w:val="003C6058"/>
    <w:rsid w:val="003C6BCD"/>
    <w:rsid w:val="003C6E30"/>
    <w:rsid w:val="003C732D"/>
    <w:rsid w:val="003D0223"/>
    <w:rsid w:val="003D044E"/>
    <w:rsid w:val="003D0BAF"/>
    <w:rsid w:val="003D1230"/>
    <w:rsid w:val="003D15E8"/>
    <w:rsid w:val="003D174E"/>
    <w:rsid w:val="003D198E"/>
    <w:rsid w:val="003D1E77"/>
    <w:rsid w:val="003D22D2"/>
    <w:rsid w:val="003D2A19"/>
    <w:rsid w:val="003D2DAF"/>
    <w:rsid w:val="003D3662"/>
    <w:rsid w:val="003D3B00"/>
    <w:rsid w:val="003D3D91"/>
    <w:rsid w:val="003D4557"/>
    <w:rsid w:val="003D4708"/>
    <w:rsid w:val="003D477A"/>
    <w:rsid w:val="003D4BA2"/>
    <w:rsid w:val="003D4D47"/>
    <w:rsid w:val="003D4F67"/>
    <w:rsid w:val="003D565D"/>
    <w:rsid w:val="003D57A6"/>
    <w:rsid w:val="003D6159"/>
    <w:rsid w:val="003D6910"/>
    <w:rsid w:val="003D766D"/>
    <w:rsid w:val="003D7934"/>
    <w:rsid w:val="003D7D99"/>
    <w:rsid w:val="003D7DD5"/>
    <w:rsid w:val="003D7F44"/>
    <w:rsid w:val="003E0198"/>
    <w:rsid w:val="003E04E1"/>
    <w:rsid w:val="003E0E9F"/>
    <w:rsid w:val="003E1230"/>
    <w:rsid w:val="003E15B0"/>
    <w:rsid w:val="003E1DD5"/>
    <w:rsid w:val="003E23F5"/>
    <w:rsid w:val="003E281E"/>
    <w:rsid w:val="003E2AF5"/>
    <w:rsid w:val="003E38E9"/>
    <w:rsid w:val="003E3D2E"/>
    <w:rsid w:val="003E3F29"/>
    <w:rsid w:val="003E4083"/>
    <w:rsid w:val="003E44D7"/>
    <w:rsid w:val="003E55E9"/>
    <w:rsid w:val="003E5959"/>
    <w:rsid w:val="003E5D5C"/>
    <w:rsid w:val="003E653A"/>
    <w:rsid w:val="003E6615"/>
    <w:rsid w:val="003E6C4E"/>
    <w:rsid w:val="003E6F8D"/>
    <w:rsid w:val="003E7465"/>
    <w:rsid w:val="003E79F9"/>
    <w:rsid w:val="003F076E"/>
    <w:rsid w:val="003F07C1"/>
    <w:rsid w:val="003F0871"/>
    <w:rsid w:val="003F1052"/>
    <w:rsid w:val="003F12E9"/>
    <w:rsid w:val="003F19DA"/>
    <w:rsid w:val="003F211D"/>
    <w:rsid w:val="003F2560"/>
    <w:rsid w:val="003F2770"/>
    <w:rsid w:val="003F3084"/>
    <w:rsid w:val="003F318A"/>
    <w:rsid w:val="003F337F"/>
    <w:rsid w:val="003F36FC"/>
    <w:rsid w:val="003F3A8B"/>
    <w:rsid w:val="003F4096"/>
    <w:rsid w:val="003F4349"/>
    <w:rsid w:val="003F495D"/>
    <w:rsid w:val="003F4B9D"/>
    <w:rsid w:val="003F4DE0"/>
    <w:rsid w:val="003F5055"/>
    <w:rsid w:val="003F59F4"/>
    <w:rsid w:val="003F5C46"/>
    <w:rsid w:val="003F6B19"/>
    <w:rsid w:val="003F720A"/>
    <w:rsid w:val="003F7253"/>
    <w:rsid w:val="003F78D9"/>
    <w:rsid w:val="003F7AEA"/>
    <w:rsid w:val="003F7E78"/>
    <w:rsid w:val="003F7F42"/>
    <w:rsid w:val="00400545"/>
    <w:rsid w:val="0040054E"/>
    <w:rsid w:val="004014EC"/>
    <w:rsid w:val="004017C7"/>
    <w:rsid w:val="004026B0"/>
    <w:rsid w:val="00402D1C"/>
    <w:rsid w:val="00403797"/>
    <w:rsid w:val="00403CB9"/>
    <w:rsid w:val="004045A1"/>
    <w:rsid w:val="004045FA"/>
    <w:rsid w:val="00404DCD"/>
    <w:rsid w:val="00404FE7"/>
    <w:rsid w:val="00405D4E"/>
    <w:rsid w:val="00405DD0"/>
    <w:rsid w:val="00406793"/>
    <w:rsid w:val="00406B6D"/>
    <w:rsid w:val="00406BC7"/>
    <w:rsid w:val="0040716F"/>
    <w:rsid w:val="004077B0"/>
    <w:rsid w:val="004077D6"/>
    <w:rsid w:val="00407DCD"/>
    <w:rsid w:val="00410B08"/>
    <w:rsid w:val="004115D3"/>
    <w:rsid w:val="004116B3"/>
    <w:rsid w:val="004116B8"/>
    <w:rsid w:val="00411C00"/>
    <w:rsid w:val="00411DEA"/>
    <w:rsid w:val="004121E7"/>
    <w:rsid w:val="0041223C"/>
    <w:rsid w:val="00412354"/>
    <w:rsid w:val="00412A6D"/>
    <w:rsid w:val="004133B8"/>
    <w:rsid w:val="0041387D"/>
    <w:rsid w:val="00414E51"/>
    <w:rsid w:val="0041646A"/>
    <w:rsid w:val="004169FE"/>
    <w:rsid w:val="00416C61"/>
    <w:rsid w:val="00417DAA"/>
    <w:rsid w:val="0042073A"/>
    <w:rsid w:val="00420A23"/>
    <w:rsid w:val="00420CE4"/>
    <w:rsid w:val="00420F04"/>
    <w:rsid w:val="004212A5"/>
    <w:rsid w:val="0042141F"/>
    <w:rsid w:val="0042183E"/>
    <w:rsid w:val="00421CA9"/>
    <w:rsid w:val="00423099"/>
    <w:rsid w:val="00423374"/>
    <w:rsid w:val="00424E79"/>
    <w:rsid w:val="0042505B"/>
    <w:rsid w:val="00425A7A"/>
    <w:rsid w:val="00425D3F"/>
    <w:rsid w:val="004262DC"/>
    <w:rsid w:val="004263CF"/>
    <w:rsid w:val="0042661C"/>
    <w:rsid w:val="00426636"/>
    <w:rsid w:val="004269DB"/>
    <w:rsid w:val="00426F9A"/>
    <w:rsid w:val="004274B3"/>
    <w:rsid w:val="00427856"/>
    <w:rsid w:val="004278B8"/>
    <w:rsid w:val="00430A7B"/>
    <w:rsid w:val="00430DFD"/>
    <w:rsid w:val="004319E8"/>
    <w:rsid w:val="00431A9D"/>
    <w:rsid w:val="004320CB"/>
    <w:rsid w:val="0043273B"/>
    <w:rsid w:val="00432A3F"/>
    <w:rsid w:val="00432EED"/>
    <w:rsid w:val="00432F1A"/>
    <w:rsid w:val="00433817"/>
    <w:rsid w:val="004347B5"/>
    <w:rsid w:val="00434CB3"/>
    <w:rsid w:val="0043520B"/>
    <w:rsid w:val="00435317"/>
    <w:rsid w:val="004354AB"/>
    <w:rsid w:val="00435ECA"/>
    <w:rsid w:val="00435EE6"/>
    <w:rsid w:val="00435F69"/>
    <w:rsid w:val="004365FC"/>
    <w:rsid w:val="004367E6"/>
    <w:rsid w:val="00436DBB"/>
    <w:rsid w:val="00437BE6"/>
    <w:rsid w:val="00440004"/>
    <w:rsid w:val="00440806"/>
    <w:rsid w:val="00440C4E"/>
    <w:rsid w:val="00440F39"/>
    <w:rsid w:val="00441299"/>
    <w:rsid w:val="004422E2"/>
    <w:rsid w:val="00442C6F"/>
    <w:rsid w:val="0044301C"/>
    <w:rsid w:val="0044339E"/>
    <w:rsid w:val="00443EC1"/>
    <w:rsid w:val="0044405F"/>
    <w:rsid w:val="00444C0A"/>
    <w:rsid w:val="00444EC9"/>
    <w:rsid w:val="00445342"/>
    <w:rsid w:val="0044550E"/>
    <w:rsid w:val="004459B8"/>
    <w:rsid w:val="004460FC"/>
    <w:rsid w:val="0044633A"/>
    <w:rsid w:val="00446657"/>
    <w:rsid w:val="004466D8"/>
    <w:rsid w:val="004468D3"/>
    <w:rsid w:val="00446A69"/>
    <w:rsid w:val="00446D42"/>
    <w:rsid w:val="00446E0C"/>
    <w:rsid w:val="004474F7"/>
    <w:rsid w:val="004475CE"/>
    <w:rsid w:val="0044783C"/>
    <w:rsid w:val="00447CC0"/>
    <w:rsid w:val="00447EB7"/>
    <w:rsid w:val="00450119"/>
    <w:rsid w:val="0045053C"/>
    <w:rsid w:val="004505EA"/>
    <w:rsid w:val="0045123D"/>
    <w:rsid w:val="004514D0"/>
    <w:rsid w:val="004529B2"/>
    <w:rsid w:val="00452B76"/>
    <w:rsid w:val="00453264"/>
    <w:rsid w:val="00453731"/>
    <w:rsid w:val="0045395B"/>
    <w:rsid w:val="004539D3"/>
    <w:rsid w:val="00453F73"/>
    <w:rsid w:val="00453FDC"/>
    <w:rsid w:val="0045462E"/>
    <w:rsid w:val="00454A84"/>
    <w:rsid w:val="00454B0C"/>
    <w:rsid w:val="004553B8"/>
    <w:rsid w:val="0045551B"/>
    <w:rsid w:val="004556CE"/>
    <w:rsid w:val="00455FE1"/>
    <w:rsid w:val="00456B79"/>
    <w:rsid w:val="00457050"/>
    <w:rsid w:val="004572FD"/>
    <w:rsid w:val="0045770C"/>
    <w:rsid w:val="00460089"/>
    <w:rsid w:val="00460185"/>
    <w:rsid w:val="00461FE2"/>
    <w:rsid w:val="004624BE"/>
    <w:rsid w:val="0046257F"/>
    <w:rsid w:val="004625BF"/>
    <w:rsid w:val="004626E2"/>
    <w:rsid w:val="004629A3"/>
    <w:rsid w:val="00462B54"/>
    <w:rsid w:val="00463064"/>
    <w:rsid w:val="00463FE0"/>
    <w:rsid w:val="00464A3D"/>
    <w:rsid w:val="00464BBB"/>
    <w:rsid w:val="004658C7"/>
    <w:rsid w:val="00465947"/>
    <w:rsid w:val="00465F51"/>
    <w:rsid w:val="0046684E"/>
    <w:rsid w:val="00467217"/>
    <w:rsid w:val="004676E9"/>
    <w:rsid w:val="00470D49"/>
    <w:rsid w:val="0047139F"/>
    <w:rsid w:val="004716C6"/>
    <w:rsid w:val="00471BA9"/>
    <w:rsid w:val="00472461"/>
    <w:rsid w:val="00472B42"/>
    <w:rsid w:val="00472C5D"/>
    <w:rsid w:val="004733F5"/>
    <w:rsid w:val="00473522"/>
    <w:rsid w:val="00473663"/>
    <w:rsid w:val="00473A31"/>
    <w:rsid w:val="00473A54"/>
    <w:rsid w:val="004741FD"/>
    <w:rsid w:val="004743A6"/>
    <w:rsid w:val="004748E6"/>
    <w:rsid w:val="00474994"/>
    <w:rsid w:val="00474F67"/>
    <w:rsid w:val="004756E7"/>
    <w:rsid w:val="0047586E"/>
    <w:rsid w:val="00475CB6"/>
    <w:rsid w:val="00476262"/>
    <w:rsid w:val="00476864"/>
    <w:rsid w:val="00476A54"/>
    <w:rsid w:val="004807ED"/>
    <w:rsid w:val="004809B8"/>
    <w:rsid w:val="00480A3E"/>
    <w:rsid w:val="00481843"/>
    <w:rsid w:val="004821B9"/>
    <w:rsid w:val="004825BE"/>
    <w:rsid w:val="004825ED"/>
    <w:rsid w:val="00482954"/>
    <w:rsid w:val="00482BF4"/>
    <w:rsid w:val="00482D6F"/>
    <w:rsid w:val="00483A64"/>
    <w:rsid w:val="00483F54"/>
    <w:rsid w:val="00483F7F"/>
    <w:rsid w:val="00484935"/>
    <w:rsid w:val="0048494F"/>
    <w:rsid w:val="00484ABF"/>
    <w:rsid w:val="00484B3E"/>
    <w:rsid w:val="0048507A"/>
    <w:rsid w:val="004856B6"/>
    <w:rsid w:val="0048587C"/>
    <w:rsid w:val="00485F13"/>
    <w:rsid w:val="00486987"/>
    <w:rsid w:val="0048702C"/>
    <w:rsid w:val="004872F1"/>
    <w:rsid w:val="0048782E"/>
    <w:rsid w:val="00487B5E"/>
    <w:rsid w:val="00487C1E"/>
    <w:rsid w:val="00490CC1"/>
    <w:rsid w:val="00490D7A"/>
    <w:rsid w:val="00491D88"/>
    <w:rsid w:val="00492021"/>
    <w:rsid w:val="0049223D"/>
    <w:rsid w:val="004925D1"/>
    <w:rsid w:val="004928DD"/>
    <w:rsid w:val="004932FB"/>
    <w:rsid w:val="00493DF2"/>
    <w:rsid w:val="00493FBA"/>
    <w:rsid w:val="00494004"/>
    <w:rsid w:val="00494A7F"/>
    <w:rsid w:val="00494C7B"/>
    <w:rsid w:val="00494E91"/>
    <w:rsid w:val="00495134"/>
    <w:rsid w:val="00495734"/>
    <w:rsid w:val="00495D60"/>
    <w:rsid w:val="00495DE4"/>
    <w:rsid w:val="0049605C"/>
    <w:rsid w:val="004965F7"/>
    <w:rsid w:val="00496806"/>
    <w:rsid w:val="0049696E"/>
    <w:rsid w:val="00496C5A"/>
    <w:rsid w:val="00496DEF"/>
    <w:rsid w:val="00497066"/>
    <w:rsid w:val="00497095"/>
    <w:rsid w:val="004978F6"/>
    <w:rsid w:val="00497B19"/>
    <w:rsid w:val="00497C10"/>
    <w:rsid w:val="004A052C"/>
    <w:rsid w:val="004A0FA2"/>
    <w:rsid w:val="004A101B"/>
    <w:rsid w:val="004A121D"/>
    <w:rsid w:val="004A1CD7"/>
    <w:rsid w:val="004A1F91"/>
    <w:rsid w:val="004A2E7E"/>
    <w:rsid w:val="004A3597"/>
    <w:rsid w:val="004A3F8A"/>
    <w:rsid w:val="004A48EF"/>
    <w:rsid w:val="004A4BDA"/>
    <w:rsid w:val="004A4DFB"/>
    <w:rsid w:val="004A556B"/>
    <w:rsid w:val="004A56D6"/>
    <w:rsid w:val="004A5CCC"/>
    <w:rsid w:val="004A5DB8"/>
    <w:rsid w:val="004A601C"/>
    <w:rsid w:val="004A62BD"/>
    <w:rsid w:val="004A654B"/>
    <w:rsid w:val="004A66AD"/>
    <w:rsid w:val="004A6FBC"/>
    <w:rsid w:val="004A7048"/>
    <w:rsid w:val="004A73E0"/>
    <w:rsid w:val="004B03C9"/>
    <w:rsid w:val="004B0941"/>
    <w:rsid w:val="004B0A0A"/>
    <w:rsid w:val="004B0E55"/>
    <w:rsid w:val="004B153B"/>
    <w:rsid w:val="004B1653"/>
    <w:rsid w:val="004B1834"/>
    <w:rsid w:val="004B1C4B"/>
    <w:rsid w:val="004B2658"/>
    <w:rsid w:val="004B2D79"/>
    <w:rsid w:val="004B3953"/>
    <w:rsid w:val="004B3A55"/>
    <w:rsid w:val="004B3A8F"/>
    <w:rsid w:val="004B4186"/>
    <w:rsid w:val="004B46AE"/>
    <w:rsid w:val="004B4FBD"/>
    <w:rsid w:val="004B5293"/>
    <w:rsid w:val="004B576A"/>
    <w:rsid w:val="004B5889"/>
    <w:rsid w:val="004B59CD"/>
    <w:rsid w:val="004B60CB"/>
    <w:rsid w:val="004B6477"/>
    <w:rsid w:val="004B664D"/>
    <w:rsid w:val="004B7949"/>
    <w:rsid w:val="004C06A9"/>
    <w:rsid w:val="004C0A9B"/>
    <w:rsid w:val="004C1745"/>
    <w:rsid w:val="004C1833"/>
    <w:rsid w:val="004C1B12"/>
    <w:rsid w:val="004C1B18"/>
    <w:rsid w:val="004C1CB5"/>
    <w:rsid w:val="004C2687"/>
    <w:rsid w:val="004C35E4"/>
    <w:rsid w:val="004C3674"/>
    <w:rsid w:val="004C3AC9"/>
    <w:rsid w:val="004C454A"/>
    <w:rsid w:val="004C471C"/>
    <w:rsid w:val="004C4B96"/>
    <w:rsid w:val="004C521F"/>
    <w:rsid w:val="004C5639"/>
    <w:rsid w:val="004C6476"/>
    <w:rsid w:val="004C69AC"/>
    <w:rsid w:val="004C6C65"/>
    <w:rsid w:val="004C6FEA"/>
    <w:rsid w:val="004C7037"/>
    <w:rsid w:val="004D09DA"/>
    <w:rsid w:val="004D0E11"/>
    <w:rsid w:val="004D13AC"/>
    <w:rsid w:val="004D1A27"/>
    <w:rsid w:val="004D1C24"/>
    <w:rsid w:val="004D244C"/>
    <w:rsid w:val="004D2ECF"/>
    <w:rsid w:val="004D2F33"/>
    <w:rsid w:val="004D34DE"/>
    <w:rsid w:val="004D3C0A"/>
    <w:rsid w:val="004D4FD3"/>
    <w:rsid w:val="004D5324"/>
    <w:rsid w:val="004D61AE"/>
    <w:rsid w:val="004D7259"/>
    <w:rsid w:val="004D74CA"/>
    <w:rsid w:val="004E04A2"/>
    <w:rsid w:val="004E10C9"/>
    <w:rsid w:val="004E1428"/>
    <w:rsid w:val="004E1F94"/>
    <w:rsid w:val="004E213F"/>
    <w:rsid w:val="004E231D"/>
    <w:rsid w:val="004E24B8"/>
    <w:rsid w:val="004E27BC"/>
    <w:rsid w:val="004E28C9"/>
    <w:rsid w:val="004E29D1"/>
    <w:rsid w:val="004E2DA3"/>
    <w:rsid w:val="004E3213"/>
    <w:rsid w:val="004E41C1"/>
    <w:rsid w:val="004E53C3"/>
    <w:rsid w:val="004E5B55"/>
    <w:rsid w:val="004E5C53"/>
    <w:rsid w:val="004E5D83"/>
    <w:rsid w:val="004E65F9"/>
    <w:rsid w:val="004E69BF"/>
    <w:rsid w:val="004E74E5"/>
    <w:rsid w:val="004E769A"/>
    <w:rsid w:val="004E799A"/>
    <w:rsid w:val="004E7BBF"/>
    <w:rsid w:val="004E7C1B"/>
    <w:rsid w:val="004E7D07"/>
    <w:rsid w:val="004E7E20"/>
    <w:rsid w:val="004F079E"/>
    <w:rsid w:val="004F116D"/>
    <w:rsid w:val="004F1462"/>
    <w:rsid w:val="004F2014"/>
    <w:rsid w:val="004F23FB"/>
    <w:rsid w:val="004F25C7"/>
    <w:rsid w:val="004F34A0"/>
    <w:rsid w:val="004F3685"/>
    <w:rsid w:val="004F3CD2"/>
    <w:rsid w:val="004F4C0B"/>
    <w:rsid w:val="004F4F89"/>
    <w:rsid w:val="004F5140"/>
    <w:rsid w:val="004F515C"/>
    <w:rsid w:val="004F569D"/>
    <w:rsid w:val="004F5A75"/>
    <w:rsid w:val="004F5C2D"/>
    <w:rsid w:val="004F6359"/>
    <w:rsid w:val="004F6675"/>
    <w:rsid w:val="004F679F"/>
    <w:rsid w:val="004F7DE9"/>
    <w:rsid w:val="00500ACD"/>
    <w:rsid w:val="00500DDC"/>
    <w:rsid w:val="005014A2"/>
    <w:rsid w:val="0050170C"/>
    <w:rsid w:val="00502829"/>
    <w:rsid w:val="00502A74"/>
    <w:rsid w:val="005035E9"/>
    <w:rsid w:val="00503CFE"/>
    <w:rsid w:val="00504006"/>
    <w:rsid w:val="00504061"/>
    <w:rsid w:val="00504873"/>
    <w:rsid w:val="00504C1D"/>
    <w:rsid w:val="005056F4"/>
    <w:rsid w:val="005058E3"/>
    <w:rsid w:val="00505BAE"/>
    <w:rsid w:val="00506080"/>
    <w:rsid w:val="005061FC"/>
    <w:rsid w:val="00506956"/>
    <w:rsid w:val="00506A9D"/>
    <w:rsid w:val="00506CE1"/>
    <w:rsid w:val="005077D0"/>
    <w:rsid w:val="00510716"/>
    <w:rsid w:val="005109B0"/>
    <w:rsid w:val="00510C13"/>
    <w:rsid w:val="00511150"/>
    <w:rsid w:val="005114B1"/>
    <w:rsid w:val="0051153B"/>
    <w:rsid w:val="00511C49"/>
    <w:rsid w:val="00511FC6"/>
    <w:rsid w:val="005125E7"/>
    <w:rsid w:val="005125EC"/>
    <w:rsid w:val="0051272F"/>
    <w:rsid w:val="005127C4"/>
    <w:rsid w:val="00512CB9"/>
    <w:rsid w:val="00513382"/>
    <w:rsid w:val="00514218"/>
    <w:rsid w:val="005146C6"/>
    <w:rsid w:val="00515380"/>
    <w:rsid w:val="00515558"/>
    <w:rsid w:val="00515819"/>
    <w:rsid w:val="00515DEF"/>
    <w:rsid w:val="00516806"/>
    <w:rsid w:val="00517176"/>
    <w:rsid w:val="005174A4"/>
    <w:rsid w:val="005176CA"/>
    <w:rsid w:val="00517890"/>
    <w:rsid w:val="00521938"/>
    <w:rsid w:val="005226ED"/>
    <w:rsid w:val="0052291A"/>
    <w:rsid w:val="0052353F"/>
    <w:rsid w:val="00523664"/>
    <w:rsid w:val="00524016"/>
    <w:rsid w:val="0052493B"/>
    <w:rsid w:val="00525B57"/>
    <w:rsid w:val="00525E69"/>
    <w:rsid w:val="005262FA"/>
    <w:rsid w:val="0052698B"/>
    <w:rsid w:val="0052725D"/>
    <w:rsid w:val="00527B5D"/>
    <w:rsid w:val="00527E8E"/>
    <w:rsid w:val="00527E95"/>
    <w:rsid w:val="00527F11"/>
    <w:rsid w:val="00530288"/>
    <w:rsid w:val="00530F4A"/>
    <w:rsid w:val="005327E5"/>
    <w:rsid w:val="005329FF"/>
    <w:rsid w:val="00532D10"/>
    <w:rsid w:val="00533122"/>
    <w:rsid w:val="00534683"/>
    <w:rsid w:val="00534C59"/>
    <w:rsid w:val="00534FE2"/>
    <w:rsid w:val="00536D03"/>
    <w:rsid w:val="00536E28"/>
    <w:rsid w:val="0053778C"/>
    <w:rsid w:val="00537A77"/>
    <w:rsid w:val="00540143"/>
    <w:rsid w:val="00540314"/>
    <w:rsid w:val="005406BC"/>
    <w:rsid w:val="00540BF4"/>
    <w:rsid w:val="005416E3"/>
    <w:rsid w:val="00541A14"/>
    <w:rsid w:val="00541D75"/>
    <w:rsid w:val="00542E88"/>
    <w:rsid w:val="005438D0"/>
    <w:rsid w:val="00543D62"/>
    <w:rsid w:val="00543EFF"/>
    <w:rsid w:val="00543F6D"/>
    <w:rsid w:val="00543F9C"/>
    <w:rsid w:val="005449EE"/>
    <w:rsid w:val="00544B71"/>
    <w:rsid w:val="00544BF5"/>
    <w:rsid w:val="005451B7"/>
    <w:rsid w:val="00545468"/>
    <w:rsid w:val="005455F3"/>
    <w:rsid w:val="005466AE"/>
    <w:rsid w:val="00546BF3"/>
    <w:rsid w:val="00546D39"/>
    <w:rsid w:val="005474F8"/>
    <w:rsid w:val="005478DF"/>
    <w:rsid w:val="00547903"/>
    <w:rsid w:val="00547947"/>
    <w:rsid w:val="00547F88"/>
    <w:rsid w:val="00550525"/>
    <w:rsid w:val="005505E8"/>
    <w:rsid w:val="00550CFD"/>
    <w:rsid w:val="00550E84"/>
    <w:rsid w:val="00550F48"/>
    <w:rsid w:val="005511EB"/>
    <w:rsid w:val="00551368"/>
    <w:rsid w:val="005518A7"/>
    <w:rsid w:val="005522E3"/>
    <w:rsid w:val="0055296B"/>
    <w:rsid w:val="005530DA"/>
    <w:rsid w:val="005532E0"/>
    <w:rsid w:val="00553660"/>
    <w:rsid w:val="00553764"/>
    <w:rsid w:val="00554559"/>
    <w:rsid w:val="0055488A"/>
    <w:rsid w:val="00555131"/>
    <w:rsid w:val="00556B4D"/>
    <w:rsid w:val="00556CFB"/>
    <w:rsid w:val="00557246"/>
    <w:rsid w:val="0055731C"/>
    <w:rsid w:val="00557397"/>
    <w:rsid w:val="005577B0"/>
    <w:rsid w:val="00557BC5"/>
    <w:rsid w:val="00560E5A"/>
    <w:rsid w:val="00560EFF"/>
    <w:rsid w:val="00561381"/>
    <w:rsid w:val="00561508"/>
    <w:rsid w:val="00561570"/>
    <w:rsid w:val="00561A12"/>
    <w:rsid w:val="00561FD6"/>
    <w:rsid w:val="00562084"/>
    <w:rsid w:val="00562C0D"/>
    <w:rsid w:val="00562CAE"/>
    <w:rsid w:val="00562EF9"/>
    <w:rsid w:val="00563064"/>
    <w:rsid w:val="005637CB"/>
    <w:rsid w:val="00563CCA"/>
    <w:rsid w:val="00563D76"/>
    <w:rsid w:val="00563F9F"/>
    <w:rsid w:val="0056533E"/>
    <w:rsid w:val="00565EF5"/>
    <w:rsid w:val="005662ED"/>
    <w:rsid w:val="00566423"/>
    <w:rsid w:val="005664E9"/>
    <w:rsid w:val="00566BF2"/>
    <w:rsid w:val="005671AC"/>
    <w:rsid w:val="00567673"/>
    <w:rsid w:val="00570EED"/>
    <w:rsid w:val="0057129E"/>
    <w:rsid w:val="00571631"/>
    <w:rsid w:val="005716FC"/>
    <w:rsid w:val="0057215E"/>
    <w:rsid w:val="0057255B"/>
    <w:rsid w:val="00574097"/>
    <w:rsid w:val="005745F3"/>
    <w:rsid w:val="005747C6"/>
    <w:rsid w:val="00574B5F"/>
    <w:rsid w:val="0057517B"/>
    <w:rsid w:val="00575304"/>
    <w:rsid w:val="005753BF"/>
    <w:rsid w:val="00575687"/>
    <w:rsid w:val="005759BB"/>
    <w:rsid w:val="00575DEF"/>
    <w:rsid w:val="00576300"/>
    <w:rsid w:val="005766E9"/>
    <w:rsid w:val="00576829"/>
    <w:rsid w:val="00576B43"/>
    <w:rsid w:val="0057711D"/>
    <w:rsid w:val="00577864"/>
    <w:rsid w:val="005807BB"/>
    <w:rsid w:val="00580FD7"/>
    <w:rsid w:val="005817A7"/>
    <w:rsid w:val="00581A99"/>
    <w:rsid w:val="00581FFF"/>
    <w:rsid w:val="00582627"/>
    <w:rsid w:val="005827F8"/>
    <w:rsid w:val="005833E1"/>
    <w:rsid w:val="00583A33"/>
    <w:rsid w:val="00584431"/>
    <w:rsid w:val="00585043"/>
    <w:rsid w:val="00585B07"/>
    <w:rsid w:val="00586165"/>
    <w:rsid w:val="005861FB"/>
    <w:rsid w:val="005867D2"/>
    <w:rsid w:val="005867E5"/>
    <w:rsid w:val="00586A5A"/>
    <w:rsid w:val="00586F3A"/>
    <w:rsid w:val="005877FF"/>
    <w:rsid w:val="00587B89"/>
    <w:rsid w:val="0059065A"/>
    <w:rsid w:val="005906EB"/>
    <w:rsid w:val="00591458"/>
    <w:rsid w:val="00591513"/>
    <w:rsid w:val="0059165F"/>
    <w:rsid w:val="005916BE"/>
    <w:rsid w:val="005917AF"/>
    <w:rsid w:val="005917BE"/>
    <w:rsid w:val="00591A7C"/>
    <w:rsid w:val="00591E62"/>
    <w:rsid w:val="005928B7"/>
    <w:rsid w:val="00592B45"/>
    <w:rsid w:val="00592E0D"/>
    <w:rsid w:val="00592F94"/>
    <w:rsid w:val="0059324C"/>
    <w:rsid w:val="0059337F"/>
    <w:rsid w:val="00593985"/>
    <w:rsid w:val="00593BAD"/>
    <w:rsid w:val="00593CF0"/>
    <w:rsid w:val="00594471"/>
    <w:rsid w:val="00594BA2"/>
    <w:rsid w:val="005950AE"/>
    <w:rsid w:val="005954C6"/>
    <w:rsid w:val="005954D4"/>
    <w:rsid w:val="005955A4"/>
    <w:rsid w:val="00595662"/>
    <w:rsid w:val="00595A92"/>
    <w:rsid w:val="00595D5E"/>
    <w:rsid w:val="00595FF2"/>
    <w:rsid w:val="005962DF"/>
    <w:rsid w:val="005963CC"/>
    <w:rsid w:val="0059665A"/>
    <w:rsid w:val="00596C5E"/>
    <w:rsid w:val="00596D00"/>
    <w:rsid w:val="00596E19"/>
    <w:rsid w:val="0059701C"/>
    <w:rsid w:val="0059707C"/>
    <w:rsid w:val="00597AD2"/>
    <w:rsid w:val="005A0054"/>
    <w:rsid w:val="005A00A9"/>
    <w:rsid w:val="005A0104"/>
    <w:rsid w:val="005A05D8"/>
    <w:rsid w:val="005A19DB"/>
    <w:rsid w:val="005A2052"/>
    <w:rsid w:val="005A21E9"/>
    <w:rsid w:val="005A241E"/>
    <w:rsid w:val="005A280D"/>
    <w:rsid w:val="005A2B8F"/>
    <w:rsid w:val="005A2E25"/>
    <w:rsid w:val="005A2FDF"/>
    <w:rsid w:val="005A3297"/>
    <w:rsid w:val="005A3D7F"/>
    <w:rsid w:val="005A4771"/>
    <w:rsid w:val="005A485A"/>
    <w:rsid w:val="005A4A89"/>
    <w:rsid w:val="005A55A9"/>
    <w:rsid w:val="005A586D"/>
    <w:rsid w:val="005A5B06"/>
    <w:rsid w:val="005A5CC3"/>
    <w:rsid w:val="005A602B"/>
    <w:rsid w:val="005A68B2"/>
    <w:rsid w:val="005A6915"/>
    <w:rsid w:val="005A6B3A"/>
    <w:rsid w:val="005A6BA2"/>
    <w:rsid w:val="005A6FED"/>
    <w:rsid w:val="005A7379"/>
    <w:rsid w:val="005A7550"/>
    <w:rsid w:val="005A7780"/>
    <w:rsid w:val="005B03DC"/>
    <w:rsid w:val="005B087D"/>
    <w:rsid w:val="005B0A31"/>
    <w:rsid w:val="005B0A60"/>
    <w:rsid w:val="005B0B4B"/>
    <w:rsid w:val="005B0D51"/>
    <w:rsid w:val="005B1171"/>
    <w:rsid w:val="005B13E0"/>
    <w:rsid w:val="005B18B6"/>
    <w:rsid w:val="005B1BC4"/>
    <w:rsid w:val="005B1BFC"/>
    <w:rsid w:val="005B2D8A"/>
    <w:rsid w:val="005B3618"/>
    <w:rsid w:val="005B39D8"/>
    <w:rsid w:val="005B3C66"/>
    <w:rsid w:val="005B3D07"/>
    <w:rsid w:val="005B4331"/>
    <w:rsid w:val="005B44E2"/>
    <w:rsid w:val="005B4521"/>
    <w:rsid w:val="005B4DE7"/>
    <w:rsid w:val="005B4E16"/>
    <w:rsid w:val="005B52DC"/>
    <w:rsid w:val="005B5FA8"/>
    <w:rsid w:val="005B65D9"/>
    <w:rsid w:val="005B6894"/>
    <w:rsid w:val="005B6A72"/>
    <w:rsid w:val="005B6D68"/>
    <w:rsid w:val="005B6DF0"/>
    <w:rsid w:val="005B7121"/>
    <w:rsid w:val="005B77A9"/>
    <w:rsid w:val="005B79ED"/>
    <w:rsid w:val="005B7D2A"/>
    <w:rsid w:val="005B7ECA"/>
    <w:rsid w:val="005C0516"/>
    <w:rsid w:val="005C1285"/>
    <w:rsid w:val="005C13B2"/>
    <w:rsid w:val="005C1A7B"/>
    <w:rsid w:val="005C27E3"/>
    <w:rsid w:val="005C28B0"/>
    <w:rsid w:val="005C2AEA"/>
    <w:rsid w:val="005C30F6"/>
    <w:rsid w:val="005C33EE"/>
    <w:rsid w:val="005C37CB"/>
    <w:rsid w:val="005C38B0"/>
    <w:rsid w:val="005C40C7"/>
    <w:rsid w:val="005C42E8"/>
    <w:rsid w:val="005C4401"/>
    <w:rsid w:val="005C459C"/>
    <w:rsid w:val="005C4A18"/>
    <w:rsid w:val="005C4A24"/>
    <w:rsid w:val="005C4ACA"/>
    <w:rsid w:val="005C57C2"/>
    <w:rsid w:val="005C5A99"/>
    <w:rsid w:val="005C5C32"/>
    <w:rsid w:val="005C5E43"/>
    <w:rsid w:val="005C6369"/>
    <w:rsid w:val="005C6743"/>
    <w:rsid w:val="005C6EBB"/>
    <w:rsid w:val="005D0009"/>
    <w:rsid w:val="005D0DCA"/>
    <w:rsid w:val="005D100F"/>
    <w:rsid w:val="005D1158"/>
    <w:rsid w:val="005D141B"/>
    <w:rsid w:val="005D1A9F"/>
    <w:rsid w:val="005D22FF"/>
    <w:rsid w:val="005D28D1"/>
    <w:rsid w:val="005D3023"/>
    <w:rsid w:val="005D3AA0"/>
    <w:rsid w:val="005D3BB4"/>
    <w:rsid w:val="005D4508"/>
    <w:rsid w:val="005D48FF"/>
    <w:rsid w:val="005D496D"/>
    <w:rsid w:val="005D49B5"/>
    <w:rsid w:val="005D52FA"/>
    <w:rsid w:val="005D57B1"/>
    <w:rsid w:val="005D5998"/>
    <w:rsid w:val="005D5A48"/>
    <w:rsid w:val="005D5FE8"/>
    <w:rsid w:val="005D6761"/>
    <w:rsid w:val="005D703E"/>
    <w:rsid w:val="005D7122"/>
    <w:rsid w:val="005D7503"/>
    <w:rsid w:val="005D798C"/>
    <w:rsid w:val="005E0037"/>
    <w:rsid w:val="005E036C"/>
    <w:rsid w:val="005E054C"/>
    <w:rsid w:val="005E0A00"/>
    <w:rsid w:val="005E2596"/>
    <w:rsid w:val="005E2656"/>
    <w:rsid w:val="005E266F"/>
    <w:rsid w:val="005E272F"/>
    <w:rsid w:val="005E2C0D"/>
    <w:rsid w:val="005E3AFA"/>
    <w:rsid w:val="005E3B78"/>
    <w:rsid w:val="005E5181"/>
    <w:rsid w:val="005E51FE"/>
    <w:rsid w:val="005E5298"/>
    <w:rsid w:val="005E570B"/>
    <w:rsid w:val="005E5734"/>
    <w:rsid w:val="005E5747"/>
    <w:rsid w:val="005E5C07"/>
    <w:rsid w:val="005E64BA"/>
    <w:rsid w:val="005E67A4"/>
    <w:rsid w:val="005E6B80"/>
    <w:rsid w:val="005E737C"/>
    <w:rsid w:val="005E73CE"/>
    <w:rsid w:val="005F0043"/>
    <w:rsid w:val="005F00F3"/>
    <w:rsid w:val="005F0532"/>
    <w:rsid w:val="005F0589"/>
    <w:rsid w:val="005F077B"/>
    <w:rsid w:val="005F07DC"/>
    <w:rsid w:val="005F0E9A"/>
    <w:rsid w:val="005F1155"/>
    <w:rsid w:val="005F129D"/>
    <w:rsid w:val="005F168A"/>
    <w:rsid w:val="005F2656"/>
    <w:rsid w:val="005F29B6"/>
    <w:rsid w:val="005F2C83"/>
    <w:rsid w:val="005F2EBE"/>
    <w:rsid w:val="005F3188"/>
    <w:rsid w:val="005F31EC"/>
    <w:rsid w:val="005F3212"/>
    <w:rsid w:val="005F38CE"/>
    <w:rsid w:val="005F3E22"/>
    <w:rsid w:val="005F4502"/>
    <w:rsid w:val="005F451A"/>
    <w:rsid w:val="005F52EC"/>
    <w:rsid w:val="005F64FB"/>
    <w:rsid w:val="005F6789"/>
    <w:rsid w:val="005F6882"/>
    <w:rsid w:val="005F7024"/>
    <w:rsid w:val="005F723C"/>
    <w:rsid w:val="005F72BE"/>
    <w:rsid w:val="005F76A2"/>
    <w:rsid w:val="005F778C"/>
    <w:rsid w:val="005F7864"/>
    <w:rsid w:val="005F7CCE"/>
    <w:rsid w:val="005F7E53"/>
    <w:rsid w:val="00601078"/>
    <w:rsid w:val="0060153C"/>
    <w:rsid w:val="00601679"/>
    <w:rsid w:val="00601E39"/>
    <w:rsid w:val="0060200B"/>
    <w:rsid w:val="006024AB"/>
    <w:rsid w:val="0060251E"/>
    <w:rsid w:val="00602950"/>
    <w:rsid w:val="00602960"/>
    <w:rsid w:val="00602DDE"/>
    <w:rsid w:val="00602F58"/>
    <w:rsid w:val="00603300"/>
    <w:rsid w:val="006038A0"/>
    <w:rsid w:val="00603973"/>
    <w:rsid w:val="00603C71"/>
    <w:rsid w:val="0060407F"/>
    <w:rsid w:val="00605362"/>
    <w:rsid w:val="006055B0"/>
    <w:rsid w:val="006058E9"/>
    <w:rsid w:val="0060604F"/>
    <w:rsid w:val="006066E0"/>
    <w:rsid w:val="006066EA"/>
    <w:rsid w:val="00606A69"/>
    <w:rsid w:val="0060726C"/>
    <w:rsid w:val="00607E9A"/>
    <w:rsid w:val="00610B9B"/>
    <w:rsid w:val="00611294"/>
    <w:rsid w:val="00611737"/>
    <w:rsid w:val="00611763"/>
    <w:rsid w:val="0061192A"/>
    <w:rsid w:val="00611B78"/>
    <w:rsid w:val="00612904"/>
    <w:rsid w:val="006133DF"/>
    <w:rsid w:val="00613846"/>
    <w:rsid w:val="00613AE6"/>
    <w:rsid w:val="00613EB5"/>
    <w:rsid w:val="00614315"/>
    <w:rsid w:val="006146C9"/>
    <w:rsid w:val="00614DE8"/>
    <w:rsid w:val="00615156"/>
    <w:rsid w:val="006155B0"/>
    <w:rsid w:val="00615859"/>
    <w:rsid w:val="00615993"/>
    <w:rsid w:val="00615A63"/>
    <w:rsid w:val="00617D18"/>
    <w:rsid w:val="006201F8"/>
    <w:rsid w:val="006201FD"/>
    <w:rsid w:val="0062136F"/>
    <w:rsid w:val="00621693"/>
    <w:rsid w:val="006219DB"/>
    <w:rsid w:val="00621A65"/>
    <w:rsid w:val="0062202F"/>
    <w:rsid w:val="006222E7"/>
    <w:rsid w:val="00622388"/>
    <w:rsid w:val="00622669"/>
    <w:rsid w:val="00622C7D"/>
    <w:rsid w:val="00622E47"/>
    <w:rsid w:val="00622FE1"/>
    <w:rsid w:val="00623311"/>
    <w:rsid w:val="006234A5"/>
    <w:rsid w:val="006234C1"/>
    <w:rsid w:val="0062389F"/>
    <w:rsid w:val="0062394E"/>
    <w:rsid w:val="00623F8F"/>
    <w:rsid w:val="006242E7"/>
    <w:rsid w:val="00624519"/>
    <w:rsid w:val="006245F5"/>
    <w:rsid w:val="006249A0"/>
    <w:rsid w:val="00624B8D"/>
    <w:rsid w:val="00625773"/>
    <w:rsid w:val="00625A24"/>
    <w:rsid w:val="00625CE5"/>
    <w:rsid w:val="006260FD"/>
    <w:rsid w:val="006262FD"/>
    <w:rsid w:val="00626565"/>
    <w:rsid w:val="0062659A"/>
    <w:rsid w:val="0062677A"/>
    <w:rsid w:val="006274D6"/>
    <w:rsid w:val="00627757"/>
    <w:rsid w:val="0062795C"/>
    <w:rsid w:val="00627996"/>
    <w:rsid w:val="006305A3"/>
    <w:rsid w:val="00630FE6"/>
    <w:rsid w:val="00631873"/>
    <w:rsid w:val="006324F5"/>
    <w:rsid w:val="00632ACF"/>
    <w:rsid w:val="006335AA"/>
    <w:rsid w:val="0063371C"/>
    <w:rsid w:val="00633B9A"/>
    <w:rsid w:val="00633D54"/>
    <w:rsid w:val="00634CCF"/>
    <w:rsid w:val="00635027"/>
    <w:rsid w:val="00635784"/>
    <w:rsid w:val="00635B88"/>
    <w:rsid w:val="00636D69"/>
    <w:rsid w:val="00636F62"/>
    <w:rsid w:val="00637439"/>
    <w:rsid w:val="006379F2"/>
    <w:rsid w:val="00640172"/>
    <w:rsid w:val="0064074D"/>
    <w:rsid w:val="00640F82"/>
    <w:rsid w:val="00641291"/>
    <w:rsid w:val="006415D2"/>
    <w:rsid w:val="00641C55"/>
    <w:rsid w:val="00641CEF"/>
    <w:rsid w:val="00641D2E"/>
    <w:rsid w:val="00641D96"/>
    <w:rsid w:val="00642318"/>
    <w:rsid w:val="006423AB"/>
    <w:rsid w:val="0064240E"/>
    <w:rsid w:val="006429F3"/>
    <w:rsid w:val="00642E0A"/>
    <w:rsid w:val="006436E6"/>
    <w:rsid w:val="0064394D"/>
    <w:rsid w:val="00643B27"/>
    <w:rsid w:val="00643C3C"/>
    <w:rsid w:val="006443DB"/>
    <w:rsid w:val="00644A7B"/>
    <w:rsid w:val="0064534E"/>
    <w:rsid w:val="0064587E"/>
    <w:rsid w:val="00645F5B"/>
    <w:rsid w:val="00646296"/>
    <w:rsid w:val="00646B48"/>
    <w:rsid w:val="006476B1"/>
    <w:rsid w:val="0065034C"/>
    <w:rsid w:val="006513CC"/>
    <w:rsid w:val="00651DD5"/>
    <w:rsid w:val="006525D6"/>
    <w:rsid w:val="006529C3"/>
    <w:rsid w:val="006529F0"/>
    <w:rsid w:val="00652EB3"/>
    <w:rsid w:val="006535BE"/>
    <w:rsid w:val="00653FC1"/>
    <w:rsid w:val="006545CB"/>
    <w:rsid w:val="0065462A"/>
    <w:rsid w:val="00654684"/>
    <w:rsid w:val="006546AE"/>
    <w:rsid w:val="00654E3C"/>
    <w:rsid w:val="00654F81"/>
    <w:rsid w:val="006556D9"/>
    <w:rsid w:val="00655772"/>
    <w:rsid w:val="00655C81"/>
    <w:rsid w:val="00655F13"/>
    <w:rsid w:val="006560F9"/>
    <w:rsid w:val="00656621"/>
    <w:rsid w:val="00656715"/>
    <w:rsid w:val="00657274"/>
    <w:rsid w:val="006604F5"/>
    <w:rsid w:val="006605E6"/>
    <w:rsid w:val="006608A4"/>
    <w:rsid w:val="00661033"/>
    <w:rsid w:val="006616FC"/>
    <w:rsid w:val="006617E3"/>
    <w:rsid w:val="006618B2"/>
    <w:rsid w:val="00661C46"/>
    <w:rsid w:val="006626B1"/>
    <w:rsid w:val="0066270A"/>
    <w:rsid w:val="00662CEA"/>
    <w:rsid w:val="00663402"/>
    <w:rsid w:val="00663A64"/>
    <w:rsid w:val="00663DF2"/>
    <w:rsid w:val="0066401A"/>
    <w:rsid w:val="0066416D"/>
    <w:rsid w:val="006646FC"/>
    <w:rsid w:val="006652D3"/>
    <w:rsid w:val="00665A74"/>
    <w:rsid w:val="00666338"/>
    <w:rsid w:val="00667B08"/>
    <w:rsid w:val="00667CF3"/>
    <w:rsid w:val="0067001B"/>
    <w:rsid w:val="0067040F"/>
    <w:rsid w:val="00670C50"/>
    <w:rsid w:val="00671365"/>
    <w:rsid w:val="00671659"/>
    <w:rsid w:val="00671B15"/>
    <w:rsid w:val="00671CE8"/>
    <w:rsid w:val="00671EC1"/>
    <w:rsid w:val="00672559"/>
    <w:rsid w:val="00672811"/>
    <w:rsid w:val="00672819"/>
    <w:rsid w:val="0067362D"/>
    <w:rsid w:val="00673B2F"/>
    <w:rsid w:val="006756E2"/>
    <w:rsid w:val="006761F0"/>
    <w:rsid w:val="006769C4"/>
    <w:rsid w:val="006769FF"/>
    <w:rsid w:val="00676B81"/>
    <w:rsid w:val="00676E60"/>
    <w:rsid w:val="00677183"/>
    <w:rsid w:val="006774E4"/>
    <w:rsid w:val="00677627"/>
    <w:rsid w:val="00677BD5"/>
    <w:rsid w:val="00677FC9"/>
    <w:rsid w:val="0068025E"/>
    <w:rsid w:val="006802C0"/>
    <w:rsid w:val="006809E8"/>
    <w:rsid w:val="00680CBA"/>
    <w:rsid w:val="0068108B"/>
    <w:rsid w:val="006810ED"/>
    <w:rsid w:val="0068118F"/>
    <w:rsid w:val="00681678"/>
    <w:rsid w:val="006816E3"/>
    <w:rsid w:val="0068190D"/>
    <w:rsid w:val="00681BB7"/>
    <w:rsid w:val="00681D21"/>
    <w:rsid w:val="00681F94"/>
    <w:rsid w:val="00682143"/>
    <w:rsid w:val="0068287A"/>
    <w:rsid w:val="00682E55"/>
    <w:rsid w:val="00683035"/>
    <w:rsid w:val="00683755"/>
    <w:rsid w:val="00683F20"/>
    <w:rsid w:val="00684417"/>
    <w:rsid w:val="00684484"/>
    <w:rsid w:val="00684501"/>
    <w:rsid w:val="00684F1B"/>
    <w:rsid w:val="00685351"/>
    <w:rsid w:val="006854EA"/>
    <w:rsid w:val="00686762"/>
    <w:rsid w:val="00687132"/>
    <w:rsid w:val="00687EE9"/>
    <w:rsid w:val="00690075"/>
    <w:rsid w:val="0069116B"/>
    <w:rsid w:val="0069170A"/>
    <w:rsid w:val="00691CA4"/>
    <w:rsid w:val="00692995"/>
    <w:rsid w:val="00692C7F"/>
    <w:rsid w:val="00692E64"/>
    <w:rsid w:val="00692FF2"/>
    <w:rsid w:val="00693192"/>
    <w:rsid w:val="0069344C"/>
    <w:rsid w:val="00693587"/>
    <w:rsid w:val="00693860"/>
    <w:rsid w:val="00693B80"/>
    <w:rsid w:val="00693C87"/>
    <w:rsid w:val="00694032"/>
    <w:rsid w:val="00694629"/>
    <w:rsid w:val="00694A15"/>
    <w:rsid w:val="00694A4F"/>
    <w:rsid w:val="00694C70"/>
    <w:rsid w:val="00694DC6"/>
    <w:rsid w:val="00694FD4"/>
    <w:rsid w:val="0069510C"/>
    <w:rsid w:val="0069517C"/>
    <w:rsid w:val="00695690"/>
    <w:rsid w:val="006959F5"/>
    <w:rsid w:val="00696571"/>
    <w:rsid w:val="0069664D"/>
    <w:rsid w:val="00696DF8"/>
    <w:rsid w:val="0069765B"/>
    <w:rsid w:val="006976C3"/>
    <w:rsid w:val="00697A45"/>
    <w:rsid w:val="00697CFE"/>
    <w:rsid w:val="006A05C7"/>
    <w:rsid w:val="006A0635"/>
    <w:rsid w:val="006A06FB"/>
    <w:rsid w:val="006A14E7"/>
    <w:rsid w:val="006A1F5D"/>
    <w:rsid w:val="006A2594"/>
    <w:rsid w:val="006A38BF"/>
    <w:rsid w:val="006A4362"/>
    <w:rsid w:val="006A4C8B"/>
    <w:rsid w:val="006A51AD"/>
    <w:rsid w:val="006A5E40"/>
    <w:rsid w:val="006A607B"/>
    <w:rsid w:val="006A63B1"/>
    <w:rsid w:val="006A66CD"/>
    <w:rsid w:val="006A6B9D"/>
    <w:rsid w:val="006A6E27"/>
    <w:rsid w:val="006A72A0"/>
    <w:rsid w:val="006A72B0"/>
    <w:rsid w:val="006A7C38"/>
    <w:rsid w:val="006A7F25"/>
    <w:rsid w:val="006B07A1"/>
    <w:rsid w:val="006B080B"/>
    <w:rsid w:val="006B0AF7"/>
    <w:rsid w:val="006B122D"/>
    <w:rsid w:val="006B1230"/>
    <w:rsid w:val="006B243E"/>
    <w:rsid w:val="006B2A38"/>
    <w:rsid w:val="006B2B5A"/>
    <w:rsid w:val="006B2BBF"/>
    <w:rsid w:val="006B2DB6"/>
    <w:rsid w:val="006B34BC"/>
    <w:rsid w:val="006B3886"/>
    <w:rsid w:val="006B3E4D"/>
    <w:rsid w:val="006B429E"/>
    <w:rsid w:val="006B5038"/>
    <w:rsid w:val="006B5084"/>
    <w:rsid w:val="006B6119"/>
    <w:rsid w:val="006B65F8"/>
    <w:rsid w:val="006B74F0"/>
    <w:rsid w:val="006B7A0D"/>
    <w:rsid w:val="006C0161"/>
    <w:rsid w:val="006C0565"/>
    <w:rsid w:val="006C113D"/>
    <w:rsid w:val="006C13A3"/>
    <w:rsid w:val="006C157C"/>
    <w:rsid w:val="006C1804"/>
    <w:rsid w:val="006C1B2B"/>
    <w:rsid w:val="006C1FAD"/>
    <w:rsid w:val="006C2B62"/>
    <w:rsid w:val="006C2C3F"/>
    <w:rsid w:val="006C2DB7"/>
    <w:rsid w:val="006C2FED"/>
    <w:rsid w:val="006C3407"/>
    <w:rsid w:val="006C3432"/>
    <w:rsid w:val="006C3C08"/>
    <w:rsid w:val="006C4281"/>
    <w:rsid w:val="006C44FE"/>
    <w:rsid w:val="006C4573"/>
    <w:rsid w:val="006C47B2"/>
    <w:rsid w:val="006C4BB2"/>
    <w:rsid w:val="006C51BF"/>
    <w:rsid w:val="006C52B9"/>
    <w:rsid w:val="006C57C5"/>
    <w:rsid w:val="006C58C9"/>
    <w:rsid w:val="006C5F36"/>
    <w:rsid w:val="006C660D"/>
    <w:rsid w:val="006C73B2"/>
    <w:rsid w:val="006C7951"/>
    <w:rsid w:val="006C7A84"/>
    <w:rsid w:val="006C7BD6"/>
    <w:rsid w:val="006D07D2"/>
    <w:rsid w:val="006D0BF5"/>
    <w:rsid w:val="006D1362"/>
    <w:rsid w:val="006D1DFE"/>
    <w:rsid w:val="006D21B0"/>
    <w:rsid w:val="006D26B2"/>
    <w:rsid w:val="006D2B34"/>
    <w:rsid w:val="006D3D61"/>
    <w:rsid w:val="006D42B5"/>
    <w:rsid w:val="006D615A"/>
    <w:rsid w:val="006D6570"/>
    <w:rsid w:val="006D673C"/>
    <w:rsid w:val="006D6B30"/>
    <w:rsid w:val="006D6F16"/>
    <w:rsid w:val="006D789D"/>
    <w:rsid w:val="006D7AEB"/>
    <w:rsid w:val="006D7B4B"/>
    <w:rsid w:val="006E0135"/>
    <w:rsid w:val="006E0187"/>
    <w:rsid w:val="006E0446"/>
    <w:rsid w:val="006E2251"/>
    <w:rsid w:val="006E402F"/>
    <w:rsid w:val="006E4146"/>
    <w:rsid w:val="006E4470"/>
    <w:rsid w:val="006E4672"/>
    <w:rsid w:val="006E479F"/>
    <w:rsid w:val="006E4A3A"/>
    <w:rsid w:val="006E4EC5"/>
    <w:rsid w:val="006E4FAD"/>
    <w:rsid w:val="006E509C"/>
    <w:rsid w:val="006E5369"/>
    <w:rsid w:val="006E53E1"/>
    <w:rsid w:val="006E5F5B"/>
    <w:rsid w:val="006E6022"/>
    <w:rsid w:val="006E62FC"/>
    <w:rsid w:val="006E6BC2"/>
    <w:rsid w:val="006E77BB"/>
    <w:rsid w:val="006E7AE5"/>
    <w:rsid w:val="006E7FBF"/>
    <w:rsid w:val="006F053C"/>
    <w:rsid w:val="006F0A16"/>
    <w:rsid w:val="006F126C"/>
    <w:rsid w:val="006F279F"/>
    <w:rsid w:val="006F28A0"/>
    <w:rsid w:val="006F30AD"/>
    <w:rsid w:val="006F37D8"/>
    <w:rsid w:val="006F3919"/>
    <w:rsid w:val="006F3AC8"/>
    <w:rsid w:val="006F4829"/>
    <w:rsid w:val="006F4B52"/>
    <w:rsid w:val="006F4FB9"/>
    <w:rsid w:val="006F69B0"/>
    <w:rsid w:val="006F7692"/>
    <w:rsid w:val="006F78A3"/>
    <w:rsid w:val="007008CC"/>
    <w:rsid w:val="00700C0B"/>
    <w:rsid w:val="007012A8"/>
    <w:rsid w:val="007014F5"/>
    <w:rsid w:val="0070150D"/>
    <w:rsid w:val="0070150E"/>
    <w:rsid w:val="00701B16"/>
    <w:rsid w:val="00701EC4"/>
    <w:rsid w:val="00701F9F"/>
    <w:rsid w:val="007035C1"/>
    <w:rsid w:val="007039FA"/>
    <w:rsid w:val="007044F7"/>
    <w:rsid w:val="00704D98"/>
    <w:rsid w:val="007057B2"/>
    <w:rsid w:val="00705C15"/>
    <w:rsid w:val="00705DB8"/>
    <w:rsid w:val="007061FE"/>
    <w:rsid w:val="00706CA6"/>
    <w:rsid w:val="00706F27"/>
    <w:rsid w:val="0070767D"/>
    <w:rsid w:val="00707BC9"/>
    <w:rsid w:val="007109FB"/>
    <w:rsid w:val="00710DD1"/>
    <w:rsid w:val="00711020"/>
    <w:rsid w:val="00711723"/>
    <w:rsid w:val="00711C09"/>
    <w:rsid w:val="00711CEC"/>
    <w:rsid w:val="00712093"/>
    <w:rsid w:val="007123B0"/>
    <w:rsid w:val="00712DAF"/>
    <w:rsid w:val="00712DB1"/>
    <w:rsid w:val="007131B7"/>
    <w:rsid w:val="00713225"/>
    <w:rsid w:val="007133A0"/>
    <w:rsid w:val="00713B93"/>
    <w:rsid w:val="00714A1B"/>
    <w:rsid w:val="00714F97"/>
    <w:rsid w:val="0071553D"/>
    <w:rsid w:val="00715930"/>
    <w:rsid w:val="00715E2F"/>
    <w:rsid w:val="00716CFE"/>
    <w:rsid w:val="007170BB"/>
    <w:rsid w:val="0071778E"/>
    <w:rsid w:val="00717918"/>
    <w:rsid w:val="007179DF"/>
    <w:rsid w:val="007204FB"/>
    <w:rsid w:val="00720719"/>
    <w:rsid w:val="00720974"/>
    <w:rsid w:val="00721969"/>
    <w:rsid w:val="0072197D"/>
    <w:rsid w:val="007220E3"/>
    <w:rsid w:val="00722780"/>
    <w:rsid w:val="00722BA8"/>
    <w:rsid w:val="00722FE9"/>
    <w:rsid w:val="007233D7"/>
    <w:rsid w:val="00723727"/>
    <w:rsid w:val="007248ED"/>
    <w:rsid w:val="0072512A"/>
    <w:rsid w:val="00725F65"/>
    <w:rsid w:val="00725FCD"/>
    <w:rsid w:val="007265D2"/>
    <w:rsid w:val="007276EC"/>
    <w:rsid w:val="00727B13"/>
    <w:rsid w:val="00730924"/>
    <w:rsid w:val="0073097D"/>
    <w:rsid w:val="00730AC9"/>
    <w:rsid w:val="00730E4F"/>
    <w:rsid w:val="00731EE6"/>
    <w:rsid w:val="00732085"/>
    <w:rsid w:val="0073209E"/>
    <w:rsid w:val="007325A8"/>
    <w:rsid w:val="0073297D"/>
    <w:rsid w:val="007334C0"/>
    <w:rsid w:val="00733682"/>
    <w:rsid w:val="00733A6F"/>
    <w:rsid w:val="00734D10"/>
    <w:rsid w:val="007355A6"/>
    <w:rsid w:val="00735D63"/>
    <w:rsid w:val="00735EC9"/>
    <w:rsid w:val="0073637F"/>
    <w:rsid w:val="00736DCE"/>
    <w:rsid w:val="00736F4B"/>
    <w:rsid w:val="0073706E"/>
    <w:rsid w:val="00737E04"/>
    <w:rsid w:val="00737F2E"/>
    <w:rsid w:val="00737F84"/>
    <w:rsid w:val="0074055F"/>
    <w:rsid w:val="0074064C"/>
    <w:rsid w:val="00740A71"/>
    <w:rsid w:val="00740C65"/>
    <w:rsid w:val="0074107B"/>
    <w:rsid w:val="00741180"/>
    <w:rsid w:val="0074148A"/>
    <w:rsid w:val="00741B5D"/>
    <w:rsid w:val="00741DE8"/>
    <w:rsid w:val="0074243E"/>
    <w:rsid w:val="007432E8"/>
    <w:rsid w:val="00743451"/>
    <w:rsid w:val="00743DBF"/>
    <w:rsid w:val="00743EE8"/>
    <w:rsid w:val="007441DC"/>
    <w:rsid w:val="00744658"/>
    <w:rsid w:val="00744C6A"/>
    <w:rsid w:val="00744DB1"/>
    <w:rsid w:val="0074538F"/>
    <w:rsid w:val="00745551"/>
    <w:rsid w:val="00745985"/>
    <w:rsid w:val="00745B6D"/>
    <w:rsid w:val="00746125"/>
    <w:rsid w:val="00746257"/>
    <w:rsid w:val="0074735F"/>
    <w:rsid w:val="007477C5"/>
    <w:rsid w:val="00747938"/>
    <w:rsid w:val="00747A2F"/>
    <w:rsid w:val="00747D4C"/>
    <w:rsid w:val="00747D58"/>
    <w:rsid w:val="00747D5F"/>
    <w:rsid w:val="00750033"/>
    <w:rsid w:val="007503D5"/>
    <w:rsid w:val="00750AB8"/>
    <w:rsid w:val="00750CF7"/>
    <w:rsid w:val="00751107"/>
    <w:rsid w:val="00751148"/>
    <w:rsid w:val="00751D98"/>
    <w:rsid w:val="007522DA"/>
    <w:rsid w:val="007525E7"/>
    <w:rsid w:val="0075265E"/>
    <w:rsid w:val="0075280C"/>
    <w:rsid w:val="00752FE4"/>
    <w:rsid w:val="00753103"/>
    <w:rsid w:val="007533D9"/>
    <w:rsid w:val="007539B8"/>
    <w:rsid w:val="00754C80"/>
    <w:rsid w:val="00754F2B"/>
    <w:rsid w:val="0075632C"/>
    <w:rsid w:val="007569C5"/>
    <w:rsid w:val="00756BC9"/>
    <w:rsid w:val="007575AE"/>
    <w:rsid w:val="007579C6"/>
    <w:rsid w:val="00760271"/>
    <w:rsid w:val="00760419"/>
    <w:rsid w:val="007604A2"/>
    <w:rsid w:val="00760CD9"/>
    <w:rsid w:val="0076154F"/>
    <w:rsid w:val="007616BF"/>
    <w:rsid w:val="00762519"/>
    <w:rsid w:val="00762AFB"/>
    <w:rsid w:val="00762CF7"/>
    <w:rsid w:val="0076306F"/>
    <w:rsid w:val="00763388"/>
    <w:rsid w:val="00763F47"/>
    <w:rsid w:val="00763F55"/>
    <w:rsid w:val="007640AF"/>
    <w:rsid w:val="00764141"/>
    <w:rsid w:val="00764265"/>
    <w:rsid w:val="007643A5"/>
    <w:rsid w:val="0076496F"/>
    <w:rsid w:val="007653C4"/>
    <w:rsid w:val="00765A1F"/>
    <w:rsid w:val="00765BA8"/>
    <w:rsid w:val="00765F38"/>
    <w:rsid w:val="00766007"/>
    <w:rsid w:val="0076670F"/>
    <w:rsid w:val="00766DA8"/>
    <w:rsid w:val="00766E99"/>
    <w:rsid w:val="007676BD"/>
    <w:rsid w:val="00767AC8"/>
    <w:rsid w:val="00767C1E"/>
    <w:rsid w:val="00770204"/>
    <w:rsid w:val="0077059D"/>
    <w:rsid w:val="0077081E"/>
    <w:rsid w:val="00770A26"/>
    <w:rsid w:val="00770B06"/>
    <w:rsid w:val="00770BB6"/>
    <w:rsid w:val="00770BE5"/>
    <w:rsid w:val="00770F11"/>
    <w:rsid w:val="00771149"/>
    <w:rsid w:val="007712BF"/>
    <w:rsid w:val="00771762"/>
    <w:rsid w:val="00771EA8"/>
    <w:rsid w:val="007723EA"/>
    <w:rsid w:val="007725C3"/>
    <w:rsid w:val="00772E5A"/>
    <w:rsid w:val="00772FED"/>
    <w:rsid w:val="00773558"/>
    <w:rsid w:val="00774098"/>
    <w:rsid w:val="00774CAA"/>
    <w:rsid w:val="007756D7"/>
    <w:rsid w:val="00775D6A"/>
    <w:rsid w:val="00775FD2"/>
    <w:rsid w:val="00776221"/>
    <w:rsid w:val="00777532"/>
    <w:rsid w:val="00777CB2"/>
    <w:rsid w:val="00777D96"/>
    <w:rsid w:val="00780282"/>
    <w:rsid w:val="00780D35"/>
    <w:rsid w:val="00780E8B"/>
    <w:rsid w:val="00781A00"/>
    <w:rsid w:val="00781F53"/>
    <w:rsid w:val="0078261E"/>
    <w:rsid w:val="00782EC4"/>
    <w:rsid w:val="00784168"/>
    <w:rsid w:val="007843E2"/>
    <w:rsid w:val="00784DAE"/>
    <w:rsid w:val="00785990"/>
    <w:rsid w:val="00785ED9"/>
    <w:rsid w:val="007862D7"/>
    <w:rsid w:val="007862E2"/>
    <w:rsid w:val="0078696E"/>
    <w:rsid w:val="0078697E"/>
    <w:rsid w:val="007870A7"/>
    <w:rsid w:val="007873E0"/>
    <w:rsid w:val="00787504"/>
    <w:rsid w:val="007879E5"/>
    <w:rsid w:val="00791538"/>
    <w:rsid w:val="0079164A"/>
    <w:rsid w:val="00791E3E"/>
    <w:rsid w:val="00791FD2"/>
    <w:rsid w:val="0079269D"/>
    <w:rsid w:val="00792A25"/>
    <w:rsid w:val="00792C61"/>
    <w:rsid w:val="00792FF2"/>
    <w:rsid w:val="007932D1"/>
    <w:rsid w:val="007936DA"/>
    <w:rsid w:val="007939BD"/>
    <w:rsid w:val="00793B3D"/>
    <w:rsid w:val="00794FD1"/>
    <w:rsid w:val="00795037"/>
    <w:rsid w:val="00795076"/>
    <w:rsid w:val="0079513A"/>
    <w:rsid w:val="00795653"/>
    <w:rsid w:val="00795BEB"/>
    <w:rsid w:val="007969DE"/>
    <w:rsid w:val="00797368"/>
    <w:rsid w:val="007A035A"/>
    <w:rsid w:val="007A05D8"/>
    <w:rsid w:val="007A0F08"/>
    <w:rsid w:val="007A10FD"/>
    <w:rsid w:val="007A1364"/>
    <w:rsid w:val="007A13A4"/>
    <w:rsid w:val="007A1785"/>
    <w:rsid w:val="007A17D3"/>
    <w:rsid w:val="007A1952"/>
    <w:rsid w:val="007A1C05"/>
    <w:rsid w:val="007A1C90"/>
    <w:rsid w:val="007A1DF5"/>
    <w:rsid w:val="007A1FEA"/>
    <w:rsid w:val="007A24A0"/>
    <w:rsid w:val="007A31ED"/>
    <w:rsid w:val="007A3C32"/>
    <w:rsid w:val="007A44F3"/>
    <w:rsid w:val="007A4524"/>
    <w:rsid w:val="007A4A85"/>
    <w:rsid w:val="007A4AB2"/>
    <w:rsid w:val="007A4F40"/>
    <w:rsid w:val="007A5102"/>
    <w:rsid w:val="007A5177"/>
    <w:rsid w:val="007A5E4E"/>
    <w:rsid w:val="007A5E68"/>
    <w:rsid w:val="007A5FEB"/>
    <w:rsid w:val="007A6138"/>
    <w:rsid w:val="007A61D4"/>
    <w:rsid w:val="007A6258"/>
    <w:rsid w:val="007A6A4E"/>
    <w:rsid w:val="007A6EC7"/>
    <w:rsid w:val="007A709A"/>
    <w:rsid w:val="007A7338"/>
    <w:rsid w:val="007A7357"/>
    <w:rsid w:val="007A7623"/>
    <w:rsid w:val="007A7749"/>
    <w:rsid w:val="007A774F"/>
    <w:rsid w:val="007A7C53"/>
    <w:rsid w:val="007B01C8"/>
    <w:rsid w:val="007B03C0"/>
    <w:rsid w:val="007B0ADB"/>
    <w:rsid w:val="007B166B"/>
    <w:rsid w:val="007B16DC"/>
    <w:rsid w:val="007B1A79"/>
    <w:rsid w:val="007B1BF7"/>
    <w:rsid w:val="007B1CBF"/>
    <w:rsid w:val="007B1D0F"/>
    <w:rsid w:val="007B273F"/>
    <w:rsid w:val="007B2B2D"/>
    <w:rsid w:val="007B2FB9"/>
    <w:rsid w:val="007B3494"/>
    <w:rsid w:val="007B36C5"/>
    <w:rsid w:val="007B37F8"/>
    <w:rsid w:val="007B39DA"/>
    <w:rsid w:val="007B46BA"/>
    <w:rsid w:val="007B4A1B"/>
    <w:rsid w:val="007B4B4C"/>
    <w:rsid w:val="007B4BE1"/>
    <w:rsid w:val="007B534E"/>
    <w:rsid w:val="007B5449"/>
    <w:rsid w:val="007B5FD1"/>
    <w:rsid w:val="007B7401"/>
    <w:rsid w:val="007B7406"/>
    <w:rsid w:val="007B766F"/>
    <w:rsid w:val="007C07F8"/>
    <w:rsid w:val="007C0C75"/>
    <w:rsid w:val="007C0F5F"/>
    <w:rsid w:val="007C1654"/>
    <w:rsid w:val="007C1D3D"/>
    <w:rsid w:val="007C26CA"/>
    <w:rsid w:val="007C29A0"/>
    <w:rsid w:val="007C2A54"/>
    <w:rsid w:val="007C404B"/>
    <w:rsid w:val="007C4BAE"/>
    <w:rsid w:val="007C68E9"/>
    <w:rsid w:val="007C6A85"/>
    <w:rsid w:val="007C6C27"/>
    <w:rsid w:val="007C6F2E"/>
    <w:rsid w:val="007C7A8E"/>
    <w:rsid w:val="007D0303"/>
    <w:rsid w:val="007D0768"/>
    <w:rsid w:val="007D0D0D"/>
    <w:rsid w:val="007D107F"/>
    <w:rsid w:val="007D12D3"/>
    <w:rsid w:val="007D1584"/>
    <w:rsid w:val="007D1D3B"/>
    <w:rsid w:val="007D2813"/>
    <w:rsid w:val="007D2C6B"/>
    <w:rsid w:val="007D44DF"/>
    <w:rsid w:val="007D4A1E"/>
    <w:rsid w:val="007D5960"/>
    <w:rsid w:val="007D5A8A"/>
    <w:rsid w:val="007D5BE5"/>
    <w:rsid w:val="007D5C0E"/>
    <w:rsid w:val="007D5CA5"/>
    <w:rsid w:val="007D6629"/>
    <w:rsid w:val="007D6E7D"/>
    <w:rsid w:val="007D71AD"/>
    <w:rsid w:val="007D78F2"/>
    <w:rsid w:val="007D7A91"/>
    <w:rsid w:val="007D7E09"/>
    <w:rsid w:val="007D7E6E"/>
    <w:rsid w:val="007E0A51"/>
    <w:rsid w:val="007E0BE3"/>
    <w:rsid w:val="007E114E"/>
    <w:rsid w:val="007E15E9"/>
    <w:rsid w:val="007E160F"/>
    <w:rsid w:val="007E1936"/>
    <w:rsid w:val="007E2113"/>
    <w:rsid w:val="007E2250"/>
    <w:rsid w:val="007E26E3"/>
    <w:rsid w:val="007E293F"/>
    <w:rsid w:val="007E3627"/>
    <w:rsid w:val="007E387B"/>
    <w:rsid w:val="007E487F"/>
    <w:rsid w:val="007E4994"/>
    <w:rsid w:val="007E4B2D"/>
    <w:rsid w:val="007E5045"/>
    <w:rsid w:val="007E54F5"/>
    <w:rsid w:val="007E587D"/>
    <w:rsid w:val="007E5CE0"/>
    <w:rsid w:val="007E6182"/>
    <w:rsid w:val="007E6757"/>
    <w:rsid w:val="007E717B"/>
    <w:rsid w:val="007E71E9"/>
    <w:rsid w:val="007E7238"/>
    <w:rsid w:val="007E73B4"/>
    <w:rsid w:val="007E73D1"/>
    <w:rsid w:val="007E73D6"/>
    <w:rsid w:val="007E7436"/>
    <w:rsid w:val="007E7B22"/>
    <w:rsid w:val="007F05B4"/>
    <w:rsid w:val="007F1150"/>
    <w:rsid w:val="007F150B"/>
    <w:rsid w:val="007F1873"/>
    <w:rsid w:val="007F187F"/>
    <w:rsid w:val="007F1B24"/>
    <w:rsid w:val="007F1BBA"/>
    <w:rsid w:val="007F1D06"/>
    <w:rsid w:val="007F27F5"/>
    <w:rsid w:val="007F319A"/>
    <w:rsid w:val="007F3BB0"/>
    <w:rsid w:val="007F3DCF"/>
    <w:rsid w:val="007F4CE5"/>
    <w:rsid w:val="007F4FFE"/>
    <w:rsid w:val="007F5BB5"/>
    <w:rsid w:val="007F5F5F"/>
    <w:rsid w:val="007F6167"/>
    <w:rsid w:val="007F66F4"/>
    <w:rsid w:val="007F67EA"/>
    <w:rsid w:val="007F6EF6"/>
    <w:rsid w:val="007F704D"/>
    <w:rsid w:val="007F776E"/>
    <w:rsid w:val="0080071E"/>
    <w:rsid w:val="00800AD1"/>
    <w:rsid w:val="008010D7"/>
    <w:rsid w:val="00801211"/>
    <w:rsid w:val="008013A4"/>
    <w:rsid w:val="0080144E"/>
    <w:rsid w:val="00801D89"/>
    <w:rsid w:val="00802221"/>
    <w:rsid w:val="00803443"/>
    <w:rsid w:val="0080354E"/>
    <w:rsid w:val="00803FE5"/>
    <w:rsid w:val="00804292"/>
    <w:rsid w:val="008047F1"/>
    <w:rsid w:val="008050F4"/>
    <w:rsid w:val="0080540B"/>
    <w:rsid w:val="0080597F"/>
    <w:rsid w:val="00805A6A"/>
    <w:rsid w:val="0080663C"/>
    <w:rsid w:val="0080680D"/>
    <w:rsid w:val="008068D7"/>
    <w:rsid w:val="008068E8"/>
    <w:rsid w:val="00806F9D"/>
    <w:rsid w:val="00807B86"/>
    <w:rsid w:val="00807CBF"/>
    <w:rsid w:val="00807D73"/>
    <w:rsid w:val="00807E86"/>
    <w:rsid w:val="0081005F"/>
    <w:rsid w:val="008106B5"/>
    <w:rsid w:val="00810760"/>
    <w:rsid w:val="008113F9"/>
    <w:rsid w:val="00811C33"/>
    <w:rsid w:val="00812755"/>
    <w:rsid w:val="008127D6"/>
    <w:rsid w:val="00812C05"/>
    <w:rsid w:val="00812E16"/>
    <w:rsid w:val="0081302F"/>
    <w:rsid w:val="0081322A"/>
    <w:rsid w:val="008135A5"/>
    <w:rsid w:val="008142CE"/>
    <w:rsid w:val="008146C9"/>
    <w:rsid w:val="00814905"/>
    <w:rsid w:val="00814C57"/>
    <w:rsid w:val="008152CE"/>
    <w:rsid w:val="008158EB"/>
    <w:rsid w:val="00815B3B"/>
    <w:rsid w:val="00815E44"/>
    <w:rsid w:val="008162AB"/>
    <w:rsid w:val="0081656A"/>
    <w:rsid w:val="00816621"/>
    <w:rsid w:val="00816D08"/>
    <w:rsid w:val="00817217"/>
    <w:rsid w:val="0081754B"/>
    <w:rsid w:val="0081756E"/>
    <w:rsid w:val="00817A8D"/>
    <w:rsid w:val="00817BD1"/>
    <w:rsid w:val="00817D72"/>
    <w:rsid w:val="008201F2"/>
    <w:rsid w:val="00820ADE"/>
    <w:rsid w:val="00820CE4"/>
    <w:rsid w:val="008213F0"/>
    <w:rsid w:val="00821691"/>
    <w:rsid w:val="0082199F"/>
    <w:rsid w:val="00821A3A"/>
    <w:rsid w:val="00821ECF"/>
    <w:rsid w:val="00821F85"/>
    <w:rsid w:val="0082217C"/>
    <w:rsid w:val="0082225F"/>
    <w:rsid w:val="00822668"/>
    <w:rsid w:val="00822B9B"/>
    <w:rsid w:val="00823044"/>
    <w:rsid w:val="00823850"/>
    <w:rsid w:val="00823894"/>
    <w:rsid w:val="008239FB"/>
    <w:rsid w:val="00826C01"/>
    <w:rsid w:val="00826E1D"/>
    <w:rsid w:val="00826E8B"/>
    <w:rsid w:val="00827591"/>
    <w:rsid w:val="00827774"/>
    <w:rsid w:val="0082791F"/>
    <w:rsid w:val="008305B2"/>
    <w:rsid w:val="008309C5"/>
    <w:rsid w:val="00830BBE"/>
    <w:rsid w:val="00830D4A"/>
    <w:rsid w:val="00831264"/>
    <w:rsid w:val="008312A0"/>
    <w:rsid w:val="008317F6"/>
    <w:rsid w:val="0083182A"/>
    <w:rsid w:val="008319A1"/>
    <w:rsid w:val="00831AB1"/>
    <w:rsid w:val="00831F58"/>
    <w:rsid w:val="00832452"/>
    <w:rsid w:val="0083281C"/>
    <w:rsid w:val="00832EF6"/>
    <w:rsid w:val="00832F39"/>
    <w:rsid w:val="00833195"/>
    <w:rsid w:val="00833CD6"/>
    <w:rsid w:val="00833E33"/>
    <w:rsid w:val="008340B8"/>
    <w:rsid w:val="00834755"/>
    <w:rsid w:val="00834830"/>
    <w:rsid w:val="00834C71"/>
    <w:rsid w:val="00834F35"/>
    <w:rsid w:val="00835238"/>
    <w:rsid w:val="008352E1"/>
    <w:rsid w:val="008354D7"/>
    <w:rsid w:val="00835A1C"/>
    <w:rsid w:val="00836508"/>
    <w:rsid w:val="00837412"/>
    <w:rsid w:val="008377CF"/>
    <w:rsid w:val="00837ABE"/>
    <w:rsid w:val="00840D1E"/>
    <w:rsid w:val="00841046"/>
    <w:rsid w:val="00841E10"/>
    <w:rsid w:val="00841EE2"/>
    <w:rsid w:val="00842278"/>
    <w:rsid w:val="00842901"/>
    <w:rsid w:val="00842ADE"/>
    <w:rsid w:val="00842BC8"/>
    <w:rsid w:val="00843078"/>
    <w:rsid w:val="008430F1"/>
    <w:rsid w:val="00843467"/>
    <w:rsid w:val="00843E6F"/>
    <w:rsid w:val="00843F24"/>
    <w:rsid w:val="008444C4"/>
    <w:rsid w:val="00844BB3"/>
    <w:rsid w:val="00844BBE"/>
    <w:rsid w:val="0084528C"/>
    <w:rsid w:val="008453BB"/>
    <w:rsid w:val="0084578E"/>
    <w:rsid w:val="0084629F"/>
    <w:rsid w:val="00846944"/>
    <w:rsid w:val="00846E4A"/>
    <w:rsid w:val="00847931"/>
    <w:rsid w:val="00847BC4"/>
    <w:rsid w:val="00847C72"/>
    <w:rsid w:val="00847E97"/>
    <w:rsid w:val="008502BD"/>
    <w:rsid w:val="00850B83"/>
    <w:rsid w:val="00850CFF"/>
    <w:rsid w:val="00851AF5"/>
    <w:rsid w:val="00851E14"/>
    <w:rsid w:val="00851FB5"/>
    <w:rsid w:val="00851FF7"/>
    <w:rsid w:val="00852A1C"/>
    <w:rsid w:val="008533E6"/>
    <w:rsid w:val="008535A8"/>
    <w:rsid w:val="008539EE"/>
    <w:rsid w:val="00854022"/>
    <w:rsid w:val="00854685"/>
    <w:rsid w:val="00854879"/>
    <w:rsid w:val="00854D25"/>
    <w:rsid w:val="00854DAA"/>
    <w:rsid w:val="008564C0"/>
    <w:rsid w:val="00856A5D"/>
    <w:rsid w:val="00857486"/>
    <w:rsid w:val="00860137"/>
    <w:rsid w:val="008606C2"/>
    <w:rsid w:val="0086074A"/>
    <w:rsid w:val="00860AE7"/>
    <w:rsid w:val="00861008"/>
    <w:rsid w:val="008611D0"/>
    <w:rsid w:val="008614FA"/>
    <w:rsid w:val="00861BF0"/>
    <w:rsid w:val="00861FA8"/>
    <w:rsid w:val="008620D3"/>
    <w:rsid w:val="008622D1"/>
    <w:rsid w:val="00862358"/>
    <w:rsid w:val="008623F3"/>
    <w:rsid w:val="00862629"/>
    <w:rsid w:val="008626EA"/>
    <w:rsid w:val="00862AD9"/>
    <w:rsid w:val="00862EAA"/>
    <w:rsid w:val="00862FE9"/>
    <w:rsid w:val="00863682"/>
    <w:rsid w:val="00863A18"/>
    <w:rsid w:val="00863B9C"/>
    <w:rsid w:val="00863CF6"/>
    <w:rsid w:val="00864175"/>
    <w:rsid w:val="00864602"/>
    <w:rsid w:val="008647DE"/>
    <w:rsid w:val="00864B53"/>
    <w:rsid w:val="00864B95"/>
    <w:rsid w:val="00865978"/>
    <w:rsid w:val="00865A66"/>
    <w:rsid w:val="00865AA1"/>
    <w:rsid w:val="008668D6"/>
    <w:rsid w:val="008705CC"/>
    <w:rsid w:val="008706CD"/>
    <w:rsid w:val="00870A39"/>
    <w:rsid w:val="00870A74"/>
    <w:rsid w:val="00870E15"/>
    <w:rsid w:val="00871472"/>
    <w:rsid w:val="008714A7"/>
    <w:rsid w:val="008714C3"/>
    <w:rsid w:val="008720B9"/>
    <w:rsid w:val="008720D2"/>
    <w:rsid w:val="0087299F"/>
    <w:rsid w:val="00873296"/>
    <w:rsid w:val="00873DEE"/>
    <w:rsid w:val="00873FF9"/>
    <w:rsid w:val="0087464A"/>
    <w:rsid w:val="00874E5F"/>
    <w:rsid w:val="00875AB3"/>
    <w:rsid w:val="00875D6A"/>
    <w:rsid w:val="00876446"/>
    <w:rsid w:val="0087670A"/>
    <w:rsid w:val="00876E02"/>
    <w:rsid w:val="008771DB"/>
    <w:rsid w:val="008774C6"/>
    <w:rsid w:val="00877777"/>
    <w:rsid w:val="008779C5"/>
    <w:rsid w:val="008800BE"/>
    <w:rsid w:val="008800D3"/>
    <w:rsid w:val="00880960"/>
    <w:rsid w:val="00880B52"/>
    <w:rsid w:val="00880DFC"/>
    <w:rsid w:val="0088158C"/>
    <w:rsid w:val="008819E2"/>
    <w:rsid w:val="00881F97"/>
    <w:rsid w:val="00882740"/>
    <w:rsid w:val="00882D51"/>
    <w:rsid w:val="0088308D"/>
    <w:rsid w:val="00883378"/>
    <w:rsid w:val="0088345B"/>
    <w:rsid w:val="0088351E"/>
    <w:rsid w:val="00883BE4"/>
    <w:rsid w:val="008849E1"/>
    <w:rsid w:val="008859C0"/>
    <w:rsid w:val="00885B21"/>
    <w:rsid w:val="00885D5F"/>
    <w:rsid w:val="00885FAE"/>
    <w:rsid w:val="008861C2"/>
    <w:rsid w:val="00886852"/>
    <w:rsid w:val="00886855"/>
    <w:rsid w:val="00886CDD"/>
    <w:rsid w:val="00886CFB"/>
    <w:rsid w:val="00886D21"/>
    <w:rsid w:val="00886E76"/>
    <w:rsid w:val="0088717E"/>
    <w:rsid w:val="00887BC9"/>
    <w:rsid w:val="00890934"/>
    <w:rsid w:val="00890E8C"/>
    <w:rsid w:val="008913FC"/>
    <w:rsid w:val="0089159D"/>
    <w:rsid w:val="008918F8"/>
    <w:rsid w:val="00891EF9"/>
    <w:rsid w:val="00892143"/>
    <w:rsid w:val="0089214D"/>
    <w:rsid w:val="008929C0"/>
    <w:rsid w:val="00892EE8"/>
    <w:rsid w:val="00893C0D"/>
    <w:rsid w:val="00893C8D"/>
    <w:rsid w:val="00893FCA"/>
    <w:rsid w:val="008940A9"/>
    <w:rsid w:val="008946AC"/>
    <w:rsid w:val="00894792"/>
    <w:rsid w:val="00894D2C"/>
    <w:rsid w:val="0089522A"/>
    <w:rsid w:val="008952FF"/>
    <w:rsid w:val="008962D7"/>
    <w:rsid w:val="00896E78"/>
    <w:rsid w:val="0089715A"/>
    <w:rsid w:val="00897BA7"/>
    <w:rsid w:val="008A15FA"/>
    <w:rsid w:val="008A1CAD"/>
    <w:rsid w:val="008A20DA"/>
    <w:rsid w:val="008A2386"/>
    <w:rsid w:val="008A3539"/>
    <w:rsid w:val="008A3631"/>
    <w:rsid w:val="008A3942"/>
    <w:rsid w:val="008A3B77"/>
    <w:rsid w:val="008A3E0A"/>
    <w:rsid w:val="008A4471"/>
    <w:rsid w:val="008A461F"/>
    <w:rsid w:val="008A53B3"/>
    <w:rsid w:val="008A55C8"/>
    <w:rsid w:val="008A577E"/>
    <w:rsid w:val="008A602D"/>
    <w:rsid w:val="008A6DC3"/>
    <w:rsid w:val="008A73D7"/>
    <w:rsid w:val="008B0230"/>
    <w:rsid w:val="008B02E6"/>
    <w:rsid w:val="008B140E"/>
    <w:rsid w:val="008B1E54"/>
    <w:rsid w:val="008B210D"/>
    <w:rsid w:val="008B23F0"/>
    <w:rsid w:val="008B2554"/>
    <w:rsid w:val="008B318A"/>
    <w:rsid w:val="008B39B4"/>
    <w:rsid w:val="008B3A72"/>
    <w:rsid w:val="008B4244"/>
    <w:rsid w:val="008B42F7"/>
    <w:rsid w:val="008B4582"/>
    <w:rsid w:val="008B49ED"/>
    <w:rsid w:val="008B4FE1"/>
    <w:rsid w:val="008B572A"/>
    <w:rsid w:val="008B57B9"/>
    <w:rsid w:val="008B5C8F"/>
    <w:rsid w:val="008B5F16"/>
    <w:rsid w:val="008B5F3F"/>
    <w:rsid w:val="008B7167"/>
    <w:rsid w:val="008B7186"/>
    <w:rsid w:val="008B758B"/>
    <w:rsid w:val="008B7722"/>
    <w:rsid w:val="008B7BAC"/>
    <w:rsid w:val="008B7D9C"/>
    <w:rsid w:val="008C03AF"/>
    <w:rsid w:val="008C0460"/>
    <w:rsid w:val="008C06F5"/>
    <w:rsid w:val="008C0E5C"/>
    <w:rsid w:val="008C111F"/>
    <w:rsid w:val="008C139B"/>
    <w:rsid w:val="008C1502"/>
    <w:rsid w:val="008C1BC8"/>
    <w:rsid w:val="008C1DDB"/>
    <w:rsid w:val="008C2B2F"/>
    <w:rsid w:val="008C2B9F"/>
    <w:rsid w:val="008C35D8"/>
    <w:rsid w:val="008C3958"/>
    <w:rsid w:val="008C431B"/>
    <w:rsid w:val="008C4873"/>
    <w:rsid w:val="008C4EDB"/>
    <w:rsid w:val="008C5663"/>
    <w:rsid w:val="008C57E4"/>
    <w:rsid w:val="008C5D0E"/>
    <w:rsid w:val="008C5DC6"/>
    <w:rsid w:val="008C5FFD"/>
    <w:rsid w:val="008C6140"/>
    <w:rsid w:val="008C63E3"/>
    <w:rsid w:val="008C6D99"/>
    <w:rsid w:val="008C761F"/>
    <w:rsid w:val="008C7627"/>
    <w:rsid w:val="008C7BD3"/>
    <w:rsid w:val="008C7DF8"/>
    <w:rsid w:val="008D0B28"/>
    <w:rsid w:val="008D110D"/>
    <w:rsid w:val="008D1851"/>
    <w:rsid w:val="008D1C66"/>
    <w:rsid w:val="008D2A8C"/>
    <w:rsid w:val="008D3111"/>
    <w:rsid w:val="008D31DC"/>
    <w:rsid w:val="008D3333"/>
    <w:rsid w:val="008D348B"/>
    <w:rsid w:val="008D350A"/>
    <w:rsid w:val="008D3E8C"/>
    <w:rsid w:val="008D3F80"/>
    <w:rsid w:val="008D412D"/>
    <w:rsid w:val="008D41E5"/>
    <w:rsid w:val="008D43D2"/>
    <w:rsid w:val="008D4598"/>
    <w:rsid w:val="008D47E2"/>
    <w:rsid w:val="008D4D38"/>
    <w:rsid w:val="008D4E3C"/>
    <w:rsid w:val="008D64BE"/>
    <w:rsid w:val="008D6742"/>
    <w:rsid w:val="008D69CD"/>
    <w:rsid w:val="008D6FD2"/>
    <w:rsid w:val="008D726C"/>
    <w:rsid w:val="008D7635"/>
    <w:rsid w:val="008D7DBF"/>
    <w:rsid w:val="008E08A4"/>
    <w:rsid w:val="008E0F3D"/>
    <w:rsid w:val="008E1B16"/>
    <w:rsid w:val="008E1E84"/>
    <w:rsid w:val="008E27E6"/>
    <w:rsid w:val="008E2BE4"/>
    <w:rsid w:val="008E38FF"/>
    <w:rsid w:val="008E3F3A"/>
    <w:rsid w:val="008E3FF9"/>
    <w:rsid w:val="008E4081"/>
    <w:rsid w:val="008E4118"/>
    <w:rsid w:val="008E43E3"/>
    <w:rsid w:val="008E4720"/>
    <w:rsid w:val="008E4AC6"/>
    <w:rsid w:val="008E4CF9"/>
    <w:rsid w:val="008E50D3"/>
    <w:rsid w:val="008E561D"/>
    <w:rsid w:val="008E6705"/>
    <w:rsid w:val="008E6A6B"/>
    <w:rsid w:val="008E6ADB"/>
    <w:rsid w:val="008E6B4E"/>
    <w:rsid w:val="008E7970"/>
    <w:rsid w:val="008E7C34"/>
    <w:rsid w:val="008F000D"/>
    <w:rsid w:val="008F0526"/>
    <w:rsid w:val="008F09D1"/>
    <w:rsid w:val="008F0C36"/>
    <w:rsid w:val="008F137F"/>
    <w:rsid w:val="008F1481"/>
    <w:rsid w:val="008F1D8A"/>
    <w:rsid w:val="008F2690"/>
    <w:rsid w:val="008F341E"/>
    <w:rsid w:val="008F377B"/>
    <w:rsid w:val="008F3A71"/>
    <w:rsid w:val="008F406A"/>
    <w:rsid w:val="008F42FD"/>
    <w:rsid w:val="008F4D39"/>
    <w:rsid w:val="008F4EC4"/>
    <w:rsid w:val="008F59E5"/>
    <w:rsid w:val="008F60B1"/>
    <w:rsid w:val="008F61EB"/>
    <w:rsid w:val="008F7259"/>
    <w:rsid w:val="008F7C4F"/>
    <w:rsid w:val="00900327"/>
    <w:rsid w:val="0090098A"/>
    <w:rsid w:val="00900EDD"/>
    <w:rsid w:val="00901820"/>
    <w:rsid w:val="00901FCF"/>
    <w:rsid w:val="00902222"/>
    <w:rsid w:val="009027D9"/>
    <w:rsid w:val="00902920"/>
    <w:rsid w:val="00902C4E"/>
    <w:rsid w:val="00903162"/>
    <w:rsid w:val="00903687"/>
    <w:rsid w:val="00903886"/>
    <w:rsid w:val="00904098"/>
    <w:rsid w:val="00904DE1"/>
    <w:rsid w:val="00905408"/>
    <w:rsid w:val="00905506"/>
    <w:rsid w:val="00905901"/>
    <w:rsid w:val="00905BD2"/>
    <w:rsid w:val="00905C20"/>
    <w:rsid w:val="0090608B"/>
    <w:rsid w:val="0090632A"/>
    <w:rsid w:val="00906C87"/>
    <w:rsid w:val="00907D1A"/>
    <w:rsid w:val="00910353"/>
    <w:rsid w:val="00911061"/>
    <w:rsid w:val="0091110F"/>
    <w:rsid w:val="009116E1"/>
    <w:rsid w:val="009118BB"/>
    <w:rsid w:val="00911FC5"/>
    <w:rsid w:val="009121A9"/>
    <w:rsid w:val="00912CB1"/>
    <w:rsid w:val="00912DA1"/>
    <w:rsid w:val="0091391E"/>
    <w:rsid w:val="00913D2C"/>
    <w:rsid w:val="00913FC8"/>
    <w:rsid w:val="00915512"/>
    <w:rsid w:val="00915603"/>
    <w:rsid w:val="00915771"/>
    <w:rsid w:val="00915C5D"/>
    <w:rsid w:val="00915ECA"/>
    <w:rsid w:val="0091600E"/>
    <w:rsid w:val="00916500"/>
    <w:rsid w:val="00916541"/>
    <w:rsid w:val="00916E57"/>
    <w:rsid w:val="00916F3E"/>
    <w:rsid w:val="00917D7D"/>
    <w:rsid w:val="00917FD5"/>
    <w:rsid w:val="00920914"/>
    <w:rsid w:val="009217C7"/>
    <w:rsid w:val="00921D85"/>
    <w:rsid w:val="00921E1B"/>
    <w:rsid w:val="00922034"/>
    <w:rsid w:val="00922142"/>
    <w:rsid w:val="00922989"/>
    <w:rsid w:val="00922AC8"/>
    <w:rsid w:val="00922DB3"/>
    <w:rsid w:val="009233CC"/>
    <w:rsid w:val="00923A85"/>
    <w:rsid w:val="00923FF6"/>
    <w:rsid w:val="009240D8"/>
    <w:rsid w:val="00924118"/>
    <w:rsid w:val="009246D0"/>
    <w:rsid w:val="00924ACA"/>
    <w:rsid w:val="0092510C"/>
    <w:rsid w:val="0092511C"/>
    <w:rsid w:val="0092523D"/>
    <w:rsid w:val="009256A9"/>
    <w:rsid w:val="00925F0A"/>
    <w:rsid w:val="00926199"/>
    <w:rsid w:val="00926728"/>
    <w:rsid w:val="00926939"/>
    <w:rsid w:val="00926A3F"/>
    <w:rsid w:val="00926EE7"/>
    <w:rsid w:val="00927BAD"/>
    <w:rsid w:val="00927DC7"/>
    <w:rsid w:val="00930D40"/>
    <w:rsid w:val="00931326"/>
    <w:rsid w:val="009314CD"/>
    <w:rsid w:val="0093198E"/>
    <w:rsid w:val="00931A4E"/>
    <w:rsid w:val="00931B7A"/>
    <w:rsid w:val="00932254"/>
    <w:rsid w:val="009322A8"/>
    <w:rsid w:val="009322C9"/>
    <w:rsid w:val="00932347"/>
    <w:rsid w:val="00932A42"/>
    <w:rsid w:val="00933704"/>
    <w:rsid w:val="00933C45"/>
    <w:rsid w:val="00933CB5"/>
    <w:rsid w:val="00934477"/>
    <w:rsid w:val="00934B17"/>
    <w:rsid w:val="00935289"/>
    <w:rsid w:val="009360D7"/>
    <w:rsid w:val="009362C9"/>
    <w:rsid w:val="00936996"/>
    <w:rsid w:val="009369BA"/>
    <w:rsid w:val="00936BC0"/>
    <w:rsid w:val="00937144"/>
    <w:rsid w:val="00937416"/>
    <w:rsid w:val="0093765A"/>
    <w:rsid w:val="00937798"/>
    <w:rsid w:val="00937CA6"/>
    <w:rsid w:val="00937DDF"/>
    <w:rsid w:val="00937E5F"/>
    <w:rsid w:val="00941B90"/>
    <w:rsid w:val="00942156"/>
    <w:rsid w:val="00942208"/>
    <w:rsid w:val="00942387"/>
    <w:rsid w:val="00942394"/>
    <w:rsid w:val="009432EA"/>
    <w:rsid w:val="009436EB"/>
    <w:rsid w:val="00943C23"/>
    <w:rsid w:val="00944278"/>
    <w:rsid w:val="009445E2"/>
    <w:rsid w:val="00945E08"/>
    <w:rsid w:val="009460A0"/>
    <w:rsid w:val="0094626F"/>
    <w:rsid w:val="009462D2"/>
    <w:rsid w:val="00946454"/>
    <w:rsid w:val="009469E5"/>
    <w:rsid w:val="00946F19"/>
    <w:rsid w:val="00947F9A"/>
    <w:rsid w:val="0095164C"/>
    <w:rsid w:val="00951A09"/>
    <w:rsid w:val="00951C98"/>
    <w:rsid w:val="009526D8"/>
    <w:rsid w:val="0095270F"/>
    <w:rsid w:val="00952C78"/>
    <w:rsid w:val="0095489B"/>
    <w:rsid w:val="00954916"/>
    <w:rsid w:val="00954936"/>
    <w:rsid w:val="00954F23"/>
    <w:rsid w:val="0095527C"/>
    <w:rsid w:val="00955643"/>
    <w:rsid w:val="009566FE"/>
    <w:rsid w:val="0095692C"/>
    <w:rsid w:val="00956B3E"/>
    <w:rsid w:val="00957609"/>
    <w:rsid w:val="00957651"/>
    <w:rsid w:val="00957F88"/>
    <w:rsid w:val="009603FF"/>
    <w:rsid w:val="00960CCB"/>
    <w:rsid w:val="00961471"/>
    <w:rsid w:val="00961F6A"/>
    <w:rsid w:val="00962095"/>
    <w:rsid w:val="00962D42"/>
    <w:rsid w:val="0096385F"/>
    <w:rsid w:val="009646CC"/>
    <w:rsid w:val="009652D5"/>
    <w:rsid w:val="00965724"/>
    <w:rsid w:val="00965DD1"/>
    <w:rsid w:val="009667D4"/>
    <w:rsid w:val="009669CD"/>
    <w:rsid w:val="00966BBB"/>
    <w:rsid w:val="009674CB"/>
    <w:rsid w:val="0096763A"/>
    <w:rsid w:val="009677F8"/>
    <w:rsid w:val="00970888"/>
    <w:rsid w:val="00970D12"/>
    <w:rsid w:val="00971146"/>
    <w:rsid w:val="00971276"/>
    <w:rsid w:val="00972752"/>
    <w:rsid w:val="00972A9A"/>
    <w:rsid w:val="0097377D"/>
    <w:rsid w:val="00973E8D"/>
    <w:rsid w:val="009742F8"/>
    <w:rsid w:val="00974484"/>
    <w:rsid w:val="0097520A"/>
    <w:rsid w:val="0097592A"/>
    <w:rsid w:val="009767D5"/>
    <w:rsid w:val="00976935"/>
    <w:rsid w:val="00976E60"/>
    <w:rsid w:val="0097727E"/>
    <w:rsid w:val="009776D1"/>
    <w:rsid w:val="00977C74"/>
    <w:rsid w:val="0098071D"/>
    <w:rsid w:val="00980BC1"/>
    <w:rsid w:val="009818E5"/>
    <w:rsid w:val="00981C1C"/>
    <w:rsid w:val="00981D57"/>
    <w:rsid w:val="00981F7D"/>
    <w:rsid w:val="009827C5"/>
    <w:rsid w:val="00982AC6"/>
    <w:rsid w:val="00982B3E"/>
    <w:rsid w:val="00982CDF"/>
    <w:rsid w:val="0098302C"/>
    <w:rsid w:val="0098348A"/>
    <w:rsid w:val="009835B5"/>
    <w:rsid w:val="00983786"/>
    <w:rsid w:val="00983D8B"/>
    <w:rsid w:val="00983E49"/>
    <w:rsid w:val="009842C1"/>
    <w:rsid w:val="009848B0"/>
    <w:rsid w:val="00984BE3"/>
    <w:rsid w:val="00984F72"/>
    <w:rsid w:val="00985165"/>
    <w:rsid w:val="0098567F"/>
    <w:rsid w:val="00985899"/>
    <w:rsid w:val="00985A1C"/>
    <w:rsid w:val="00985CE4"/>
    <w:rsid w:val="00985D97"/>
    <w:rsid w:val="00985E35"/>
    <w:rsid w:val="00985F13"/>
    <w:rsid w:val="00986228"/>
    <w:rsid w:val="00986296"/>
    <w:rsid w:val="00986B8A"/>
    <w:rsid w:val="00986BC7"/>
    <w:rsid w:val="00986CF4"/>
    <w:rsid w:val="00987B4D"/>
    <w:rsid w:val="00987EC8"/>
    <w:rsid w:val="009904F1"/>
    <w:rsid w:val="00990A74"/>
    <w:rsid w:val="00990C79"/>
    <w:rsid w:val="00990FA3"/>
    <w:rsid w:val="00991675"/>
    <w:rsid w:val="009918DA"/>
    <w:rsid w:val="00992008"/>
    <w:rsid w:val="009922E5"/>
    <w:rsid w:val="00992466"/>
    <w:rsid w:val="00992771"/>
    <w:rsid w:val="0099325C"/>
    <w:rsid w:val="0099338E"/>
    <w:rsid w:val="009937BD"/>
    <w:rsid w:val="009939DF"/>
    <w:rsid w:val="009947EE"/>
    <w:rsid w:val="00994B53"/>
    <w:rsid w:val="009953DB"/>
    <w:rsid w:val="00995758"/>
    <w:rsid w:val="00995823"/>
    <w:rsid w:val="009958E6"/>
    <w:rsid w:val="00995CD9"/>
    <w:rsid w:val="00995CDF"/>
    <w:rsid w:val="009961A4"/>
    <w:rsid w:val="00996409"/>
    <w:rsid w:val="009964FF"/>
    <w:rsid w:val="00996AAD"/>
    <w:rsid w:val="00996BFF"/>
    <w:rsid w:val="00996D00"/>
    <w:rsid w:val="0099732F"/>
    <w:rsid w:val="00997977"/>
    <w:rsid w:val="00997F08"/>
    <w:rsid w:val="009A03DC"/>
    <w:rsid w:val="009A04C1"/>
    <w:rsid w:val="009A0679"/>
    <w:rsid w:val="009A08BD"/>
    <w:rsid w:val="009A19BD"/>
    <w:rsid w:val="009A1A12"/>
    <w:rsid w:val="009A1B64"/>
    <w:rsid w:val="009A1DC2"/>
    <w:rsid w:val="009A20F1"/>
    <w:rsid w:val="009A21CE"/>
    <w:rsid w:val="009A2334"/>
    <w:rsid w:val="009A25EB"/>
    <w:rsid w:val="009A2870"/>
    <w:rsid w:val="009A28A7"/>
    <w:rsid w:val="009A2E9F"/>
    <w:rsid w:val="009A2EF2"/>
    <w:rsid w:val="009A316E"/>
    <w:rsid w:val="009A3F75"/>
    <w:rsid w:val="009A4D1F"/>
    <w:rsid w:val="009A4DE6"/>
    <w:rsid w:val="009A518B"/>
    <w:rsid w:val="009A558B"/>
    <w:rsid w:val="009A5821"/>
    <w:rsid w:val="009A5C4B"/>
    <w:rsid w:val="009A5CEC"/>
    <w:rsid w:val="009A5DDD"/>
    <w:rsid w:val="009A6586"/>
    <w:rsid w:val="009A6CF3"/>
    <w:rsid w:val="009A6EA4"/>
    <w:rsid w:val="009A732D"/>
    <w:rsid w:val="009A734C"/>
    <w:rsid w:val="009A7718"/>
    <w:rsid w:val="009A777F"/>
    <w:rsid w:val="009A7C0A"/>
    <w:rsid w:val="009B0799"/>
    <w:rsid w:val="009B0B12"/>
    <w:rsid w:val="009B0B52"/>
    <w:rsid w:val="009B1034"/>
    <w:rsid w:val="009B1C50"/>
    <w:rsid w:val="009B203F"/>
    <w:rsid w:val="009B217D"/>
    <w:rsid w:val="009B38B0"/>
    <w:rsid w:val="009B43BF"/>
    <w:rsid w:val="009B4A2D"/>
    <w:rsid w:val="009B5675"/>
    <w:rsid w:val="009B5A07"/>
    <w:rsid w:val="009B5BE5"/>
    <w:rsid w:val="009B6274"/>
    <w:rsid w:val="009B64D6"/>
    <w:rsid w:val="009B6F5A"/>
    <w:rsid w:val="009B7046"/>
    <w:rsid w:val="009B722D"/>
    <w:rsid w:val="009B745C"/>
    <w:rsid w:val="009C0E02"/>
    <w:rsid w:val="009C1165"/>
    <w:rsid w:val="009C18B8"/>
    <w:rsid w:val="009C1E0B"/>
    <w:rsid w:val="009C1F2F"/>
    <w:rsid w:val="009C21B7"/>
    <w:rsid w:val="009C22F8"/>
    <w:rsid w:val="009C24E4"/>
    <w:rsid w:val="009C30A1"/>
    <w:rsid w:val="009C34C3"/>
    <w:rsid w:val="009C47EB"/>
    <w:rsid w:val="009C4B23"/>
    <w:rsid w:val="009C4E24"/>
    <w:rsid w:val="009C5219"/>
    <w:rsid w:val="009C52FE"/>
    <w:rsid w:val="009C546A"/>
    <w:rsid w:val="009C591A"/>
    <w:rsid w:val="009C593A"/>
    <w:rsid w:val="009C711C"/>
    <w:rsid w:val="009C7304"/>
    <w:rsid w:val="009C766E"/>
    <w:rsid w:val="009C79C3"/>
    <w:rsid w:val="009D037F"/>
    <w:rsid w:val="009D0618"/>
    <w:rsid w:val="009D09DA"/>
    <w:rsid w:val="009D0A60"/>
    <w:rsid w:val="009D0E31"/>
    <w:rsid w:val="009D109B"/>
    <w:rsid w:val="009D126F"/>
    <w:rsid w:val="009D226C"/>
    <w:rsid w:val="009D2847"/>
    <w:rsid w:val="009D2CDA"/>
    <w:rsid w:val="009D3A94"/>
    <w:rsid w:val="009D3A97"/>
    <w:rsid w:val="009D3E45"/>
    <w:rsid w:val="009D4CB2"/>
    <w:rsid w:val="009D4D04"/>
    <w:rsid w:val="009D4E7F"/>
    <w:rsid w:val="009D4F53"/>
    <w:rsid w:val="009D51E4"/>
    <w:rsid w:val="009D5402"/>
    <w:rsid w:val="009D545A"/>
    <w:rsid w:val="009D5F3A"/>
    <w:rsid w:val="009D6D44"/>
    <w:rsid w:val="009D7E68"/>
    <w:rsid w:val="009E01EA"/>
    <w:rsid w:val="009E08F9"/>
    <w:rsid w:val="009E0AB5"/>
    <w:rsid w:val="009E1147"/>
    <w:rsid w:val="009E129E"/>
    <w:rsid w:val="009E13D4"/>
    <w:rsid w:val="009E1B6B"/>
    <w:rsid w:val="009E1D6F"/>
    <w:rsid w:val="009E20C1"/>
    <w:rsid w:val="009E2100"/>
    <w:rsid w:val="009E22FA"/>
    <w:rsid w:val="009E2F2B"/>
    <w:rsid w:val="009E333F"/>
    <w:rsid w:val="009E3666"/>
    <w:rsid w:val="009E368E"/>
    <w:rsid w:val="009E3E22"/>
    <w:rsid w:val="009E3F96"/>
    <w:rsid w:val="009E42C1"/>
    <w:rsid w:val="009E4744"/>
    <w:rsid w:val="009E4EC9"/>
    <w:rsid w:val="009E52FC"/>
    <w:rsid w:val="009E537F"/>
    <w:rsid w:val="009E5D5A"/>
    <w:rsid w:val="009E6B56"/>
    <w:rsid w:val="009E6C97"/>
    <w:rsid w:val="009E76D4"/>
    <w:rsid w:val="009F04A4"/>
    <w:rsid w:val="009F061B"/>
    <w:rsid w:val="009F1454"/>
    <w:rsid w:val="009F1566"/>
    <w:rsid w:val="009F1757"/>
    <w:rsid w:val="009F19BD"/>
    <w:rsid w:val="009F1AA1"/>
    <w:rsid w:val="009F2262"/>
    <w:rsid w:val="009F232A"/>
    <w:rsid w:val="009F2CD1"/>
    <w:rsid w:val="009F2F47"/>
    <w:rsid w:val="009F315E"/>
    <w:rsid w:val="009F318C"/>
    <w:rsid w:val="009F363F"/>
    <w:rsid w:val="009F40C8"/>
    <w:rsid w:val="009F4262"/>
    <w:rsid w:val="009F4833"/>
    <w:rsid w:val="009F49EC"/>
    <w:rsid w:val="009F4ADA"/>
    <w:rsid w:val="009F5F41"/>
    <w:rsid w:val="009F6655"/>
    <w:rsid w:val="009F6A0D"/>
    <w:rsid w:val="009F6A0F"/>
    <w:rsid w:val="009F773C"/>
    <w:rsid w:val="00A00254"/>
    <w:rsid w:val="00A00DED"/>
    <w:rsid w:val="00A00F24"/>
    <w:rsid w:val="00A01ABC"/>
    <w:rsid w:val="00A02EFE"/>
    <w:rsid w:val="00A030FD"/>
    <w:rsid w:val="00A03256"/>
    <w:rsid w:val="00A0337A"/>
    <w:rsid w:val="00A03611"/>
    <w:rsid w:val="00A045B3"/>
    <w:rsid w:val="00A04636"/>
    <w:rsid w:val="00A046A3"/>
    <w:rsid w:val="00A0477E"/>
    <w:rsid w:val="00A0483B"/>
    <w:rsid w:val="00A05324"/>
    <w:rsid w:val="00A05787"/>
    <w:rsid w:val="00A058E1"/>
    <w:rsid w:val="00A05C06"/>
    <w:rsid w:val="00A05DF5"/>
    <w:rsid w:val="00A05E93"/>
    <w:rsid w:val="00A077F3"/>
    <w:rsid w:val="00A07991"/>
    <w:rsid w:val="00A07F58"/>
    <w:rsid w:val="00A07FCE"/>
    <w:rsid w:val="00A10079"/>
    <w:rsid w:val="00A10131"/>
    <w:rsid w:val="00A101A3"/>
    <w:rsid w:val="00A105EE"/>
    <w:rsid w:val="00A106F5"/>
    <w:rsid w:val="00A108BB"/>
    <w:rsid w:val="00A10CDE"/>
    <w:rsid w:val="00A10E5E"/>
    <w:rsid w:val="00A11137"/>
    <w:rsid w:val="00A119CF"/>
    <w:rsid w:val="00A12F02"/>
    <w:rsid w:val="00A13049"/>
    <w:rsid w:val="00A133B9"/>
    <w:rsid w:val="00A13549"/>
    <w:rsid w:val="00A13831"/>
    <w:rsid w:val="00A13988"/>
    <w:rsid w:val="00A13D0B"/>
    <w:rsid w:val="00A13E76"/>
    <w:rsid w:val="00A14E5D"/>
    <w:rsid w:val="00A15725"/>
    <w:rsid w:val="00A15A61"/>
    <w:rsid w:val="00A16000"/>
    <w:rsid w:val="00A16096"/>
    <w:rsid w:val="00A16351"/>
    <w:rsid w:val="00A1680D"/>
    <w:rsid w:val="00A16E42"/>
    <w:rsid w:val="00A17306"/>
    <w:rsid w:val="00A174D4"/>
    <w:rsid w:val="00A178C2"/>
    <w:rsid w:val="00A17C9E"/>
    <w:rsid w:val="00A17EEE"/>
    <w:rsid w:val="00A20183"/>
    <w:rsid w:val="00A20BCE"/>
    <w:rsid w:val="00A20D96"/>
    <w:rsid w:val="00A20DA3"/>
    <w:rsid w:val="00A20F23"/>
    <w:rsid w:val="00A20F9E"/>
    <w:rsid w:val="00A2124D"/>
    <w:rsid w:val="00A2256A"/>
    <w:rsid w:val="00A22D2E"/>
    <w:rsid w:val="00A23133"/>
    <w:rsid w:val="00A2351A"/>
    <w:rsid w:val="00A235E4"/>
    <w:rsid w:val="00A23A34"/>
    <w:rsid w:val="00A23AB0"/>
    <w:rsid w:val="00A23B45"/>
    <w:rsid w:val="00A23DAC"/>
    <w:rsid w:val="00A23F8F"/>
    <w:rsid w:val="00A24266"/>
    <w:rsid w:val="00A2482A"/>
    <w:rsid w:val="00A24DEE"/>
    <w:rsid w:val="00A2567D"/>
    <w:rsid w:val="00A25A13"/>
    <w:rsid w:val="00A25B39"/>
    <w:rsid w:val="00A26272"/>
    <w:rsid w:val="00A266C5"/>
    <w:rsid w:val="00A27083"/>
    <w:rsid w:val="00A27329"/>
    <w:rsid w:val="00A27986"/>
    <w:rsid w:val="00A27B26"/>
    <w:rsid w:val="00A27E69"/>
    <w:rsid w:val="00A27FBF"/>
    <w:rsid w:val="00A3042B"/>
    <w:rsid w:val="00A3057B"/>
    <w:rsid w:val="00A30655"/>
    <w:rsid w:val="00A309C6"/>
    <w:rsid w:val="00A30BBB"/>
    <w:rsid w:val="00A314D7"/>
    <w:rsid w:val="00A322BB"/>
    <w:rsid w:val="00A3277C"/>
    <w:rsid w:val="00A3277F"/>
    <w:rsid w:val="00A3278C"/>
    <w:rsid w:val="00A32CC4"/>
    <w:rsid w:val="00A32E28"/>
    <w:rsid w:val="00A32E4E"/>
    <w:rsid w:val="00A33808"/>
    <w:rsid w:val="00A3431B"/>
    <w:rsid w:val="00A3444C"/>
    <w:rsid w:val="00A34B65"/>
    <w:rsid w:val="00A35032"/>
    <w:rsid w:val="00A3534B"/>
    <w:rsid w:val="00A35DF3"/>
    <w:rsid w:val="00A368C2"/>
    <w:rsid w:val="00A36C17"/>
    <w:rsid w:val="00A36E96"/>
    <w:rsid w:val="00A37277"/>
    <w:rsid w:val="00A372A2"/>
    <w:rsid w:val="00A37615"/>
    <w:rsid w:val="00A37EAF"/>
    <w:rsid w:val="00A40476"/>
    <w:rsid w:val="00A405F4"/>
    <w:rsid w:val="00A409CF"/>
    <w:rsid w:val="00A40FDF"/>
    <w:rsid w:val="00A41CBC"/>
    <w:rsid w:val="00A42A83"/>
    <w:rsid w:val="00A42AAD"/>
    <w:rsid w:val="00A42C71"/>
    <w:rsid w:val="00A42E1A"/>
    <w:rsid w:val="00A42F66"/>
    <w:rsid w:val="00A43017"/>
    <w:rsid w:val="00A43401"/>
    <w:rsid w:val="00A4367E"/>
    <w:rsid w:val="00A439D2"/>
    <w:rsid w:val="00A43D6A"/>
    <w:rsid w:val="00A44417"/>
    <w:rsid w:val="00A44B4F"/>
    <w:rsid w:val="00A45DCD"/>
    <w:rsid w:val="00A45E3B"/>
    <w:rsid w:val="00A4612A"/>
    <w:rsid w:val="00A46D6F"/>
    <w:rsid w:val="00A47035"/>
    <w:rsid w:val="00A47198"/>
    <w:rsid w:val="00A4755D"/>
    <w:rsid w:val="00A475E6"/>
    <w:rsid w:val="00A476F9"/>
    <w:rsid w:val="00A47B50"/>
    <w:rsid w:val="00A50253"/>
    <w:rsid w:val="00A504DB"/>
    <w:rsid w:val="00A505DE"/>
    <w:rsid w:val="00A50A0C"/>
    <w:rsid w:val="00A50C0D"/>
    <w:rsid w:val="00A50D1C"/>
    <w:rsid w:val="00A50FF9"/>
    <w:rsid w:val="00A51913"/>
    <w:rsid w:val="00A5327C"/>
    <w:rsid w:val="00A53BE0"/>
    <w:rsid w:val="00A53D52"/>
    <w:rsid w:val="00A54619"/>
    <w:rsid w:val="00A54E58"/>
    <w:rsid w:val="00A54F31"/>
    <w:rsid w:val="00A55495"/>
    <w:rsid w:val="00A55868"/>
    <w:rsid w:val="00A55D21"/>
    <w:rsid w:val="00A569EB"/>
    <w:rsid w:val="00A56BA4"/>
    <w:rsid w:val="00A56C26"/>
    <w:rsid w:val="00A56D60"/>
    <w:rsid w:val="00A56F22"/>
    <w:rsid w:val="00A5721C"/>
    <w:rsid w:val="00A578CC"/>
    <w:rsid w:val="00A6080B"/>
    <w:rsid w:val="00A609C5"/>
    <w:rsid w:val="00A60BFC"/>
    <w:rsid w:val="00A60C9B"/>
    <w:rsid w:val="00A60E12"/>
    <w:rsid w:val="00A60F71"/>
    <w:rsid w:val="00A612E7"/>
    <w:rsid w:val="00A61AF6"/>
    <w:rsid w:val="00A61CC0"/>
    <w:rsid w:val="00A61D56"/>
    <w:rsid w:val="00A61D5B"/>
    <w:rsid w:val="00A62058"/>
    <w:rsid w:val="00A62D94"/>
    <w:rsid w:val="00A63976"/>
    <w:rsid w:val="00A64B17"/>
    <w:rsid w:val="00A65309"/>
    <w:rsid w:val="00A65594"/>
    <w:rsid w:val="00A656AD"/>
    <w:rsid w:val="00A6591C"/>
    <w:rsid w:val="00A66716"/>
    <w:rsid w:val="00A66F27"/>
    <w:rsid w:val="00A67597"/>
    <w:rsid w:val="00A677C5"/>
    <w:rsid w:val="00A67913"/>
    <w:rsid w:val="00A67EF2"/>
    <w:rsid w:val="00A70D15"/>
    <w:rsid w:val="00A711D3"/>
    <w:rsid w:val="00A72416"/>
    <w:rsid w:val="00A72675"/>
    <w:rsid w:val="00A7295F"/>
    <w:rsid w:val="00A731DC"/>
    <w:rsid w:val="00A737CD"/>
    <w:rsid w:val="00A73A0B"/>
    <w:rsid w:val="00A73C77"/>
    <w:rsid w:val="00A74D5C"/>
    <w:rsid w:val="00A74FB2"/>
    <w:rsid w:val="00A75488"/>
    <w:rsid w:val="00A75624"/>
    <w:rsid w:val="00A75B59"/>
    <w:rsid w:val="00A75FA2"/>
    <w:rsid w:val="00A7693F"/>
    <w:rsid w:val="00A774D4"/>
    <w:rsid w:val="00A77A4F"/>
    <w:rsid w:val="00A77D8C"/>
    <w:rsid w:val="00A809A4"/>
    <w:rsid w:val="00A814DD"/>
    <w:rsid w:val="00A81A94"/>
    <w:rsid w:val="00A81B62"/>
    <w:rsid w:val="00A8225E"/>
    <w:rsid w:val="00A82CC5"/>
    <w:rsid w:val="00A83917"/>
    <w:rsid w:val="00A83A4A"/>
    <w:rsid w:val="00A83AB0"/>
    <w:rsid w:val="00A83BD6"/>
    <w:rsid w:val="00A83C56"/>
    <w:rsid w:val="00A84B75"/>
    <w:rsid w:val="00A85497"/>
    <w:rsid w:val="00A856E6"/>
    <w:rsid w:val="00A85D0F"/>
    <w:rsid w:val="00A861B0"/>
    <w:rsid w:val="00A8687A"/>
    <w:rsid w:val="00A86A0D"/>
    <w:rsid w:val="00A86A39"/>
    <w:rsid w:val="00A87803"/>
    <w:rsid w:val="00A87CCE"/>
    <w:rsid w:val="00A87E00"/>
    <w:rsid w:val="00A9009F"/>
    <w:rsid w:val="00A90DD0"/>
    <w:rsid w:val="00A9106A"/>
    <w:rsid w:val="00A910E5"/>
    <w:rsid w:val="00A9221A"/>
    <w:rsid w:val="00A924A2"/>
    <w:rsid w:val="00A92714"/>
    <w:rsid w:val="00A932AA"/>
    <w:rsid w:val="00A93627"/>
    <w:rsid w:val="00A94044"/>
    <w:rsid w:val="00A941A9"/>
    <w:rsid w:val="00A95A18"/>
    <w:rsid w:val="00A95BC9"/>
    <w:rsid w:val="00A9681E"/>
    <w:rsid w:val="00A96921"/>
    <w:rsid w:val="00A96ABA"/>
    <w:rsid w:val="00A977DA"/>
    <w:rsid w:val="00A97CEC"/>
    <w:rsid w:val="00A97DE0"/>
    <w:rsid w:val="00A97E58"/>
    <w:rsid w:val="00AA007A"/>
    <w:rsid w:val="00AA00C0"/>
    <w:rsid w:val="00AA0386"/>
    <w:rsid w:val="00AA03E5"/>
    <w:rsid w:val="00AA04E0"/>
    <w:rsid w:val="00AA0630"/>
    <w:rsid w:val="00AA106A"/>
    <w:rsid w:val="00AA1386"/>
    <w:rsid w:val="00AA1926"/>
    <w:rsid w:val="00AA1DAC"/>
    <w:rsid w:val="00AA1E51"/>
    <w:rsid w:val="00AA1F1B"/>
    <w:rsid w:val="00AA2221"/>
    <w:rsid w:val="00AA23F4"/>
    <w:rsid w:val="00AA2FF8"/>
    <w:rsid w:val="00AA33F2"/>
    <w:rsid w:val="00AA351B"/>
    <w:rsid w:val="00AA35B4"/>
    <w:rsid w:val="00AA3E33"/>
    <w:rsid w:val="00AA41F8"/>
    <w:rsid w:val="00AA441A"/>
    <w:rsid w:val="00AA48E3"/>
    <w:rsid w:val="00AA4B5D"/>
    <w:rsid w:val="00AA50D9"/>
    <w:rsid w:val="00AA5278"/>
    <w:rsid w:val="00AA581D"/>
    <w:rsid w:val="00AA614A"/>
    <w:rsid w:val="00AA6857"/>
    <w:rsid w:val="00AA6AF5"/>
    <w:rsid w:val="00AA712E"/>
    <w:rsid w:val="00AA7363"/>
    <w:rsid w:val="00AA751A"/>
    <w:rsid w:val="00AA7F3A"/>
    <w:rsid w:val="00AA7F8D"/>
    <w:rsid w:val="00AB0474"/>
    <w:rsid w:val="00AB0504"/>
    <w:rsid w:val="00AB073E"/>
    <w:rsid w:val="00AB08D4"/>
    <w:rsid w:val="00AB124A"/>
    <w:rsid w:val="00AB1574"/>
    <w:rsid w:val="00AB1A13"/>
    <w:rsid w:val="00AB1B8F"/>
    <w:rsid w:val="00AB258E"/>
    <w:rsid w:val="00AB28DF"/>
    <w:rsid w:val="00AB2DB5"/>
    <w:rsid w:val="00AB2ED9"/>
    <w:rsid w:val="00AB3594"/>
    <w:rsid w:val="00AB3686"/>
    <w:rsid w:val="00AB3B9C"/>
    <w:rsid w:val="00AB4619"/>
    <w:rsid w:val="00AB4651"/>
    <w:rsid w:val="00AB4747"/>
    <w:rsid w:val="00AB4750"/>
    <w:rsid w:val="00AB4BF5"/>
    <w:rsid w:val="00AB4D7A"/>
    <w:rsid w:val="00AB4E9F"/>
    <w:rsid w:val="00AB5F64"/>
    <w:rsid w:val="00AB6042"/>
    <w:rsid w:val="00AB6412"/>
    <w:rsid w:val="00AB6533"/>
    <w:rsid w:val="00AB670D"/>
    <w:rsid w:val="00AB6A25"/>
    <w:rsid w:val="00AB71A9"/>
    <w:rsid w:val="00AB7EFF"/>
    <w:rsid w:val="00AC0F78"/>
    <w:rsid w:val="00AC1F9B"/>
    <w:rsid w:val="00AC210F"/>
    <w:rsid w:val="00AC26CD"/>
    <w:rsid w:val="00AC319E"/>
    <w:rsid w:val="00AC37B0"/>
    <w:rsid w:val="00AC39BD"/>
    <w:rsid w:val="00AC3ACC"/>
    <w:rsid w:val="00AC40BD"/>
    <w:rsid w:val="00AC4296"/>
    <w:rsid w:val="00AC42AF"/>
    <w:rsid w:val="00AC458B"/>
    <w:rsid w:val="00AC4928"/>
    <w:rsid w:val="00AC4BB1"/>
    <w:rsid w:val="00AC4C8B"/>
    <w:rsid w:val="00AC52A8"/>
    <w:rsid w:val="00AC54D1"/>
    <w:rsid w:val="00AC5A47"/>
    <w:rsid w:val="00AC6F29"/>
    <w:rsid w:val="00AC7470"/>
    <w:rsid w:val="00AC7511"/>
    <w:rsid w:val="00AC7550"/>
    <w:rsid w:val="00AC7A87"/>
    <w:rsid w:val="00AD0756"/>
    <w:rsid w:val="00AD1370"/>
    <w:rsid w:val="00AD14BE"/>
    <w:rsid w:val="00AD1573"/>
    <w:rsid w:val="00AD15A4"/>
    <w:rsid w:val="00AD1612"/>
    <w:rsid w:val="00AD17C6"/>
    <w:rsid w:val="00AD1A96"/>
    <w:rsid w:val="00AD1C88"/>
    <w:rsid w:val="00AD1E8D"/>
    <w:rsid w:val="00AD27B7"/>
    <w:rsid w:val="00AD3942"/>
    <w:rsid w:val="00AD3F7E"/>
    <w:rsid w:val="00AD454A"/>
    <w:rsid w:val="00AD4A9D"/>
    <w:rsid w:val="00AD4F99"/>
    <w:rsid w:val="00AD56AA"/>
    <w:rsid w:val="00AD5E95"/>
    <w:rsid w:val="00AD6393"/>
    <w:rsid w:val="00AD6F42"/>
    <w:rsid w:val="00AD7356"/>
    <w:rsid w:val="00AD7AE5"/>
    <w:rsid w:val="00AD7B51"/>
    <w:rsid w:val="00AD7CA3"/>
    <w:rsid w:val="00AD7CB1"/>
    <w:rsid w:val="00AD7ED3"/>
    <w:rsid w:val="00AE0B19"/>
    <w:rsid w:val="00AE0B24"/>
    <w:rsid w:val="00AE0C55"/>
    <w:rsid w:val="00AE0F9A"/>
    <w:rsid w:val="00AE169C"/>
    <w:rsid w:val="00AE175E"/>
    <w:rsid w:val="00AE1A69"/>
    <w:rsid w:val="00AE1B57"/>
    <w:rsid w:val="00AE1C1B"/>
    <w:rsid w:val="00AE1C6A"/>
    <w:rsid w:val="00AE1EE2"/>
    <w:rsid w:val="00AE23D5"/>
    <w:rsid w:val="00AE2400"/>
    <w:rsid w:val="00AE2AFF"/>
    <w:rsid w:val="00AE3292"/>
    <w:rsid w:val="00AE3754"/>
    <w:rsid w:val="00AE39D9"/>
    <w:rsid w:val="00AE3A1E"/>
    <w:rsid w:val="00AE3C39"/>
    <w:rsid w:val="00AE3D78"/>
    <w:rsid w:val="00AE3EE1"/>
    <w:rsid w:val="00AE428B"/>
    <w:rsid w:val="00AE51F2"/>
    <w:rsid w:val="00AE52F3"/>
    <w:rsid w:val="00AE575D"/>
    <w:rsid w:val="00AE654E"/>
    <w:rsid w:val="00AE6DD6"/>
    <w:rsid w:val="00AE734F"/>
    <w:rsid w:val="00AE7411"/>
    <w:rsid w:val="00AE7A2E"/>
    <w:rsid w:val="00AE7AFB"/>
    <w:rsid w:val="00AE7BBA"/>
    <w:rsid w:val="00AE7E7D"/>
    <w:rsid w:val="00AF019D"/>
    <w:rsid w:val="00AF057A"/>
    <w:rsid w:val="00AF06F9"/>
    <w:rsid w:val="00AF0BC0"/>
    <w:rsid w:val="00AF0F20"/>
    <w:rsid w:val="00AF1549"/>
    <w:rsid w:val="00AF1A31"/>
    <w:rsid w:val="00AF1A75"/>
    <w:rsid w:val="00AF1AB7"/>
    <w:rsid w:val="00AF1C94"/>
    <w:rsid w:val="00AF25AB"/>
    <w:rsid w:val="00AF2656"/>
    <w:rsid w:val="00AF2D07"/>
    <w:rsid w:val="00AF2DE9"/>
    <w:rsid w:val="00AF3203"/>
    <w:rsid w:val="00AF3227"/>
    <w:rsid w:val="00AF326A"/>
    <w:rsid w:val="00AF363A"/>
    <w:rsid w:val="00AF41B3"/>
    <w:rsid w:val="00AF4357"/>
    <w:rsid w:val="00AF4946"/>
    <w:rsid w:val="00AF5070"/>
    <w:rsid w:val="00AF5247"/>
    <w:rsid w:val="00AF53E4"/>
    <w:rsid w:val="00AF59B7"/>
    <w:rsid w:val="00AF5E0F"/>
    <w:rsid w:val="00AF6110"/>
    <w:rsid w:val="00AF6180"/>
    <w:rsid w:val="00AF68E0"/>
    <w:rsid w:val="00AF6AC6"/>
    <w:rsid w:val="00AF6C96"/>
    <w:rsid w:val="00AF6E1D"/>
    <w:rsid w:val="00AF6E97"/>
    <w:rsid w:val="00B00611"/>
    <w:rsid w:val="00B00822"/>
    <w:rsid w:val="00B009C7"/>
    <w:rsid w:val="00B01074"/>
    <w:rsid w:val="00B01F0C"/>
    <w:rsid w:val="00B02183"/>
    <w:rsid w:val="00B026B0"/>
    <w:rsid w:val="00B03D08"/>
    <w:rsid w:val="00B03F78"/>
    <w:rsid w:val="00B04354"/>
    <w:rsid w:val="00B04BDC"/>
    <w:rsid w:val="00B0681D"/>
    <w:rsid w:val="00B077F9"/>
    <w:rsid w:val="00B102C0"/>
    <w:rsid w:val="00B10973"/>
    <w:rsid w:val="00B10C00"/>
    <w:rsid w:val="00B1201C"/>
    <w:rsid w:val="00B121C0"/>
    <w:rsid w:val="00B12D1F"/>
    <w:rsid w:val="00B132B1"/>
    <w:rsid w:val="00B137D8"/>
    <w:rsid w:val="00B139FF"/>
    <w:rsid w:val="00B13E28"/>
    <w:rsid w:val="00B141F3"/>
    <w:rsid w:val="00B142E4"/>
    <w:rsid w:val="00B14A02"/>
    <w:rsid w:val="00B1591F"/>
    <w:rsid w:val="00B15DE6"/>
    <w:rsid w:val="00B15F32"/>
    <w:rsid w:val="00B169F6"/>
    <w:rsid w:val="00B17938"/>
    <w:rsid w:val="00B17968"/>
    <w:rsid w:val="00B20CDF"/>
    <w:rsid w:val="00B212B0"/>
    <w:rsid w:val="00B213BF"/>
    <w:rsid w:val="00B21A36"/>
    <w:rsid w:val="00B2251A"/>
    <w:rsid w:val="00B22AB9"/>
    <w:rsid w:val="00B22B03"/>
    <w:rsid w:val="00B2326F"/>
    <w:rsid w:val="00B2366B"/>
    <w:rsid w:val="00B23928"/>
    <w:rsid w:val="00B23F90"/>
    <w:rsid w:val="00B240A8"/>
    <w:rsid w:val="00B2423A"/>
    <w:rsid w:val="00B243B1"/>
    <w:rsid w:val="00B249FC"/>
    <w:rsid w:val="00B24EE8"/>
    <w:rsid w:val="00B25255"/>
    <w:rsid w:val="00B25A51"/>
    <w:rsid w:val="00B25B31"/>
    <w:rsid w:val="00B262A1"/>
    <w:rsid w:val="00B267A4"/>
    <w:rsid w:val="00B26B4E"/>
    <w:rsid w:val="00B27768"/>
    <w:rsid w:val="00B27DFC"/>
    <w:rsid w:val="00B27E6B"/>
    <w:rsid w:val="00B308A4"/>
    <w:rsid w:val="00B317E7"/>
    <w:rsid w:val="00B31E67"/>
    <w:rsid w:val="00B32AFE"/>
    <w:rsid w:val="00B32DB7"/>
    <w:rsid w:val="00B33A57"/>
    <w:rsid w:val="00B34083"/>
    <w:rsid w:val="00B34526"/>
    <w:rsid w:val="00B34B7F"/>
    <w:rsid w:val="00B35918"/>
    <w:rsid w:val="00B35F41"/>
    <w:rsid w:val="00B36C39"/>
    <w:rsid w:val="00B36C6C"/>
    <w:rsid w:val="00B37728"/>
    <w:rsid w:val="00B37A26"/>
    <w:rsid w:val="00B37CAC"/>
    <w:rsid w:val="00B37F01"/>
    <w:rsid w:val="00B40264"/>
    <w:rsid w:val="00B40AAE"/>
    <w:rsid w:val="00B410A5"/>
    <w:rsid w:val="00B412DD"/>
    <w:rsid w:val="00B41E14"/>
    <w:rsid w:val="00B41F26"/>
    <w:rsid w:val="00B42E07"/>
    <w:rsid w:val="00B434F0"/>
    <w:rsid w:val="00B43714"/>
    <w:rsid w:val="00B441B1"/>
    <w:rsid w:val="00B4423C"/>
    <w:rsid w:val="00B4488C"/>
    <w:rsid w:val="00B44BB2"/>
    <w:rsid w:val="00B45874"/>
    <w:rsid w:val="00B45A86"/>
    <w:rsid w:val="00B45C64"/>
    <w:rsid w:val="00B46115"/>
    <w:rsid w:val="00B4637F"/>
    <w:rsid w:val="00B46A0C"/>
    <w:rsid w:val="00B46A32"/>
    <w:rsid w:val="00B46B27"/>
    <w:rsid w:val="00B46B29"/>
    <w:rsid w:val="00B46D15"/>
    <w:rsid w:val="00B473DC"/>
    <w:rsid w:val="00B50012"/>
    <w:rsid w:val="00B51168"/>
    <w:rsid w:val="00B516A0"/>
    <w:rsid w:val="00B51A46"/>
    <w:rsid w:val="00B51B2E"/>
    <w:rsid w:val="00B528DA"/>
    <w:rsid w:val="00B52E0C"/>
    <w:rsid w:val="00B52F0C"/>
    <w:rsid w:val="00B5307B"/>
    <w:rsid w:val="00B53547"/>
    <w:rsid w:val="00B53597"/>
    <w:rsid w:val="00B5372D"/>
    <w:rsid w:val="00B53958"/>
    <w:rsid w:val="00B53B47"/>
    <w:rsid w:val="00B53C37"/>
    <w:rsid w:val="00B54791"/>
    <w:rsid w:val="00B5492E"/>
    <w:rsid w:val="00B54ACF"/>
    <w:rsid w:val="00B54E85"/>
    <w:rsid w:val="00B55D3E"/>
    <w:rsid w:val="00B55DB8"/>
    <w:rsid w:val="00B560F1"/>
    <w:rsid w:val="00B56172"/>
    <w:rsid w:val="00B56902"/>
    <w:rsid w:val="00B56B2B"/>
    <w:rsid w:val="00B56BB1"/>
    <w:rsid w:val="00B57343"/>
    <w:rsid w:val="00B57774"/>
    <w:rsid w:val="00B57BF9"/>
    <w:rsid w:val="00B60E15"/>
    <w:rsid w:val="00B61623"/>
    <w:rsid w:val="00B61894"/>
    <w:rsid w:val="00B61989"/>
    <w:rsid w:val="00B61A70"/>
    <w:rsid w:val="00B62045"/>
    <w:rsid w:val="00B620DE"/>
    <w:rsid w:val="00B62590"/>
    <w:rsid w:val="00B628CC"/>
    <w:rsid w:val="00B63CD8"/>
    <w:rsid w:val="00B6465E"/>
    <w:rsid w:val="00B646A9"/>
    <w:rsid w:val="00B6493C"/>
    <w:rsid w:val="00B64E8F"/>
    <w:rsid w:val="00B66155"/>
    <w:rsid w:val="00B661CB"/>
    <w:rsid w:val="00B66770"/>
    <w:rsid w:val="00B66995"/>
    <w:rsid w:val="00B66B18"/>
    <w:rsid w:val="00B66D5A"/>
    <w:rsid w:val="00B66E72"/>
    <w:rsid w:val="00B6729F"/>
    <w:rsid w:val="00B67894"/>
    <w:rsid w:val="00B67E5D"/>
    <w:rsid w:val="00B704CB"/>
    <w:rsid w:val="00B706E2"/>
    <w:rsid w:val="00B7110A"/>
    <w:rsid w:val="00B713D0"/>
    <w:rsid w:val="00B71F26"/>
    <w:rsid w:val="00B724BF"/>
    <w:rsid w:val="00B72583"/>
    <w:rsid w:val="00B7279F"/>
    <w:rsid w:val="00B72A4C"/>
    <w:rsid w:val="00B73431"/>
    <w:rsid w:val="00B73B8B"/>
    <w:rsid w:val="00B74049"/>
    <w:rsid w:val="00B75162"/>
    <w:rsid w:val="00B75174"/>
    <w:rsid w:val="00B7561C"/>
    <w:rsid w:val="00B756D5"/>
    <w:rsid w:val="00B75843"/>
    <w:rsid w:val="00B75A11"/>
    <w:rsid w:val="00B76127"/>
    <w:rsid w:val="00B7636C"/>
    <w:rsid w:val="00B76A6F"/>
    <w:rsid w:val="00B76BB0"/>
    <w:rsid w:val="00B76C5D"/>
    <w:rsid w:val="00B77256"/>
    <w:rsid w:val="00B7732A"/>
    <w:rsid w:val="00B77775"/>
    <w:rsid w:val="00B77939"/>
    <w:rsid w:val="00B77A39"/>
    <w:rsid w:val="00B77BD2"/>
    <w:rsid w:val="00B80EE5"/>
    <w:rsid w:val="00B8174E"/>
    <w:rsid w:val="00B81D3D"/>
    <w:rsid w:val="00B820D6"/>
    <w:rsid w:val="00B82221"/>
    <w:rsid w:val="00B82605"/>
    <w:rsid w:val="00B82627"/>
    <w:rsid w:val="00B828DF"/>
    <w:rsid w:val="00B83029"/>
    <w:rsid w:val="00B831D9"/>
    <w:rsid w:val="00B839FC"/>
    <w:rsid w:val="00B840EC"/>
    <w:rsid w:val="00B84C8F"/>
    <w:rsid w:val="00B8506F"/>
    <w:rsid w:val="00B85072"/>
    <w:rsid w:val="00B85108"/>
    <w:rsid w:val="00B8633E"/>
    <w:rsid w:val="00B86942"/>
    <w:rsid w:val="00B86ACF"/>
    <w:rsid w:val="00B8717E"/>
    <w:rsid w:val="00B87B1C"/>
    <w:rsid w:val="00B90120"/>
    <w:rsid w:val="00B90AA7"/>
    <w:rsid w:val="00B90D88"/>
    <w:rsid w:val="00B91182"/>
    <w:rsid w:val="00B91261"/>
    <w:rsid w:val="00B91446"/>
    <w:rsid w:val="00B921CF"/>
    <w:rsid w:val="00B92204"/>
    <w:rsid w:val="00B92B05"/>
    <w:rsid w:val="00B92B3A"/>
    <w:rsid w:val="00B92B94"/>
    <w:rsid w:val="00B931EB"/>
    <w:rsid w:val="00B936B2"/>
    <w:rsid w:val="00B93B78"/>
    <w:rsid w:val="00B93D84"/>
    <w:rsid w:val="00B94058"/>
    <w:rsid w:val="00B94335"/>
    <w:rsid w:val="00B945F3"/>
    <w:rsid w:val="00B9488B"/>
    <w:rsid w:val="00B94E53"/>
    <w:rsid w:val="00B961ED"/>
    <w:rsid w:val="00B972A6"/>
    <w:rsid w:val="00B972DE"/>
    <w:rsid w:val="00B973EF"/>
    <w:rsid w:val="00BA037F"/>
    <w:rsid w:val="00BA07CA"/>
    <w:rsid w:val="00BA0BE7"/>
    <w:rsid w:val="00BA0BEA"/>
    <w:rsid w:val="00BA0CDE"/>
    <w:rsid w:val="00BA129C"/>
    <w:rsid w:val="00BA13DE"/>
    <w:rsid w:val="00BA1675"/>
    <w:rsid w:val="00BA18B9"/>
    <w:rsid w:val="00BA19DF"/>
    <w:rsid w:val="00BA19E1"/>
    <w:rsid w:val="00BA23E8"/>
    <w:rsid w:val="00BA256C"/>
    <w:rsid w:val="00BA2674"/>
    <w:rsid w:val="00BA26CD"/>
    <w:rsid w:val="00BA381C"/>
    <w:rsid w:val="00BA38E1"/>
    <w:rsid w:val="00BA38F6"/>
    <w:rsid w:val="00BA58B8"/>
    <w:rsid w:val="00BA5DB7"/>
    <w:rsid w:val="00BA5FE0"/>
    <w:rsid w:val="00BA65E5"/>
    <w:rsid w:val="00BA6751"/>
    <w:rsid w:val="00BA67D4"/>
    <w:rsid w:val="00BA69F0"/>
    <w:rsid w:val="00BA6BC2"/>
    <w:rsid w:val="00BA6DDC"/>
    <w:rsid w:val="00BA7BAC"/>
    <w:rsid w:val="00BA7C04"/>
    <w:rsid w:val="00BA7DC5"/>
    <w:rsid w:val="00BA7FB9"/>
    <w:rsid w:val="00BB0622"/>
    <w:rsid w:val="00BB082D"/>
    <w:rsid w:val="00BB0985"/>
    <w:rsid w:val="00BB09DA"/>
    <w:rsid w:val="00BB09DF"/>
    <w:rsid w:val="00BB19C4"/>
    <w:rsid w:val="00BB1AB0"/>
    <w:rsid w:val="00BB2338"/>
    <w:rsid w:val="00BB2C87"/>
    <w:rsid w:val="00BB2F9E"/>
    <w:rsid w:val="00BB3C0D"/>
    <w:rsid w:val="00BB3DD9"/>
    <w:rsid w:val="00BB3FC5"/>
    <w:rsid w:val="00BB4D95"/>
    <w:rsid w:val="00BB54A6"/>
    <w:rsid w:val="00BB55D4"/>
    <w:rsid w:val="00BB5676"/>
    <w:rsid w:val="00BB74EA"/>
    <w:rsid w:val="00BB7563"/>
    <w:rsid w:val="00BB7660"/>
    <w:rsid w:val="00BB7984"/>
    <w:rsid w:val="00BB7DEF"/>
    <w:rsid w:val="00BC0083"/>
    <w:rsid w:val="00BC05A0"/>
    <w:rsid w:val="00BC1708"/>
    <w:rsid w:val="00BC1808"/>
    <w:rsid w:val="00BC1A99"/>
    <w:rsid w:val="00BC20C6"/>
    <w:rsid w:val="00BC28CC"/>
    <w:rsid w:val="00BC2A0D"/>
    <w:rsid w:val="00BC2B3B"/>
    <w:rsid w:val="00BC2BBD"/>
    <w:rsid w:val="00BC3505"/>
    <w:rsid w:val="00BC374F"/>
    <w:rsid w:val="00BC3B41"/>
    <w:rsid w:val="00BC4579"/>
    <w:rsid w:val="00BC4972"/>
    <w:rsid w:val="00BC49EA"/>
    <w:rsid w:val="00BC4FDE"/>
    <w:rsid w:val="00BC50CA"/>
    <w:rsid w:val="00BC5B67"/>
    <w:rsid w:val="00BC62D4"/>
    <w:rsid w:val="00BC7310"/>
    <w:rsid w:val="00BC764C"/>
    <w:rsid w:val="00BC7723"/>
    <w:rsid w:val="00BD025E"/>
    <w:rsid w:val="00BD07CC"/>
    <w:rsid w:val="00BD153C"/>
    <w:rsid w:val="00BD224E"/>
    <w:rsid w:val="00BD2395"/>
    <w:rsid w:val="00BD25BD"/>
    <w:rsid w:val="00BD2A82"/>
    <w:rsid w:val="00BD2B47"/>
    <w:rsid w:val="00BD2FF4"/>
    <w:rsid w:val="00BD3D24"/>
    <w:rsid w:val="00BD3EBC"/>
    <w:rsid w:val="00BD3FD1"/>
    <w:rsid w:val="00BD40D7"/>
    <w:rsid w:val="00BD4639"/>
    <w:rsid w:val="00BD48D9"/>
    <w:rsid w:val="00BD5B8D"/>
    <w:rsid w:val="00BD6091"/>
    <w:rsid w:val="00BD6E0F"/>
    <w:rsid w:val="00BD7221"/>
    <w:rsid w:val="00BD745D"/>
    <w:rsid w:val="00BD7822"/>
    <w:rsid w:val="00BE0DB8"/>
    <w:rsid w:val="00BE0F27"/>
    <w:rsid w:val="00BE14C4"/>
    <w:rsid w:val="00BE1737"/>
    <w:rsid w:val="00BE263E"/>
    <w:rsid w:val="00BE2AC2"/>
    <w:rsid w:val="00BE2C82"/>
    <w:rsid w:val="00BE3881"/>
    <w:rsid w:val="00BE3A9A"/>
    <w:rsid w:val="00BE4160"/>
    <w:rsid w:val="00BE41DA"/>
    <w:rsid w:val="00BE546A"/>
    <w:rsid w:val="00BE635A"/>
    <w:rsid w:val="00BE6751"/>
    <w:rsid w:val="00BE7792"/>
    <w:rsid w:val="00BE7A22"/>
    <w:rsid w:val="00BE7C85"/>
    <w:rsid w:val="00BF0F31"/>
    <w:rsid w:val="00BF118D"/>
    <w:rsid w:val="00BF119C"/>
    <w:rsid w:val="00BF1A60"/>
    <w:rsid w:val="00BF1AD7"/>
    <w:rsid w:val="00BF1BBE"/>
    <w:rsid w:val="00BF3ED2"/>
    <w:rsid w:val="00BF4354"/>
    <w:rsid w:val="00BF47DC"/>
    <w:rsid w:val="00BF4B2A"/>
    <w:rsid w:val="00BF4FF1"/>
    <w:rsid w:val="00BF542F"/>
    <w:rsid w:val="00BF5CFC"/>
    <w:rsid w:val="00BF60F8"/>
    <w:rsid w:val="00BF6DD0"/>
    <w:rsid w:val="00BF6EE2"/>
    <w:rsid w:val="00BF78F3"/>
    <w:rsid w:val="00BF7963"/>
    <w:rsid w:val="00BF7CF7"/>
    <w:rsid w:val="00C0018A"/>
    <w:rsid w:val="00C0067D"/>
    <w:rsid w:val="00C00905"/>
    <w:rsid w:val="00C0099A"/>
    <w:rsid w:val="00C00D6D"/>
    <w:rsid w:val="00C00DD6"/>
    <w:rsid w:val="00C01B1D"/>
    <w:rsid w:val="00C01FD1"/>
    <w:rsid w:val="00C024F3"/>
    <w:rsid w:val="00C03302"/>
    <w:rsid w:val="00C035B5"/>
    <w:rsid w:val="00C03A62"/>
    <w:rsid w:val="00C04E20"/>
    <w:rsid w:val="00C04EEE"/>
    <w:rsid w:val="00C054AC"/>
    <w:rsid w:val="00C06986"/>
    <w:rsid w:val="00C06B6C"/>
    <w:rsid w:val="00C06FCD"/>
    <w:rsid w:val="00C0710F"/>
    <w:rsid w:val="00C07756"/>
    <w:rsid w:val="00C078E0"/>
    <w:rsid w:val="00C07AA7"/>
    <w:rsid w:val="00C07EE6"/>
    <w:rsid w:val="00C10441"/>
    <w:rsid w:val="00C10587"/>
    <w:rsid w:val="00C10643"/>
    <w:rsid w:val="00C1079E"/>
    <w:rsid w:val="00C11ABD"/>
    <w:rsid w:val="00C12153"/>
    <w:rsid w:val="00C1226F"/>
    <w:rsid w:val="00C13F89"/>
    <w:rsid w:val="00C14632"/>
    <w:rsid w:val="00C148A2"/>
    <w:rsid w:val="00C14FB2"/>
    <w:rsid w:val="00C156B1"/>
    <w:rsid w:val="00C158ED"/>
    <w:rsid w:val="00C15CDD"/>
    <w:rsid w:val="00C1681D"/>
    <w:rsid w:val="00C176AC"/>
    <w:rsid w:val="00C2049D"/>
    <w:rsid w:val="00C20AC3"/>
    <w:rsid w:val="00C21720"/>
    <w:rsid w:val="00C217C8"/>
    <w:rsid w:val="00C21D50"/>
    <w:rsid w:val="00C21E13"/>
    <w:rsid w:val="00C21EF9"/>
    <w:rsid w:val="00C21FB7"/>
    <w:rsid w:val="00C2205B"/>
    <w:rsid w:val="00C222F7"/>
    <w:rsid w:val="00C2236C"/>
    <w:rsid w:val="00C22896"/>
    <w:rsid w:val="00C22CAC"/>
    <w:rsid w:val="00C22CDC"/>
    <w:rsid w:val="00C238FC"/>
    <w:rsid w:val="00C23F3B"/>
    <w:rsid w:val="00C24839"/>
    <w:rsid w:val="00C25590"/>
    <w:rsid w:val="00C25EA3"/>
    <w:rsid w:val="00C25F63"/>
    <w:rsid w:val="00C25F71"/>
    <w:rsid w:val="00C2632D"/>
    <w:rsid w:val="00C26D34"/>
    <w:rsid w:val="00C2718D"/>
    <w:rsid w:val="00C27C23"/>
    <w:rsid w:val="00C30A86"/>
    <w:rsid w:val="00C30D0E"/>
    <w:rsid w:val="00C3119B"/>
    <w:rsid w:val="00C31391"/>
    <w:rsid w:val="00C31A85"/>
    <w:rsid w:val="00C31A94"/>
    <w:rsid w:val="00C333AA"/>
    <w:rsid w:val="00C333D3"/>
    <w:rsid w:val="00C336BE"/>
    <w:rsid w:val="00C33F47"/>
    <w:rsid w:val="00C33FB2"/>
    <w:rsid w:val="00C34AA6"/>
    <w:rsid w:val="00C35812"/>
    <w:rsid w:val="00C35E38"/>
    <w:rsid w:val="00C35E5C"/>
    <w:rsid w:val="00C36E65"/>
    <w:rsid w:val="00C404A8"/>
    <w:rsid w:val="00C404EE"/>
    <w:rsid w:val="00C40511"/>
    <w:rsid w:val="00C40CF2"/>
    <w:rsid w:val="00C40EDC"/>
    <w:rsid w:val="00C41ACD"/>
    <w:rsid w:val="00C41C84"/>
    <w:rsid w:val="00C41F4E"/>
    <w:rsid w:val="00C41F53"/>
    <w:rsid w:val="00C42F1F"/>
    <w:rsid w:val="00C4308F"/>
    <w:rsid w:val="00C433D9"/>
    <w:rsid w:val="00C43836"/>
    <w:rsid w:val="00C43C16"/>
    <w:rsid w:val="00C43DD9"/>
    <w:rsid w:val="00C44658"/>
    <w:rsid w:val="00C44964"/>
    <w:rsid w:val="00C44C5B"/>
    <w:rsid w:val="00C44F17"/>
    <w:rsid w:val="00C45239"/>
    <w:rsid w:val="00C4530A"/>
    <w:rsid w:val="00C45E2D"/>
    <w:rsid w:val="00C4605E"/>
    <w:rsid w:val="00C46699"/>
    <w:rsid w:val="00C46A44"/>
    <w:rsid w:val="00C46C88"/>
    <w:rsid w:val="00C46D99"/>
    <w:rsid w:val="00C46E9B"/>
    <w:rsid w:val="00C47065"/>
    <w:rsid w:val="00C4728C"/>
    <w:rsid w:val="00C47526"/>
    <w:rsid w:val="00C47D0D"/>
    <w:rsid w:val="00C47E25"/>
    <w:rsid w:val="00C50238"/>
    <w:rsid w:val="00C512E0"/>
    <w:rsid w:val="00C51841"/>
    <w:rsid w:val="00C52113"/>
    <w:rsid w:val="00C52F2B"/>
    <w:rsid w:val="00C53BBA"/>
    <w:rsid w:val="00C53F51"/>
    <w:rsid w:val="00C542E9"/>
    <w:rsid w:val="00C54D00"/>
    <w:rsid w:val="00C554D4"/>
    <w:rsid w:val="00C5605B"/>
    <w:rsid w:val="00C56971"/>
    <w:rsid w:val="00C56AD5"/>
    <w:rsid w:val="00C577D6"/>
    <w:rsid w:val="00C57F7B"/>
    <w:rsid w:val="00C601FE"/>
    <w:rsid w:val="00C60C1E"/>
    <w:rsid w:val="00C60CC6"/>
    <w:rsid w:val="00C610F2"/>
    <w:rsid w:val="00C61335"/>
    <w:rsid w:val="00C617A8"/>
    <w:rsid w:val="00C61902"/>
    <w:rsid w:val="00C61B02"/>
    <w:rsid w:val="00C61F1C"/>
    <w:rsid w:val="00C61F42"/>
    <w:rsid w:val="00C62F44"/>
    <w:rsid w:val="00C63351"/>
    <w:rsid w:val="00C63373"/>
    <w:rsid w:val="00C63725"/>
    <w:rsid w:val="00C63822"/>
    <w:rsid w:val="00C639D4"/>
    <w:rsid w:val="00C63CBA"/>
    <w:rsid w:val="00C63E30"/>
    <w:rsid w:val="00C6496E"/>
    <w:rsid w:val="00C6535B"/>
    <w:rsid w:val="00C65695"/>
    <w:rsid w:val="00C657D0"/>
    <w:rsid w:val="00C65861"/>
    <w:rsid w:val="00C65EC6"/>
    <w:rsid w:val="00C65F0F"/>
    <w:rsid w:val="00C66A83"/>
    <w:rsid w:val="00C66E22"/>
    <w:rsid w:val="00C67433"/>
    <w:rsid w:val="00C67738"/>
    <w:rsid w:val="00C702B9"/>
    <w:rsid w:val="00C70873"/>
    <w:rsid w:val="00C709A5"/>
    <w:rsid w:val="00C70A82"/>
    <w:rsid w:val="00C712FA"/>
    <w:rsid w:val="00C714CD"/>
    <w:rsid w:val="00C719A2"/>
    <w:rsid w:val="00C72165"/>
    <w:rsid w:val="00C72D78"/>
    <w:rsid w:val="00C73597"/>
    <w:rsid w:val="00C747CA"/>
    <w:rsid w:val="00C75739"/>
    <w:rsid w:val="00C759DD"/>
    <w:rsid w:val="00C759F1"/>
    <w:rsid w:val="00C75A14"/>
    <w:rsid w:val="00C75AF8"/>
    <w:rsid w:val="00C75D00"/>
    <w:rsid w:val="00C760D1"/>
    <w:rsid w:val="00C77B87"/>
    <w:rsid w:val="00C77BC2"/>
    <w:rsid w:val="00C77C3A"/>
    <w:rsid w:val="00C77D84"/>
    <w:rsid w:val="00C80549"/>
    <w:rsid w:val="00C809B5"/>
    <w:rsid w:val="00C80FC1"/>
    <w:rsid w:val="00C810C5"/>
    <w:rsid w:val="00C81CA5"/>
    <w:rsid w:val="00C821F5"/>
    <w:rsid w:val="00C8287C"/>
    <w:rsid w:val="00C83041"/>
    <w:rsid w:val="00C83662"/>
    <w:rsid w:val="00C836FC"/>
    <w:rsid w:val="00C83903"/>
    <w:rsid w:val="00C855DA"/>
    <w:rsid w:val="00C856CB"/>
    <w:rsid w:val="00C86877"/>
    <w:rsid w:val="00C8702D"/>
    <w:rsid w:val="00C875C1"/>
    <w:rsid w:val="00C875C6"/>
    <w:rsid w:val="00C90289"/>
    <w:rsid w:val="00C90B42"/>
    <w:rsid w:val="00C90B58"/>
    <w:rsid w:val="00C916A1"/>
    <w:rsid w:val="00C91BFB"/>
    <w:rsid w:val="00C92494"/>
    <w:rsid w:val="00C929D5"/>
    <w:rsid w:val="00C92CD5"/>
    <w:rsid w:val="00C93C07"/>
    <w:rsid w:val="00C9452F"/>
    <w:rsid w:val="00C94744"/>
    <w:rsid w:val="00C9475D"/>
    <w:rsid w:val="00C95056"/>
    <w:rsid w:val="00C951FD"/>
    <w:rsid w:val="00C957A3"/>
    <w:rsid w:val="00C95858"/>
    <w:rsid w:val="00C95DE1"/>
    <w:rsid w:val="00C960AE"/>
    <w:rsid w:val="00C9739B"/>
    <w:rsid w:val="00C9765C"/>
    <w:rsid w:val="00C97C1A"/>
    <w:rsid w:val="00CA1100"/>
    <w:rsid w:val="00CA1E16"/>
    <w:rsid w:val="00CA300D"/>
    <w:rsid w:val="00CA3033"/>
    <w:rsid w:val="00CA3863"/>
    <w:rsid w:val="00CA3AEA"/>
    <w:rsid w:val="00CA3C41"/>
    <w:rsid w:val="00CA3FA9"/>
    <w:rsid w:val="00CA40D9"/>
    <w:rsid w:val="00CA4613"/>
    <w:rsid w:val="00CA4EAC"/>
    <w:rsid w:val="00CA5B7B"/>
    <w:rsid w:val="00CA619B"/>
    <w:rsid w:val="00CA711F"/>
    <w:rsid w:val="00CA76D9"/>
    <w:rsid w:val="00CA79B6"/>
    <w:rsid w:val="00CA7B63"/>
    <w:rsid w:val="00CA7D78"/>
    <w:rsid w:val="00CA7F28"/>
    <w:rsid w:val="00CB001D"/>
    <w:rsid w:val="00CB0199"/>
    <w:rsid w:val="00CB0358"/>
    <w:rsid w:val="00CB0768"/>
    <w:rsid w:val="00CB0D74"/>
    <w:rsid w:val="00CB10BC"/>
    <w:rsid w:val="00CB131F"/>
    <w:rsid w:val="00CB1368"/>
    <w:rsid w:val="00CB25C7"/>
    <w:rsid w:val="00CB36B0"/>
    <w:rsid w:val="00CB36D0"/>
    <w:rsid w:val="00CB3B64"/>
    <w:rsid w:val="00CB3BA7"/>
    <w:rsid w:val="00CB42CC"/>
    <w:rsid w:val="00CB4423"/>
    <w:rsid w:val="00CB4DCD"/>
    <w:rsid w:val="00CB4F19"/>
    <w:rsid w:val="00CB4F2D"/>
    <w:rsid w:val="00CB53E2"/>
    <w:rsid w:val="00CB5A35"/>
    <w:rsid w:val="00CB69D9"/>
    <w:rsid w:val="00CB7081"/>
    <w:rsid w:val="00CB7C02"/>
    <w:rsid w:val="00CC05CD"/>
    <w:rsid w:val="00CC0958"/>
    <w:rsid w:val="00CC0DBA"/>
    <w:rsid w:val="00CC0DBE"/>
    <w:rsid w:val="00CC0F11"/>
    <w:rsid w:val="00CC1117"/>
    <w:rsid w:val="00CC1690"/>
    <w:rsid w:val="00CC184B"/>
    <w:rsid w:val="00CC1E7F"/>
    <w:rsid w:val="00CC2335"/>
    <w:rsid w:val="00CC2BC8"/>
    <w:rsid w:val="00CC3E5E"/>
    <w:rsid w:val="00CC44FF"/>
    <w:rsid w:val="00CC454A"/>
    <w:rsid w:val="00CC48F1"/>
    <w:rsid w:val="00CC49EE"/>
    <w:rsid w:val="00CC4EF2"/>
    <w:rsid w:val="00CC4EF3"/>
    <w:rsid w:val="00CC5116"/>
    <w:rsid w:val="00CC5298"/>
    <w:rsid w:val="00CC5B73"/>
    <w:rsid w:val="00CC5D6C"/>
    <w:rsid w:val="00CC665A"/>
    <w:rsid w:val="00CC6CBF"/>
    <w:rsid w:val="00CC7464"/>
    <w:rsid w:val="00CC78A2"/>
    <w:rsid w:val="00CC7E66"/>
    <w:rsid w:val="00CC7F9F"/>
    <w:rsid w:val="00CD045C"/>
    <w:rsid w:val="00CD04FA"/>
    <w:rsid w:val="00CD1030"/>
    <w:rsid w:val="00CD1179"/>
    <w:rsid w:val="00CD1321"/>
    <w:rsid w:val="00CD185F"/>
    <w:rsid w:val="00CD2120"/>
    <w:rsid w:val="00CD258B"/>
    <w:rsid w:val="00CD3B15"/>
    <w:rsid w:val="00CD40CE"/>
    <w:rsid w:val="00CD41E7"/>
    <w:rsid w:val="00CD5871"/>
    <w:rsid w:val="00CD5DA6"/>
    <w:rsid w:val="00CD6737"/>
    <w:rsid w:val="00CD6B15"/>
    <w:rsid w:val="00CD736F"/>
    <w:rsid w:val="00CD737D"/>
    <w:rsid w:val="00CE0022"/>
    <w:rsid w:val="00CE04A0"/>
    <w:rsid w:val="00CE0EDD"/>
    <w:rsid w:val="00CE1032"/>
    <w:rsid w:val="00CE124F"/>
    <w:rsid w:val="00CE34DC"/>
    <w:rsid w:val="00CE388D"/>
    <w:rsid w:val="00CE39DC"/>
    <w:rsid w:val="00CE40B8"/>
    <w:rsid w:val="00CE4914"/>
    <w:rsid w:val="00CE499F"/>
    <w:rsid w:val="00CE4AFC"/>
    <w:rsid w:val="00CE4B2B"/>
    <w:rsid w:val="00CE4ED7"/>
    <w:rsid w:val="00CE4FF1"/>
    <w:rsid w:val="00CE55F6"/>
    <w:rsid w:val="00CE560F"/>
    <w:rsid w:val="00CE609F"/>
    <w:rsid w:val="00CE654A"/>
    <w:rsid w:val="00CE6B26"/>
    <w:rsid w:val="00CE6CC0"/>
    <w:rsid w:val="00CE72BF"/>
    <w:rsid w:val="00CF07B1"/>
    <w:rsid w:val="00CF0FB1"/>
    <w:rsid w:val="00CF0FE7"/>
    <w:rsid w:val="00CF1D4F"/>
    <w:rsid w:val="00CF2132"/>
    <w:rsid w:val="00CF23F3"/>
    <w:rsid w:val="00CF25E2"/>
    <w:rsid w:val="00CF2C1C"/>
    <w:rsid w:val="00CF2CB8"/>
    <w:rsid w:val="00CF2E21"/>
    <w:rsid w:val="00CF2ECE"/>
    <w:rsid w:val="00CF3A82"/>
    <w:rsid w:val="00CF3ABB"/>
    <w:rsid w:val="00CF42BB"/>
    <w:rsid w:val="00CF44AB"/>
    <w:rsid w:val="00CF4B27"/>
    <w:rsid w:val="00CF4F31"/>
    <w:rsid w:val="00CF4F80"/>
    <w:rsid w:val="00CF562E"/>
    <w:rsid w:val="00CF5CAB"/>
    <w:rsid w:val="00CF5EEC"/>
    <w:rsid w:val="00CF6696"/>
    <w:rsid w:val="00CF66CF"/>
    <w:rsid w:val="00CF6FAB"/>
    <w:rsid w:val="00CF71F3"/>
    <w:rsid w:val="00CF7384"/>
    <w:rsid w:val="00CF78DF"/>
    <w:rsid w:val="00CF7B1E"/>
    <w:rsid w:val="00CF7C35"/>
    <w:rsid w:val="00CF7F5C"/>
    <w:rsid w:val="00D005F5"/>
    <w:rsid w:val="00D00E14"/>
    <w:rsid w:val="00D01B10"/>
    <w:rsid w:val="00D02B3A"/>
    <w:rsid w:val="00D03113"/>
    <w:rsid w:val="00D03306"/>
    <w:rsid w:val="00D0348F"/>
    <w:rsid w:val="00D043E0"/>
    <w:rsid w:val="00D04CE1"/>
    <w:rsid w:val="00D05D6E"/>
    <w:rsid w:val="00D0679E"/>
    <w:rsid w:val="00D06A7C"/>
    <w:rsid w:val="00D06D81"/>
    <w:rsid w:val="00D07543"/>
    <w:rsid w:val="00D07F77"/>
    <w:rsid w:val="00D07FB4"/>
    <w:rsid w:val="00D1041E"/>
    <w:rsid w:val="00D108AB"/>
    <w:rsid w:val="00D11305"/>
    <w:rsid w:val="00D11630"/>
    <w:rsid w:val="00D12169"/>
    <w:rsid w:val="00D122D2"/>
    <w:rsid w:val="00D12434"/>
    <w:rsid w:val="00D127EA"/>
    <w:rsid w:val="00D12AFE"/>
    <w:rsid w:val="00D12B18"/>
    <w:rsid w:val="00D13B1C"/>
    <w:rsid w:val="00D13C0D"/>
    <w:rsid w:val="00D1486B"/>
    <w:rsid w:val="00D14A7F"/>
    <w:rsid w:val="00D158C5"/>
    <w:rsid w:val="00D15C6E"/>
    <w:rsid w:val="00D15E5E"/>
    <w:rsid w:val="00D16C5C"/>
    <w:rsid w:val="00D16D39"/>
    <w:rsid w:val="00D1727A"/>
    <w:rsid w:val="00D17B2D"/>
    <w:rsid w:val="00D2053D"/>
    <w:rsid w:val="00D20CB4"/>
    <w:rsid w:val="00D215F5"/>
    <w:rsid w:val="00D2162C"/>
    <w:rsid w:val="00D2165C"/>
    <w:rsid w:val="00D2179E"/>
    <w:rsid w:val="00D21FA8"/>
    <w:rsid w:val="00D22273"/>
    <w:rsid w:val="00D227E0"/>
    <w:rsid w:val="00D236B7"/>
    <w:rsid w:val="00D237E0"/>
    <w:rsid w:val="00D23DEC"/>
    <w:rsid w:val="00D23E48"/>
    <w:rsid w:val="00D2439A"/>
    <w:rsid w:val="00D24419"/>
    <w:rsid w:val="00D244BE"/>
    <w:rsid w:val="00D24935"/>
    <w:rsid w:val="00D24A9B"/>
    <w:rsid w:val="00D24D58"/>
    <w:rsid w:val="00D24E5C"/>
    <w:rsid w:val="00D2569D"/>
    <w:rsid w:val="00D2577B"/>
    <w:rsid w:val="00D267B6"/>
    <w:rsid w:val="00D2689D"/>
    <w:rsid w:val="00D2739A"/>
    <w:rsid w:val="00D27943"/>
    <w:rsid w:val="00D279E4"/>
    <w:rsid w:val="00D27BF9"/>
    <w:rsid w:val="00D27E02"/>
    <w:rsid w:val="00D27E1E"/>
    <w:rsid w:val="00D302C5"/>
    <w:rsid w:val="00D30310"/>
    <w:rsid w:val="00D3037A"/>
    <w:rsid w:val="00D309F3"/>
    <w:rsid w:val="00D30C99"/>
    <w:rsid w:val="00D3180F"/>
    <w:rsid w:val="00D31B31"/>
    <w:rsid w:val="00D330E2"/>
    <w:rsid w:val="00D333BA"/>
    <w:rsid w:val="00D33A49"/>
    <w:rsid w:val="00D34568"/>
    <w:rsid w:val="00D347CE"/>
    <w:rsid w:val="00D34A03"/>
    <w:rsid w:val="00D34E55"/>
    <w:rsid w:val="00D35449"/>
    <w:rsid w:val="00D35643"/>
    <w:rsid w:val="00D35A34"/>
    <w:rsid w:val="00D35DDD"/>
    <w:rsid w:val="00D35E4B"/>
    <w:rsid w:val="00D3611D"/>
    <w:rsid w:val="00D366FC"/>
    <w:rsid w:val="00D3710A"/>
    <w:rsid w:val="00D37EEA"/>
    <w:rsid w:val="00D402B4"/>
    <w:rsid w:val="00D41AB1"/>
    <w:rsid w:val="00D41ECB"/>
    <w:rsid w:val="00D42058"/>
    <w:rsid w:val="00D4243D"/>
    <w:rsid w:val="00D42648"/>
    <w:rsid w:val="00D42AF3"/>
    <w:rsid w:val="00D42B63"/>
    <w:rsid w:val="00D42BF3"/>
    <w:rsid w:val="00D42EB9"/>
    <w:rsid w:val="00D43070"/>
    <w:rsid w:val="00D43072"/>
    <w:rsid w:val="00D43096"/>
    <w:rsid w:val="00D4319C"/>
    <w:rsid w:val="00D44859"/>
    <w:rsid w:val="00D44B06"/>
    <w:rsid w:val="00D44E6A"/>
    <w:rsid w:val="00D44F7E"/>
    <w:rsid w:val="00D45B5E"/>
    <w:rsid w:val="00D45BAE"/>
    <w:rsid w:val="00D46AB2"/>
    <w:rsid w:val="00D46D78"/>
    <w:rsid w:val="00D47309"/>
    <w:rsid w:val="00D47651"/>
    <w:rsid w:val="00D4765C"/>
    <w:rsid w:val="00D477EC"/>
    <w:rsid w:val="00D47815"/>
    <w:rsid w:val="00D47A55"/>
    <w:rsid w:val="00D47D12"/>
    <w:rsid w:val="00D5069A"/>
    <w:rsid w:val="00D50A18"/>
    <w:rsid w:val="00D50CA9"/>
    <w:rsid w:val="00D5100E"/>
    <w:rsid w:val="00D51114"/>
    <w:rsid w:val="00D51167"/>
    <w:rsid w:val="00D514A0"/>
    <w:rsid w:val="00D51D7C"/>
    <w:rsid w:val="00D51EEB"/>
    <w:rsid w:val="00D5254B"/>
    <w:rsid w:val="00D52C36"/>
    <w:rsid w:val="00D53383"/>
    <w:rsid w:val="00D533AD"/>
    <w:rsid w:val="00D53912"/>
    <w:rsid w:val="00D55ACC"/>
    <w:rsid w:val="00D55CCF"/>
    <w:rsid w:val="00D56074"/>
    <w:rsid w:val="00D56598"/>
    <w:rsid w:val="00D57336"/>
    <w:rsid w:val="00D608C8"/>
    <w:rsid w:val="00D60F8B"/>
    <w:rsid w:val="00D612A9"/>
    <w:rsid w:val="00D61548"/>
    <w:rsid w:val="00D64774"/>
    <w:rsid w:val="00D649E1"/>
    <w:rsid w:val="00D650DB"/>
    <w:rsid w:val="00D656EB"/>
    <w:rsid w:val="00D65748"/>
    <w:rsid w:val="00D657DF"/>
    <w:rsid w:val="00D65B1B"/>
    <w:rsid w:val="00D668E7"/>
    <w:rsid w:val="00D66CB5"/>
    <w:rsid w:val="00D66E94"/>
    <w:rsid w:val="00D66EC4"/>
    <w:rsid w:val="00D7088F"/>
    <w:rsid w:val="00D7093D"/>
    <w:rsid w:val="00D70D65"/>
    <w:rsid w:val="00D7176F"/>
    <w:rsid w:val="00D722F7"/>
    <w:rsid w:val="00D72661"/>
    <w:rsid w:val="00D72749"/>
    <w:rsid w:val="00D72897"/>
    <w:rsid w:val="00D73843"/>
    <w:rsid w:val="00D7384F"/>
    <w:rsid w:val="00D73A5F"/>
    <w:rsid w:val="00D7402A"/>
    <w:rsid w:val="00D74215"/>
    <w:rsid w:val="00D743DB"/>
    <w:rsid w:val="00D74953"/>
    <w:rsid w:val="00D74A8C"/>
    <w:rsid w:val="00D75A2F"/>
    <w:rsid w:val="00D75CD6"/>
    <w:rsid w:val="00D75D33"/>
    <w:rsid w:val="00D76750"/>
    <w:rsid w:val="00D768B2"/>
    <w:rsid w:val="00D76965"/>
    <w:rsid w:val="00D76E38"/>
    <w:rsid w:val="00D771FD"/>
    <w:rsid w:val="00D77694"/>
    <w:rsid w:val="00D778FF"/>
    <w:rsid w:val="00D7796D"/>
    <w:rsid w:val="00D77BA0"/>
    <w:rsid w:val="00D8047E"/>
    <w:rsid w:val="00D814D4"/>
    <w:rsid w:val="00D81A72"/>
    <w:rsid w:val="00D81B18"/>
    <w:rsid w:val="00D82A23"/>
    <w:rsid w:val="00D830D1"/>
    <w:rsid w:val="00D832A7"/>
    <w:rsid w:val="00D8348B"/>
    <w:rsid w:val="00D83541"/>
    <w:rsid w:val="00D836E9"/>
    <w:rsid w:val="00D8385E"/>
    <w:rsid w:val="00D83CCD"/>
    <w:rsid w:val="00D8424E"/>
    <w:rsid w:val="00D845F0"/>
    <w:rsid w:val="00D8464B"/>
    <w:rsid w:val="00D84923"/>
    <w:rsid w:val="00D85ACB"/>
    <w:rsid w:val="00D86920"/>
    <w:rsid w:val="00D86C33"/>
    <w:rsid w:val="00D8733E"/>
    <w:rsid w:val="00D874B7"/>
    <w:rsid w:val="00D87C96"/>
    <w:rsid w:val="00D87F81"/>
    <w:rsid w:val="00D901E0"/>
    <w:rsid w:val="00D90727"/>
    <w:rsid w:val="00D907A2"/>
    <w:rsid w:val="00D917FB"/>
    <w:rsid w:val="00D918A5"/>
    <w:rsid w:val="00D91A6F"/>
    <w:rsid w:val="00D92306"/>
    <w:rsid w:val="00D926C6"/>
    <w:rsid w:val="00D9294E"/>
    <w:rsid w:val="00D92CFA"/>
    <w:rsid w:val="00D931EF"/>
    <w:rsid w:val="00D93359"/>
    <w:rsid w:val="00D9335D"/>
    <w:rsid w:val="00D93457"/>
    <w:rsid w:val="00D93A16"/>
    <w:rsid w:val="00D93EAA"/>
    <w:rsid w:val="00D9414D"/>
    <w:rsid w:val="00D945AB"/>
    <w:rsid w:val="00D9496D"/>
    <w:rsid w:val="00D94C1B"/>
    <w:rsid w:val="00D9563C"/>
    <w:rsid w:val="00D964D1"/>
    <w:rsid w:val="00D96A69"/>
    <w:rsid w:val="00D96D30"/>
    <w:rsid w:val="00D96DAC"/>
    <w:rsid w:val="00D96E69"/>
    <w:rsid w:val="00D979D0"/>
    <w:rsid w:val="00DA0768"/>
    <w:rsid w:val="00DA0776"/>
    <w:rsid w:val="00DA0A9E"/>
    <w:rsid w:val="00DA1072"/>
    <w:rsid w:val="00DA1309"/>
    <w:rsid w:val="00DA161A"/>
    <w:rsid w:val="00DA1D27"/>
    <w:rsid w:val="00DA1FFB"/>
    <w:rsid w:val="00DA290A"/>
    <w:rsid w:val="00DA2BCF"/>
    <w:rsid w:val="00DA2BE3"/>
    <w:rsid w:val="00DA360F"/>
    <w:rsid w:val="00DA399E"/>
    <w:rsid w:val="00DA3B34"/>
    <w:rsid w:val="00DA3C59"/>
    <w:rsid w:val="00DA3FAC"/>
    <w:rsid w:val="00DA4472"/>
    <w:rsid w:val="00DA4AD4"/>
    <w:rsid w:val="00DA4D12"/>
    <w:rsid w:val="00DA519A"/>
    <w:rsid w:val="00DA547E"/>
    <w:rsid w:val="00DA589F"/>
    <w:rsid w:val="00DA5A94"/>
    <w:rsid w:val="00DA5CBA"/>
    <w:rsid w:val="00DA5E8F"/>
    <w:rsid w:val="00DA6AF8"/>
    <w:rsid w:val="00DA6E13"/>
    <w:rsid w:val="00DA702F"/>
    <w:rsid w:val="00DA7B7D"/>
    <w:rsid w:val="00DB0802"/>
    <w:rsid w:val="00DB1093"/>
    <w:rsid w:val="00DB1140"/>
    <w:rsid w:val="00DB1787"/>
    <w:rsid w:val="00DB2355"/>
    <w:rsid w:val="00DB27CF"/>
    <w:rsid w:val="00DB32E5"/>
    <w:rsid w:val="00DB3BB4"/>
    <w:rsid w:val="00DB421E"/>
    <w:rsid w:val="00DB47CC"/>
    <w:rsid w:val="00DB5092"/>
    <w:rsid w:val="00DB6273"/>
    <w:rsid w:val="00DB65CE"/>
    <w:rsid w:val="00DB6625"/>
    <w:rsid w:val="00DB6807"/>
    <w:rsid w:val="00DB6CAD"/>
    <w:rsid w:val="00DB71F4"/>
    <w:rsid w:val="00DB73F4"/>
    <w:rsid w:val="00DB7803"/>
    <w:rsid w:val="00DC01B6"/>
    <w:rsid w:val="00DC048A"/>
    <w:rsid w:val="00DC0906"/>
    <w:rsid w:val="00DC0B0A"/>
    <w:rsid w:val="00DC0E57"/>
    <w:rsid w:val="00DC0F02"/>
    <w:rsid w:val="00DC0F8D"/>
    <w:rsid w:val="00DC0FE8"/>
    <w:rsid w:val="00DC1375"/>
    <w:rsid w:val="00DC14CF"/>
    <w:rsid w:val="00DC16C1"/>
    <w:rsid w:val="00DC18BE"/>
    <w:rsid w:val="00DC1C5F"/>
    <w:rsid w:val="00DC1CA0"/>
    <w:rsid w:val="00DC2284"/>
    <w:rsid w:val="00DC273C"/>
    <w:rsid w:val="00DC2B26"/>
    <w:rsid w:val="00DC39AD"/>
    <w:rsid w:val="00DC3CA4"/>
    <w:rsid w:val="00DC418C"/>
    <w:rsid w:val="00DC4635"/>
    <w:rsid w:val="00DC4A3C"/>
    <w:rsid w:val="00DC5124"/>
    <w:rsid w:val="00DC55C6"/>
    <w:rsid w:val="00DC6161"/>
    <w:rsid w:val="00DC6340"/>
    <w:rsid w:val="00DC6FC3"/>
    <w:rsid w:val="00DC7165"/>
    <w:rsid w:val="00DC72C5"/>
    <w:rsid w:val="00DD00D3"/>
    <w:rsid w:val="00DD020E"/>
    <w:rsid w:val="00DD17C2"/>
    <w:rsid w:val="00DD37E5"/>
    <w:rsid w:val="00DD3A17"/>
    <w:rsid w:val="00DD3B7F"/>
    <w:rsid w:val="00DD3D4C"/>
    <w:rsid w:val="00DD40F7"/>
    <w:rsid w:val="00DD4163"/>
    <w:rsid w:val="00DD4186"/>
    <w:rsid w:val="00DD4667"/>
    <w:rsid w:val="00DD4812"/>
    <w:rsid w:val="00DD4B69"/>
    <w:rsid w:val="00DD5B7D"/>
    <w:rsid w:val="00DD6262"/>
    <w:rsid w:val="00DD65D9"/>
    <w:rsid w:val="00DD6C64"/>
    <w:rsid w:val="00DD74A9"/>
    <w:rsid w:val="00DD7943"/>
    <w:rsid w:val="00DD7D93"/>
    <w:rsid w:val="00DD7EE4"/>
    <w:rsid w:val="00DE023E"/>
    <w:rsid w:val="00DE0CED"/>
    <w:rsid w:val="00DE0DBA"/>
    <w:rsid w:val="00DE1C0E"/>
    <w:rsid w:val="00DE2359"/>
    <w:rsid w:val="00DE297C"/>
    <w:rsid w:val="00DE3274"/>
    <w:rsid w:val="00DE3583"/>
    <w:rsid w:val="00DE3881"/>
    <w:rsid w:val="00DE398E"/>
    <w:rsid w:val="00DE3C15"/>
    <w:rsid w:val="00DE3CB1"/>
    <w:rsid w:val="00DE3E1E"/>
    <w:rsid w:val="00DE4578"/>
    <w:rsid w:val="00DE551A"/>
    <w:rsid w:val="00DE57F8"/>
    <w:rsid w:val="00DE5AA8"/>
    <w:rsid w:val="00DE5C56"/>
    <w:rsid w:val="00DE5FBA"/>
    <w:rsid w:val="00DE6698"/>
    <w:rsid w:val="00DE66BA"/>
    <w:rsid w:val="00DE6704"/>
    <w:rsid w:val="00DE67EB"/>
    <w:rsid w:val="00DE6A74"/>
    <w:rsid w:val="00DE75BC"/>
    <w:rsid w:val="00DE7876"/>
    <w:rsid w:val="00DE78A9"/>
    <w:rsid w:val="00DE7A43"/>
    <w:rsid w:val="00DE7B91"/>
    <w:rsid w:val="00DF04EE"/>
    <w:rsid w:val="00DF06E6"/>
    <w:rsid w:val="00DF0847"/>
    <w:rsid w:val="00DF21FA"/>
    <w:rsid w:val="00DF2510"/>
    <w:rsid w:val="00DF31CB"/>
    <w:rsid w:val="00DF3378"/>
    <w:rsid w:val="00DF35CF"/>
    <w:rsid w:val="00DF383A"/>
    <w:rsid w:val="00DF3D20"/>
    <w:rsid w:val="00DF3E35"/>
    <w:rsid w:val="00DF42CD"/>
    <w:rsid w:val="00DF5295"/>
    <w:rsid w:val="00DF5D85"/>
    <w:rsid w:val="00DF6FD3"/>
    <w:rsid w:val="00DF7973"/>
    <w:rsid w:val="00DF7CFC"/>
    <w:rsid w:val="00E000FA"/>
    <w:rsid w:val="00E00245"/>
    <w:rsid w:val="00E002E0"/>
    <w:rsid w:val="00E00644"/>
    <w:rsid w:val="00E00725"/>
    <w:rsid w:val="00E010EA"/>
    <w:rsid w:val="00E0145C"/>
    <w:rsid w:val="00E02ED2"/>
    <w:rsid w:val="00E0304A"/>
    <w:rsid w:val="00E030CC"/>
    <w:rsid w:val="00E03DB1"/>
    <w:rsid w:val="00E03E30"/>
    <w:rsid w:val="00E03ED5"/>
    <w:rsid w:val="00E04086"/>
    <w:rsid w:val="00E041ED"/>
    <w:rsid w:val="00E047D3"/>
    <w:rsid w:val="00E04864"/>
    <w:rsid w:val="00E04F33"/>
    <w:rsid w:val="00E04F7E"/>
    <w:rsid w:val="00E05008"/>
    <w:rsid w:val="00E05E66"/>
    <w:rsid w:val="00E06243"/>
    <w:rsid w:val="00E06301"/>
    <w:rsid w:val="00E06C04"/>
    <w:rsid w:val="00E06C32"/>
    <w:rsid w:val="00E06D44"/>
    <w:rsid w:val="00E07169"/>
    <w:rsid w:val="00E07BA4"/>
    <w:rsid w:val="00E07D21"/>
    <w:rsid w:val="00E1018B"/>
    <w:rsid w:val="00E105FD"/>
    <w:rsid w:val="00E10890"/>
    <w:rsid w:val="00E10DDD"/>
    <w:rsid w:val="00E11118"/>
    <w:rsid w:val="00E1182A"/>
    <w:rsid w:val="00E11903"/>
    <w:rsid w:val="00E11BF5"/>
    <w:rsid w:val="00E11E3B"/>
    <w:rsid w:val="00E1221F"/>
    <w:rsid w:val="00E1268D"/>
    <w:rsid w:val="00E12A19"/>
    <w:rsid w:val="00E12F69"/>
    <w:rsid w:val="00E1327D"/>
    <w:rsid w:val="00E13985"/>
    <w:rsid w:val="00E13D76"/>
    <w:rsid w:val="00E1437D"/>
    <w:rsid w:val="00E148FF"/>
    <w:rsid w:val="00E14DE8"/>
    <w:rsid w:val="00E14F20"/>
    <w:rsid w:val="00E15035"/>
    <w:rsid w:val="00E152B2"/>
    <w:rsid w:val="00E15471"/>
    <w:rsid w:val="00E159E7"/>
    <w:rsid w:val="00E15A0E"/>
    <w:rsid w:val="00E15BB1"/>
    <w:rsid w:val="00E15DED"/>
    <w:rsid w:val="00E16058"/>
    <w:rsid w:val="00E162A4"/>
    <w:rsid w:val="00E163B9"/>
    <w:rsid w:val="00E1688C"/>
    <w:rsid w:val="00E17040"/>
    <w:rsid w:val="00E1737B"/>
    <w:rsid w:val="00E17A27"/>
    <w:rsid w:val="00E201D9"/>
    <w:rsid w:val="00E2040C"/>
    <w:rsid w:val="00E20D49"/>
    <w:rsid w:val="00E210C0"/>
    <w:rsid w:val="00E216CE"/>
    <w:rsid w:val="00E22665"/>
    <w:rsid w:val="00E22EF5"/>
    <w:rsid w:val="00E22F58"/>
    <w:rsid w:val="00E24411"/>
    <w:rsid w:val="00E24BE5"/>
    <w:rsid w:val="00E24EDA"/>
    <w:rsid w:val="00E253AA"/>
    <w:rsid w:val="00E25532"/>
    <w:rsid w:val="00E255F9"/>
    <w:rsid w:val="00E25D9A"/>
    <w:rsid w:val="00E2674B"/>
    <w:rsid w:val="00E26D53"/>
    <w:rsid w:val="00E26DDD"/>
    <w:rsid w:val="00E27269"/>
    <w:rsid w:val="00E2767B"/>
    <w:rsid w:val="00E278A4"/>
    <w:rsid w:val="00E30151"/>
    <w:rsid w:val="00E30499"/>
    <w:rsid w:val="00E30B51"/>
    <w:rsid w:val="00E3111C"/>
    <w:rsid w:val="00E31166"/>
    <w:rsid w:val="00E31AAD"/>
    <w:rsid w:val="00E31C1F"/>
    <w:rsid w:val="00E324BB"/>
    <w:rsid w:val="00E3259F"/>
    <w:rsid w:val="00E3290F"/>
    <w:rsid w:val="00E32911"/>
    <w:rsid w:val="00E32A82"/>
    <w:rsid w:val="00E32C03"/>
    <w:rsid w:val="00E32C97"/>
    <w:rsid w:val="00E344A5"/>
    <w:rsid w:val="00E34AFB"/>
    <w:rsid w:val="00E34BA9"/>
    <w:rsid w:val="00E35D03"/>
    <w:rsid w:val="00E377E8"/>
    <w:rsid w:val="00E3794B"/>
    <w:rsid w:val="00E3798A"/>
    <w:rsid w:val="00E37A12"/>
    <w:rsid w:val="00E40771"/>
    <w:rsid w:val="00E40DFA"/>
    <w:rsid w:val="00E4103D"/>
    <w:rsid w:val="00E4124B"/>
    <w:rsid w:val="00E416D7"/>
    <w:rsid w:val="00E41B32"/>
    <w:rsid w:val="00E41E6E"/>
    <w:rsid w:val="00E41F9D"/>
    <w:rsid w:val="00E42E5D"/>
    <w:rsid w:val="00E432D4"/>
    <w:rsid w:val="00E43464"/>
    <w:rsid w:val="00E43B50"/>
    <w:rsid w:val="00E43E09"/>
    <w:rsid w:val="00E4488C"/>
    <w:rsid w:val="00E44D42"/>
    <w:rsid w:val="00E45639"/>
    <w:rsid w:val="00E45AE1"/>
    <w:rsid w:val="00E45E47"/>
    <w:rsid w:val="00E46425"/>
    <w:rsid w:val="00E46A46"/>
    <w:rsid w:val="00E47757"/>
    <w:rsid w:val="00E47A69"/>
    <w:rsid w:val="00E47BA8"/>
    <w:rsid w:val="00E50724"/>
    <w:rsid w:val="00E510E2"/>
    <w:rsid w:val="00E511E3"/>
    <w:rsid w:val="00E51425"/>
    <w:rsid w:val="00E526FC"/>
    <w:rsid w:val="00E52AF0"/>
    <w:rsid w:val="00E53AB8"/>
    <w:rsid w:val="00E53D64"/>
    <w:rsid w:val="00E53E8F"/>
    <w:rsid w:val="00E53F09"/>
    <w:rsid w:val="00E54019"/>
    <w:rsid w:val="00E54328"/>
    <w:rsid w:val="00E54F6E"/>
    <w:rsid w:val="00E55058"/>
    <w:rsid w:val="00E552A3"/>
    <w:rsid w:val="00E552C7"/>
    <w:rsid w:val="00E5569F"/>
    <w:rsid w:val="00E55C7D"/>
    <w:rsid w:val="00E56F88"/>
    <w:rsid w:val="00E57163"/>
    <w:rsid w:val="00E571BB"/>
    <w:rsid w:val="00E57579"/>
    <w:rsid w:val="00E57A61"/>
    <w:rsid w:val="00E60946"/>
    <w:rsid w:val="00E62763"/>
    <w:rsid w:val="00E62A45"/>
    <w:rsid w:val="00E63152"/>
    <w:rsid w:val="00E637CA"/>
    <w:rsid w:val="00E63B68"/>
    <w:rsid w:val="00E642CA"/>
    <w:rsid w:val="00E647F6"/>
    <w:rsid w:val="00E64D48"/>
    <w:rsid w:val="00E64F81"/>
    <w:rsid w:val="00E65923"/>
    <w:rsid w:val="00E65934"/>
    <w:rsid w:val="00E65E1C"/>
    <w:rsid w:val="00E6685B"/>
    <w:rsid w:val="00E66B34"/>
    <w:rsid w:val="00E67039"/>
    <w:rsid w:val="00E67BCD"/>
    <w:rsid w:val="00E67DC0"/>
    <w:rsid w:val="00E70625"/>
    <w:rsid w:val="00E706F6"/>
    <w:rsid w:val="00E7092F"/>
    <w:rsid w:val="00E70FFF"/>
    <w:rsid w:val="00E714AF"/>
    <w:rsid w:val="00E7173A"/>
    <w:rsid w:val="00E71EEC"/>
    <w:rsid w:val="00E72047"/>
    <w:rsid w:val="00E7208B"/>
    <w:rsid w:val="00E7247A"/>
    <w:rsid w:val="00E72770"/>
    <w:rsid w:val="00E72E8C"/>
    <w:rsid w:val="00E734FC"/>
    <w:rsid w:val="00E73A5C"/>
    <w:rsid w:val="00E73CCB"/>
    <w:rsid w:val="00E74435"/>
    <w:rsid w:val="00E74489"/>
    <w:rsid w:val="00E747F7"/>
    <w:rsid w:val="00E74EFE"/>
    <w:rsid w:val="00E74FE4"/>
    <w:rsid w:val="00E7510D"/>
    <w:rsid w:val="00E75835"/>
    <w:rsid w:val="00E758AD"/>
    <w:rsid w:val="00E75B81"/>
    <w:rsid w:val="00E76948"/>
    <w:rsid w:val="00E770C2"/>
    <w:rsid w:val="00E773F2"/>
    <w:rsid w:val="00E77900"/>
    <w:rsid w:val="00E77D4E"/>
    <w:rsid w:val="00E77DB9"/>
    <w:rsid w:val="00E807FE"/>
    <w:rsid w:val="00E80917"/>
    <w:rsid w:val="00E80EDB"/>
    <w:rsid w:val="00E81781"/>
    <w:rsid w:val="00E81961"/>
    <w:rsid w:val="00E81AEC"/>
    <w:rsid w:val="00E82A6C"/>
    <w:rsid w:val="00E82D60"/>
    <w:rsid w:val="00E82F9A"/>
    <w:rsid w:val="00E838C9"/>
    <w:rsid w:val="00E83978"/>
    <w:rsid w:val="00E839A4"/>
    <w:rsid w:val="00E83A10"/>
    <w:rsid w:val="00E83B52"/>
    <w:rsid w:val="00E84B95"/>
    <w:rsid w:val="00E8504A"/>
    <w:rsid w:val="00E8590C"/>
    <w:rsid w:val="00E859EE"/>
    <w:rsid w:val="00E86434"/>
    <w:rsid w:val="00E87A08"/>
    <w:rsid w:val="00E87F0A"/>
    <w:rsid w:val="00E87FA5"/>
    <w:rsid w:val="00E9047F"/>
    <w:rsid w:val="00E90488"/>
    <w:rsid w:val="00E904C4"/>
    <w:rsid w:val="00E90CE7"/>
    <w:rsid w:val="00E90FBD"/>
    <w:rsid w:val="00E91504"/>
    <w:rsid w:val="00E91860"/>
    <w:rsid w:val="00E919A4"/>
    <w:rsid w:val="00E91EB7"/>
    <w:rsid w:val="00E9270E"/>
    <w:rsid w:val="00E93AF5"/>
    <w:rsid w:val="00E93BCF"/>
    <w:rsid w:val="00E94156"/>
    <w:rsid w:val="00E94422"/>
    <w:rsid w:val="00E94C27"/>
    <w:rsid w:val="00E95051"/>
    <w:rsid w:val="00E954B7"/>
    <w:rsid w:val="00E957DF"/>
    <w:rsid w:val="00E95D07"/>
    <w:rsid w:val="00E96168"/>
    <w:rsid w:val="00E965CE"/>
    <w:rsid w:val="00E96919"/>
    <w:rsid w:val="00E96CF6"/>
    <w:rsid w:val="00E96FDB"/>
    <w:rsid w:val="00E97301"/>
    <w:rsid w:val="00E977B2"/>
    <w:rsid w:val="00E97D1C"/>
    <w:rsid w:val="00EA0359"/>
    <w:rsid w:val="00EA0C12"/>
    <w:rsid w:val="00EA107B"/>
    <w:rsid w:val="00EA14DA"/>
    <w:rsid w:val="00EA1F2E"/>
    <w:rsid w:val="00EA217C"/>
    <w:rsid w:val="00EA21B4"/>
    <w:rsid w:val="00EA2CFF"/>
    <w:rsid w:val="00EA2E8F"/>
    <w:rsid w:val="00EA3735"/>
    <w:rsid w:val="00EA3BA1"/>
    <w:rsid w:val="00EA3C55"/>
    <w:rsid w:val="00EA4B9A"/>
    <w:rsid w:val="00EA4F3B"/>
    <w:rsid w:val="00EA54C1"/>
    <w:rsid w:val="00EA54EB"/>
    <w:rsid w:val="00EA5575"/>
    <w:rsid w:val="00EA5731"/>
    <w:rsid w:val="00EA5E29"/>
    <w:rsid w:val="00EA623E"/>
    <w:rsid w:val="00EA6724"/>
    <w:rsid w:val="00EA67AF"/>
    <w:rsid w:val="00EA68DE"/>
    <w:rsid w:val="00EA7487"/>
    <w:rsid w:val="00EA7C9C"/>
    <w:rsid w:val="00EA7F4F"/>
    <w:rsid w:val="00EB018F"/>
    <w:rsid w:val="00EB0343"/>
    <w:rsid w:val="00EB072A"/>
    <w:rsid w:val="00EB07B4"/>
    <w:rsid w:val="00EB0885"/>
    <w:rsid w:val="00EB0DF6"/>
    <w:rsid w:val="00EB1377"/>
    <w:rsid w:val="00EB1425"/>
    <w:rsid w:val="00EB20D5"/>
    <w:rsid w:val="00EB31AE"/>
    <w:rsid w:val="00EB3AAB"/>
    <w:rsid w:val="00EB4A21"/>
    <w:rsid w:val="00EB4D1A"/>
    <w:rsid w:val="00EB5144"/>
    <w:rsid w:val="00EB5205"/>
    <w:rsid w:val="00EB59AE"/>
    <w:rsid w:val="00EB5BCB"/>
    <w:rsid w:val="00EB5FE1"/>
    <w:rsid w:val="00EB6321"/>
    <w:rsid w:val="00EB63BF"/>
    <w:rsid w:val="00EB6C41"/>
    <w:rsid w:val="00EB6D31"/>
    <w:rsid w:val="00EB6E1E"/>
    <w:rsid w:val="00EB7260"/>
    <w:rsid w:val="00EB729B"/>
    <w:rsid w:val="00EB770A"/>
    <w:rsid w:val="00EB7BB8"/>
    <w:rsid w:val="00EB7F7B"/>
    <w:rsid w:val="00EC06CC"/>
    <w:rsid w:val="00EC0A64"/>
    <w:rsid w:val="00EC0CCA"/>
    <w:rsid w:val="00EC0E5F"/>
    <w:rsid w:val="00EC0F2B"/>
    <w:rsid w:val="00EC16F1"/>
    <w:rsid w:val="00EC1767"/>
    <w:rsid w:val="00EC17F1"/>
    <w:rsid w:val="00EC18A6"/>
    <w:rsid w:val="00EC1B1C"/>
    <w:rsid w:val="00EC1FF9"/>
    <w:rsid w:val="00EC240E"/>
    <w:rsid w:val="00EC2584"/>
    <w:rsid w:val="00EC2A94"/>
    <w:rsid w:val="00EC2D27"/>
    <w:rsid w:val="00EC3C6A"/>
    <w:rsid w:val="00EC42E9"/>
    <w:rsid w:val="00EC4A1D"/>
    <w:rsid w:val="00EC51DE"/>
    <w:rsid w:val="00EC5409"/>
    <w:rsid w:val="00EC59F4"/>
    <w:rsid w:val="00EC6233"/>
    <w:rsid w:val="00EC663D"/>
    <w:rsid w:val="00EC678F"/>
    <w:rsid w:val="00EC6869"/>
    <w:rsid w:val="00EC68DC"/>
    <w:rsid w:val="00EC6E3D"/>
    <w:rsid w:val="00EC7120"/>
    <w:rsid w:val="00EC72AB"/>
    <w:rsid w:val="00ED05D6"/>
    <w:rsid w:val="00ED07F0"/>
    <w:rsid w:val="00ED0C6F"/>
    <w:rsid w:val="00ED2239"/>
    <w:rsid w:val="00ED261C"/>
    <w:rsid w:val="00ED2FCC"/>
    <w:rsid w:val="00ED3B72"/>
    <w:rsid w:val="00ED4ABF"/>
    <w:rsid w:val="00ED4CD2"/>
    <w:rsid w:val="00ED4FCA"/>
    <w:rsid w:val="00ED5408"/>
    <w:rsid w:val="00ED5527"/>
    <w:rsid w:val="00ED556E"/>
    <w:rsid w:val="00ED56D3"/>
    <w:rsid w:val="00ED6706"/>
    <w:rsid w:val="00EE0815"/>
    <w:rsid w:val="00EE0C74"/>
    <w:rsid w:val="00EE19C9"/>
    <w:rsid w:val="00EE1E09"/>
    <w:rsid w:val="00EE2262"/>
    <w:rsid w:val="00EE2888"/>
    <w:rsid w:val="00EE2DAC"/>
    <w:rsid w:val="00EE33F7"/>
    <w:rsid w:val="00EE37FF"/>
    <w:rsid w:val="00EE3F59"/>
    <w:rsid w:val="00EE409E"/>
    <w:rsid w:val="00EE421F"/>
    <w:rsid w:val="00EE42F7"/>
    <w:rsid w:val="00EE5037"/>
    <w:rsid w:val="00EE54A2"/>
    <w:rsid w:val="00EE5821"/>
    <w:rsid w:val="00EE5A79"/>
    <w:rsid w:val="00EE5B0B"/>
    <w:rsid w:val="00EE5F75"/>
    <w:rsid w:val="00EE6061"/>
    <w:rsid w:val="00EE61BF"/>
    <w:rsid w:val="00EE61C3"/>
    <w:rsid w:val="00EE6641"/>
    <w:rsid w:val="00EE69A4"/>
    <w:rsid w:val="00EE6C58"/>
    <w:rsid w:val="00EE7346"/>
    <w:rsid w:val="00EE7C95"/>
    <w:rsid w:val="00EE7FC9"/>
    <w:rsid w:val="00EF053B"/>
    <w:rsid w:val="00EF0841"/>
    <w:rsid w:val="00EF1054"/>
    <w:rsid w:val="00EF15D5"/>
    <w:rsid w:val="00EF1FE7"/>
    <w:rsid w:val="00EF2485"/>
    <w:rsid w:val="00EF2594"/>
    <w:rsid w:val="00EF2722"/>
    <w:rsid w:val="00EF2FEA"/>
    <w:rsid w:val="00EF34DA"/>
    <w:rsid w:val="00EF3848"/>
    <w:rsid w:val="00EF3A93"/>
    <w:rsid w:val="00EF3C9E"/>
    <w:rsid w:val="00EF3E07"/>
    <w:rsid w:val="00EF4A55"/>
    <w:rsid w:val="00EF4D79"/>
    <w:rsid w:val="00EF522D"/>
    <w:rsid w:val="00EF54FF"/>
    <w:rsid w:val="00EF6584"/>
    <w:rsid w:val="00EF6805"/>
    <w:rsid w:val="00EF7174"/>
    <w:rsid w:val="00EF7BA2"/>
    <w:rsid w:val="00EF7E4C"/>
    <w:rsid w:val="00F004DE"/>
    <w:rsid w:val="00F00508"/>
    <w:rsid w:val="00F0079F"/>
    <w:rsid w:val="00F00FCD"/>
    <w:rsid w:val="00F01061"/>
    <w:rsid w:val="00F01C3C"/>
    <w:rsid w:val="00F01E52"/>
    <w:rsid w:val="00F022C7"/>
    <w:rsid w:val="00F02EB3"/>
    <w:rsid w:val="00F037C7"/>
    <w:rsid w:val="00F0407B"/>
    <w:rsid w:val="00F04178"/>
    <w:rsid w:val="00F042DC"/>
    <w:rsid w:val="00F04309"/>
    <w:rsid w:val="00F04A6D"/>
    <w:rsid w:val="00F04F59"/>
    <w:rsid w:val="00F04FBC"/>
    <w:rsid w:val="00F052BB"/>
    <w:rsid w:val="00F0578C"/>
    <w:rsid w:val="00F0597C"/>
    <w:rsid w:val="00F064C5"/>
    <w:rsid w:val="00F06B5E"/>
    <w:rsid w:val="00F06CD9"/>
    <w:rsid w:val="00F07099"/>
    <w:rsid w:val="00F070DD"/>
    <w:rsid w:val="00F10578"/>
    <w:rsid w:val="00F105EA"/>
    <w:rsid w:val="00F1072D"/>
    <w:rsid w:val="00F10B8C"/>
    <w:rsid w:val="00F10C35"/>
    <w:rsid w:val="00F10D03"/>
    <w:rsid w:val="00F11117"/>
    <w:rsid w:val="00F1138D"/>
    <w:rsid w:val="00F115C3"/>
    <w:rsid w:val="00F11620"/>
    <w:rsid w:val="00F11898"/>
    <w:rsid w:val="00F11B5E"/>
    <w:rsid w:val="00F11E1F"/>
    <w:rsid w:val="00F11FA3"/>
    <w:rsid w:val="00F12541"/>
    <w:rsid w:val="00F127E5"/>
    <w:rsid w:val="00F12C86"/>
    <w:rsid w:val="00F13225"/>
    <w:rsid w:val="00F132A8"/>
    <w:rsid w:val="00F13B01"/>
    <w:rsid w:val="00F13EE0"/>
    <w:rsid w:val="00F1421B"/>
    <w:rsid w:val="00F148BF"/>
    <w:rsid w:val="00F14B08"/>
    <w:rsid w:val="00F1565C"/>
    <w:rsid w:val="00F15AEE"/>
    <w:rsid w:val="00F15CAF"/>
    <w:rsid w:val="00F15F1A"/>
    <w:rsid w:val="00F16132"/>
    <w:rsid w:val="00F162BF"/>
    <w:rsid w:val="00F20657"/>
    <w:rsid w:val="00F21A56"/>
    <w:rsid w:val="00F21CD3"/>
    <w:rsid w:val="00F21FAC"/>
    <w:rsid w:val="00F22035"/>
    <w:rsid w:val="00F2205B"/>
    <w:rsid w:val="00F2226D"/>
    <w:rsid w:val="00F22506"/>
    <w:rsid w:val="00F22D18"/>
    <w:rsid w:val="00F22F41"/>
    <w:rsid w:val="00F23093"/>
    <w:rsid w:val="00F230D5"/>
    <w:rsid w:val="00F234CC"/>
    <w:rsid w:val="00F235FB"/>
    <w:rsid w:val="00F23BF6"/>
    <w:rsid w:val="00F23E3A"/>
    <w:rsid w:val="00F242EA"/>
    <w:rsid w:val="00F24A96"/>
    <w:rsid w:val="00F24B42"/>
    <w:rsid w:val="00F24B83"/>
    <w:rsid w:val="00F24E66"/>
    <w:rsid w:val="00F259B4"/>
    <w:rsid w:val="00F26306"/>
    <w:rsid w:val="00F265E3"/>
    <w:rsid w:val="00F268F5"/>
    <w:rsid w:val="00F27AF2"/>
    <w:rsid w:val="00F27D90"/>
    <w:rsid w:val="00F3010F"/>
    <w:rsid w:val="00F302B5"/>
    <w:rsid w:val="00F30767"/>
    <w:rsid w:val="00F3076D"/>
    <w:rsid w:val="00F309B0"/>
    <w:rsid w:val="00F30BC8"/>
    <w:rsid w:val="00F30F96"/>
    <w:rsid w:val="00F30FB2"/>
    <w:rsid w:val="00F31362"/>
    <w:rsid w:val="00F3140D"/>
    <w:rsid w:val="00F320BE"/>
    <w:rsid w:val="00F3234F"/>
    <w:rsid w:val="00F3269F"/>
    <w:rsid w:val="00F32FBB"/>
    <w:rsid w:val="00F33135"/>
    <w:rsid w:val="00F3399E"/>
    <w:rsid w:val="00F33DF4"/>
    <w:rsid w:val="00F34631"/>
    <w:rsid w:val="00F354AE"/>
    <w:rsid w:val="00F35811"/>
    <w:rsid w:val="00F35DD0"/>
    <w:rsid w:val="00F36493"/>
    <w:rsid w:val="00F364C7"/>
    <w:rsid w:val="00F3651D"/>
    <w:rsid w:val="00F3665F"/>
    <w:rsid w:val="00F36670"/>
    <w:rsid w:val="00F36967"/>
    <w:rsid w:val="00F36C87"/>
    <w:rsid w:val="00F37B0F"/>
    <w:rsid w:val="00F402E9"/>
    <w:rsid w:val="00F4034F"/>
    <w:rsid w:val="00F40393"/>
    <w:rsid w:val="00F4060A"/>
    <w:rsid w:val="00F40867"/>
    <w:rsid w:val="00F40BF6"/>
    <w:rsid w:val="00F412B4"/>
    <w:rsid w:val="00F41788"/>
    <w:rsid w:val="00F41901"/>
    <w:rsid w:val="00F41903"/>
    <w:rsid w:val="00F42190"/>
    <w:rsid w:val="00F42BA3"/>
    <w:rsid w:val="00F42D05"/>
    <w:rsid w:val="00F4329F"/>
    <w:rsid w:val="00F43FC8"/>
    <w:rsid w:val="00F440AD"/>
    <w:rsid w:val="00F445D1"/>
    <w:rsid w:val="00F448EC"/>
    <w:rsid w:val="00F44A9E"/>
    <w:rsid w:val="00F45CDA"/>
    <w:rsid w:val="00F46637"/>
    <w:rsid w:val="00F46927"/>
    <w:rsid w:val="00F472BD"/>
    <w:rsid w:val="00F47484"/>
    <w:rsid w:val="00F47CE9"/>
    <w:rsid w:val="00F47E31"/>
    <w:rsid w:val="00F50DD4"/>
    <w:rsid w:val="00F51112"/>
    <w:rsid w:val="00F519BA"/>
    <w:rsid w:val="00F51A78"/>
    <w:rsid w:val="00F51C44"/>
    <w:rsid w:val="00F51FD5"/>
    <w:rsid w:val="00F53091"/>
    <w:rsid w:val="00F536DB"/>
    <w:rsid w:val="00F53972"/>
    <w:rsid w:val="00F53FBD"/>
    <w:rsid w:val="00F545D7"/>
    <w:rsid w:val="00F54733"/>
    <w:rsid w:val="00F54E7A"/>
    <w:rsid w:val="00F55161"/>
    <w:rsid w:val="00F55854"/>
    <w:rsid w:val="00F56600"/>
    <w:rsid w:val="00F56813"/>
    <w:rsid w:val="00F5697F"/>
    <w:rsid w:val="00F56A58"/>
    <w:rsid w:val="00F56F4F"/>
    <w:rsid w:val="00F577EA"/>
    <w:rsid w:val="00F57BCF"/>
    <w:rsid w:val="00F57D3F"/>
    <w:rsid w:val="00F6037C"/>
    <w:rsid w:val="00F61613"/>
    <w:rsid w:val="00F61AE7"/>
    <w:rsid w:val="00F61D77"/>
    <w:rsid w:val="00F6333B"/>
    <w:rsid w:val="00F63973"/>
    <w:rsid w:val="00F642FC"/>
    <w:rsid w:val="00F6436D"/>
    <w:rsid w:val="00F64AD8"/>
    <w:rsid w:val="00F657FE"/>
    <w:rsid w:val="00F65952"/>
    <w:rsid w:val="00F65964"/>
    <w:rsid w:val="00F65AF5"/>
    <w:rsid w:val="00F65D45"/>
    <w:rsid w:val="00F6621E"/>
    <w:rsid w:val="00F678DD"/>
    <w:rsid w:val="00F70091"/>
    <w:rsid w:val="00F700F4"/>
    <w:rsid w:val="00F70110"/>
    <w:rsid w:val="00F70561"/>
    <w:rsid w:val="00F707F8"/>
    <w:rsid w:val="00F708E9"/>
    <w:rsid w:val="00F70B85"/>
    <w:rsid w:val="00F711DA"/>
    <w:rsid w:val="00F71800"/>
    <w:rsid w:val="00F71CEF"/>
    <w:rsid w:val="00F71ECE"/>
    <w:rsid w:val="00F726EA"/>
    <w:rsid w:val="00F72C93"/>
    <w:rsid w:val="00F72CC1"/>
    <w:rsid w:val="00F72EBF"/>
    <w:rsid w:val="00F72F13"/>
    <w:rsid w:val="00F73166"/>
    <w:rsid w:val="00F7365C"/>
    <w:rsid w:val="00F73A7E"/>
    <w:rsid w:val="00F73A88"/>
    <w:rsid w:val="00F73C07"/>
    <w:rsid w:val="00F74254"/>
    <w:rsid w:val="00F742DB"/>
    <w:rsid w:val="00F74B4B"/>
    <w:rsid w:val="00F7503E"/>
    <w:rsid w:val="00F75562"/>
    <w:rsid w:val="00F75623"/>
    <w:rsid w:val="00F75922"/>
    <w:rsid w:val="00F759CE"/>
    <w:rsid w:val="00F76C0A"/>
    <w:rsid w:val="00F77158"/>
    <w:rsid w:val="00F77174"/>
    <w:rsid w:val="00F77A27"/>
    <w:rsid w:val="00F8018B"/>
    <w:rsid w:val="00F80A88"/>
    <w:rsid w:val="00F80D83"/>
    <w:rsid w:val="00F80F55"/>
    <w:rsid w:val="00F81469"/>
    <w:rsid w:val="00F81FDA"/>
    <w:rsid w:val="00F823F5"/>
    <w:rsid w:val="00F83398"/>
    <w:rsid w:val="00F83EC1"/>
    <w:rsid w:val="00F8414C"/>
    <w:rsid w:val="00F8470E"/>
    <w:rsid w:val="00F84A86"/>
    <w:rsid w:val="00F84F92"/>
    <w:rsid w:val="00F8511C"/>
    <w:rsid w:val="00F85226"/>
    <w:rsid w:val="00F85659"/>
    <w:rsid w:val="00F85B80"/>
    <w:rsid w:val="00F85DD2"/>
    <w:rsid w:val="00F85E9D"/>
    <w:rsid w:val="00F86285"/>
    <w:rsid w:val="00F86797"/>
    <w:rsid w:val="00F86CB9"/>
    <w:rsid w:val="00F90726"/>
    <w:rsid w:val="00F9078B"/>
    <w:rsid w:val="00F90EB9"/>
    <w:rsid w:val="00F915DE"/>
    <w:rsid w:val="00F9170D"/>
    <w:rsid w:val="00F91E31"/>
    <w:rsid w:val="00F925B0"/>
    <w:rsid w:val="00F93583"/>
    <w:rsid w:val="00F93CD9"/>
    <w:rsid w:val="00F940E9"/>
    <w:rsid w:val="00F94368"/>
    <w:rsid w:val="00F9450F"/>
    <w:rsid w:val="00F94540"/>
    <w:rsid w:val="00F9494C"/>
    <w:rsid w:val="00F958EF"/>
    <w:rsid w:val="00F9599E"/>
    <w:rsid w:val="00F95B97"/>
    <w:rsid w:val="00FA00E5"/>
    <w:rsid w:val="00FA01AE"/>
    <w:rsid w:val="00FA080D"/>
    <w:rsid w:val="00FA09CE"/>
    <w:rsid w:val="00FA0B40"/>
    <w:rsid w:val="00FA15C8"/>
    <w:rsid w:val="00FA20BC"/>
    <w:rsid w:val="00FA2D86"/>
    <w:rsid w:val="00FA3029"/>
    <w:rsid w:val="00FA348C"/>
    <w:rsid w:val="00FA3F3F"/>
    <w:rsid w:val="00FA41CD"/>
    <w:rsid w:val="00FA425B"/>
    <w:rsid w:val="00FA4917"/>
    <w:rsid w:val="00FA607F"/>
    <w:rsid w:val="00FA612A"/>
    <w:rsid w:val="00FA62DB"/>
    <w:rsid w:val="00FA6461"/>
    <w:rsid w:val="00FA6FF6"/>
    <w:rsid w:val="00FA7462"/>
    <w:rsid w:val="00FA74CA"/>
    <w:rsid w:val="00FA7D76"/>
    <w:rsid w:val="00FA7E92"/>
    <w:rsid w:val="00FB01B7"/>
    <w:rsid w:val="00FB04EE"/>
    <w:rsid w:val="00FB061A"/>
    <w:rsid w:val="00FB0AD8"/>
    <w:rsid w:val="00FB0EB0"/>
    <w:rsid w:val="00FB168B"/>
    <w:rsid w:val="00FB178F"/>
    <w:rsid w:val="00FB1F8B"/>
    <w:rsid w:val="00FB210B"/>
    <w:rsid w:val="00FB21C4"/>
    <w:rsid w:val="00FB220B"/>
    <w:rsid w:val="00FB2243"/>
    <w:rsid w:val="00FB2F2D"/>
    <w:rsid w:val="00FB313F"/>
    <w:rsid w:val="00FB3375"/>
    <w:rsid w:val="00FB3573"/>
    <w:rsid w:val="00FB39BF"/>
    <w:rsid w:val="00FB3A5C"/>
    <w:rsid w:val="00FB3A5E"/>
    <w:rsid w:val="00FB3B83"/>
    <w:rsid w:val="00FB3ED1"/>
    <w:rsid w:val="00FB4180"/>
    <w:rsid w:val="00FB4298"/>
    <w:rsid w:val="00FB4DBB"/>
    <w:rsid w:val="00FB6C55"/>
    <w:rsid w:val="00FB6D4A"/>
    <w:rsid w:val="00FB6DF4"/>
    <w:rsid w:val="00FB72A1"/>
    <w:rsid w:val="00FB735E"/>
    <w:rsid w:val="00FB79F7"/>
    <w:rsid w:val="00FB7A24"/>
    <w:rsid w:val="00FB7F24"/>
    <w:rsid w:val="00FC013C"/>
    <w:rsid w:val="00FC0EBD"/>
    <w:rsid w:val="00FC1682"/>
    <w:rsid w:val="00FC206F"/>
    <w:rsid w:val="00FC230B"/>
    <w:rsid w:val="00FC377C"/>
    <w:rsid w:val="00FC3F42"/>
    <w:rsid w:val="00FC4284"/>
    <w:rsid w:val="00FC43B1"/>
    <w:rsid w:val="00FC4710"/>
    <w:rsid w:val="00FC5005"/>
    <w:rsid w:val="00FC712F"/>
    <w:rsid w:val="00FC731B"/>
    <w:rsid w:val="00FC7AFA"/>
    <w:rsid w:val="00FC7DE5"/>
    <w:rsid w:val="00FD070D"/>
    <w:rsid w:val="00FD0A60"/>
    <w:rsid w:val="00FD0CDB"/>
    <w:rsid w:val="00FD0F7C"/>
    <w:rsid w:val="00FD134E"/>
    <w:rsid w:val="00FD137F"/>
    <w:rsid w:val="00FD1386"/>
    <w:rsid w:val="00FD1D7B"/>
    <w:rsid w:val="00FD2282"/>
    <w:rsid w:val="00FD2DC4"/>
    <w:rsid w:val="00FD3377"/>
    <w:rsid w:val="00FD3834"/>
    <w:rsid w:val="00FD4890"/>
    <w:rsid w:val="00FD4894"/>
    <w:rsid w:val="00FD5398"/>
    <w:rsid w:val="00FD5FF3"/>
    <w:rsid w:val="00FD6094"/>
    <w:rsid w:val="00FD69ED"/>
    <w:rsid w:val="00FD71C2"/>
    <w:rsid w:val="00FD71FF"/>
    <w:rsid w:val="00FD7735"/>
    <w:rsid w:val="00FD774F"/>
    <w:rsid w:val="00FD79E2"/>
    <w:rsid w:val="00FD7D96"/>
    <w:rsid w:val="00FD7ED9"/>
    <w:rsid w:val="00FD7FB2"/>
    <w:rsid w:val="00FE036B"/>
    <w:rsid w:val="00FE0455"/>
    <w:rsid w:val="00FE05F8"/>
    <w:rsid w:val="00FE07FF"/>
    <w:rsid w:val="00FE1B2C"/>
    <w:rsid w:val="00FE1EC3"/>
    <w:rsid w:val="00FE1EE6"/>
    <w:rsid w:val="00FE2281"/>
    <w:rsid w:val="00FE247C"/>
    <w:rsid w:val="00FE25BB"/>
    <w:rsid w:val="00FE2C17"/>
    <w:rsid w:val="00FE32DA"/>
    <w:rsid w:val="00FE3786"/>
    <w:rsid w:val="00FE3D64"/>
    <w:rsid w:val="00FE3FB0"/>
    <w:rsid w:val="00FE4537"/>
    <w:rsid w:val="00FE4B0F"/>
    <w:rsid w:val="00FE4DDD"/>
    <w:rsid w:val="00FE50CB"/>
    <w:rsid w:val="00FE576F"/>
    <w:rsid w:val="00FE5C60"/>
    <w:rsid w:val="00FE67C4"/>
    <w:rsid w:val="00FE6D53"/>
    <w:rsid w:val="00FE6F14"/>
    <w:rsid w:val="00FE7208"/>
    <w:rsid w:val="00FE79DD"/>
    <w:rsid w:val="00FE7D74"/>
    <w:rsid w:val="00FE7E48"/>
    <w:rsid w:val="00FF0213"/>
    <w:rsid w:val="00FF02DA"/>
    <w:rsid w:val="00FF072F"/>
    <w:rsid w:val="00FF0A6F"/>
    <w:rsid w:val="00FF0AB4"/>
    <w:rsid w:val="00FF0D93"/>
    <w:rsid w:val="00FF0F2F"/>
    <w:rsid w:val="00FF165D"/>
    <w:rsid w:val="00FF2BF0"/>
    <w:rsid w:val="00FF3E11"/>
    <w:rsid w:val="00FF45E5"/>
    <w:rsid w:val="00FF46B2"/>
    <w:rsid w:val="00FF4AF9"/>
    <w:rsid w:val="00FF661D"/>
    <w:rsid w:val="00FF72CB"/>
    <w:rsid w:val="00FF7355"/>
    <w:rsid w:val="00FF77C7"/>
    <w:rsid w:val="02064CC0"/>
    <w:rsid w:val="02C9391B"/>
    <w:rsid w:val="04251EEB"/>
    <w:rsid w:val="05BE95AE"/>
    <w:rsid w:val="07989277"/>
    <w:rsid w:val="0A8232F8"/>
    <w:rsid w:val="0A9CF480"/>
    <w:rsid w:val="0B36B7E4"/>
    <w:rsid w:val="0D0A4D36"/>
    <w:rsid w:val="0DFBE827"/>
    <w:rsid w:val="10B20ECD"/>
    <w:rsid w:val="13DC1487"/>
    <w:rsid w:val="16351C97"/>
    <w:rsid w:val="17ECC067"/>
    <w:rsid w:val="190B0AD0"/>
    <w:rsid w:val="193BD308"/>
    <w:rsid w:val="195FC54D"/>
    <w:rsid w:val="1B006B81"/>
    <w:rsid w:val="1ECBF473"/>
    <w:rsid w:val="20A549AA"/>
    <w:rsid w:val="20E3A9FB"/>
    <w:rsid w:val="2182C22D"/>
    <w:rsid w:val="21A27B3A"/>
    <w:rsid w:val="2328D62A"/>
    <w:rsid w:val="258D1A38"/>
    <w:rsid w:val="25D4D764"/>
    <w:rsid w:val="2823776D"/>
    <w:rsid w:val="2E64A669"/>
    <w:rsid w:val="2FECE23E"/>
    <w:rsid w:val="32C8E004"/>
    <w:rsid w:val="33A1031F"/>
    <w:rsid w:val="340A0279"/>
    <w:rsid w:val="3427094E"/>
    <w:rsid w:val="342E4B95"/>
    <w:rsid w:val="3712E1BF"/>
    <w:rsid w:val="380FAC64"/>
    <w:rsid w:val="3B715184"/>
    <w:rsid w:val="43658201"/>
    <w:rsid w:val="44CE70C2"/>
    <w:rsid w:val="461A08AC"/>
    <w:rsid w:val="47D876CE"/>
    <w:rsid w:val="4CE6A023"/>
    <w:rsid w:val="4CFF66E1"/>
    <w:rsid w:val="5860F43D"/>
    <w:rsid w:val="596BF2B9"/>
    <w:rsid w:val="5D4F9098"/>
    <w:rsid w:val="5D63B8BC"/>
    <w:rsid w:val="6199143C"/>
    <w:rsid w:val="61A24552"/>
    <w:rsid w:val="64CD6E45"/>
    <w:rsid w:val="65033A19"/>
    <w:rsid w:val="65217D11"/>
    <w:rsid w:val="66DB0915"/>
    <w:rsid w:val="6802A88C"/>
    <w:rsid w:val="682B661B"/>
    <w:rsid w:val="6A37B164"/>
    <w:rsid w:val="6F54074D"/>
    <w:rsid w:val="6F7947C3"/>
    <w:rsid w:val="6FBA3D4E"/>
    <w:rsid w:val="71665CD3"/>
    <w:rsid w:val="7302B668"/>
    <w:rsid w:val="74291CC1"/>
    <w:rsid w:val="76F6D0BE"/>
    <w:rsid w:val="77341E5D"/>
    <w:rsid w:val="7A4A66BC"/>
    <w:rsid w:val="7AB15F29"/>
    <w:rsid w:val="7E2F0DE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DD209A"/>
  <w15:docId w15:val="{8D05D3F7-E976-418F-B8EC-F20F1DEE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5E44"/>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782EC4"/>
    <w:pPr>
      <w:keepNext/>
      <w:widowControl w:val="0"/>
      <w:spacing w:line="240" w:lineRule="auto"/>
      <w:outlineLvl w:val="0"/>
    </w:pPr>
    <w:rPr>
      <w:rFonts w:ascii="Montserrat Ultra Light" w:eastAsiaTheme="majorEastAsia" w:hAnsi="Montserrat Ultra Light" w:cstheme="majorBidi"/>
      <w:b/>
      <w:bCs/>
      <w:color w:val="004563"/>
      <w:sz w:val="56"/>
      <w:szCs w:val="28"/>
    </w:rPr>
  </w:style>
  <w:style w:type="paragraph" w:styleId="Heading2">
    <w:name w:val="heading 2"/>
    <w:basedOn w:val="Normal"/>
    <w:next w:val="Heading3"/>
    <w:link w:val="Heading2Char"/>
    <w:uiPriority w:val="9"/>
    <w:qFormat/>
    <w:rsid w:val="00782EC4"/>
    <w:pPr>
      <w:keepNext/>
      <w:widowControl w:val="0"/>
      <w:spacing w:after="120" w:line="240" w:lineRule="auto"/>
      <w:outlineLvl w:val="1"/>
    </w:pPr>
    <w:rPr>
      <w:rFonts w:ascii="Montserrat Ultra Light" w:eastAsiaTheme="majorEastAsia" w:hAnsi="Montserrat Ultra Light" w:cstheme="majorBidi"/>
      <w:b/>
      <w:bCs/>
      <w:color w:val="004563"/>
      <w:sz w:val="56"/>
      <w:szCs w:val="26"/>
    </w:rPr>
  </w:style>
  <w:style w:type="paragraph" w:styleId="Heading3">
    <w:name w:val="heading 3"/>
    <w:basedOn w:val="Normal"/>
    <w:next w:val="Heading4"/>
    <w:link w:val="Heading3Char"/>
    <w:uiPriority w:val="9"/>
    <w:qFormat/>
    <w:rsid w:val="00782EC4"/>
    <w:pPr>
      <w:keepNext/>
      <w:widowControl w:val="0"/>
      <w:spacing w:before="240" w:line="240" w:lineRule="auto"/>
      <w:outlineLvl w:val="2"/>
    </w:pPr>
    <w:rPr>
      <w:rFonts w:ascii="Montserrat Extra Bold" w:eastAsiaTheme="majorEastAsia" w:hAnsi="Montserrat Extra Bold" w:cstheme="majorBidi"/>
      <w:bCs/>
      <w:color w:val="004563"/>
      <w:sz w:val="32"/>
    </w:rPr>
  </w:style>
  <w:style w:type="paragraph" w:styleId="Heading4">
    <w:name w:val="heading 4"/>
    <w:basedOn w:val="Normal"/>
    <w:next w:val="Heading5"/>
    <w:link w:val="Heading4Char"/>
    <w:uiPriority w:val="9"/>
    <w:qFormat/>
    <w:rsid w:val="00782EC4"/>
    <w:pPr>
      <w:keepNext/>
      <w:widowControl w:val="0"/>
      <w:spacing w:before="240" w:line="240" w:lineRule="auto"/>
      <w:outlineLvl w:val="3"/>
    </w:pPr>
    <w:rPr>
      <w:rFonts w:ascii="Montserrat Semi Bold" w:eastAsiaTheme="majorEastAsia" w:hAnsi="Montserrat Semi Bold" w:cstheme="majorBidi"/>
      <w:bCs/>
      <w:iCs/>
      <w:color w:val="006991"/>
      <w:sz w:val="28"/>
    </w:rPr>
  </w:style>
  <w:style w:type="paragraph" w:styleId="Heading5">
    <w:name w:val="heading 5"/>
    <w:basedOn w:val="Normal"/>
    <w:next w:val="Heading6"/>
    <w:link w:val="Heading5Char"/>
    <w:uiPriority w:val="9"/>
    <w:qFormat/>
    <w:rsid w:val="00782EC4"/>
    <w:pPr>
      <w:keepNext/>
      <w:tabs>
        <w:tab w:val="clear" w:pos="567"/>
      </w:tabs>
      <w:outlineLvl w:val="4"/>
    </w:pPr>
    <w:rPr>
      <w:rFonts w:ascii="Montserrat Semi Bold" w:eastAsiaTheme="majorEastAsia" w:hAnsi="Montserrat Semi Bold" w:cstheme="majorBidi"/>
      <w:color w:val="636466"/>
      <w:sz w:val="24"/>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link w:val="Heading8Char"/>
    <w:semiHidden/>
    <w:rsid w:val="00765BA8"/>
    <w:pPr>
      <w:numPr>
        <w:ilvl w:val="7"/>
        <w:numId w:val="2"/>
      </w:numPr>
      <w:spacing w:before="240" w:after="60"/>
      <w:outlineLvl w:val="7"/>
    </w:pPr>
    <w:rPr>
      <w:rFonts w:ascii="Arial" w:hAnsi="Arial"/>
      <w:i/>
      <w:szCs w:val="20"/>
    </w:rPr>
  </w:style>
  <w:style w:type="paragraph" w:styleId="Heading9">
    <w:name w:val="heading 9"/>
    <w:aliases w:val="Heading 9 (Do not use),(Subsubsection Nos)"/>
    <w:basedOn w:val="Normal"/>
    <w:next w:val="Normal"/>
    <w:link w:val="Heading9Char"/>
    <w:semiHidden/>
    <w:rsid w:val="00765BA8"/>
    <w:pPr>
      <w:numPr>
        <w:ilvl w:val="8"/>
        <w:numId w:val="2"/>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3"/>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link w:val="DocumentMapChar"/>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basedOn w:val="DefaultParagraphFont"/>
    <w:qFormat/>
    <w:rsid w:val="00782EC4"/>
    <w:rPr>
      <w:vertAlign w:val="superscript"/>
    </w:rPr>
  </w:style>
  <w:style w:type="paragraph" w:styleId="FootnoteText">
    <w:name w:val="footnote text"/>
    <w:basedOn w:val="Normal"/>
    <w:link w:val="FootnoteTextChar"/>
    <w:qFormat/>
    <w:rsid w:val="006C44FE"/>
    <w:pPr>
      <w:tabs>
        <w:tab w:val="clear" w:pos="567"/>
        <w:tab w:val="left" w:pos="227"/>
      </w:tabs>
      <w:spacing w:before="40" w:line="240" w:lineRule="auto"/>
      <w:ind w:left="227" w:hanging="227"/>
    </w:pPr>
    <w:rPr>
      <w:sz w:val="14"/>
      <w:szCs w:val="20"/>
      <w:lang w:val="en-US"/>
    </w:rPr>
  </w:style>
  <w:style w:type="paragraph" w:styleId="Header">
    <w:name w:val="header"/>
    <w:basedOn w:val="Footer"/>
    <w:link w:val="HeaderChar"/>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485F13"/>
    <w:pPr>
      <w:spacing w:before="120"/>
    </w:pPr>
    <w:rPr>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782EC4"/>
    <w:rPr>
      <w:rFonts w:ascii="Montserrat Ultra Light" w:eastAsiaTheme="majorEastAsia" w:hAnsi="Montserrat Ultra Light" w:cstheme="majorBidi"/>
      <w:b/>
      <w:bCs/>
      <w:color w:val="004563"/>
      <w:sz w:val="56"/>
      <w:szCs w:val="28"/>
    </w:rPr>
  </w:style>
  <w:style w:type="character" w:customStyle="1" w:styleId="Heading2Char">
    <w:name w:val="Heading 2 Char"/>
    <w:basedOn w:val="DefaultParagraphFont"/>
    <w:link w:val="Heading2"/>
    <w:uiPriority w:val="9"/>
    <w:rsid w:val="00782EC4"/>
    <w:rPr>
      <w:rFonts w:ascii="Montserrat Ultra Light" w:eastAsiaTheme="majorEastAsia" w:hAnsi="Montserrat Ultra Light" w:cstheme="majorBidi"/>
      <w:b/>
      <w:bCs/>
      <w:color w:val="004563"/>
      <w:sz w:val="56"/>
      <w:szCs w:val="26"/>
    </w:rPr>
  </w:style>
  <w:style w:type="character" w:customStyle="1" w:styleId="Heading3Char">
    <w:name w:val="Heading 3 Char"/>
    <w:basedOn w:val="DefaultParagraphFont"/>
    <w:link w:val="Heading3"/>
    <w:uiPriority w:val="9"/>
    <w:rsid w:val="00782EC4"/>
    <w:rPr>
      <w:rFonts w:ascii="Montserrat Extra Bold" w:eastAsiaTheme="majorEastAsia" w:hAnsi="Montserrat Extra Bold" w:cstheme="majorBidi"/>
      <w:bCs/>
      <w:color w:val="004563"/>
      <w:sz w:val="32"/>
    </w:rPr>
  </w:style>
  <w:style w:type="character" w:customStyle="1" w:styleId="Heading4Char">
    <w:name w:val="Heading 4 Char"/>
    <w:basedOn w:val="DefaultParagraphFont"/>
    <w:link w:val="Heading4"/>
    <w:uiPriority w:val="9"/>
    <w:rsid w:val="00782EC4"/>
    <w:rPr>
      <w:rFonts w:ascii="Montserrat Semi Bold" w:eastAsiaTheme="majorEastAsia" w:hAnsi="Montserrat Semi Bold" w:cstheme="majorBidi"/>
      <w:bCs/>
      <w:iCs/>
      <w:color w:val="006991"/>
      <w:sz w:val="28"/>
    </w:rPr>
  </w:style>
  <w:style w:type="character" w:customStyle="1" w:styleId="Heading5Char">
    <w:name w:val="Heading 5 Char"/>
    <w:basedOn w:val="DefaultParagraphFont"/>
    <w:link w:val="Heading5"/>
    <w:uiPriority w:val="9"/>
    <w:rsid w:val="00782EC4"/>
    <w:rPr>
      <w:rFonts w:ascii="Montserrat Semi Bold" w:eastAsiaTheme="majorEastAsia" w:hAnsi="Montserrat Semi Bold" w:cstheme="majorBidi"/>
      <w:color w:val="636466"/>
      <w:sz w:val="24"/>
    </w:rPr>
  </w:style>
  <w:style w:type="paragraph" w:styleId="NoSpacing">
    <w:name w:val="No Spacing"/>
    <w:link w:val="NoSpacingChar"/>
    <w:uiPriority w:val="1"/>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uiPriority w:val="34"/>
    <w:rsid w:val="00622669"/>
    <w:pPr>
      <w:ind w:left="720"/>
      <w:contextualSpacing/>
    </w:pPr>
  </w:style>
  <w:style w:type="paragraph" w:styleId="TOCHeading">
    <w:name w:val="TOC Heading"/>
    <w:basedOn w:val="Heading1"/>
    <w:next w:val="Normal"/>
    <w:uiPriority w:val="39"/>
    <w:semiHidden/>
    <w:unhideWhenUsed/>
    <w:qFormat/>
    <w:rsid w:val="00782EC4"/>
    <w:pPr>
      <w:keepLines/>
      <w:spacing w:before="480" w:line="320" w:lineRule="atLeast"/>
      <w:outlineLvl w:val="9"/>
    </w:pPr>
    <w:rPr>
      <w:rFonts w:asciiTheme="majorHAnsi" w:hAnsiTheme="majorHAnsi"/>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782EC4"/>
    <w:rPr>
      <w:rFonts w:ascii="Open Sans Light" w:hAnsi="Open Sans Light"/>
      <w:sz w:val="14"/>
      <w:szCs w:val="20"/>
      <w:lang w:val="en-US"/>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713B93"/>
    <w:pPr>
      <w:numPr>
        <w:numId w:val="10"/>
      </w:numPr>
      <w:ind w:left="567" w:hanging="567"/>
    </w:pPr>
  </w:style>
  <w:style w:type="paragraph" w:customStyle="1" w:styleId="CGCBullet1">
    <w:name w:val="CGC Bullet 1"/>
    <w:basedOn w:val="Normal"/>
    <w:qFormat/>
    <w:rsid w:val="00FB6C55"/>
    <w:pPr>
      <w:numPr>
        <w:numId w:val="5"/>
      </w:numPr>
      <w:ind w:left="924" w:hanging="357"/>
    </w:pPr>
  </w:style>
  <w:style w:type="paragraph" w:customStyle="1" w:styleId="CGCBullet2">
    <w:name w:val="CGC Bullet 2"/>
    <w:basedOn w:val="Normal"/>
    <w:qFormat/>
    <w:rsid w:val="007A1785"/>
    <w:pPr>
      <w:numPr>
        <w:numId w:val="6"/>
      </w:numPr>
      <w:ind w:left="1208" w:hanging="357"/>
    </w:pPr>
  </w:style>
  <w:style w:type="paragraph" w:customStyle="1" w:styleId="CGCBullet3">
    <w:name w:val="CGC Bullet 3"/>
    <w:basedOn w:val="Normal"/>
    <w:qFormat/>
    <w:rsid w:val="007A1785"/>
    <w:pPr>
      <w:numPr>
        <w:numId w:val="7"/>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8"/>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782EC4"/>
    <w:rPr>
      <w:rFonts w:ascii="Montserrat Extra Bold" w:hAnsi="Montserrat Extra Bold"/>
      <w:color w:val="004563"/>
      <w:sz w:val="32"/>
      <w:lang w:val="en-US"/>
    </w:rPr>
  </w:style>
  <w:style w:type="character" w:styleId="CommentReference">
    <w:name w:val="annotation reference"/>
    <w:basedOn w:val="DefaultParagraphFont"/>
    <w:semiHidden/>
    <w:unhideWhenUsed/>
    <w:rsid w:val="000C62A7"/>
    <w:rPr>
      <w:sz w:val="16"/>
      <w:szCs w:val="16"/>
    </w:rPr>
  </w:style>
  <w:style w:type="paragraph" w:styleId="CommentText">
    <w:name w:val="annotation text"/>
    <w:basedOn w:val="Normal"/>
    <w:link w:val="CommentTextChar"/>
    <w:unhideWhenUsed/>
    <w:rsid w:val="000C62A7"/>
    <w:pPr>
      <w:spacing w:line="240" w:lineRule="auto"/>
    </w:pPr>
    <w:rPr>
      <w:szCs w:val="20"/>
    </w:rPr>
  </w:style>
  <w:style w:type="character" w:customStyle="1" w:styleId="CommentTextChar">
    <w:name w:val="Comment Text Char"/>
    <w:basedOn w:val="DefaultParagraphFont"/>
    <w:link w:val="CommentText"/>
    <w:rsid w:val="000C62A7"/>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0C62A7"/>
    <w:rPr>
      <w:b/>
      <w:bCs/>
    </w:rPr>
  </w:style>
  <w:style w:type="character" w:customStyle="1" w:styleId="CommentSubjectChar">
    <w:name w:val="Comment Subject Char"/>
    <w:basedOn w:val="CommentTextChar"/>
    <w:link w:val="CommentSubject"/>
    <w:semiHidden/>
    <w:rsid w:val="000C62A7"/>
    <w:rPr>
      <w:rFonts w:ascii="Open Sans Light" w:hAnsi="Open Sans Light"/>
      <w:b/>
      <w:bCs/>
      <w:sz w:val="20"/>
      <w:szCs w:val="20"/>
    </w:rPr>
  </w:style>
  <w:style w:type="paragraph" w:styleId="BalloonText">
    <w:name w:val="Balloon Text"/>
    <w:basedOn w:val="Normal"/>
    <w:link w:val="BalloonTextChar"/>
    <w:uiPriority w:val="99"/>
    <w:semiHidden/>
    <w:unhideWhenUsed/>
    <w:rsid w:val="000C62A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2A7"/>
    <w:rPr>
      <w:rFonts w:ascii="Segoe UI" w:hAnsi="Segoe UI" w:cs="Segoe UI"/>
      <w:sz w:val="18"/>
      <w:szCs w:val="18"/>
    </w:rPr>
  </w:style>
  <w:style w:type="character" w:customStyle="1" w:styleId="Heading8Char">
    <w:name w:val="Heading 8 Char"/>
    <w:aliases w:val="(Do not use) Char,(Sub-section Nos) Char"/>
    <w:basedOn w:val="DefaultParagraphFont"/>
    <w:link w:val="Heading8"/>
    <w:semiHidden/>
    <w:rsid w:val="007F6EF6"/>
    <w:rPr>
      <w:rFonts w:ascii="Arial" w:hAnsi="Arial"/>
      <w:i/>
      <w:sz w:val="20"/>
      <w:szCs w:val="20"/>
    </w:rPr>
  </w:style>
  <w:style w:type="character" w:customStyle="1" w:styleId="Heading9Char">
    <w:name w:val="Heading 9 Char"/>
    <w:aliases w:val="Heading 9 (Do not use) Char,(Subsubsection Nos) Char"/>
    <w:basedOn w:val="DefaultParagraphFont"/>
    <w:link w:val="Heading9"/>
    <w:semiHidden/>
    <w:rsid w:val="007F6EF6"/>
    <w:rPr>
      <w:rFonts w:ascii="Arial" w:hAnsi="Arial"/>
      <w:b/>
      <w:i/>
      <w:sz w:val="18"/>
      <w:szCs w:val="20"/>
    </w:rPr>
  </w:style>
  <w:style w:type="character" w:customStyle="1" w:styleId="DocumentMapChar">
    <w:name w:val="Document Map Char"/>
    <w:basedOn w:val="DefaultParagraphFont"/>
    <w:link w:val="DocumentMap"/>
    <w:rsid w:val="007F6EF6"/>
    <w:rPr>
      <w:rFonts w:ascii="Tahoma" w:hAnsi="Tahoma" w:cs="Tahoma"/>
      <w:sz w:val="20"/>
      <w:szCs w:val="20"/>
      <w:shd w:val="clear" w:color="auto" w:fill="000080"/>
    </w:rPr>
  </w:style>
  <w:style w:type="character" w:styleId="IntenseEmphasis">
    <w:name w:val="Intense Emphasis"/>
    <w:basedOn w:val="DefaultParagraphFont"/>
    <w:uiPriority w:val="21"/>
    <w:qFormat/>
    <w:rsid w:val="007F6EF6"/>
    <w:rPr>
      <w:i/>
      <w:iCs/>
      <w:color w:val="4F81BD" w:themeColor="accent1"/>
    </w:rPr>
  </w:style>
  <w:style w:type="character" w:styleId="Strong">
    <w:name w:val="Strong"/>
    <w:basedOn w:val="DefaultParagraphFont"/>
    <w:uiPriority w:val="22"/>
    <w:qFormat/>
    <w:rsid w:val="007F6EF6"/>
    <w:rPr>
      <w:b/>
      <w:bCs/>
    </w:rPr>
  </w:style>
  <w:style w:type="character" w:styleId="UnresolvedMention">
    <w:name w:val="Unresolved Mention"/>
    <w:basedOn w:val="DefaultParagraphFont"/>
    <w:uiPriority w:val="99"/>
    <w:unhideWhenUsed/>
    <w:rsid w:val="007F6EF6"/>
    <w:rPr>
      <w:color w:val="605E5C"/>
      <w:shd w:val="clear" w:color="auto" w:fill="E1DFDD"/>
    </w:rPr>
  </w:style>
  <w:style w:type="character" w:styleId="Mention">
    <w:name w:val="Mention"/>
    <w:basedOn w:val="DefaultParagraphFont"/>
    <w:uiPriority w:val="99"/>
    <w:unhideWhenUsed/>
    <w:rsid w:val="007F6EF6"/>
    <w:rPr>
      <w:color w:val="2B579A"/>
      <w:shd w:val="clear" w:color="auto" w:fill="E1DFDD"/>
    </w:rPr>
  </w:style>
  <w:style w:type="character" w:styleId="FollowedHyperlink">
    <w:name w:val="FollowedHyperlink"/>
    <w:basedOn w:val="DefaultParagraphFont"/>
    <w:semiHidden/>
    <w:unhideWhenUsed/>
    <w:rsid w:val="00271A24"/>
    <w:rPr>
      <w:color w:val="800080" w:themeColor="followedHyperlink"/>
      <w:u w:val="single"/>
    </w:rPr>
  </w:style>
  <w:style w:type="paragraph" w:customStyle="1" w:styleId="CGCTablesubhead1">
    <w:name w:val="CGC Table subhead1"/>
    <w:basedOn w:val="Normal"/>
    <w:rsid w:val="004D5324"/>
    <w:pPr>
      <w:spacing w:before="0" w:line="240" w:lineRule="auto"/>
    </w:pPr>
    <w:rPr>
      <w:rFonts w:ascii="Open Sans Semibold" w:hAnsi="Open Sans Semibold"/>
      <w:sz w:val="16"/>
      <w:lang w:val="en-US"/>
    </w:rPr>
  </w:style>
  <w:style w:type="paragraph" w:customStyle="1" w:styleId="Publicationtitle1">
    <w:name w:val="Publication title 1"/>
    <w:basedOn w:val="Normal"/>
    <w:next w:val="Normal"/>
    <w:rsid w:val="000E4971"/>
    <w:pPr>
      <w:spacing w:before="240" w:line="240" w:lineRule="auto"/>
      <w:jc w:val="center"/>
    </w:pPr>
    <w:rPr>
      <w:rFonts w:ascii="Montserrat Extra Bold" w:hAnsi="Montserrat Extra Bold"/>
      <w:color w:val="004563"/>
      <w:sz w:val="60"/>
      <w:lang w:val="en-US"/>
    </w:rPr>
  </w:style>
  <w:style w:type="paragraph" w:customStyle="1" w:styleId="Publicationtitle2">
    <w:name w:val="Publication title 2"/>
    <w:basedOn w:val="Publicationtitle1"/>
    <w:next w:val="Normal"/>
    <w:rsid w:val="000E4971"/>
    <w:rPr>
      <w:rFonts w:ascii="Montserrat Ultra Light" w:hAnsi="Montserrat Ultra Light"/>
      <w:b/>
      <w:color w:val="60B5D7"/>
      <w:sz w:val="52"/>
    </w:rPr>
  </w:style>
  <w:style w:type="paragraph" w:styleId="Revision">
    <w:name w:val="Revision"/>
    <w:hidden/>
    <w:uiPriority w:val="99"/>
    <w:semiHidden/>
    <w:rsid w:val="00C42F1F"/>
    <w:pPr>
      <w:spacing w:after="0" w:line="240" w:lineRule="auto"/>
    </w:pPr>
    <w:rPr>
      <w:rFonts w:ascii="Open Sans Light" w:hAnsi="Open Sans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82785">
      <w:bodyDiv w:val="1"/>
      <w:marLeft w:val="0"/>
      <w:marRight w:val="0"/>
      <w:marTop w:val="0"/>
      <w:marBottom w:val="0"/>
      <w:divBdr>
        <w:top w:val="none" w:sz="0" w:space="0" w:color="auto"/>
        <w:left w:val="none" w:sz="0" w:space="0" w:color="auto"/>
        <w:bottom w:val="none" w:sz="0" w:space="0" w:color="auto"/>
        <w:right w:val="none" w:sz="0" w:space="0" w:color="auto"/>
      </w:divBdr>
    </w:div>
    <w:div w:id="250161142">
      <w:bodyDiv w:val="1"/>
      <w:marLeft w:val="0"/>
      <w:marRight w:val="0"/>
      <w:marTop w:val="0"/>
      <w:marBottom w:val="0"/>
      <w:divBdr>
        <w:top w:val="none" w:sz="0" w:space="0" w:color="auto"/>
        <w:left w:val="none" w:sz="0" w:space="0" w:color="auto"/>
        <w:bottom w:val="none" w:sz="0" w:space="0" w:color="auto"/>
        <w:right w:val="none" w:sz="0" w:space="0" w:color="auto"/>
      </w:divBdr>
    </w:div>
    <w:div w:id="346829873">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661196528">
      <w:bodyDiv w:val="1"/>
      <w:marLeft w:val="0"/>
      <w:marRight w:val="0"/>
      <w:marTop w:val="0"/>
      <w:marBottom w:val="0"/>
      <w:divBdr>
        <w:top w:val="none" w:sz="0" w:space="0" w:color="auto"/>
        <w:left w:val="none" w:sz="0" w:space="0" w:color="auto"/>
        <w:bottom w:val="none" w:sz="0" w:space="0" w:color="auto"/>
        <w:right w:val="none" w:sz="0" w:space="0" w:color="auto"/>
      </w:divBdr>
    </w:div>
    <w:div w:id="742873523">
      <w:bodyDiv w:val="1"/>
      <w:marLeft w:val="0"/>
      <w:marRight w:val="0"/>
      <w:marTop w:val="0"/>
      <w:marBottom w:val="0"/>
      <w:divBdr>
        <w:top w:val="none" w:sz="0" w:space="0" w:color="auto"/>
        <w:left w:val="none" w:sz="0" w:space="0" w:color="auto"/>
        <w:bottom w:val="none" w:sz="0" w:space="0" w:color="auto"/>
        <w:right w:val="none" w:sz="0" w:space="0" w:color="auto"/>
      </w:divBdr>
    </w:div>
    <w:div w:id="792211970">
      <w:bodyDiv w:val="1"/>
      <w:marLeft w:val="0"/>
      <w:marRight w:val="0"/>
      <w:marTop w:val="0"/>
      <w:marBottom w:val="0"/>
      <w:divBdr>
        <w:top w:val="none" w:sz="0" w:space="0" w:color="auto"/>
        <w:left w:val="none" w:sz="0" w:space="0" w:color="auto"/>
        <w:bottom w:val="none" w:sz="0" w:space="0" w:color="auto"/>
        <w:right w:val="none" w:sz="0" w:space="0" w:color="auto"/>
      </w:divBdr>
    </w:div>
    <w:div w:id="851335268">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99788254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69310506">
      <w:bodyDiv w:val="1"/>
      <w:marLeft w:val="0"/>
      <w:marRight w:val="0"/>
      <w:marTop w:val="0"/>
      <w:marBottom w:val="0"/>
      <w:divBdr>
        <w:top w:val="none" w:sz="0" w:space="0" w:color="auto"/>
        <w:left w:val="none" w:sz="0" w:space="0" w:color="auto"/>
        <w:bottom w:val="none" w:sz="0" w:space="0" w:color="auto"/>
        <w:right w:val="none" w:sz="0" w:space="0" w:color="auto"/>
      </w:divBdr>
    </w:div>
    <w:div w:id="1339622258">
      <w:bodyDiv w:val="1"/>
      <w:marLeft w:val="0"/>
      <w:marRight w:val="0"/>
      <w:marTop w:val="0"/>
      <w:marBottom w:val="0"/>
      <w:divBdr>
        <w:top w:val="none" w:sz="0" w:space="0" w:color="auto"/>
        <w:left w:val="none" w:sz="0" w:space="0" w:color="auto"/>
        <w:bottom w:val="none" w:sz="0" w:space="0" w:color="auto"/>
        <w:right w:val="none" w:sz="0" w:space="0" w:color="auto"/>
      </w:divBdr>
    </w:div>
    <w:div w:id="1412198700">
      <w:bodyDiv w:val="1"/>
      <w:marLeft w:val="0"/>
      <w:marRight w:val="0"/>
      <w:marTop w:val="0"/>
      <w:marBottom w:val="0"/>
      <w:divBdr>
        <w:top w:val="none" w:sz="0" w:space="0" w:color="auto"/>
        <w:left w:val="none" w:sz="0" w:space="0" w:color="auto"/>
        <w:bottom w:val="none" w:sz="0" w:space="0" w:color="auto"/>
        <w:right w:val="none" w:sz="0" w:space="0" w:color="auto"/>
      </w:divBdr>
    </w:div>
    <w:div w:id="1429346779">
      <w:bodyDiv w:val="1"/>
      <w:marLeft w:val="0"/>
      <w:marRight w:val="0"/>
      <w:marTop w:val="0"/>
      <w:marBottom w:val="0"/>
      <w:divBdr>
        <w:top w:val="none" w:sz="0" w:space="0" w:color="auto"/>
        <w:left w:val="none" w:sz="0" w:space="0" w:color="auto"/>
        <w:bottom w:val="none" w:sz="0" w:space="0" w:color="auto"/>
        <w:right w:val="none" w:sz="0" w:space="0" w:color="auto"/>
      </w:divBdr>
    </w:div>
    <w:div w:id="1457672851">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39232033">
      <w:bodyDiv w:val="1"/>
      <w:marLeft w:val="0"/>
      <w:marRight w:val="0"/>
      <w:marTop w:val="0"/>
      <w:marBottom w:val="0"/>
      <w:divBdr>
        <w:top w:val="none" w:sz="0" w:space="0" w:color="auto"/>
        <w:left w:val="none" w:sz="0" w:space="0" w:color="auto"/>
        <w:bottom w:val="none" w:sz="0" w:space="0" w:color="auto"/>
        <w:right w:val="none" w:sz="0" w:space="0" w:color="auto"/>
      </w:divBdr>
    </w:div>
    <w:div w:id="1940016871">
      <w:bodyDiv w:val="1"/>
      <w:marLeft w:val="0"/>
      <w:marRight w:val="0"/>
      <w:marTop w:val="0"/>
      <w:marBottom w:val="0"/>
      <w:divBdr>
        <w:top w:val="none" w:sz="0" w:space="0" w:color="auto"/>
        <w:left w:val="none" w:sz="0" w:space="0" w:color="auto"/>
        <w:bottom w:val="none" w:sz="0" w:space="0" w:color="auto"/>
        <w:right w:val="none" w:sz="0" w:space="0" w:color="auto"/>
      </w:divBdr>
    </w:div>
    <w:div w:id="2037920474">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https://www.ihpa.gov.au/sites/default/files/publications/national_efficient_price_determination_2020-21.pdf" TargetMode="External"/><Relationship Id="rId7" Type="http://schemas.openxmlformats.org/officeDocument/2006/relationships/settings" Target="settings.xml"/><Relationship Id="rId12" Type="http://schemas.openxmlformats.org/officeDocument/2006/relationships/hyperlink" Target="mailto:Tim.Carlton@cgc.gov.au" TargetMode="External"/><Relationship Id="rId17" Type="http://schemas.openxmlformats.org/officeDocument/2006/relationships/footer" Target="footer2.xml"/><Relationship Id="rId25" Type="http://schemas.openxmlformats.org/officeDocument/2006/relationships/hyperlink" Target="https://www.ihpa.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ihpa.gov.au/sites/default/files/round_22_nhcdc_infographics_non_admitted.pdf" TargetMode="Externa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hpa.gov.au/"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ihpa.gov.au" TargetMode="External"/><Relationship Id="rId28"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hyperlink" Target="mailto:Tim.Carlton@cgc.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 TargetMode="External"/><Relationship Id="rId22" Type="http://schemas.openxmlformats.org/officeDocument/2006/relationships/hyperlink" Target="https://www.ihpa.gov.au/sites/default/files/Documents/national_efficient_cost_determination_2020-21.pdf" TargetMode="External"/><Relationship Id="rId27" Type="http://schemas.openxmlformats.org/officeDocument/2006/relationships/image" Target="media/image4.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hpa.gov.au/sites/default/files/publications/national_pricing_model_technical_specifications_2020-21_0.pdf" TargetMode="External"/><Relationship Id="rId1" Type="http://schemas.openxmlformats.org/officeDocument/2006/relationships/hyperlink" Target="https://www.ihpa.gov.au/publications/annual-review-general-list-scope-public-hospital-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2dfe69c7-967f-4464-84d7-6388aaa419b3" xsi:nil="true"/>
    <lcf76f155ced4ddcb4097134ff3c332f xmlns="2dfe69c7-967f-4464-84d7-6388aaa419b3">
      <Terms xmlns="http://schemas.microsoft.com/office/infopath/2007/PartnerControls"/>
    </lcf76f155ced4ddcb4097134ff3c332f>
    <TaxCatchAll xmlns="27c22894-85fb-4bcb-9b25-c14e22a558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D97AB64F9BE3479298F3DB52074C57" ma:contentTypeVersion="14" ma:contentTypeDescription="Create a new document." ma:contentTypeScope="" ma:versionID="72a7d4dfff58143715860b646eea0b3c">
  <xsd:schema xmlns:xsd="http://www.w3.org/2001/XMLSchema" xmlns:xs="http://www.w3.org/2001/XMLSchema" xmlns:p="http://schemas.microsoft.com/office/2006/metadata/properties" xmlns:ns2="2dfe69c7-967f-4464-84d7-6388aaa419b3" xmlns:ns3="27c22894-85fb-4bcb-9b25-c14e22a558d2" targetNamespace="http://schemas.microsoft.com/office/2006/metadata/properties" ma:root="true" ma:fieldsID="2132237153a123344a0a833ed1bf5dce" ns2:_="" ns3:_="">
    <xsd:import namespace="2dfe69c7-967f-4464-84d7-6388aaa419b3"/>
    <xsd:import namespace="27c22894-85fb-4bcb-9b25-c14e22a55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Date"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e69c7-967f-4464-84d7-6388aaa41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ate" ma:index="14" nillable="true" ma:displayName="Date" ma:format="DateOnly" ma:internalName="Date">
      <xsd:simpleType>
        <xsd:restriction base="dms:DateTim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a0b90d-15e3-4b68-b4ed-e1e0d46dd5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c22894-85fb-4bcb-9b25-c14e22a55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a66e95e-6ea7-4315-b7ba-bc0b923e9dd5}" ma:internalName="TaxCatchAll" ma:showField="CatchAllData" ma:web="27c22894-85fb-4bcb-9b25-c14e22a55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2A4F8F-140F-4856-8B9E-31DCD427886D}">
  <ds:schemaRefs>
    <ds:schemaRef ds:uri="http://schemas.microsoft.com/office/2006/metadata/properties"/>
    <ds:schemaRef ds:uri="http://schemas.microsoft.com/office/infopath/2007/PartnerControls"/>
    <ds:schemaRef ds:uri="2dfe69c7-967f-4464-84d7-6388aaa419b3"/>
  </ds:schemaRefs>
</ds:datastoreItem>
</file>

<file path=customXml/itemProps2.xml><?xml version="1.0" encoding="utf-8"?>
<ds:datastoreItem xmlns:ds="http://schemas.openxmlformats.org/officeDocument/2006/customXml" ds:itemID="{9A48F177-73EE-4CCE-AACA-18D64875AC40}"/>
</file>

<file path=customXml/itemProps3.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4.xml><?xml version="1.0" encoding="utf-8"?>
<ds:datastoreItem xmlns:ds="http://schemas.openxmlformats.org/officeDocument/2006/customXml" ds:itemID="{0DF9C94A-53B2-4B40-BB19-46D4024B1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28</Pages>
  <Words>9852</Words>
  <Characters>56162</Characters>
  <Application>Microsoft Office Word</Application>
  <DocSecurity>2</DocSecurity>
  <Lines>468</Lines>
  <Paragraphs>131</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65883</CharactersWithSpaces>
  <SharedDoc>false</SharedDoc>
  <HLinks>
    <vt:vector size="240" baseType="variant">
      <vt:variant>
        <vt:i4>1966147</vt:i4>
      </vt:variant>
      <vt:variant>
        <vt:i4>264</vt:i4>
      </vt:variant>
      <vt:variant>
        <vt:i4>0</vt:i4>
      </vt:variant>
      <vt:variant>
        <vt:i4>5</vt:i4>
      </vt:variant>
      <vt:variant>
        <vt:lpwstr>https://www.ihpa.gov.au/</vt:lpwstr>
      </vt:variant>
      <vt:variant>
        <vt:lpwstr/>
      </vt:variant>
      <vt:variant>
        <vt:i4>2621481</vt:i4>
      </vt:variant>
      <vt:variant>
        <vt:i4>260</vt:i4>
      </vt:variant>
      <vt:variant>
        <vt:i4>0</vt:i4>
      </vt:variant>
      <vt:variant>
        <vt:i4>5</vt:i4>
      </vt:variant>
      <vt:variant>
        <vt:lpwstr>http://www.ihpa.gov.au/</vt:lpwstr>
      </vt:variant>
      <vt:variant>
        <vt:lpwstr/>
      </vt:variant>
      <vt:variant>
        <vt:i4>2621481</vt:i4>
      </vt:variant>
      <vt:variant>
        <vt:i4>258</vt:i4>
      </vt:variant>
      <vt:variant>
        <vt:i4>0</vt:i4>
      </vt:variant>
      <vt:variant>
        <vt:i4>5</vt:i4>
      </vt:variant>
      <vt:variant>
        <vt:lpwstr>http://www.ihpa.gov.au/</vt:lpwstr>
      </vt:variant>
      <vt:variant>
        <vt:lpwstr/>
      </vt:variant>
      <vt:variant>
        <vt:i4>1966147</vt:i4>
      </vt:variant>
      <vt:variant>
        <vt:i4>210</vt:i4>
      </vt:variant>
      <vt:variant>
        <vt:i4>0</vt:i4>
      </vt:variant>
      <vt:variant>
        <vt:i4>5</vt:i4>
      </vt:variant>
      <vt:variant>
        <vt:lpwstr>https://www.ihpa.gov.au/</vt:lpwstr>
      </vt:variant>
      <vt:variant>
        <vt:lpwstr/>
      </vt:variant>
      <vt:variant>
        <vt:i4>2621481</vt:i4>
      </vt:variant>
      <vt:variant>
        <vt:i4>206</vt:i4>
      </vt:variant>
      <vt:variant>
        <vt:i4>0</vt:i4>
      </vt:variant>
      <vt:variant>
        <vt:i4>5</vt:i4>
      </vt:variant>
      <vt:variant>
        <vt:lpwstr>http://www.ihpa.gov.au/</vt:lpwstr>
      </vt:variant>
      <vt:variant>
        <vt:lpwstr/>
      </vt:variant>
      <vt:variant>
        <vt:i4>2621481</vt:i4>
      </vt:variant>
      <vt:variant>
        <vt:i4>204</vt:i4>
      </vt:variant>
      <vt:variant>
        <vt:i4>0</vt:i4>
      </vt:variant>
      <vt:variant>
        <vt:i4>5</vt:i4>
      </vt:variant>
      <vt:variant>
        <vt:lpwstr>http://www.ihpa.gov.au/</vt:lpwstr>
      </vt:variant>
      <vt:variant>
        <vt:lpwstr/>
      </vt:variant>
      <vt:variant>
        <vt:i4>7733308</vt:i4>
      </vt:variant>
      <vt:variant>
        <vt:i4>195</vt:i4>
      </vt:variant>
      <vt:variant>
        <vt:i4>0</vt:i4>
      </vt:variant>
      <vt:variant>
        <vt:i4>5</vt:i4>
      </vt:variant>
      <vt:variant>
        <vt:lpwstr>https://www.ihpa.gov.au/sites/default/files/Documents/national_efficient_cost_determination_2020-21.pdf</vt:lpwstr>
      </vt:variant>
      <vt:variant>
        <vt:lpwstr/>
      </vt:variant>
      <vt:variant>
        <vt:i4>2490489</vt:i4>
      </vt:variant>
      <vt:variant>
        <vt:i4>192</vt:i4>
      </vt:variant>
      <vt:variant>
        <vt:i4>0</vt:i4>
      </vt:variant>
      <vt:variant>
        <vt:i4>5</vt:i4>
      </vt:variant>
      <vt:variant>
        <vt:lpwstr>https://www.ihpa.gov.au/sites/default/files/publications/national_efficient_price_determination_2020-21.pdf</vt:lpwstr>
      </vt:variant>
      <vt:variant>
        <vt:lpwstr/>
      </vt:variant>
      <vt:variant>
        <vt:i4>3997790</vt:i4>
      </vt:variant>
      <vt:variant>
        <vt:i4>183</vt:i4>
      </vt:variant>
      <vt:variant>
        <vt:i4>0</vt:i4>
      </vt:variant>
      <vt:variant>
        <vt:i4>5</vt:i4>
      </vt:variant>
      <vt:variant>
        <vt:lpwstr>https://www.ihpa.gov.au/sites/default/files/round_22_nhcdc_infographics_non_admitted.pdf</vt:lpwstr>
      </vt:variant>
      <vt:variant>
        <vt:lpwstr/>
      </vt:variant>
      <vt:variant>
        <vt:i4>39</vt:i4>
      </vt:variant>
      <vt:variant>
        <vt:i4>165</vt:i4>
      </vt:variant>
      <vt:variant>
        <vt:i4>0</vt:i4>
      </vt:variant>
      <vt:variant>
        <vt:i4>5</vt:i4>
      </vt:variant>
      <vt:variant>
        <vt:lpwstr>mailto:Tim.Carlton@cgc.gov.au</vt:lpwstr>
      </vt:variant>
      <vt:variant>
        <vt:lpwstr/>
      </vt:variant>
      <vt:variant>
        <vt:i4>1966131</vt:i4>
      </vt:variant>
      <vt:variant>
        <vt:i4>158</vt:i4>
      </vt:variant>
      <vt:variant>
        <vt:i4>0</vt:i4>
      </vt:variant>
      <vt:variant>
        <vt:i4>5</vt:i4>
      </vt:variant>
      <vt:variant>
        <vt:lpwstr/>
      </vt:variant>
      <vt:variant>
        <vt:lpwstr>_Toc48052155</vt:lpwstr>
      </vt:variant>
      <vt:variant>
        <vt:i4>2031667</vt:i4>
      </vt:variant>
      <vt:variant>
        <vt:i4>152</vt:i4>
      </vt:variant>
      <vt:variant>
        <vt:i4>0</vt:i4>
      </vt:variant>
      <vt:variant>
        <vt:i4>5</vt:i4>
      </vt:variant>
      <vt:variant>
        <vt:lpwstr/>
      </vt:variant>
      <vt:variant>
        <vt:lpwstr>_Toc48052154</vt:lpwstr>
      </vt:variant>
      <vt:variant>
        <vt:i4>1572915</vt:i4>
      </vt:variant>
      <vt:variant>
        <vt:i4>146</vt:i4>
      </vt:variant>
      <vt:variant>
        <vt:i4>0</vt:i4>
      </vt:variant>
      <vt:variant>
        <vt:i4>5</vt:i4>
      </vt:variant>
      <vt:variant>
        <vt:lpwstr/>
      </vt:variant>
      <vt:variant>
        <vt:lpwstr>_Toc48052153</vt:lpwstr>
      </vt:variant>
      <vt:variant>
        <vt:i4>1638451</vt:i4>
      </vt:variant>
      <vt:variant>
        <vt:i4>140</vt:i4>
      </vt:variant>
      <vt:variant>
        <vt:i4>0</vt:i4>
      </vt:variant>
      <vt:variant>
        <vt:i4>5</vt:i4>
      </vt:variant>
      <vt:variant>
        <vt:lpwstr/>
      </vt:variant>
      <vt:variant>
        <vt:lpwstr>_Toc48052152</vt:lpwstr>
      </vt:variant>
      <vt:variant>
        <vt:i4>1703987</vt:i4>
      </vt:variant>
      <vt:variant>
        <vt:i4>134</vt:i4>
      </vt:variant>
      <vt:variant>
        <vt:i4>0</vt:i4>
      </vt:variant>
      <vt:variant>
        <vt:i4>5</vt:i4>
      </vt:variant>
      <vt:variant>
        <vt:lpwstr/>
      </vt:variant>
      <vt:variant>
        <vt:lpwstr>_Toc48052151</vt:lpwstr>
      </vt:variant>
      <vt:variant>
        <vt:i4>1769523</vt:i4>
      </vt:variant>
      <vt:variant>
        <vt:i4>128</vt:i4>
      </vt:variant>
      <vt:variant>
        <vt:i4>0</vt:i4>
      </vt:variant>
      <vt:variant>
        <vt:i4>5</vt:i4>
      </vt:variant>
      <vt:variant>
        <vt:lpwstr/>
      </vt:variant>
      <vt:variant>
        <vt:lpwstr>_Toc48052150</vt:lpwstr>
      </vt:variant>
      <vt:variant>
        <vt:i4>1179698</vt:i4>
      </vt:variant>
      <vt:variant>
        <vt:i4>122</vt:i4>
      </vt:variant>
      <vt:variant>
        <vt:i4>0</vt:i4>
      </vt:variant>
      <vt:variant>
        <vt:i4>5</vt:i4>
      </vt:variant>
      <vt:variant>
        <vt:lpwstr/>
      </vt:variant>
      <vt:variant>
        <vt:lpwstr>_Toc48052149</vt:lpwstr>
      </vt:variant>
      <vt:variant>
        <vt:i4>1245234</vt:i4>
      </vt:variant>
      <vt:variant>
        <vt:i4>116</vt:i4>
      </vt:variant>
      <vt:variant>
        <vt:i4>0</vt:i4>
      </vt:variant>
      <vt:variant>
        <vt:i4>5</vt:i4>
      </vt:variant>
      <vt:variant>
        <vt:lpwstr/>
      </vt:variant>
      <vt:variant>
        <vt:lpwstr>_Toc48052148</vt:lpwstr>
      </vt:variant>
      <vt:variant>
        <vt:i4>1835058</vt:i4>
      </vt:variant>
      <vt:variant>
        <vt:i4>110</vt:i4>
      </vt:variant>
      <vt:variant>
        <vt:i4>0</vt:i4>
      </vt:variant>
      <vt:variant>
        <vt:i4>5</vt:i4>
      </vt:variant>
      <vt:variant>
        <vt:lpwstr/>
      </vt:variant>
      <vt:variant>
        <vt:lpwstr>_Toc48052147</vt:lpwstr>
      </vt:variant>
      <vt:variant>
        <vt:i4>1900594</vt:i4>
      </vt:variant>
      <vt:variant>
        <vt:i4>104</vt:i4>
      </vt:variant>
      <vt:variant>
        <vt:i4>0</vt:i4>
      </vt:variant>
      <vt:variant>
        <vt:i4>5</vt:i4>
      </vt:variant>
      <vt:variant>
        <vt:lpwstr/>
      </vt:variant>
      <vt:variant>
        <vt:lpwstr>_Toc48052146</vt:lpwstr>
      </vt:variant>
      <vt:variant>
        <vt:i4>1966130</vt:i4>
      </vt:variant>
      <vt:variant>
        <vt:i4>98</vt:i4>
      </vt:variant>
      <vt:variant>
        <vt:i4>0</vt:i4>
      </vt:variant>
      <vt:variant>
        <vt:i4>5</vt:i4>
      </vt:variant>
      <vt:variant>
        <vt:lpwstr/>
      </vt:variant>
      <vt:variant>
        <vt:lpwstr>_Toc48052145</vt:lpwstr>
      </vt:variant>
      <vt:variant>
        <vt:i4>2031666</vt:i4>
      </vt:variant>
      <vt:variant>
        <vt:i4>92</vt:i4>
      </vt:variant>
      <vt:variant>
        <vt:i4>0</vt:i4>
      </vt:variant>
      <vt:variant>
        <vt:i4>5</vt:i4>
      </vt:variant>
      <vt:variant>
        <vt:lpwstr/>
      </vt:variant>
      <vt:variant>
        <vt:lpwstr>_Toc48052144</vt:lpwstr>
      </vt:variant>
      <vt:variant>
        <vt:i4>1572914</vt:i4>
      </vt:variant>
      <vt:variant>
        <vt:i4>86</vt:i4>
      </vt:variant>
      <vt:variant>
        <vt:i4>0</vt:i4>
      </vt:variant>
      <vt:variant>
        <vt:i4>5</vt:i4>
      </vt:variant>
      <vt:variant>
        <vt:lpwstr/>
      </vt:variant>
      <vt:variant>
        <vt:lpwstr>_Toc48052143</vt:lpwstr>
      </vt:variant>
      <vt:variant>
        <vt:i4>1638450</vt:i4>
      </vt:variant>
      <vt:variant>
        <vt:i4>80</vt:i4>
      </vt:variant>
      <vt:variant>
        <vt:i4>0</vt:i4>
      </vt:variant>
      <vt:variant>
        <vt:i4>5</vt:i4>
      </vt:variant>
      <vt:variant>
        <vt:lpwstr/>
      </vt:variant>
      <vt:variant>
        <vt:lpwstr>_Toc48052142</vt:lpwstr>
      </vt:variant>
      <vt:variant>
        <vt:i4>1703986</vt:i4>
      </vt:variant>
      <vt:variant>
        <vt:i4>74</vt:i4>
      </vt:variant>
      <vt:variant>
        <vt:i4>0</vt:i4>
      </vt:variant>
      <vt:variant>
        <vt:i4>5</vt:i4>
      </vt:variant>
      <vt:variant>
        <vt:lpwstr/>
      </vt:variant>
      <vt:variant>
        <vt:lpwstr>_Toc48052141</vt:lpwstr>
      </vt:variant>
      <vt:variant>
        <vt:i4>1769522</vt:i4>
      </vt:variant>
      <vt:variant>
        <vt:i4>68</vt:i4>
      </vt:variant>
      <vt:variant>
        <vt:i4>0</vt:i4>
      </vt:variant>
      <vt:variant>
        <vt:i4>5</vt:i4>
      </vt:variant>
      <vt:variant>
        <vt:lpwstr/>
      </vt:variant>
      <vt:variant>
        <vt:lpwstr>_Toc48052140</vt:lpwstr>
      </vt:variant>
      <vt:variant>
        <vt:i4>1179701</vt:i4>
      </vt:variant>
      <vt:variant>
        <vt:i4>62</vt:i4>
      </vt:variant>
      <vt:variant>
        <vt:i4>0</vt:i4>
      </vt:variant>
      <vt:variant>
        <vt:i4>5</vt:i4>
      </vt:variant>
      <vt:variant>
        <vt:lpwstr/>
      </vt:variant>
      <vt:variant>
        <vt:lpwstr>_Toc48052139</vt:lpwstr>
      </vt:variant>
      <vt:variant>
        <vt:i4>1245237</vt:i4>
      </vt:variant>
      <vt:variant>
        <vt:i4>56</vt:i4>
      </vt:variant>
      <vt:variant>
        <vt:i4>0</vt:i4>
      </vt:variant>
      <vt:variant>
        <vt:i4>5</vt:i4>
      </vt:variant>
      <vt:variant>
        <vt:lpwstr/>
      </vt:variant>
      <vt:variant>
        <vt:lpwstr>_Toc48052138</vt:lpwstr>
      </vt:variant>
      <vt:variant>
        <vt:i4>1835061</vt:i4>
      </vt:variant>
      <vt:variant>
        <vt:i4>50</vt:i4>
      </vt:variant>
      <vt:variant>
        <vt:i4>0</vt:i4>
      </vt:variant>
      <vt:variant>
        <vt:i4>5</vt:i4>
      </vt:variant>
      <vt:variant>
        <vt:lpwstr/>
      </vt:variant>
      <vt:variant>
        <vt:lpwstr>_Toc48052137</vt:lpwstr>
      </vt:variant>
      <vt:variant>
        <vt:i4>1900597</vt:i4>
      </vt:variant>
      <vt:variant>
        <vt:i4>44</vt:i4>
      </vt:variant>
      <vt:variant>
        <vt:i4>0</vt:i4>
      </vt:variant>
      <vt:variant>
        <vt:i4>5</vt:i4>
      </vt:variant>
      <vt:variant>
        <vt:lpwstr/>
      </vt:variant>
      <vt:variant>
        <vt:lpwstr>_Toc48052136</vt:lpwstr>
      </vt:variant>
      <vt:variant>
        <vt:i4>1966133</vt:i4>
      </vt:variant>
      <vt:variant>
        <vt:i4>38</vt:i4>
      </vt:variant>
      <vt:variant>
        <vt:i4>0</vt:i4>
      </vt:variant>
      <vt:variant>
        <vt:i4>5</vt:i4>
      </vt:variant>
      <vt:variant>
        <vt:lpwstr/>
      </vt:variant>
      <vt:variant>
        <vt:lpwstr>_Toc48052135</vt:lpwstr>
      </vt:variant>
      <vt:variant>
        <vt:i4>2031669</vt:i4>
      </vt:variant>
      <vt:variant>
        <vt:i4>32</vt:i4>
      </vt:variant>
      <vt:variant>
        <vt:i4>0</vt:i4>
      </vt:variant>
      <vt:variant>
        <vt:i4>5</vt:i4>
      </vt:variant>
      <vt:variant>
        <vt:lpwstr/>
      </vt:variant>
      <vt:variant>
        <vt:lpwstr>_Toc48052134</vt:lpwstr>
      </vt:variant>
      <vt:variant>
        <vt:i4>1572917</vt:i4>
      </vt:variant>
      <vt:variant>
        <vt:i4>26</vt:i4>
      </vt:variant>
      <vt:variant>
        <vt:i4>0</vt:i4>
      </vt:variant>
      <vt:variant>
        <vt:i4>5</vt:i4>
      </vt:variant>
      <vt:variant>
        <vt:lpwstr/>
      </vt:variant>
      <vt:variant>
        <vt:lpwstr>_Toc48052133</vt:lpwstr>
      </vt:variant>
      <vt:variant>
        <vt:i4>1638453</vt:i4>
      </vt:variant>
      <vt:variant>
        <vt:i4>20</vt:i4>
      </vt:variant>
      <vt:variant>
        <vt:i4>0</vt:i4>
      </vt:variant>
      <vt:variant>
        <vt:i4>5</vt:i4>
      </vt:variant>
      <vt:variant>
        <vt:lpwstr/>
      </vt:variant>
      <vt:variant>
        <vt:lpwstr>_Toc48052132</vt:lpwstr>
      </vt:variant>
      <vt:variant>
        <vt:i4>1703989</vt:i4>
      </vt:variant>
      <vt:variant>
        <vt:i4>14</vt:i4>
      </vt:variant>
      <vt:variant>
        <vt:i4>0</vt:i4>
      </vt:variant>
      <vt:variant>
        <vt:i4>5</vt:i4>
      </vt:variant>
      <vt:variant>
        <vt:lpwstr/>
      </vt:variant>
      <vt:variant>
        <vt:lpwstr>_Toc48052131</vt:lpwstr>
      </vt:variant>
      <vt:variant>
        <vt:i4>1769525</vt:i4>
      </vt:variant>
      <vt:variant>
        <vt:i4>8</vt:i4>
      </vt:variant>
      <vt:variant>
        <vt:i4>0</vt:i4>
      </vt:variant>
      <vt:variant>
        <vt:i4>5</vt:i4>
      </vt:variant>
      <vt:variant>
        <vt:lpwstr/>
      </vt:variant>
      <vt:variant>
        <vt:lpwstr>_Toc48052130</vt:lpwstr>
      </vt:variant>
      <vt:variant>
        <vt:i4>5308424</vt:i4>
      </vt:variant>
      <vt:variant>
        <vt:i4>3</vt:i4>
      </vt:variant>
      <vt:variant>
        <vt:i4>0</vt:i4>
      </vt:variant>
      <vt:variant>
        <vt:i4>5</vt:i4>
      </vt:variant>
      <vt:variant>
        <vt:lpwstr>https://creativecommons.org/licenses/by/4.0/</vt:lpwstr>
      </vt:variant>
      <vt:variant>
        <vt:lpwstr/>
      </vt:variant>
      <vt:variant>
        <vt:i4>39</vt:i4>
      </vt:variant>
      <vt:variant>
        <vt:i4>0</vt:i4>
      </vt:variant>
      <vt:variant>
        <vt:i4>0</vt:i4>
      </vt:variant>
      <vt:variant>
        <vt:i4>5</vt:i4>
      </vt:variant>
      <vt:variant>
        <vt:lpwstr>mailto:Tim.Carlton@cgc.gov.au</vt:lpwstr>
      </vt:variant>
      <vt:variant>
        <vt:lpwstr/>
      </vt:variant>
      <vt:variant>
        <vt:i4>7012473</vt:i4>
      </vt:variant>
      <vt:variant>
        <vt:i4>3</vt:i4>
      </vt:variant>
      <vt:variant>
        <vt:i4>0</vt:i4>
      </vt:variant>
      <vt:variant>
        <vt:i4>5</vt:i4>
      </vt:variant>
      <vt:variant>
        <vt:lpwstr>https://www.ihpa.gov.au/sites/default/files/publications/national_pricing_model_technical_specifications_2020-21_0.pdf</vt:lpwstr>
      </vt:variant>
      <vt:variant>
        <vt:lpwstr/>
      </vt:variant>
      <vt:variant>
        <vt:i4>6815806</vt:i4>
      </vt:variant>
      <vt:variant>
        <vt:i4>0</vt:i4>
      </vt:variant>
      <vt:variant>
        <vt:i4>0</vt:i4>
      </vt:variant>
      <vt:variant>
        <vt:i4>5</vt:i4>
      </vt:variant>
      <vt:variant>
        <vt:lpwstr>https://www.ihpa.gov.au/publications/annual-review-general-list-scope-public-hospital-services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Kathleen Morris</dc:creator>
  <cp:keywords/>
  <cp:lastModifiedBy>Deborah Fleming</cp:lastModifiedBy>
  <cp:revision>197</cp:revision>
  <cp:lastPrinted>2020-08-25T05:08:00Z</cp:lastPrinted>
  <dcterms:created xsi:type="dcterms:W3CDTF">2020-08-19T05:01:00Z</dcterms:created>
  <dcterms:modified xsi:type="dcterms:W3CDTF">2020-08-25T05:08:00Z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0x0101009BD97AB64F9BE3479298F3DB52074C57</vt:lpwstr>
  </property>
  <property fmtid="{D5CDD505-2E9C-101B-9397-08002B2CF9AE}" pid="3" name="MediaServiceImageTags">
    <vt:lpwstr/>
  </property>
</Properties>
</file>