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DD8" w14:textId="513D04DE" w:rsidR="00FC59A2" w:rsidRDefault="00907D3C" w:rsidP="00FC59A2">
      <w:pPr>
        <w:ind w:left="2160" w:hanging="2160"/>
        <w:rPr>
          <w:rFonts w:ascii="Work Sans" w:hAnsi="Work Sans"/>
          <w:szCs w:val="20"/>
        </w:rPr>
      </w:pPr>
      <w:bookmarkStart w:id="0" w:name="_Toc117509465"/>
      <w:bookmarkStart w:id="1" w:name="_Toc121741481"/>
      <w:r>
        <w:rPr>
          <w:noProof/>
        </w:rPr>
        <w:drawing>
          <wp:anchor distT="0" distB="0" distL="114300" distR="114300" simplePos="0" relativeHeight="251658240" behindDoc="1" locked="0" layoutInCell="1" allowOverlap="1" wp14:anchorId="4C9890D4" wp14:editId="62342EE6">
            <wp:simplePos x="0" y="0"/>
            <wp:positionH relativeFrom="page">
              <wp:posOffset>0</wp:posOffset>
            </wp:positionH>
            <wp:positionV relativeFrom="paragraph">
              <wp:posOffset>-786552</wp:posOffset>
            </wp:positionV>
            <wp:extent cx="7725410" cy="10922000"/>
            <wp:effectExtent l="0" t="0" r="8890" b="0"/>
            <wp:wrapNone/>
            <wp:docPr id="6" name="Picture 6"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410" cy="10922000"/>
                    </a:xfrm>
                    <a:prstGeom prst="rect">
                      <a:avLst/>
                    </a:prstGeom>
                  </pic:spPr>
                </pic:pic>
              </a:graphicData>
            </a:graphic>
            <wp14:sizeRelH relativeFrom="margin">
              <wp14:pctWidth>0</wp14:pctWidth>
            </wp14:sizeRelH>
            <wp14:sizeRelV relativeFrom="margin">
              <wp14:pctHeight>0</wp14:pctHeight>
            </wp14:sizeRelV>
          </wp:anchor>
        </w:drawing>
      </w:r>
    </w:p>
    <w:p w14:paraId="11AACD1D" w14:textId="13DE30C3" w:rsidR="00FC59A2" w:rsidRDefault="00FC59A2" w:rsidP="00FC59A2">
      <w:pPr>
        <w:ind w:left="2160" w:hanging="2160"/>
        <w:rPr>
          <w:rFonts w:ascii="Work Sans" w:hAnsi="Work Sans"/>
          <w:szCs w:val="20"/>
        </w:rPr>
      </w:pPr>
    </w:p>
    <w:p w14:paraId="608B9C9D" w14:textId="2AA407C3" w:rsidR="00FC59A2" w:rsidRDefault="00FC59A2" w:rsidP="00FC59A2">
      <w:pPr>
        <w:tabs>
          <w:tab w:val="clear" w:pos="567"/>
        </w:tabs>
        <w:spacing w:before="0" w:after="200" w:line="276" w:lineRule="auto"/>
        <w:rPr>
          <w:rFonts w:ascii="Work Sans" w:hAnsi="Work Sans"/>
          <w:szCs w:val="20"/>
        </w:rPr>
      </w:pPr>
      <w:r>
        <w:rPr>
          <w:noProof/>
        </w:rPr>
        <w:drawing>
          <wp:inline distT="0" distB="0" distL="0" distR="0" wp14:anchorId="5020F708" wp14:editId="1BB1CDF8">
            <wp:extent cx="2441749" cy="460926"/>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597" cy="496952"/>
                    </a:xfrm>
                    <a:prstGeom prst="rect">
                      <a:avLst/>
                    </a:prstGeom>
                  </pic:spPr>
                </pic:pic>
              </a:graphicData>
            </a:graphic>
          </wp:inline>
        </w:drawing>
      </w:r>
    </w:p>
    <w:p w14:paraId="67040D06" w14:textId="00D3B80F" w:rsidR="00FC59A2" w:rsidRDefault="00FC59A2" w:rsidP="00FC59A2">
      <w:pPr>
        <w:tabs>
          <w:tab w:val="clear" w:pos="567"/>
        </w:tabs>
        <w:spacing w:before="0" w:after="200" w:line="276" w:lineRule="auto"/>
        <w:rPr>
          <w:rFonts w:ascii="Work Sans" w:hAnsi="Work Sans"/>
          <w:szCs w:val="20"/>
        </w:rPr>
      </w:pPr>
    </w:p>
    <w:p w14:paraId="21747ECA" w14:textId="428FBA6A" w:rsidR="00FC59A2" w:rsidRDefault="00FC59A2" w:rsidP="00FC59A2">
      <w:pPr>
        <w:tabs>
          <w:tab w:val="clear" w:pos="567"/>
        </w:tabs>
        <w:spacing w:before="0" w:after="200" w:line="276" w:lineRule="auto"/>
        <w:rPr>
          <w:rFonts w:ascii="Work Sans" w:hAnsi="Work Sans"/>
          <w:szCs w:val="20"/>
        </w:rPr>
      </w:pPr>
    </w:p>
    <w:p w14:paraId="0D30DC89" w14:textId="1EEF4163" w:rsidR="00FC59A2" w:rsidRDefault="00724930" w:rsidP="00FC59A2">
      <w:pPr>
        <w:tabs>
          <w:tab w:val="clear" w:pos="567"/>
        </w:tabs>
        <w:spacing w:before="0" w:after="200" w:line="276" w:lineRule="auto"/>
        <w:rPr>
          <w:rFonts w:ascii="Work Sans" w:hAnsi="Work Sans"/>
          <w:szCs w:val="20"/>
        </w:rPr>
      </w:pPr>
      <w:r w:rsidRPr="00962EFF">
        <w:rPr>
          <w:noProof/>
        </w:rPr>
        <mc:AlternateContent>
          <mc:Choice Requires="wps">
            <w:drawing>
              <wp:anchor distT="0" distB="0" distL="114300" distR="114300" simplePos="0" relativeHeight="251658243" behindDoc="0" locked="0" layoutInCell="1" allowOverlap="1" wp14:anchorId="32E2558F" wp14:editId="5BAC3460">
                <wp:simplePos x="0" y="0"/>
                <wp:positionH relativeFrom="margin">
                  <wp:align>center</wp:align>
                </wp:positionH>
                <wp:positionV relativeFrom="page">
                  <wp:posOffset>2607283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0C7DC0E9" w14:textId="77777777" w:rsidR="00A55377" w:rsidRPr="00F656E3" w:rsidRDefault="00A55377" w:rsidP="00A55377">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4F5E63BD" w14:textId="77777777" w:rsidR="00A55377" w:rsidRPr="00EB24B1" w:rsidRDefault="00A55377" w:rsidP="00A55377">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2558F" id="_x0000_t202" coordsize="21600,21600" o:spt="202" path="m,l,21600r21600,l21600,xe">
                <v:stroke joinstyle="miter"/>
                <v:path gradientshapeok="t" o:connecttype="rect"/>
              </v:shapetype>
              <v:shape id="Text Box 31" o:spid="_x0000_s1026" type="#_x0000_t202" style="position:absolute;margin-left:0;margin-top:205.3pt;width:472.5pt;height:61.2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" filled="f" stroked="f" strokeweight=".5pt">
                <v:textbox>
                  <w:txbxContent>
                    <w:p w14:paraId="0C7DC0E9" w14:textId="77777777" w:rsidR="00A55377" w:rsidRPr="00F656E3" w:rsidRDefault="00A55377" w:rsidP="00A55377">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4F5E63BD" w14:textId="77777777" w:rsidR="00A55377" w:rsidRPr="00EB24B1" w:rsidRDefault="00A55377" w:rsidP="00A55377">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26891C62" w14:textId="582E320A" w:rsidR="00FC59A2" w:rsidRDefault="00FC59A2" w:rsidP="00FC59A2">
      <w:pPr>
        <w:tabs>
          <w:tab w:val="clear" w:pos="567"/>
        </w:tabs>
        <w:spacing w:before="0" w:after="200" w:line="276" w:lineRule="auto"/>
        <w:rPr>
          <w:rFonts w:ascii="Work Sans" w:hAnsi="Work Sans"/>
          <w:szCs w:val="20"/>
        </w:rPr>
      </w:pPr>
    </w:p>
    <w:p w14:paraId="7512A04F" w14:textId="5E9B41C1" w:rsidR="00FC59A2" w:rsidRDefault="00FC59A2" w:rsidP="00FC59A2">
      <w:pPr>
        <w:tabs>
          <w:tab w:val="clear" w:pos="567"/>
        </w:tabs>
        <w:spacing w:before="0" w:after="200" w:line="276" w:lineRule="auto"/>
        <w:rPr>
          <w:rFonts w:ascii="Work Sans" w:hAnsi="Work Sans"/>
          <w:szCs w:val="20"/>
        </w:rPr>
      </w:pPr>
    </w:p>
    <w:p w14:paraId="669CE631" w14:textId="25AFBC5E" w:rsidR="00FC59A2" w:rsidRDefault="00FC59A2" w:rsidP="00FC59A2">
      <w:pPr>
        <w:tabs>
          <w:tab w:val="clear" w:pos="567"/>
        </w:tabs>
        <w:spacing w:before="0" w:after="200" w:line="276" w:lineRule="auto"/>
        <w:rPr>
          <w:rFonts w:ascii="Work Sans" w:hAnsi="Work Sans"/>
          <w:szCs w:val="20"/>
        </w:rPr>
      </w:pPr>
    </w:p>
    <w:p w14:paraId="2C37CA6E" w14:textId="13FC73C3" w:rsidR="00FC59A2" w:rsidRDefault="00FC59A2" w:rsidP="00FC59A2">
      <w:pPr>
        <w:tabs>
          <w:tab w:val="clear" w:pos="567"/>
        </w:tabs>
        <w:spacing w:before="0" w:after="200" w:line="276" w:lineRule="auto"/>
        <w:rPr>
          <w:rFonts w:ascii="Work Sans" w:hAnsi="Work Sans"/>
          <w:szCs w:val="20"/>
        </w:rPr>
      </w:pPr>
    </w:p>
    <w:p w14:paraId="735DB5A0" w14:textId="56F1C1ED" w:rsidR="00FC59A2" w:rsidRDefault="008764D2" w:rsidP="00FC59A2">
      <w:pPr>
        <w:tabs>
          <w:tab w:val="clear" w:pos="567"/>
        </w:tabs>
        <w:spacing w:before="0" w:after="200" w:line="276" w:lineRule="auto"/>
        <w:rPr>
          <w:rFonts w:ascii="Work Sans" w:hAnsi="Work Sans"/>
          <w:szCs w:val="20"/>
        </w:rPr>
      </w:pPr>
      <w:r w:rsidRPr="00962EFF">
        <w:rPr>
          <w:noProof/>
        </w:rPr>
        <mc:AlternateContent>
          <mc:Choice Requires="wps">
            <w:drawing>
              <wp:anchor distT="0" distB="0" distL="114300" distR="114300" simplePos="0" relativeHeight="251658242" behindDoc="0" locked="0" layoutInCell="1" allowOverlap="1" wp14:anchorId="1B75C96A" wp14:editId="37F04D5D">
                <wp:simplePos x="0" y="0"/>
                <wp:positionH relativeFrom="margin">
                  <wp:posOffset>-122555</wp:posOffset>
                </wp:positionH>
                <wp:positionV relativeFrom="page">
                  <wp:posOffset>4204087</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3C321002" w14:textId="4FC9736A" w:rsidR="00A55377" w:rsidRPr="0036633A" w:rsidRDefault="00BE7A1C" w:rsidP="00A55377">
                            <w:pPr>
                              <w:jc w:val="center"/>
                              <w:rPr>
                                <w:rFonts w:ascii="Work Sans" w:hAnsi="Work Sans" w:cs="Open Sans"/>
                                <w:color w:val="FFFFFF"/>
                                <w:sz w:val="52"/>
                                <w:szCs w:val="56"/>
                              </w:rPr>
                            </w:pPr>
                            <w:r>
                              <w:rPr>
                                <w:rFonts w:ascii="Work Sans" w:hAnsi="Work Sans" w:cs="Open Sans"/>
                                <w:color w:val="FFFFFF"/>
                                <w:sz w:val="52"/>
                                <w:szCs w:val="56"/>
                              </w:rPr>
                              <w:t>Socio-economic status</w:t>
                            </w:r>
                            <w:r w:rsidR="00A55377" w:rsidRPr="00545F2D">
                              <w:rPr>
                                <w:rFonts w:ascii="Work Sans" w:hAnsi="Work Sans" w:cs="Open Sans"/>
                                <w:color w:val="FFFFFF"/>
                                <w:sz w:val="52"/>
                                <w:szCs w:val="56"/>
                              </w:rPr>
                              <w:t xml:space="preserve"> consultation</w:t>
                            </w:r>
                            <w:r w:rsidR="00A55377">
                              <w:rPr>
                                <w:rFonts w:ascii="Work Sans" w:hAnsi="Work Sans" w:cs="Open Sans"/>
                                <w:color w:val="FFFFFF"/>
                                <w:sz w:val="52"/>
                                <w:szCs w:val="56"/>
                              </w:rPr>
                              <w:t xml:space="preserve"> </w:t>
                            </w:r>
                            <w:r w:rsidR="00A55377" w:rsidRPr="00545F2D">
                              <w:rPr>
                                <w:rFonts w:ascii="Work Sans" w:hAnsi="Work Sans" w:cs="Open Sans"/>
                                <w:color w:val="FFFFFF"/>
                                <w:sz w:val="52"/>
                                <w:szCs w:val="56"/>
                              </w:rPr>
                              <w:t>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C96A" id="Text Box 29" o:spid="_x0000_s1027" type="#_x0000_t202" style="position:absolute;margin-left:-9.65pt;margin-top:331.05pt;width:472.5pt;height:155.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" filled="f" stroked="f" strokeweight=".5pt">
                <v:textbox>
                  <w:txbxContent>
                    <w:p w14:paraId="3C321002" w14:textId="4FC9736A" w:rsidR="00A55377" w:rsidRPr="0036633A" w:rsidRDefault="00BE7A1C" w:rsidP="00A55377">
                      <w:pPr>
                        <w:jc w:val="center"/>
                        <w:rPr>
                          <w:rFonts w:ascii="Work Sans" w:hAnsi="Work Sans" w:cs="Open Sans"/>
                          <w:color w:val="FFFFFF"/>
                          <w:sz w:val="52"/>
                          <w:szCs w:val="56"/>
                        </w:rPr>
                      </w:pPr>
                      <w:r>
                        <w:rPr>
                          <w:rFonts w:ascii="Work Sans" w:hAnsi="Work Sans" w:cs="Open Sans"/>
                          <w:color w:val="FFFFFF"/>
                          <w:sz w:val="52"/>
                          <w:szCs w:val="56"/>
                        </w:rPr>
                        <w:t>Socio-economic status</w:t>
                      </w:r>
                      <w:r w:rsidR="00A55377" w:rsidRPr="00545F2D">
                        <w:rPr>
                          <w:rFonts w:ascii="Work Sans" w:hAnsi="Work Sans" w:cs="Open Sans"/>
                          <w:color w:val="FFFFFF"/>
                          <w:sz w:val="52"/>
                          <w:szCs w:val="56"/>
                        </w:rPr>
                        <w:t xml:space="preserve"> consultation</w:t>
                      </w:r>
                      <w:r w:rsidR="00A55377">
                        <w:rPr>
                          <w:rFonts w:ascii="Work Sans" w:hAnsi="Work Sans" w:cs="Open Sans"/>
                          <w:color w:val="FFFFFF"/>
                          <w:sz w:val="52"/>
                          <w:szCs w:val="56"/>
                        </w:rPr>
                        <w:t xml:space="preserve"> </w:t>
                      </w:r>
                      <w:r w:rsidR="00A55377" w:rsidRPr="00545F2D">
                        <w:rPr>
                          <w:rFonts w:ascii="Work Sans" w:hAnsi="Work Sans" w:cs="Open Sans"/>
                          <w:color w:val="FFFFFF"/>
                          <w:sz w:val="52"/>
                          <w:szCs w:val="56"/>
                        </w:rPr>
                        <w:t>paper</w:t>
                      </w:r>
                    </w:p>
                  </w:txbxContent>
                </v:textbox>
                <w10:wrap anchorx="margin" anchory="page"/>
              </v:shape>
            </w:pict>
          </mc:Fallback>
        </mc:AlternateContent>
      </w:r>
    </w:p>
    <w:p w14:paraId="6D0DA8E4" w14:textId="1CC0C440" w:rsidR="00FC59A2" w:rsidRDefault="00FC59A2" w:rsidP="00FC59A2">
      <w:pPr>
        <w:tabs>
          <w:tab w:val="clear" w:pos="567"/>
        </w:tabs>
        <w:spacing w:before="0" w:after="200" w:line="276" w:lineRule="auto"/>
        <w:rPr>
          <w:rFonts w:ascii="Work Sans" w:hAnsi="Work Sans"/>
          <w:szCs w:val="20"/>
        </w:rPr>
      </w:pPr>
    </w:p>
    <w:p w14:paraId="40153714" w14:textId="2C2BD4E8" w:rsidR="00FC59A2" w:rsidRDefault="00FC59A2" w:rsidP="00FC59A2">
      <w:pPr>
        <w:tabs>
          <w:tab w:val="clear" w:pos="567"/>
        </w:tabs>
        <w:spacing w:before="0" w:after="200" w:line="276" w:lineRule="auto"/>
        <w:rPr>
          <w:rFonts w:ascii="Work Sans" w:hAnsi="Work Sans"/>
          <w:szCs w:val="20"/>
        </w:rPr>
      </w:pPr>
    </w:p>
    <w:p w14:paraId="08EEC4AC" w14:textId="5E111AE4" w:rsidR="00FC59A2" w:rsidRDefault="00FC59A2" w:rsidP="00FC59A2">
      <w:pPr>
        <w:tabs>
          <w:tab w:val="clear" w:pos="567"/>
        </w:tabs>
        <w:spacing w:before="0" w:after="200" w:line="276" w:lineRule="auto"/>
        <w:rPr>
          <w:rFonts w:ascii="Work Sans" w:hAnsi="Work Sans"/>
          <w:szCs w:val="20"/>
        </w:rPr>
      </w:pPr>
    </w:p>
    <w:p w14:paraId="4AFBBC1F" w14:textId="2D26E64A" w:rsidR="00FC59A2" w:rsidRDefault="00FC59A2" w:rsidP="00FC59A2">
      <w:pPr>
        <w:tabs>
          <w:tab w:val="clear" w:pos="567"/>
        </w:tabs>
        <w:spacing w:before="0" w:after="200" w:line="276" w:lineRule="auto"/>
        <w:rPr>
          <w:rFonts w:ascii="Work Sans" w:hAnsi="Work Sans"/>
          <w:szCs w:val="20"/>
        </w:rPr>
      </w:pPr>
    </w:p>
    <w:p w14:paraId="366CCF99" w14:textId="77777777" w:rsidR="00FC59A2" w:rsidRDefault="00FC59A2" w:rsidP="00FC59A2">
      <w:pPr>
        <w:tabs>
          <w:tab w:val="clear" w:pos="567"/>
        </w:tabs>
        <w:spacing w:before="0" w:after="200" w:line="276" w:lineRule="auto"/>
        <w:rPr>
          <w:rFonts w:ascii="Work Sans" w:hAnsi="Work Sans"/>
          <w:szCs w:val="20"/>
        </w:rPr>
      </w:pPr>
    </w:p>
    <w:p w14:paraId="0764EE5D" w14:textId="77777777" w:rsidR="00FC59A2" w:rsidRDefault="00FC59A2" w:rsidP="00FC59A2">
      <w:pPr>
        <w:tabs>
          <w:tab w:val="clear" w:pos="567"/>
        </w:tabs>
        <w:spacing w:before="0" w:after="200" w:line="276" w:lineRule="auto"/>
        <w:rPr>
          <w:rFonts w:ascii="Work Sans" w:hAnsi="Work Sans"/>
          <w:szCs w:val="20"/>
        </w:rPr>
      </w:pPr>
    </w:p>
    <w:p w14:paraId="461907BA" w14:textId="2BC0C4B0" w:rsidR="00FC59A2" w:rsidRDefault="00FC59A2" w:rsidP="00FC59A2">
      <w:pPr>
        <w:tabs>
          <w:tab w:val="clear" w:pos="567"/>
        </w:tabs>
        <w:spacing w:before="0" w:after="200" w:line="276" w:lineRule="auto"/>
        <w:rPr>
          <w:rFonts w:ascii="Work Sans" w:hAnsi="Work Sans"/>
          <w:szCs w:val="20"/>
        </w:rPr>
      </w:pPr>
    </w:p>
    <w:p w14:paraId="494A4F46" w14:textId="1D4652E1" w:rsidR="00FC59A2" w:rsidRDefault="008764D2" w:rsidP="00FC59A2">
      <w:pPr>
        <w:tabs>
          <w:tab w:val="clear" w:pos="567"/>
        </w:tabs>
        <w:spacing w:before="0" w:after="200" w:line="276" w:lineRule="auto"/>
        <w:rPr>
          <w:rFonts w:ascii="Work Sans" w:hAnsi="Work Sans"/>
          <w:szCs w:val="20"/>
        </w:rPr>
      </w:pPr>
      <w:r w:rsidRPr="00AD53D2">
        <w:rPr>
          <w:noProof/>
        </w:rPr>
        <mc:AlternateContent>
          <mc:Choice Requires="wps">
            <w:drawing>
              <wp:anchor distT="0" distB="0" distL="114300" distR="114300" simplePos="0" relativeHeight="251658241" behindDoc="0" locked="0" layoutInCell="1" allowOverlap="1" wp14:anchorId="4B9BD637" wp14:editId="6B4EE9BF">
                <wp:simplePos x="0" y="0"/>
                <wp:positionH relativeFrom="margin">
                  <wp:posOffset>2025650</wp:posOffset>
                </wp:positionH>
                <wp:positionV relativeFrom="paragraph">
                  <wp:posOffset>149529</wp:posOffset>
                </wp:positionV>
                <wp:extent cx="1704975" cy="3873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04975" cy="387350"/>
                        </a:xfrm>
                        <a:prstGeom prst="rect">
                          <a:avLst/>
                        </a:prstGeom>
                        <a:noFill/>
                        <a:ln w="6350">
                          <a:noFill/>
                        </a:ln>
                      </wps:spPr>
                      <wps:txbx>
                        <w:txbxContent>
                          <w:p w14:paraId="04DBAB38" w14:textId="77777777" w:rsidR="00FC59A2" w:rsidRPr="00F8305F" w:rsidRDefault="00FC59A2" w:rsidP="003D4883">
                            <w:pPr>
                              <w:jc w:val="center"/>
                              <w:rPr>
                                <w:rFonts w:ascii="Work Sans" w:hAnsi="Work Sans" w:cs="Open Sans"/>
                                <w:color w:val="FFFFFF"/>
                                <w:sz w:val="28"/>
                                <w:szCs w:val="28"/>
                              </w:rPr>
                            </w:pPr>
                            <w:r>
                              <w:rPr>
                                <w:rFonts w:ascii="Work Sans" w:hAnsi="Work Sans" w:cs="Open Sans"/>
                                <w:color w:val="FFFFFF"/>
                                <w:sz w:val="28"/>
                                <w:szCs w:val="28"/>
                              </w:rPr>
                              <w:t>June</w:t>
                            </w:r>
                            <w:r w:rsidRPr="00430FE3">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D637" id="Text Box 15" o:spid="_x0000_s1028" type="#_x0000_t202" style="position:absolute;margin-left:159.5pt;margin-top:11.75pt;width:134.25pt;height:3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" filled="f" stroked="f" strokeweight=".5pt">
                <v:textbox>
                  <w:txbxContent>
                    <w:p w14:paraId="04DBAB38" w14:textId="77777777" w:rsidR="00FC59A2" w:rsidRPr="00F8305F" w:rsidRDefault="00FC59A2" w:rsidP="003D4883">
                      <w:pPr>
                        <w:jc w:val="center"/>
                        <w:rPr>
                          <w:rFonts w:ascii="Work Sans" w:hAnsi="Work Sans" w:cs="Open Sans"/>
                          <w:color w:val="FFFFFF"/>
                          <w:sz w:val="28"/>
                          <w:szCs w:val="28"/>
                        </w:rPr>
                      </w:pPr>
                      <w:r>
                        <w:rPr>
                          <w:rFonts w:ascii="Work Sans" w:hAnsi="Work Sans" w:cs="Open Sans"/>
                          <w:color w:val="FFFFFF"/>
                          <w:sz w:val="28"/>
                          <w:szCs w:val="28"/>
                        </w:rPr>
                        <w:t>June</w:t>
                      </w:r>
                      <w:r w:rsidRPr="00430FE3">
                        <w:rPr>
                          <w:rFonts w:ascii="Work Sans" w:hAnsi="Work Sans" w:cs="Open Sans"/>
                          <w:color w:val="FFFFFF"/>
                          <w:sz w:val="28"/>
                          <w:szCs w:val="28"/>
                        </w:rPr>
                        <w:t xml:space="preserve"> 2023</w:t>
                      </w:r>
                    </w:p>
                  </w:txbxContent>
                </v:textbox>
                <w10:wrap anchorx="margin"/>
              </v:shape>
            </w:pict>
          </mc:Fallback>
        </mc:AlternateContent>
      </w:r>
    </w:p>
    <w:p w14:paraId="42D00F10" w14:textId="6DE51EDF" w:rsidR="00FC59A2" w:rsidRDefault="00FC59A2" w:rsidP="00FC59A2">
      <w:pPr>
        <w:tabs>
          <w:tab w:val="clear" w:pos="567"/>
        </w:tabs>
        <w:spacing w:before="0" w:after="200" w:line="276" w:lineRule="auto"/>
        <w:rPr>
          <w:rFonts w:ascii="Work Sans" w:hAnsi="Work Sans"/>
          <w:szCs w:val="20"/>
        </w:rPr>
      </w:pPr>
    </w:p>
    <w:p w14:paraId="42DEC276" w14:textId="77777777" w:rsidR="00FC59A2" w:rsidRDefault="00FC59A2" w:rsidP="00FC59A2">
      <w:pPr>
        <w:tabs>
          <w:tab w:val="clear" w:pos="567"/>
        </w:tabs>
        <w:spacing w:before="0" w:after="200" w:line="276" w:lineRule="auto"/>
        <w:rPr>
          <w:rFonts w:ascii="Work Sans" w:hAnsi="Work Sans"/>
          <w:szCs w:val="20"/>
        </w:rPr>
      </w:pPr>
    </w:p>
    <w:p w14:paraId="76D7070D" w14:textId="640412E7" w:rsidR="00FC59A2" w:rsidRDefault="00FC59A2" w:rsidP="00FC59A2">
      <w:pPr>
        <w:tabs>
          <w:tab w:val="clear" w:pos="567"/>
        </w:tabs>
        <w:spacing w:before="0" w:after="200" w:line="276" w:lineRule="auto"/>
        <w:rPr>
          <w:rFonts w:ascii="Work Sans" w:hAnsi="Work Sans"/>
          <w:szCs w:val="20"/>
        </w:rPr>
      </w:pPr>
    </w:p>
    <w:p w14:paraId="323663ED" w14:textId="77777777" w:rsidR="00FC59A2" w:rsidRDefault="00FC59A2" w:rsidP="00FC59A2">
      <w:pPr>
        <w:tabs>
          <w:tab w:val="clear" w:pos="567"/>
        </w:tabs>
        <w:spacing w:before="0" w:after="200" w:line="276" w:lineRule="auto"/>
        <w:rPr>
          <w:rFonts w:ascii="Work Sans" w:hAnsi="Work Sans"/>
          <w:szCs w:val="20"/>
        </w:rPr>
      </w:pPr>
    </w:p>
    <w:p w14:paraId="6BA44BA5" w14:textId="4C226E6D" w:rsidR="00FC59A2" w:rsidRDefault="00FC59A2" w:rsidP="00FC59A2">
      <w:pPr>
        <w:tabs>
          <w:tab w:val="clear" w:pos="567"/>
        </w:tabs>
        <w:spacing w:before="0" w:after="200" w:line="276" w:lineRule="auto"/>
        <w:rPr>
          <w:rFonts w:ascii="Work Sans" w:hAnsi="Work Sans"/>
          <w:szCs w:val="20"/>
        </w:rPr>
      </w:pPr>
    </w:p>
    <w:p w14:paraId="18F6DCE6" w14:textId="77777777" w:rsidR="00FC59A2" w:rsidRDefault="00FC59A2" w:rsidP="00FC59A2">
      <w:pPr>
        <w:tabs>
          <w:tab w:val="clear" w:pos="567"/>
        </w:tabs>
        <w:spacing w:before="0" w:after="200" w:line="276" w:lineRule="auto"/>
        <w:rPr>
          <w:rFonts w:ascii="Work Sans" w:hAnsi="Work Sans"/>
          <w:szCs w:val="20"/>
        </w:rPr>
      </w:pPr>
    </w:p>
    <w:p w14:paraId="51852305" w14:textId="77777777" w:rsidR="00FC59A2" w:rsidRDefault="00FC59A2" w:rsidP="00FC59A2">
      <w:pPr>
        <w:tabs>
          <w:tab w:val="clear" w:pos="567"/>
        </w:tabs>
        <w:spacing w:before="0" w:after="200" w:line="276" w:lineRule="auto"/>
        <w:rPr>
          <w:rFonts w:ascii="Work Sans" w:hAnsi="Work Sans"/>
          <w:szCs w:val="20"/>
        </w:rPr>
      </w:pPr>
    </w:p>
    <w:p w14:paraId="7B9D4AE2" w14:textId="77777777" w:rsidR="00FC59A2" w:rsidRDefault="00FC59A2" w:rsidP="00FC59A2">
      <w:pPr>
        <w:tabs>
          <w:tab w:val="clear" w:pos="567"/>
        </w:tabs>
        <w:spacing w:before="0" w:after="200" w:line="276" w:lineRule="auto"/>
        <w:rPr>
          <w:rFonts w:ascii="Work Sans" w:hAnsi="Work Sans"/>
          <w:szCs w:val="20"/>
        </w:rPr>
      </w:pPr>
    </w:p>
    <w:p w14:paraId="5C4EB8A9" w14:textId="77777777" w:rsidR="00FC59A2" w:rsidRDefault="00FC59A2" w:rsidP="00FC59A2">
      <w:pPr>
        <w:tabs>
          <w:tab w:val="clear" w:pos="567"/>
        </w:tabs>
        <w:spacing w:before="0" w:after="200" w:line="276" w:lineRule="auto"/>
        <w:rPr>
          <w:rFonts w:ascii="Work Sans" w:hAnsi="Work Sans"/>
          <w:szCs w:val="20"/>
        </w:rPr>
      </w:pPr>
    </w:p>
    <w:p w14:paraId="530F0F46" w14:textId="77777777" w:rsidR="00FC59A2" w:rsidRDefault="00FC59A2" w:rsidP="00FC59A2">
      <w:pPr>
        <w:tabs>
          <w:tab w:val="clear" w:pos="567"/>
        </w:tabs>
        <w:spacing w:before="0" w:after="200" w:line="276" w:lineRule="auto"/>
        <w:rPr>
          <w:rFonts w:ascii="Work Sans" w:hAnsi="Work Sans"/>
          <w:szCs w:val="20"/>
        </w:rPr>
      </w:pPr>
    </w:p>
    <w:p w14:paraId="03C9CF25" w14:textId="77777777" w:rsidR="00FC59A2" w:rsidRDefault="00FC59A2" w:rsidP="00FC59A2"/>
    <w:p w14:paraId="701C6254" w14:textId="77777777" w:rsidR="00FC59A2" w:rsidRDefault="00FC59A2" w:rsidP="00FC59A2"/>
    <w:p w14:paraId="27DA1A3D" w14:textId="77777777" w:rsidR="007236B9" w:rsidRDefault="007236B9" w:rsidP="007236B9"/>
    <w:p w14:paraId="00774AF3" w14:textId="77777777" w:rsidR="008764D2" w:rsidRDefault="008764D2" w:rsidP="007236B9"/>
    <w:p w14:paraId="6B0207A3" w14:textId="77777777" w:rsidR="008764D2" w:rsidRDefault="008764D2" w:rsidP="007236B9"/>
    <w:p w14:paraId="428EF3A7" w14:textId="77777777" w:rsidR="008764D2" w:rsidRDefault="008764D2" w:rsidP="007236B9"/>
    <w:p w14:paraId="2FF195F6" w14:textId="77777777" w:rsidR="008764D2" w:rsidRDefault="008764D2" w:rsidP="007236B9"/>
    <w:p w14:paraId="04684FB0" w14:textId="77777777" w:rsidR="008764D2" w:rsidRDefault="008764D2" w:rsidP="007236B9"/>
    <w:p w14:paraId="2C45DA1B" w14:textId="77777777" w:rsidR="008764D2" w:rsidRDefault="008764D2" w:rsidP="007236B9"/>
    <w:p w14:paraId="6C44F628" w14:textId="77777777" w:rsidR="008764D2" w:rsidRDefault="008764D2" w:rsidP="007236B9"/>
    <w:p w14:paraId="36502399" w14:textId="77777777" w:rsidR="008764D2" w:rsidRDefault="008764D2" w:rsidP="007236B9"/>
    <w:p w14:paraId="2F9D071C" w14:textId="77777777" w:rsidR="008764D2" w:rsidRDefault="008764D2" w:rsidP="007236B9"/>
    <w:p w14:paraId="7FF81138" w14:textId="77777777" w:rsidR="008764D2" w:rsidRDefault="008764D2" w:rsidP="007236B9"/>
    <w:p w14:paraId="69233B6F" w14:textId="77777777" w:rsidR="008764D2" w:rsidRDefault="008764D2" w:rsidP="007236B9"/>
    <w:p w14:paraId="6BA58231" w14:textId="77777777" w:rsidR="008764D2" w:rsidRDefault="008764D2" w:rsidP="007236B9"/>
    <w:p w14:paraId="2831FBC6" w14:textId="77777777" w:rsidR="008764D2" w:rsidRDefault="008764D2" w:rsidP="007236B9"/>
    <w:p w14:paraId="00418546" w14:textId="77777777" w:rsidR="008764D2" w:rsidRDefault="008764D2" w:rsidP="007236B9"/>
    <w:p w14:paraId="3705D1D5" w14:textId="77777777" w:rsidR="008764D2" w:rsidRDefault="008764D2" w:rsidP="007236B9"/>
    <w:p w14:paraId="752D5EFD" w14:textId="77777777" w:rsidR="007236B9" w:rsidRPr="002F65BC" w:rsidRDefault="007236B9" w:rsidP="007236B9"/>
    <w:tbl>
      <w:tblPr>
        <w:tblStyle w:val="TableGrid"/>
        <w:tblW w:w="0" w:type="auto"/>
        <w:tblLook w:val="04A0" w:firstRow="1" w:lastRow="0" w:firstColumn="1" w:lastColumn="0" w:noHBand="0" w:noVBand="1"/>
      </w:tblPr>
      <w:tblGrid>
        <w:gridCol w:w="2972"/>
        <w:gridCol w:w="6044"/>
      </w:tblGrid>
      <w:tr w:rsidR="007236B9" w14:paraId="02E82D72" w14:textId="77777777" w:rsidTr="00946F42">
        <w:tc>
          <w:tcPr>
            <w:tcW w:w="2972" w:type="dxa"/>
          </w:tcPr>
          <w:p w14:paraId="68A1FF07" w14:textId="77777777" w:rsidR="007236B9" w:rsidRPr="003119A7" w:rsidRDefault="007236B9" w:rsidP="00946F42">
            <w:pPr>
              <w:rPr>
                <w:rFonts w:ascii="Work Sans" w:hAnsi="Work Sans"/>
                <w:szCs w:val="20"/>
              </w:rPr>
            </w:pPr>
            <w:r w:rsidRPr="003119A7">
              <w:rPr>
                <w:rFonts w:ascii="Work Sans" w:hAnsi="Work Sans"/>
                <w:szCs w:val="20"/>
              </w:rPr>
              <w:t>Paper issued</w:t>
            </w:r>
          </w:p>
        </w:tc>
        <w:tc>
          <w:tcPr>
            <w:tcW w:w="6044" w:type="dxa"/>
          </w:tcPr>
          <w:p w14:paraId="29C197C5" w14:textId="443EEB65" w:rsidR="007236B9" w:rsidRPr="003119A7" w:rsidRDefault="003D4883" w:rsidP="00946F42">
            <w:pPr>
              <w:rPr>
                <w:rFonts w:ascii="Work Sans" w:hAnsi="Work Sans"/>
                <w:szCs w:val="20"/>
              </w:rPr>
            </w:pPr>
            <w:r>
              <w:rPr>
                <w:rFonts w:ascii="Work Sans" w:hAnsi="Work Sans"/>
                <w:szCs w:val="20"/>
              </w:rPr>
              <w:t>20 June 2023</w:t>
            </w:r>
          </w:p>
        </w:tc>
      </w:tr>
      <w:tr w:rsidR="007236B9" w14:paraId="1B7D838F" w14:textId="77777777" w:rsidTr="00946F42">
        <w:tc>
          <w:tcPr>
            <w:tcW w:w="2972" w:type="dxa"/>
          </w:tcPr>
          <w:p w14:paraId="20242FD4" w14:textId="77777777" w:rsidR="007236B9" w:rsidRPr="003119A7" w:rsidRDefault="007236B9" w:rsidP="00946F42">
            <w:pPr>
              <w:rPr>
                <w:rFonts w:ascii="Work Sans" w:hAnsi="Work Sans"/>
                <w:szCs w:val="20"/>
              </w:rPr>
            </w:pPr>
            <w:r w:rsidRPr="003119A7">
              <w:rPr>
                <w:rFonts w:ascii="Work Sans" w:hAnsi="Work Sans"/>
                <w:szCs w:val="20"/>
              </w:rPr>
              <w:t>Commission contact officer</w:t>
            </w:r>
          </w:p>
        </w:tc>
        <w:tc>
          <w:tcPr>
            <w:tcW w:w="6044" w:type="dxa"/>
          </w:tcPr>
          <w:p w14:paraId="274BA173" w14:textId="2F5D7318" w:rsidR="007236B9" w:rsidRPr="003119A7" w:rsidRDefault="007236B9" w:rsidP="00946F42">
            <w:pPr>
              <w:rPr>
                <w:rFonts w:ascii="Work Sans" w:hAnsi="Work Sans"/>
                <w:szCs w:val="20"/>
              </w:rPr>
            </w:pPr>
            <w:r>
              <w:rPr>
                <w:rFonts w:ascii="Work Sans" w:hAnsi="Work Sans"/>
                <w:szCs w:val="20"/>
              </w:rPr>
              <w:t>Tim Carlton</w:t>
            </w:r>
            <w:r w:rsidRPr="002154BC">
              <w:rPr>
                <w:rFonts w:ascii="Work Sans" w:hAnsi="Work Sans"/>
                <w:szCs w:val="20"/>
              </w:rPr>
              <w:t>, 02 6218 57</w:t>
            </w:r>
            <w:r w:rsidR="00777397">
              <w:rPr>
                <w:rFonts w:ascii="Work Sans" w:hAnsi="Work Sans"/>
                <w:szCs w:val="20"/>
              </w:rPr>
              <w:t>28</w:t>
            </w:r>
            <w:r w:rsidRPr="002154BC">
              <w:rPr>
                <w:rFonts w:ascii="Work Sans" w:hAnsi="Work Sans"/>
                <w:szCs w:val="20"/>
              </w:rPr>
              <w:t xml:space="preserve">, </w:t>
            </w:r>
            <w:r>
              <w:rPr>
                <w:rFonts w:ascii="Work Sans" w:hAnsi="Work Sans"/>
                <w:szCs w:val="20"/>
              </w:rPr>
              <w:t>T</w:t>
            </w:r>
            <w:r w:rsidR="00777397">
              <w:rPr>
                <w:rFonts w:ascii="Work Sans" w:hAnsi="Work Sans"/>
                <w:szCs w:val="20"/>
              </w:rPr>
              <w:t>im.Carlton</w:t>
            </w:r>
            <w:r>
              <w:rPr>
                <w:rFonts w:ascii="Work Sans" w:hAnsi="Work Sans"/>
                <w:szCs w:val="20"/>
              </w:rPr>
              <w:t>@cgc.gov.au</w:t>
            </w:r>
            <w:r w:rsidRPr="003119A7">
              <w:rPr>
                <w:rFonts w:ascii="Work Sans" w:hAnsi="Work Sans"/>
                <w:szCs w:val="20"/>
              </w:rPr>
              <w:t xml:space="preserve"> </w:t>
            </w:r>
          </w:p>
        </w:tc>
      </w:tr>
      <w:tr w:rsidR="007236B9" w14:paraId="75623115" w14:textId="77777777" w:rsidTr="00946F42">
        <w:tc>
          <w:tcPr>
            <w:tcW w:w="2972" w:type="dxa"/>
          </w:tcPr>
          <w:p w14:paraId="392CC311" w14:textId="77777777" w:rsidR="007236B9" w:rsidRPr="003119A7" w:rsidRDefault="007236B9" w:rsidP="00946F42">
            <w:pPr>
              <w:rPr>
                <w:rFonts w:ascii="Work Sans" w:hAnsi="Work Sans"/>
                <w:szCs w:val="20"/>
              </w:rPr>
            </w:pPr>
            <w:r w:rsidRPr="003119A7">
              <w:rPr>
                <w:rFonts w:ascii="Work Sans" w:hAnsi="Work Sans"/>
                <w:szCs w:val="20"/>
              </w:rPr>
              <w:t>Submissions sought by</w:t>
            </w:r>
          </w:p>
        </w:tc>
        <w:tc>
          <w:tcPr>
            <w:tcW w:w="6044" w:type="dxa"/>
          </w:tcPr>
          <w:p w14:paraId="05442CE9" w14:textId="7825F99F" w:rsidR="007236B9" w:rsidRDefault="003D4883" w:rsidP="00946F42">
            <w:pPr>
              <w:rPr>
                <w:rFonts w:ascii="Work Sans" w:hAnsi="Work Sans"/>
                <w:szCs w:val="20"/>
              </w:rPr>
            </w:pPr>
            <w:r>
              <w:rPr>
                <w:rFonts w:ascii="Work Sans" w:hAnsi="Work Sans"/>
                <w:szCs w:val="20"/>
              </w:rPr>
              <w:t>13 Octobe</w:t>
            </w:r>
            <w:r w:rsidR="00946F42">
              <w:rPr>
                <w:rFonts w:ascii="Work Sans" w:hAnsi="Work Sans"/>
                <w:szCs w:val="20"/>
              </w:rPr>
              <w:t>r 2023</w:t>
            </w:r>
          </w:p>
          <w:p w14:paraId="237B8FEF" w14:textId="0D0F7972" w:rsidR="007236B9" w:rsidRPr="003119A7" w:rsidRDefault="007236B9" w:rsidP="00946F42">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3D4883">
              <w:rPr>
                <w:rFonts w:ascii="Work Sans" w:hAnsi="Work Sans"/>
                <w:szCs w:val="20"/>
              </w:rPr>
              <w:t>Katrina Baldock</w:t>
            </w:r>
            <w:r w:rsidRPr="003119A7">
              <w:rPr>
                <w:rFonts w:ascii="Work Sans" w:hAnsi="Work Sans"/>
                <w:szCs w:val="20"/>
              </w:rPr>
              <w:t>.</w:t>
            </w:r>
          </w:p>
          <w:p w14:paraId="564D7A85" w14:textId="77777777" w:rsidR="007236B9" w:rsidRPr="003119A7" w:rsidRDefault="007236B9" w:rsidP="00946F42">
            <w:pPr>
              <w:rPr>
                <w:rFonts w:ascii="Work Sans" w:hAnsi="Work Sans"/>
                <w:szCs w:val="20"/>
              </w:rPr>
            </w:pPr>
            <w:r w:rsidRPr="003119A7">
              <w:rPr>
                <w:rFonts w:ascii="Work Sans" w:hAnsi="Work Sans"/>
                <w:szCs w:val="20"/>
              </w:rPr>
              <w:t xml:space="preserve">Submissions </w:t>
            </w:r>
            <w:r>
              <w:rPr>
                <w:rFonts w:ascii="Work Sans" w:hAnsi="Work Sans"/>
                <w:szCs w:val="20"/>
              </w:rPr>
              <w:t xml:space="preserve">should be in Word format and posted in the relevant state channel of the CGC engagement Team. Submissions </w:t>
            </w:r>
            <w:r w:rsidRPr="003119A7">
              <w:rPr>
                <w:rFonts w:ascii="Work Sans" w:hAnsi="Work Sans"/>
                <w:szCs w:val="20"/>
              </w:rPr>
              <w:t>more than 10 pages in length should include a summary section.</w:t>
            </w:r>
          </w:p>
        </w:tc>
      </w:tr>
      <w:tr w:rsidR="007236B9" w14:paraId="6D3DC56A" w14:textId="77777777" w:rsidTr="00946F42">
        <w:tc>
          <w:tcPr>
            <w:tcW w:w="2972" w:type="dxa"/>
          </w:tcPr>
          <w:p w14:paraId="5301DAA1" w14:textId="77777777" w:rsidR="007236B9" w:rsidRPr="003119A7" w:rsidRDefault="007236B9" w:rsidP="00946F42">
            <w:pPr>
              <w:rPr>
                <w:rFonts w:ascii="Work Sans" w:hAnsi="Work Sans"/>
                <w:szCs w:val="20"/>
              </w:rPr>
            </w:pPr>
            <w:r w:rsidRPr="003119A7">
              <w:rPr>
                <w:rFonts w:ascii="Work Sans" w:hAnsi="Work Sans"/>
                <w:szCs w:val="20"/>
              </w:rPr>
              <w:t>Confidential material</w:t>
            </w:r>
          </w:p>
        </w:tc>
        <w:tc>
          <w:tcPr>
            <w:tcW w:w="6044" w:type="dxa"/>
          </w:tcPr>
          <w:p w14:paraId="092D30D4" w14:textId="77777777" w:rsidR="007236B9" w:rsidRPr="003119A7" w:rsidRDefault="007236B9" w:rsidP="00946F42">
            <w:pPr>
              <w:rPr>
                <w:rFonts w:ascii="Work Sans" w:hAnsi="Work Sans"/>
                <w:szCs w:val="20"/>
              </w:rPr>
            </w:pPr>
            <w:r w:rsidRPr="003119A7">
              <w:rPr>
                <w:rFonts w:ascii="Work Sans" w:hAnsi="Work Sans"/>
                <w:szCs w:val="20"/>
              </w:rPr>
              <w:t xml:space="preserve">It is the </w:t>
            </w:r>
            <w:r>
              <w:rPr>
                <w:rFonts w:ascii="Work Sans" w:hAnsi="Work Sans"/>
                <w:szCs w:val="20"/>
              </w:rPr>
              <w:t>C</w:t>
            </w:r>
            <w:r w:rsidRPr="003119A7">
              <w:rPr>
                <w:rFonts w:ascii="Work Sans" w:hAnsi="Work Sans"/>
                <w:szCs w:val="20"/>
              </w:rPr>
              <w:t xml:space="preserve">ommission’s normal practice to make state submissions available on its website under the CC BY licence, allowing free use of content by third parties. </w:t>
            </w:r>
          </w:p>
          <w:p w14:paraId="25B6DC6E" w14:textId="77777777" w:rsidR="007236B9" w:rsidRPr="003119A7" w:rsidRDefault="007236B9" w:rsidP="00946F42">
            <w:pPr>
              <w:rPr>
                <w:rFonts w:ascii="Work Sans" w:hAnsi="Work Sans"/>
                <w:szCs w:val="20"/>
              </w:rPr>
            </w:pPr>
            <w:r w:rsidRPr="003119A7">
              <w:rPr>
                <w:noProof/>
                <w:szCs w:val="20"/>
                <w:lang w:eastAsia="en-AU"/>
              </w:rPr>
              <w:drawing>
                <wp:inline distT="0" distB="0" distL="0" distR="0" wp14:anchorId="75CB5D27" wp14:editId="15C1A5DE">
                  <wp:extent cx="828675" cy="295275"/>
                  <wp:effectExtent l="19050" t="0" r="9525" b="0"/>
                  <wp:docPr id="18" name="Picture 18"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3333044" w14:textId="77777777" w:rsidR="007236B9" w:rsidRPr="003119A7" w:rsidRDefault="007236B9" w:rsidP="00946F42">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0DCF8569" w14:textId="77777777" w:rsidR="007236B9" w:rsidRPr="003119A7" w:rsidRDefault="007236B9" w:rsidP="00946F42">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Pr>
                <w:rFonts w:ascii="Work Sans" w:hAnsi="Work Sans"/>
                <w:szCs w:val="20"/>
              </w:rPr>
              <w:t>C</w:t>
            </w:r>
            <w:r w:rsidRPr="003119A7">
              <w:rPr>
                <w:rFonts w:ascii="Work Sans" w:hAnsi="Work Sans"/>
                <w:szCs w:val="20"/>
              </w:rPr>
              <w:t>ommission’s website.</w:t>
            </w:r>
          </w:p>
        </w:tc>
      </w:tr>
    </w:tbl>
    <w:p w14:paraId="001A78FC" w14:textId="77777777" w:rsidR="00FC59A2" w:rsidRDefault="00FC59A2" w:rsidP="00FC59A2">
      <w:pPr>
        <w:sectPr w:rsidR="00FC59A2">
          <w:footerReference w:type="even" r:id="rId14"/>
          <w:footerReference w:type="default" r:id="rId15"/>
          <w:headerReference w:type="first" r:id="rId16"/>
          <w:footerReference w:type="first" r:id="rId17"/>
          <w:pgSz w:w="11900" w:h="16840"/>
          <w:pgMar w:top="1247" w:right="1418" w:bottom="1134" w:left="1418" w:header="709" w:footer="284" w:gutter="0"/>
          <w:pgNumType w:start="1"/>
          <w:cols w:space="708"/>
          <w:docGrid w:linePitch="360"/>
        </w:sectPr>
      </w:pPr>
    </w:p>
    <w:bookmarkEnd w:id="1" w:displacedByCustomXml="next"/>
    <w:bookmarkEnd w:id="0" w:displacedByCustomXml="next"/>
    <w:sdt>
      <w:sdtPr>
        <w:rPr>
          <w:rFonts w:ascii="Open Sans Light" w:eastAsiaTheme="majorEastAsia" w:hAnsi="Open Sans Light" w:cstheme="minorBidi"/>
          <w:b w:val="0"/>
          <w:bCs w:val="0"/>
          <w:caps w:val="0"/>
          <w:color w:val="auto"/>
          <w:sz w:val="20"/>
          <w:szCs w:val="22"/>
        </w:rPr>
        <w:id w:val="-299686758"/>
        <w:docPartObj>
          <w:docPartGallery w:val="Table of Contents"/>
          <w:docPartUnique/>
        </w:docPartObj>
      </w:sdtPr>
      <w:sdtEndPr>
        <w:rPr>
          <w:rFonts w:eastAsiaTheme="minorHAnsi"/>
        </w:rPr>
      </w:sdtEndPr>
      <w:sdtContent>
        <w:p w14:paraId="382CDEF4" w14:textId="447CF010" w:rsidR="007236B9" w:rsidRDefault="0084319A" w:rsidP="000F6604">
          <w:pPr>
            <w:pStyle w:val="TOCHeading"/>
            <w:rPr>
              <w:rFonts w:eastAsiaTheme="majorEastAsia" w:cstheme="majorBidi"/>
              <w:b w:val="0"/>
              <w:bCs w:val="0"/>
              <w:iCs/>
              <w:caps w:val="0"/>
              <w:color w:val="004563"/>
              <w:sz w:val="40"/>
            </w:rPr>
          </w:pPr>
          <w:r>
            <w:rPr>
              <w:rFonts w:eastAsiaTheme="majorEastAsia" w:cstheme="majorBidi"/>
              <w:bCs w:val="0"/>
              <w:iCs/>
              <w:color w:val="004563"/>
              <w:sz w:val="40"/>
            </w:rPr>
            <w:t>Contents</w:t>
          </w:r>
        </w:p>
        <w:p w14:paraId="072AE034" w14:textId="2B51983A" w:rsidR="0088527C" w:rsidRDefault="00FC59A2">
          <w:pPr>
            <w:pStyle w:val="TOC2"/>
            <w:rPr>
              <w:rFonts w:asciiTheme="minorHAnsi" w:eastAsiaTheme="minorEastAsia" w:hAnsiTheme="minorHAnsi"/>
              <w:bCs w:val="0"/>
              <w:noProof/>
              <w:color w:val="auto"/>
              <w:kern w:val="2"/>
              <w:sz w:val="22"/>
              <w:szCs w:val="22"/>
              <w:lang w:eastAsia="en-AU"/>
              <w14:ligatures w14:val="standardContextual"/>
            </w:rPr>
          </w:pPr>
          <w:r>
            <w:rPr>
              <w:rFonts w:ascii="Open Sans" w:hAnsi="Open Sans"/>
              <w:sz w:val="32"/>
            </w:rPr>
            <w:fldChar w:fldCharType="begin"/>
          </w:r>
          <w:r w:rsidRPr="00D57A3C">
            <w:instrText xml:space="preserve"> TOC \o "1-3" \h \z \u </w:instrText>
          </w:r>
          <w:r>
            <w:rPr>
              <w:rFonts w:ascii="Open Sans" w:hAnsi="Open Sans"/>
              <w:sz w:val="32"/>
            </w:rPr>
            <w:fldChar w:fldCharType="separate"/>
          </w:r>
          <w:hyperlink w:anchor="_Toc138155429" w:history="1">
            <w:r w:rsidR="0088527C" w:rsidRPr="00D63F80">
              <w:rPr>
                <w:rStyle w:val="Hyperlink"/>
                <w:noProof/>
              </w:rPr>
              <w:t>Overview of category</w:t>
            </w:r>
            <w:r w:rsidR="0088527C">
              <w:rPr>
                <w:noProof/>
                <w:webHidden/>
              </w:rPr>
              <w:tab/>
            </w:r>
            <w:r w:rsidR="0088527C">
              <w:rPr>
                <w:noProof/>
                <w:webHidden/>
              </w:rPr>
              <w:fldChar w:fldCharType="begin"/>
            </w:r>
            <w:r w:rsidR="0088527C">
              <w:rPr>
                <w:noProof/>
                <w:webHidden/>
              </w:rPr>
              <w:instrText xml:space="preserve"> PAGEREF _Toc138155429 \h </w:instrText>
            </w:r>
            <w:r w:rsidR="0088527C">
              <w:rPr>
                <w:noProof/>
                <w:webHidden/>
              </w:rPr>
            </w:r>
            <w:r w:rsidR="0088527C">
              <w:rPr>
                <w:noProof/>
                <w:webHidden/>
              </w:rPr>
              <w:fldChar w:fldCharType="separate"/>
            </w:r>
            <w:r w:rsidR="0088527C">
              <w:rPr>
                <w:noProof/>
                <w:webHidden/>
              </w:rPr>
              <w:t>4</w:t>
            </w:r>
            <w:r w:rsidR="0088527C">
              <w:rPr>
                <w:noProof/>
                <w:webHidden/>
              </w:rPr>
              <w:fldChar w:fldCharType="end"/>
            </w:r>
          </w:hyperlink>
        </w:p>
        <w:p w14:paraId="12E7EDA8" w14:textId="5861F367" w:rsidR="0088527C" w:rsidRDefault="0088527C">
          <w:pPr>
            <w:pStyle w:val="TOC2"/>
            <w:rPr>
              <w:rFonts w:asciiTheme="minorHAnsi" w:eastAsiaTheme="minorEastAsia" w:hAnsiTheme="minorHAnsi"/>
              <w:bCs w:val="0"/>
              <w:noProof/>
              <w:color w:val="auto"/>
              <w:kern w:val="2"/>
              <w:sz w:val="22"/>
              <w:szCs w:val="22"/>
              <w:lang w:eastAsia="en-AU"/>
              <w14:ligatures w14:val="standardContextual"/>
            </w:rPr>
          </w:pPr>
          <w:hyperlink w:anchor="_Toc138155430" w:history="1">
            <w:r w:rsidRPr="00D63F80">
              <w:rPr>
                <w:rStyle w:val="Hyperlink"/>
                <w:noProof/>
              </w:rPr>
              <w:t>Current assessment method – 2020 Review</w:t>
            </w:r>
            <w:r>
              <w:rPr>
                <w:noProof/>
                <w:webHidden/>
              </w:rPr>
              <w:tab/>
            </w:r>
            <w:r>
              <w:rPr>
                <w:noProof/>
                <w:webHidden/>
              </w:rPr>
              <w:fldChar w:fldCharType="begin"/>
            </w:r>
            <w:r>
              <w:rPr>
                <w:noProof/>
                <w:webHidden/>
              </w:rPr>
              <w:instrText xml:space="preserve"> PAGEREF _Toc138155430 \h </w:instrText>
            </w:r>
            <w:r>
              <w:rPr>
                <w:noProof/>
                <w:webHidden/>
              </w:rPr>
            </w:r>
            <w:r>
              <w:rPr>
                <w:noProof/>
                <w:webHidden/>
              </w:rPr>
              <w:fldChar w:fldCharType="separate"/>
            </w:r>
            <w:r>
              <w:rPr>
                <w:noProof/>
                <w:webHidden/>
              </w:rPr>
              <w:t>4</w:t>
            </w:r>
            <w:r>
              <w:rPr>
                <w:noProof/>
                <w:webHidden/>
              </w:rPr>
              <w:fldChar w:fldCharType="end"/>
            </w:r>
          </w:hyperlink>
        </w:p>
        <w:p w14:paraId="6694F370" w14:textId="3926177E"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31" w:history="1">
            <w:r w:rsidRPr="00D63F80">
              <w:rPr>
                <w:rStyle w:val="Hyperlink"/>
                <w:noProof/>
              </w:rPr>
              <w:t>Data used in the assessment</w:t>
            </w:r>
            <w:r>
              <w:rPr>
                <w:noProof/>
                <w:webHidden/>
              </w:rPr>
              <w:tab/>
            </w:r>
            <w:r>
              <w:rPr>
                <w:noProof/>
                <w:webHidden/>
              </w:rPr>
              <w:fldChar w:fldCharType="begin"/>
            </w:r>
            <w:r>
              <w:rPr>
                <w:noProof/>
                <w:webHidden/>
              </w:rPr>
              <w:instrText xml:space="preserve"> PAGEREF _Toc138155431 \h </w:instrText>
            </w:r>
            <w:r>
              <w:rPr>
                <w:noProof/>
                <w:webHidden/>
              </w:rPr>
            </w:r>
            <w:r>
              <w:rPr>
                <w:noProof/>
                <w:webHidden/>
              </w:rPr>
              <w:fldChar w:fldCharType="separate"/>
            </w:r>
            <w:r>
              <w:rPr>
                <w:noProof/>
                <w:webHidden/>
              </w:rPr>
              <w:t>5</w:t>
            </w:r>
            <w:r>
              <w:rPr>
                <w:noProof/>
                <w:webHidden/>
              </w:rPr>
              <w:fldChar w:fldCharType="end"/>
            </w:r>
          </w:hyperlink>
        </w:p>
        <w:p w14:paraId="7B4BEC5F" w14:textId="5B99DA13"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32" w:history="1">
            <w:r w:rsidRPr="00D63F80">
              <w:rPr>
                <w:rStyle w:val="Hyperlink"/>
                <w:noProof/>
              </w:rPr>
              <w:t>Assessing socio-economic status</w:t>
            </w:r>
            <w:r>
              <w:rPr>
                <w:noProof/>
                <w:webHidden/>
              </w:rPr>
              <w:tab/>
            </w:r>
            <w:r>
              <w:rPr>
                <w:noProof/>
                <w:webHidden/>
              </w:rPr>
              <w:fldChar w:fldCharType="begin"/>
            </w:r>
            <w:r>
              <w:rPr>
                <w:noProof/>
                <w:webHidden/>
              </w:rPr>
              <w:instrText xml:space="preserve"> PAGEREF _Toc138155432 \h </w:instrText>
            </w:r>
            <w:r>
              <w:rPr>
                <w:noProof/>
                <w:webHidden/>
              </w:rPr>
            </w:r>
            <w:r>
              <w:rPr>
                <w:noProof/>
                <w:webHidden/>
              </w:rPr>
              <w:fldChar w:fldCharType="separate"/>
            </w:r>
            <w:r>
              <w:rPr>
                <w:noProof/>
                <w:webHidden/>
              </w:rPr>
              <w:t>5</w:t>
            </w:r>
            <w:r>
              <w:rPr>
                <w:noProof/>
                <w:webHidden/>
              </w:rPr>
              <w:fldChar w:fldCharType="end"/>
            </w:r>
          </w:hyperlink>
        </w:p>
        <w:p w14:paraId="2AB7ECCD" w14:textId="5BB00DB5"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33" w:history="1">
            <w:r w:rsidRPr="00D63F80">
              <w:rPr>
                <w:rStyle w:val="Hyperlink"/>
                <w:noProof/>
              </w:rPr>
              <w:t>GST distribution in the 2023 Update</w:t>
            </w:r>
            <w:r>
              <w:rPr>
                <w:noProof/>
                <w:webHidden/>
              </w:rPr>
              <w:tab/>
            </w:r>
            <w:r>
              <w:rPr>
                <w:noProof/>
                <w:webHidden/>
              </w:rPr>
              <w:fldChar w:fldCharType="begin"/>
            </w:r>
            <w:r>
              <w:rPr>
                <w:noProof/>
                <w:webHidden/>
              </w:rPr>
              <w:instrText xml:space="preserve"> PAGEREF _Toc138155433 \h </w:instrText>
            </w:r>
            <w:r>
              <w:rPr>
                <w:noProof/>
                <w:webHidden/>
              </w:rPr>
            </w:r>
            <w:r>
              <w:rPr>
                <w:noProof/>
                <w:webHidden/>
              </w:rPr>
              <w:fldChar w:fldCharType="separate"/>
            </w:r>
            <w:r>
              <w:rPr>
                <w:noProof/>
                <w:webHidden/>
              </w:rPr>
              <w:t>5</w:t>
            </w:r>
            <w:r>
              <w:rPr>
                <w:noProof/>
                <w:webHidden/>
              </w:rPr>
              <w:fldChar w:fldCharType="end"/>
            </w:r>
          </w:hyperlink>
        </w:p>
        <w:p w14:paraId="6D044AB6" w14:textId="1A65852A" w:rsidR="0088527C" w:rsidRDefault="0088527C">
          <w:pPr>
            <w:pStyle w:val="TOC2"/>
            <w:rPr>
              <w:rFonts w:asciiTheme="minorHAnsi" w:eastAsiaTheme="minorEastAsia" w:hAnsiTheme="minorHAnsi"/>
              <w:bCs w:val="0"/>
              <w:noProof/>
              <w:color w:val="auto"/>
              <w:kern w:val="2"/>
              <w:sz w:val="22"/>
              <w:szCs w:val="22"/>
              <w:lang w:eastAsia="en-AU"/>
              <w14:ligatures w14:val="standardContextual"/>
            </w:rPr>
          </w:pPr>
          <w:hyperlink w:anchor="_Toc138155434" w:history="1">
            <w:r w:rsidRPr="00D63F80">
              <w:rPr>
                <w:rStyle w:val="Hyperlink"/>
                <w:noProof/>
              </w:rPr>
              <w:t>What has changed since the 2020 Review?</w:t>
            </w:r>
            <w:r>
              <w:rPr>
                <w:noProof/>
                <w:webHidden/>
              </w:rPr>
              <w:tab/>
            </w:r>
            <w:r>
              <w:rPr>
                <w:noProof/>
                <w:webHidden/>
              </w:rPr>
              <w:fldChar w:fldCharType="begin"/>
            </w:r>
            <w:r>
              <w:rPr>
                <w:noProof/>
                <w:webHidden/>
              </w:rPr>
              <w:instrText xml:space="preserve"> PAGEREF _Toc138155434 \h </w:instrText>
            </w:r>
            <w:r>
              <w:rPr>
                <w:noProof/>
                <w:webHidden/>
              </w:rPr>
            </w:r>
            <w:r>
              <w:rPr>
                <w:noProof/>
                <w:webHidden/>
              </w:rPr>
              <w:fldChar w:fldCharType="separate"/>
            </w:r>
            <w:r>
              <w:rPr>
                <w:noProof/>
                <w:webHidden/>
              </w:rPr>
              <w:t>6</w:t>
            </w:r>
            <w:r>
              <w:rPr>
                <w:noProof/>
                <w:webHidden/>
              </w:rPr>
              <w:fldChar w:fldCharType="end"/>
            </w:r>
          </w:hyperlink>
        </w:p>
        <w:p w14:paraId="58B32AF1" w14:textId="780BB120"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35" w:history="1">
            <w:r w:rsidRPr="00D63F80">
              <w:rPr>
                <w:rStyle w:val="Hyperlink"/>
                <w:noProof/>
              </w:rPr>
              <w:t>New data have become available, and the Commission has identified an alternative approach</w:t>
            </w:r>
            <w:r>
              <w:rPr>
                <w:noProof/>
                <w:webHidden/>
              </w:rPr>
              <w:tab/>
            </w:r>
            <w:r>
              <w:rPr>
                <w:noProof/>
                <w:webHidden/>
              </w:rPr>
              <w:fldChar w:fldCharType="begin"/>
            </w:r>
            <w:r>
              <w:rPr>
                <w:noProof/>
                <w:webHidden/>
              </w:rPr>
              <w:instrText xml:space="preserve"> PAGEREF _Toc138155435 \h </w:instrText>
            </w:r>
            <w:r>
              <w:rPr>
                <w:noProof/>
                <w:webHidden/>
              </w:rPr>
            </w:r>
            <w:r>
              <w:rPr>
                <w:noProof/>
                <w:webHidden/>
              </w:rPr>
              <w:fldChar w:fldCharType="separate"/>
            </w:r>
            <w:r>
              <w:rPr>
                <w:noProof/>
                <w:webHidden/>
              </w:rPr>
              <w:t>6</w:t>
            </w:r>
            <w:r>
              <w:rPr>
                <w:noProof/>
                <w:webHidden/>
              </w:rPr>
              <w:fldChar w:fldCharType="end"/>
            </w:r>
          </w:hyperlink>
        </w:p>
        <w:p w14:paraId="6C833F15" w14:textId="5EEC3E6C" w:rsidR="0088527C" w:rsidRDefault="0088527C">
          <w:pPr>
            <w:pStyle w:val="TOC2"/>
            <w:rPr>
              <w:rFonts w:asciiTheme="minorHAnsi" w:eastAsiaTheme="minorEastAsia" w:hAnsiTheme="minorHAnsi"/>
              <w:bCs w:val="0"/>
              <w:noProof/>
              <w:color w:val="auto"/>
              <w:kern w:val="2"/>
              <w:sz w:val="22"/>
              <w:szCs w:val="22"/>
              <w:lang w:eastAsia="en-AU"/>
              <w14:ligatures w14:val="standardContextual"/>
            </w:rPr>
          </w:pPr>
          <w:hyperlink w:anchor="_Toc138155436" w:history="1">
            <w:r w:rsidRPr="00D63F80">
              <w:rPr>
                <w:rStyle w:val="Hyperlink"/>
                <w:noProof/>
              </w:rPr>
              <w:t>Implications for assessment</w:t>
            </w:r>
            <w:r>
              <w:rPr>
                <w:noProof/>
                <w:webHidden/>
              </w:rPr>
              <w:tab/>
            </w:r>
            <w:r>
              <w:rPr>
                <w:noProof/>
                <w:webHidden/>
              </w:rPr>
              <w:fldChar w:fldCharType="begin"/>
            </w:r>
            <w:r>
              <w:rPr>
                <w:noProof/>
                <w:webHidden/>
              </w:rPr>
              <w:instrText xml:space="preserve"> PAGEREF _Toc138155436 \h </w:instrText>
            </w:r>
            <w:r>
              <w:rPr>
                <w:noProof/>
                <w:webHidden/>
              </w:rPr>
            </w:r>
            <w:r>
              <w:rPr>
                <w:noProof/>
                <w:webHidden/>
              </w:rPr>
              <w:fldChar w:fldCharType="separate"/>
            </w:r>
            <w:r>
              <w:rPr>
                <w:noProof/>
                <w:webHidden/>
              </w:rPr>
              <w:t>7</w:t>
            </w:r>
            <w:r>
              <w:rPr>
                <w:noProof/>
                <w:webHidden/>
              </w:rPr>
              <w:fldChar w:fldCharType="end"/>
            </w:r>
          </w:hyperlink>
        </w:p>
        <w:p w14:paraId="0217F92D" w14:textId="3BC02063"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37" w:history="1">
            <w:r w:rsidRPr="00D63F80">
              <w:rPr>
                <w:rStyle w:val="Hyperlink"/>
                <w:noProof/>
              </w:rPr>
              <w:t>Should the Commission use an annual measure of socio-economic status for non-Indigenous Australians?</w:t>
            </w:r>
            <w:r>
              <w:rPr>
                <w:noProof/>
                <w:webHidden/>
              </w:rPr>
              <w:tab/>
            </w:r>
            <w:r>
              <w:rPr>
                <w:noProof/>
                <w:webHidden/>
              </w:rPr>
              <w:fldChar w:fldCharType="begin"/>
            </w:r>
            <w:r>
              <w:rPr>
                <w:noProof/>
                <w:webHidden/>
              </w:rPr>
              <w:instrText xml:space="preserve"> PAGEREF _Toc138155437 \h </w:instrText>
            </w:r>
            <w:r>
              <w:rPr>
                <w:noProof/>
                <w:webHidden/>
              </w:rPr>
            </w:r>
            <w:r>
              <w:rPr>
                <w:noProof/>
                <w:webHidden/>
              </w:rPr>
              <w:fldChar w:fldCharType="separate"/>
            </w:r>
            <w:r>
              <w:rPr>
                <w:noProof/>
                <w:webHidden/>
              </w:rPr>
              <w:t>7</w:t>
            </w:r>
            <w:r>
              <w:rPr>
                <w:noProof/>
                <w:webHidden/>
              </w:rPr>
              <w:fldChar w:fldCharType="end"/>
            </w:r>
          </w:hyperlink>
        </w:p>
        <w:p w14:paraId="6CBEE03A" w14:textId="5865F33B"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38" w:history="1">
            <w:r w:rsidRPr="00D63F80">
              <w:rPr>
                <w:rStyle w:val="Hyperlink"/>
                <w:noProof/>
              </w:rPr>
              <w:t>Is the 2021 census a reliable indicator of socio-economic status?</w:t>
            </w:r>
            <w:r>
              <w:rPr>
                <w:noProof/>
                <w:webHidden/>
              </w:rPr>
              <w:tab/>
            </w:r>
            <w:r>
              <w:rPr>
                <w:noProof/>
                <w:webHidden/>
              </w:rPr>
              <w:fldChar w:fldCharType="begin"/>
            </w:r>
            <w:r>
              <w:rPr>
                <w:noProof/>
                <w:webHidden/>
              </w:rPr>
              <w:instrText xml:space="preserve"> PAGEREF _Toc138155438 \h </w:instrText>
            </w:r>
            <w:r>
              <w:rPr>
                <w:noProof/>
                <w:webHidden/>
              </w:rPr>
            </w:r>
            <w:r>
              <w:rPr>
                <w:noProof/>
                <w:webHidden/>
              </w:rPr>
              <w:fldChar w:fldCharType="separate"/>
            </w:r>
            <w:r>
              <w:rPr>
                <w:noProof/>
                <w:webHidden/>
              </w:rPr>
              <w:t>9</w:t>
            </w:r>
            <w:r>
              <w:rPr>
                <w:noProof/>
                <w:webHidden/>
              </w:rPr>
              <w:fldChar w:fldCharType="end"/>
            </w:r>
          </w:hyperlink>
        </w:p>
        <w:p w14:paraId="71AD09B4" w14:textId="1097AAED" w:rsidR="0088527C" w:rsidRDefault="0088527C">
          <w:pPr>
            <w:pStyle w:val="TOC2"/>
            <w:rPr>
              <w:rFonts w:asciiTheme="minorHAnsi" w:eastAsiaTheme="minorEastAsia" w:hAnsiTheme="minorHAnsi"/>
              <w:bCs w:val="0"/>
              <w:noProof/>
              <w:color w:val="auto"/>
              <w:kern w:val="2"/>
              <w:sz w:val="22"/>
              <w:szCs w:val="22"/>
              <w:lang w:eastAsia="en-AU"/>
              <w14:ligatures w14:val="standardContextual"/>
            </w:rPr>
          </w:pPr>
          <w:hyperlink w:anchor="_Toc138155439" w:history="1">
            <w:r w:rsidRPr="00D63F80">
              <w:rPr>
                <w:rStyle w:val="Hyperlink"/>
                <w:noProof/>
              </w:rPr>
              <w:t>Proposed assessment</w:t>
            </w:r>
            <w:r>
              <w:rPr>
                <w:noProof/>
                <w:webHidden/>
              </w:rPr>
              <w:tab/>
            </w:r>
            <w:r>
              <w:rPr>
                <w:noProof/>
                <w:webHidden/>
              </w:rPr>
              <w:fldChar w:fldCharType="begin"/>
            </w:r>
            <w:r>
              <w:rPr>
                <w:noProof/>
                <w:webHidden/>
              </w:rPr>
              <w:instrText xml:space="preserve"> PAGEREF _Toc138155439 \h </w:instrText>
            </w:r>
            <w:r>
              <w:rPr>
                <w:noProof/>
                <w:webHidden/>
              </w:rPr>
            </w:r>
            <w:r>
              <w:rPr>
                <w:noProof/>
                <w:webHidden/>
              </w:rPr>
              <w:fldChar w:fldCharType="separate"/>
            </w:r>
            <w:r>
              <w:rPr>
                <w:noProof/>
                <w:webHidden/>
              </w:rPr>
              <w:t>9</w:t>
            </w:r>
            <w:r>
              <w:rPr>
                <w:noProof/>
                <w:webHidden/>
              </w:rPr>
              <w:fldChar w:fldCharType="end"/>
            </w:r>
          </w:hyperlink>
        </w:p>
        <w:p w14:paraId="165A403F" w14:textId="78D5E0A5"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40" w:history="1">
            <w:r w:rsidRPr="00D63F80">
              <w:rPr>
                <w:rStyle w:val="Hyperlink"/>
                <w:noProof/>
              </w:rPr>
              <w:t>Differences from the 2020 Review approach</w:t>
            </w:r>
            <w:r>
              <w:rPr>
                <w:noProof/>
                <w:webHidden/>
              </w:rPr>
              <w:tab/>
            </w:r>
            <w:r>
              <w:rPr>
                <w:noProof/>
                <w:webHidden/>
              </w:rPr>
              <w:fldChar w:fldCharType="begin"/>
            </w:r>
            <w:r>
              <w:rPr>
                <w:noProof/>
                <w:webHidden/>
              </w:rPr>
              <w:instrText xml:space="preserve"> PAGEREF _Toc138155440 \h </w:instrText>
            </w:r>
            <w:r>
              <w:rPr>
                <w:noProof/>
                <w:webHidden/>
              </w:rPr>
            </w:r>
            <w:r>
              <w:rPr>
                <w:noProof/>
                <w:webHidden/>
              </w:rPr>
              <w:fldChar w:fldCharType="separate"/>
            </w:r>
            <w:r>
              <w:rPr>
                <w:noProof/>
                <w:webHidden/>
              </w:rPr>
              <w:t>9</w:t>
            </w:r>
            <w:r>
              <w:rPr>
                <w:noProof/>
                <w:webHidden/>
              </w:rPr>
              <w:fldChar w:fldCharType="end"/>
            </w:r>
          </w:hyperlink>
        </w:p>
        <w:p w14:paraId="1F5F5C1F" w14:textId="562B735B"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41" w:history="1">
            <w:r w:rsidRPr="00D63F80">
              <w:rPr>
                <w:rStyle w:val="Hyperlink"/>
                <w:noProof/>
              </w:rPr>
              <w:t>New data requirements</w:t>
            </w:r>
            <w:r>
              <w:rPr>
                <w:noProof/>
                <w:webHidden/>
              </w:rPr>
              <w:tab/>
            </w:r>
            <w:r>
              <w:rPr>
                <w:noProof/>
                <w:webHidden/>
              </w:rPr>
              <w:fldChar w:fldCharType="begin"/>
            </w:r>
            <w:r>
              <w:rPr>
                <w:noProof/>
                <w:webHidden/>
              </w:rPr>
              <w:instrText xml:space="preserve"> PAGEREF _Toc138155441 \h </w:instrText>
            </w:r>
            <w:r>
              <w:rPr>
                <w:noProof/>
                <w:webHidden/>
              </w:rPr>
            </w:r>
            <w:r>
              <w:rPr>
                <w:noProof/>
                <w:webHidden/>
              </w:rPr>
              <w:fldChar w:fldCharType="separate"/>
            </w:r>
            <w:r>
              <w:rPr>
                <w:noProof/>
                <w:webHidden/>
              </w:rPr>
              <w:t>9</w:t>
            </w:r>
            <w:r>
              <w:rPr>
                <w:noProof/>
                <w:webHidden/>
              </w:rPr>
              <w:fldChar w:fldCharType="end"/>
            </w:r>
          </w:hyperlink>
        </w:p>
        <w:p w14:paraId="285DE3AF" w14:textId="7C3B5205" w:rsidR="0088527C" w:rsidRDefault="0088527C">
          <w:pPr>
            <w:pStyle w:val="TOC2"/>
            <w:rPr>
              <w:rFonts w:asciiTheme="minorHAnsi" w:eastAsiaTheme="minorEastAsia" w:hAnsiTheme="minorHAnsi"/>
              <w:bCs w:val="0"/>
              <w:noProof/>
              <w:color w:val="auto"/>
              <w:kern w:val="2"/>
              <w:sz w:val="22"/>
              <w:szCs w:val="22"/>
              <w:lang w:eastAsia="en-AU"/>
              <w14:ligatures w14:val="standardContextual"/>
            </w:rPr>
          </w:pPr>
          <w:hyperlink w:anchor="_Toc138155442" w:history="1">
            <w:r w:rsidRPr="00D63F80">
              <w:rPr>
                <w:rStyle w:val="Hyperlink"/>
                <w:noProof/>
              </w:rPr>
              <w:t>Consultation</w:t>
            </w:r>
            <w:r>
              <w:rPr>
                <w:noProof/>
                <w:webHidden/>
              </w:rPr>
              <w:tab/>
            </w:r>
            <w:r>
              <w:rPr>
                <w:noProof/>
                <w:webHidden/>
              </w:rPr>
              <w:fldChar w:fldCharType="begin"/>
            </w:r>
            <w:r>
              <w:rPr>
                <w:noProof/>
                <w:webHidden/>
              </w:rPr>
              <w:instrText xml:space="preserve"> PAGEREF _Toc138155442 \h </w:instrText>
            </w:r>
            <w:r>
              <w:rPr>
                <w:noProof/>
                <w:webHidden/>
              </w:rPr>
            </w:r>
            <w:r>
              <w:rPr>
                <w:noProof/>
                <w:webHidden/>
              </w:rPr>
              <w:fldChar w:fldCharType="separate"/>
            </w:r>
            <w:r>
              <w:rPr>
                <w:noProof/>
                <w:webHidden/>
              </w:rPr>
              <w:t>10</w:t>
            </w:r>
            <w:r>
              <w:rPr>
                <w:noProof/>
                <w:webHidden/>
              </w:rPr>
              <w:fldChar w:fldCharType="end"/>
            </w:r>
          </w:hyperlink>
        </w:p>
        <w:p w14:paraId="34F482EC" w14:textId="397F0E52" w:rsidR="0088527C" w:rsidRDefault="0088527C">
          <w:pPr>
            <w:pStyle w:val="TOC2"/>
            <w:rPr>
              <w:rFonts w:asciiTheme="minorHAnsi" w:eastAsiaTheme="minorEastAsia" w:hAnsiTheme="minorHAnsi"/>
              <w:bCs w:val="0"/>
              <w:noProof/>
              <w:color w:val="auto"/>
              <w:kern w:val="2"/>
              <w:sz w:val="22"/>
              <w:szCs w:val="22"/>
              <w:lang w:eastAsia="en-AU"/>
              <w14:ligatures w14:val="standardContextual"/>
            </w:rPr>
          </w:pPr>
          <w:hyperlink w:anchor="_Toc138155443" w:history="1">
            <w:r w:rsidRPr="00D63F80">
              <w:rPr>
                <w:rStyle w:val="Hyperlink"/>
                <w:noProof/>
              </w:rPr>
              <w:t>Appendix 1: An area-based measure of socio</w:t>
            </w:r>
            <w:r w:rsidRPr="00D63F80">
              <w:rPr>
                <w:rStyle w:val="Hyperlink"/>
                <w:noProof/>
              </w:rPr>
              <w:noBreakHyphen/>
              <w:t>economic status from MADIP</w:t>
            </w:r>
            <w:r>
              <w:rPr>
                <w:noProof/>
                <w:webHidden/>
              </w:rPr>
              <w:tab/>
            </w:r>
            <w:r>
              <w:rPr>
                <w:noProof/>
                <w:webHidden/>
              </w:rPr>
              <w:fldChar w:fldCharType="begin"/>
            </w:r>
            <w:r>
              <w:rPr>
                <w:noProof/>
                <w:webHidden/>
              </w:rPr>
              <w:instrText xml:space="preserve"> PAGEREF _Toc138155443 \h </w:instrText>
            </w:r>
            <w:r>
              <w:rPr>
                <w:noProof/>
                <w:webHidden/>
              </w:rPr>
            </w:r>
            <w:r>
              <w:rPr>
                <w:noProof/>
                <w:webHidden/>
              </w:rPr>
              <w:fldChar w:fldCharType="separate"/>
            </w:r>
            <w:r>
              <w:rPr>
                <w:noProof/>
                <w:webHidden/>
              </w:rPr>
              <w:t>11</w:t>
            </w:r>
            <w:r>
              <w:rPr>
                <w:noProof/>
                <w:webHidden/>
              </w:rPr>
              <w:fldChar w:fldCharType="end"/>
            </w:r>
          </w:hyperlink>
        </w:p>
        <w:p w14:paraId="234F631D" w14:textId="5A05398A" w:rsidR="0088527C" w:rsidRDefault="008852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155444" w:history="1">
            <w:r w:rsidRPr="00D63F80">
              <w:rPr>
                <w:rStyle w:val="Hyperlink"/>
                <w:noProof/>
              </w:rPr>
              <w:t>Is an annual measure of socio-economic status available?</w:t>
            </w:r>
            <w:r>
              <w:rPr>
                <w:noProof/>
                <w:webHidden/>
              </w:rPr>
              <w:tab/>
            </w:r>
            <w:r>
              <w:rPr>
                <w:noProof/>
                <w:webHidden/>
              </w:rPr>
              <w:fldChar w:fldCharType="begin"/>
            </w:r>
            <w:r>
              <w:rPr>
                <w:noProof/>
                <w:webHidden/>
              </w:rPr>
              <w:instrText xml:space="preserve"> PAGEREF _Toc138155444 \h </w:instrText>
            </w:r>
            <w:r>
              <w:rPr>
                <w:noProof/>
                <w:webHidden/>
              </w:rPr>
            </w:r>
            <w:r>
              <w:rPr>
                <w:noProof/>
                <w:webHidden/>
              </w:rPr>
              <w:fldChar w:fldCharType="separate"/>
            </w:r>
            <w:r>
              <w:rPr>
                <w:noProof/>
                <w:webHidden/>
              </w:rPr>
              <w:t>11</w:t>
            </w:r>
            <w:r>
              <w:rPr>
                <w:noProof/>
                <w:webHidden/>
              </w:rPr>
              <w:fldChar w:fldCharType="end"/>
            </w:r>
          </w:hyperlink>
        </w:p>
        <w:p w14:paraId="6F124FA7" w14:textId="379A1F09" w:rsidR="00FC59A2" w:rsidRDefault="00FC59A2" w:rsidP="00C73424">
          <w:r>
            <w:rPr>
              <w:b/>
            </w:rPr>
            <w:fldChar w:fldCharType="end"/>
          </w:r>
        </w:p>
      </w:sdtContent>
    </w:sdt>
    <w:p w14:paraId="57D46433" w14:textId="77777777" w:rsidR="00FC59A2" w:rsidRPr="0038180D" w:rsidRDefault="00FC59A2">
      <w:pPr>
        <w:tabs>
          <w:tab w:val="clear" w:pos="567"/>
        </w:tabs>
        <w:spacing w:before="0" w:after="200" w:line="276" w:lineRule="auto"/>
        <w:rPr>
          <w:b/>
        </w:rPr>
      </w:pPr>
      <w:r>
        <w:br w:type="page"/>
      </w:r>
    </w:p>
    <w:p w14:paraId="48504947" w14:textId="79F85AA3" w:rsidR="00FC59A2" w:rsidRDefault="0492E1D0" w:rsidP="00FC59A2">
      <w:pPr>
        <w:pStyle w:val="Heading2"/>
      </w:pPr>
      <w:bookmarkStart w:id="2" w:name="_Toc121741482"/>
      <w:bookmarkStart w:id="3" w:name="_Toc138155429"/>
      <w:r>
        <w:lastRenderedPageBreak/>
        <w:t xml:space="preserve">Overview of </w:t>
      </w:r>
      <w:bookmarkEnd w:id="2"/>
      <w:r w:rsidR="00691CA0">
        <w:t>category</w:t>
      </w:r>
      <w:bookmarkEnd w:id="3"/>
    </w:p>
    <w:p w14:paraId="4B1802DB" w14:textId="59B2BED1" w:rsidR="00FC59A2" w:rsidRPr="004D223A" w:rsidRDefault="00FC59A2" w:rsidP="00AB3D0D">
      <w:pPr>
        <w:pStyle w:val="CGC2025ParaNumbers"/>
      </w:pPr>
      <w:bookmarkStart w:id="4" w:name="_Toc116563445"/>
      <w:bookmarkStart w:id="5" w:name="_Toc117241705"/>
      <w:r w:rsidRPr="004D223A">
        <w:t xml:space="preserve">Socio-economic status encompasses a person’s income, education, </w:t>
      </w:r>
      <w:proofErr w:type="gramStart"/>
      <w:r w:rsidRPr="004D223A">
        <w:t>employment</w:t>
      </w:r>
      <w:proofErr w:type="gramEnd"/>
      <w:r w:rsidRPr="004D223A">
        <w:t xml:space="preserve"> and other social experiences. Collectively these influence a person’s health and wellbeing, and outcomes in other aspects of their lives.</w:t>
      </w:r>
    </w:p>
    <w:p w14:paraId="73327222" w14:textId="6CE61E97" w:rsidR="00FC59A2" w:rsidRPr="004D223A" w:rsidRDefault="00FC59A2" w:rsidP="00AB3D0D">
      <w:pPr>
        <w:pStyle w:val="CGC2025ParaNumbers"/>
      </w:pPr>
      <w:r w:rsidRPr="004D223A">
        <w:t>State governments provide some services exclusively for people of lower socio</w:t>
      </w:r>
      <w:r w:rsidR="00FD73D4" w:rsidRPr="004D223A">
        <w:noBreakHyphen/>
      </w:r>
      <w:r w:rsidRPr="004D223A">
        <w:t xml:space="preserve">economic status, such as public housing and concessions. Other services, such as hospitals, are provided universally, but people of low socio-economic status use these services more frequently or at a higher cost to states. </w:t>
      </w:r>
    </w:p>
    <w:p w14:paraId="715175BD" w14:textId="6A71C861" w:rsidR="00FC59A2" w:rsidRPr="004D223A" w:rsidRDefault="00FC59A2" w:rsidP="00AB3D0D">
      <w:pPr>
        <w:pStyle w:val="CGC2025ParaNumbers"/>
      </w:pPr>
      <w:r w:rsidRPr="004D223A">
        <w:t xml:space="preserve">Measuring socio-economic status is important for the Commission because it is a significant driver of state expenditure needs. It is used in 6 expense assessments and flows through to the </w:t>
      </w:r>
      <w:r w:rsidR="009D64C7">
        <w:t>i</w:t>
      </w:r>
      <w:r w:rsidRPr="004D223A">
        <w:t>nvestment assessment.</w:t>
      </w:r>
    </w:p>
    <w:p w14:paraId="5D1EC95F" w14:textId="77777777" w:rsidR="00FC59A2" w:rsidRPr="00904786" w:rsidRDefault="00FC59A2" w:rsidP="00FC59A2">
      <w:pPr>
        <w:pStyle w:val="Heading2"/>
      </w:pPr>
      <w:bookmarkStart w:id="6" w:name="_Toc121741483"/>
      <w:bookmarkStart w:id="7" w:name="_Toc138155430"/>
      <w:bookmarkEnd w:id="4"/>
      <w:bookmarkEnd w:id="5"/>
      <w:r w:rsidRPr="00904786">
        <w:t>Current assessment method</w:t>
      </w:r>
      <w:bookmarkEnd w:id="6"/>
      <w:r w:rsidRPr="00904786">
        <w:t xml:space="preserve"> –</w:t>
      </w:r>
      <w:r>
        <w:t xml:space="preserve"> </w:t>
      </w:r>
      <w:r w:rsidRPr="00904786">
        <w:t>2020</w:t>
      </w:r>
      <w:r>
        <w:t xml:space="preserve"> Review</w:t>
      </w:r>
      <w:bookmarkEnd w:id="7"/>
    </w:p>
    <w:p w14:paraId="01202924" w14:textId="42257109" w:rsidR="00FC59A2" w:rsidRPr="004D223A" w:rsidRDefault="00FC59A2" w:rsidP="00AB3D0D">
      <w:pPr>
        <w:pStyle w:val="CGC2025ParaNumbers"/>
      </w:pPr>
      <w:r w:rsidRPr="004D223A">
        <w:t>The ABS produces Socio-Economic Indexes for Areas (SEIFA), which is widely used as the predominant measure of socio-economic status in Australia.</w:t>
      </w:r>
      <w:r w:rsidR="001960DB" w:rsidRPr="00856C45">
        <w:rPr>
          <w:rStyle w:val="FootnoteReference"/>
        </w:rPr>
        <w:footnoteReference w:id="2"/>
      </w:r>
    </w:p>
    <w:p w14:paraId="49D70592" w14:textId="3F449946" w:rsidR="00FC59A2" w:rsidRPr="004D223A" w:rsidRDefault="00FC59A2" w:rsidP="00AB3D0D">
      <w:pPr>
        <w:pStyle w:val="CGC2025ParaNumbers"/>
      </w:pPr>
      <w:r w:rsidRPr="004D223A">
        <w:t>The First Nations population is a very small proportion of the population in most of Australia. The SEIFA score for an area does not necessarily reflect the socio</w:t>
      </w:r>
      <w:r w:rsidR="00E86FB0">
        <w:noBreakHyphen/>
      </w:r>
      <w:r w:rsidRPr="004D223A">
        <w:t>economic</w:t>
      </w:r>
      <w:r w:rsidR="007631F4" w:rsidRPr="004D223A">
        <w:t xml:space="preserve"> status</w:t>
      </w:r>
      <w:r w:rsidRPr="004D223A">
        <w:t xml:space="preserve"> of the First Nations population in that area. Therefore, the Commission uses a First Nations specific area-based measure of socio-economic status, the Indigenous Relative Socio-Economic Outcomes index, produced by the Centre for Aboriginal Economic and Population Research at the ANU. For the non</w:t>
      </w:r>
      <w:r w:rsidR="00E86FB0">
        <w:noBreakHyphen/>
      </w:r>
      <w:r w:rsidRPr="004D223A">
        <w:t>Indigenous population, the Commission has replicated SEIFA for the non</w:t>
      </w:r>
      <w:r w:rsidR="00E86FB0">
        <w:noBreakHyphen/>
      </w:r>
      <w:r w:rsidRPr="004D223A">
        <w:t xml:space="preserve">Indigenous population (Non-Indigenous SEIFA). </w:t>
      </w:r>
    </w:p>
    <w:p w14:paraId="58FD946B" w14:textId="11E08837" w:rsidR="00FC59A2" w:rsidRPr="004D223A" w:rsidRDefault="00FC59A2" w:rsidP="00AB3D0D">
      <w:pPr>
        <w:pStyle w:val="CGC2025ParaNumbers"/>
      </w:pPr>
      <w:r w:rsidRPr="004D223A">
        <w:t xml:space="preserve">Both </w:t>
      </w:r>
      <w:r w:rsidR="00FE522E" w:rsidRPr="004D223A">
        <w:t>Non-Indigenous SEIFA</w:t>
      </w:r>
      <w:r w:rsidRPr="004D223A">
        <w:t xml:space="preserve"> and the Indigenous Relative Socio-Economic Outcomes rank the socio-economic status of all areas in Australia from most disadvantaged to least disadvantaged. Each area in Australia can then be classified into one of </w:t>
      </w:r>
      <w:r w:rsidR="002401C1">
        <w:t>5</w:t>
      </w:r>
      <w:r w:rsidR="00E86FB0">
        <w:t> </w:t>
      </w:r>
      <w:r w:rsidRPr="004D223A">
        <w:t>quintiles, each with 20% of the national population. Several of the Commission’s expense assessments then measure the national average state spend on people in each quintile for each service and apply that to the population in each state in each quintile. This is done as part of a disaggregated matrix using additional socio</w:t>
      </w:r>
      <w:r w:rsidR="00E86FB0">
        <w:noBreakHyphen/>
      </w:r>
      <w:r w:rsidRPr="004D223A">
        <w:t xml:space="preserve">demographic variables. </w:t>
      </w:r>
    </w:p>
    <w:p w14:paraId="1333C522" w14:textId="10AABAD5" w:rsidR="00FC59A2" w:rsidRPr="004D223A" w:rsidRDefault="0492E1D0" w:rsidP="00AB3D0D">
      <w:pPr>
        <w:pStyle w:val="CGC2025ParaNumbers"/>
      </w:pPr>
      <w:r w:rsidRPr="004D223A">
        <w:t>For example, states’ hospital spending is influenced by socio-demographic variables. On average, in 2021-22, states spent $</w:t>
      </w:r>
      <w:r w:rsidR="00871B1B" w:rsidRPr="004D223A">
        <w:t>691 more</w:t>
      </w:r>
      <w:r w:rsidR="001F10A2" w:rsidRPr="004D223A">
        <w:t xml:space="preserve"> </w:t>
      </w:r>
      <w:r w:rsidR="00D84C18" w:rsidRPr="004D223A">
        <w:t xml:space="preserve">on a </w:t>
      </w:r>
      <w:proofErr w:type="gramStart"/>
      <w:r w:rsidRPr="004D223A">
        <w:t>0-14 year old</w:t>
      </w:r>
      <w:proofErr w:type="gramEnd"/>
      <w:r w:rsidRPr="004D223A">
        <w:t xml:space="preserve"> non-Indigenous major city resident in the most disadvantaged quintile of non-Indigenous SEIFA</w:t>
      </w:r>
      <w:r w:rsidR="00D84C18" w:rsidRPr="004D223A">
        <w:t xml:space="preserve"> co</w:t>
      </w:r>
      <w:r w:rsidR="001F10A2" w:rsidRPr="004D223A">
        <w:t>m</w:t>
      </w:r>
      <w:r w:rsidR="00D84C18" w:rsidRPr="004D223A">
        <w:t>pared to the</w:t>
      </w:r>
      <w:r w:rsidR="001F10A2" w:rsidRPr="004D223A">
        <w:t xml:space="preserve"> </w:t>
      </w:r>
      <w:r w:rsidRPr="004D223A">
        <w:t xml:space="preserve">least disadvantaged quintile. The Commission applies these </w:t>
      </w:r>
      <w:r w:rsidR="06D6263F" w:rsidRPr="004D223A">
        <w:lastRenderedPageBreak/>
        <w:t xml:space="preserve">differences in </w:t>
      </w:r>
      <w:r w:rsidRPr="004D223A">
        <w:t xml:space="preserve">spend rates to the relevant population in each state for these and other groups. It uses this to calculate a total assessed need for hospital spending. </w:t>
      </w:r>
    </w:p>
    <w:p w14:paraId="441E7148" w14:textId="6BE17E40" w:rsidR="00FC59A2" w:rsidRPr="004D223A" w:rsidRDefault="00FC59A2" w:rsidP="00AB3D0D">
      <w:pPr>
        <w:pStyle w:val="CGC2025ParaNumbers"/>
      </w:pPr>
      <w:r w:rsidRPr="004D223A">
        <w:t>Socio-economic status is measured in slightly different ways in the Commission’s schools and social housing assessments. In schools, the Australian Curriculum Assessment and Reporting Authority produces a measure of the socio-educational advantage of individual students based primarily on parental attributes. The Commission uses this measure in its regression. In the housing assessment</w:t>
      </w:r>
      <w:r w:rsidR="00054DE6" w:rsidRPr="004D223A">
        <w:t>,</w:t>
      </w:r>
      <w:r w:rsidRPr="004D223A">
        <w:t xml:space="preserve"> the Commission uses census data on household equivalised income</w:t>
      </w:r>
      <w:r w:rsidR="00AB36B2" w:rsidRPr="00AB3D0D">
        <w:t>.</w:t>
      </w:r>
      <w:r w:rsidRPr="0052680F">
        <w:rPr>
          <w:rStyle w:val="FootnoteReference"/>
        </w:rPr>
        <w:footnoteReference w:id="3"/>
      </w:r>
      <w:r w:rsidRPr="004D223A">
        <w:t xml:space="preserve"> </w:t>
      </w:r>
    </w:p>
    <w:p w14:paraId="5EECBF61" w14:textId="77777777" w:rsidR="00FC59A2" w:rsidRDefault="00FC59A2" w:rsidP="00FC59A2">
      <w:pPr>
        <w:pStyle w:val="Heading3"/>
      </w:pPr>
      <w:bookmarkStart w:id="8" w:name="_Toc138155431"/>
      <w:r>
        <w:t xml:space="preserve">Data used in the </w:t>
      </w:r>
      <w:proofErr w:type="gramStart"/>
      <w:r>
        <w:t>assessment</w:t>
      </w:r>
      <w:bookmarkEnd w:id="8"/>
      <w:proofErr w:type="gramEnd"/>
    </w:p>
    <w:p w14:paraId="3B76DF7B" w14:textId="77777777" w:rsidR="00FC59A2" w:rsidRPr="004D223A" w:rsidRDefault="00FC59A2" w:rsidP="00AB36B2">
      <w:pPr>
        <w:pStyle w:val="CGC2025ParaNumbers"/>
      </w:pPr>
      <w:r w:rsidRPr="004D223A">
        <w:t xml:space="preserve">Non-Indigenous SEIFA and the Indigenous relative socio-economic outcomes indexes are produced from the 5-yearly census of population and housing. </w:t>
      </w:r>
    </w:p>
    <w:p w14:paraId="5A683318" w14:textId="3E035FC6" w:rsidR="00FC59A2" w:rsidRDefault="00FC59A2" w:rsidP="00FC59A2">
      <w:pPr>
        <w:pStyle w:val="Heading3"/>
      </w:pPr>
      <w:bookmarkStart w:id="9" w:name="_Toc138155432"/>
      <w:r>
        <w:t>Assessing socio-economic status</w:t>
      </w:r>
      <w:bookmarkEnd w:id="9"/>
      <w:r>
        <w:t xml:space="preserve"> </w:t>
      </w:r>
    </w:p>
    <w:p w14:paraId="6A7D0F82" w14:textId="1797E1C4" w:rsidR="00FC59A2" w:rsidRPr="004D223A" w:rsidRDefault="00FC59A2" w:rsidP="00AB36B2">
      <w:pPr>
        <w:pStyle w:val="CGC2025ParaNumbers"/>
      </w:pPr>
      <w:r w:rsidRPr="004D223A">
        <w:t xml:space="preserve">Socio-economic status is a driver in 6 expense assessments. In 2021-22, </w:t>
      </w:r>
      <w:r w:rsidR="001232B2" w:rsidRPr="004D223A">
        <w:t xml:space="preserve">the components that incorporated socio-economic status </w:t>
      </w:r>
      <w:r w:rsidR="00AD0121">
        <w:t xml:space="preserve">included </w:t>
      </w:r>
      <w:r w:rsidRPr="004D223A">
        <w:t>$169 billion</w:t>
      </w:r>
      <w:r w:rsidR="001232B2" w:rsidRPr="004D223A">
        <w:t xml:space="preserve"> of state spending</w:t>
      </w:r>
      <w:r w:rsidRPr="004D223A">
        <w:t xml:space="preserve">, or 58% of total state recurrent spending. </w:t>
      </w:r>
    </w:p>
    <w:p w14:paraId="5AC8EEBA" w14:textId="77D47F44" w:rsidR="00FC59A2" w:rsidRDefault="00FC59A2" w:rsidP="00691CA0">
      <w:pPr>
        <w:pStyle w:val="CGC2025Caption"/>
        <w:keepNext/>
        <w:tabs>
          <w:tab w:val="left" w:pos="1134"/>
        </w:tabs>
      </w:pPr>
      <w:r>
        <w:t xml:space="preserve">Table </w:t>
      </w:r>
      <w:r>
        <w:fldChar w:fldCharType="begin"/>
      </w:r>
      <w:r>
        <w:instrText>SEQ Table \* ARABIC</w:instrText>
      </w:r>
      <w:r>
        <w:fldChar w:fldCharType="separate"/>
      </w:r>
      <w:r w:rsidR="00D95B35">
        <w:rPr>
          <w:noProof/>
        </w:rPr>
        <w:t>1</w:t>
      </w:r>
      <w:r>
        <w:fldChar w:fldCharType="end"/>
      </w:r>
      <w:r w:rsidR="0004655E">
        <w:tab/>
      </w:r>
      <w:r>
        <w:t xml:space="preserve">Expenses assessed using socio-economic </w:t>
      </w:r>
      <w:proofErr w:type="gramStart"/>
      <w:r>
        <w:t>status</w:t>
      </w:r>
      <w:proofErr w:type="gramEnd"/>
    </w:p>
    <w:tbl>
      <w:tblPr>
        <w:tblW w:w="8931" w:type="dxa"/>
        <w:tblLook w:val="04A0" w:firstRow="1" w:lastRow="0" w:firstColumn="1" w:lastColumn="0" w:noHBand="0" w:noVBand="1"/>
      </w:tblPr>
      <w:tblGrid>
        <w:gridCol w:w="2840"/>
        <w:gridCol w:w="1129"/>
        <w:gridCol w:w="1134"/>
        <w:gridCol w:w="1134"/>
        <w:gridCol w:w="1276"/>
        <w:gridCol w:w="1418"/>
      </w:tblGrid>
      <w:tr w:rsidR="00FC59A2" w:rsidRPr="00A67548" w14:paraId="4F3E621F" w14:textId="77777777" w:rsidTr="00527DF9">
        <w:trPr>
          <w:trHeight w:val="315"/>
        </w:trPr>
        <w:tc>
          <w:tcPr>
            <w:tcW w:w="2840" w:type="dxa"/>
            <w:tcBorders>
              <w:top w:val="single" w:sz="8" w:space="0" w:color="ADD6EA"/>
              <w:left w:val="nil"/>
              <w:bottom w:val="single" w:sz="8" w:space="0" w:color="ADD6EA"/>
              <w:right w:val="nil"/>
            </w:tcBorders>
            <w:shd w:val="clear" w:color="000000" w:fill="006991"/>
            <w:noWrap/>
            <w:vAlign w:val="center"/>
            <w:hideMark/>
          </w:tcPr>
          <w:p w14:paraId="697B431D" w14:textId="77777777" w:rsidR="00FC59A2" w:rsidRPr="00A67548" w:rsidRDefault="00FC59A2" w:rsidP="00527DF9">
            <w:pPr>
              <w:tabs>
                <w:tab w:val="clear" w:pos="567"/>
              </w:tabs>
              <w:spacing w:before="0" w:line="240" w:lineRule="auto"/>
              <w:jc w:val="right"/>
              <w:rPr>
                <w:rFonts w:ascii="Work Sans" w:eastAsia="Times New Roman" w:hAnsi="Work Sans" w:cs="Calibri"/>
                <w:b/>
                <w:bCs/>
                <w:color w:val="FFFFFF"/>
                <w:sz w:val="16"/>
                <w:szCs w:val="16"/>
                <w:lang w:eastAsia="en-AU"/>
              </w:rPr>
            </w:pPr>
            <w:r w:rsidRPr="00A67548">
              <w:rPr>
                <w:rFonts w:ascii="Work Sans" w:eastAsia="Times New Roman" w:hAnsi="Work Sans" w:cs="Calibri"/>
                <w:b/>
                <w:bCs/>
                <w:color w:val="FFFFFF"/>
                <w:sz w:val="16"/>
                <w:szCs w:val="16"/>
                <w:lang w:eastAsia="en-AU"/>
              </w:rPr>
              <w:t> </w:t>
            </w:r>
          </w:p>
        </w:tc>
        <w:tc>
          <w:tcPr>
            <w:tcW w:w="1129" w:type="dxa"/>
            <w:tcBorders>
              <w:top w:val="single" w:sz="8" w:space="0" w:color="ADD6EA"/>
              <w:left w:val="nil"/>
              <w:bottom w:val="single" w:sz="8" w:space="0" w:color="ADD6EA"/>
              <w:right w:val="nil"/>
            </w:tcBorders>
            <w:shd w:val="clear" w:color="000000" w:fill="006991"/>
            <w:noWrap/>
            <w:vAlign w:val="center"/>
          </w:tcPr>
          <w:p w14:paraId="38CA9ECE"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2017-18</w:t>
            </w:r>
          </w:p>
        </w:tc>
        <w:tc>
          <w:tcPr>
            <w:tcW w:w="1134" w:type="dxa"/>
            <w:tcBorders>
              <w:top w:val="single" w:sz="8" w:space="0" w:color="ADD6EA"/>
              <w:left w:val="nil"/>
              <w:bottom w:val="single" w:sz="8" w:space="0" w:color="ADD6EA"/>
              <w:right w:val="nil"/>
            </w:tcBorders>
            <w:shd w:val="clear" w:color="000000" w:fill="006991"/>
            <w:noWrap/>
            <w:vAlign w:val="center"/>
          </w:tcPr>
          <w:p w14:paraId="503B148F"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7548">
              <w:rPr>
                <w:rFonts w:ascii="Open Sans Semibold" w:eastAsia="Times New Roman" w:hAnsi="Open Sans Semibold" w:cs="Open Sans Semibold"/>
                <w:color w:val="FFFFFF"/>
                <w:sz w:val="16"/>
                <w:szCs w:val="16"/>
                <w:lang w:eastAsia="en-AU"/>
              </w:rPr>
              <w:t>2018-19</w:t>
            </w:r>
          </w:p>
        </w:tc>
        <w:tc>
          <w:tcPr>
            <w:tcW w:w="1134" w:type="dxa"/>
            <w:tcBorders>
              <w:top w:val="single" w:sz="8" w:space="0" w:color="ADD6EA"/>
              <w:left w:val="nil"/>
              <w:bottom w:val="single" w:sz="8" w:space="0" w:color="ADD6EA"/>
              <w:right w:val="nil"/>
            </w:tcBorders>
            <w:shd w:val="clear" w:color="000000" w:fill="006991"/>
            <w:noWrap/>
            <w:vAlign w:val="center"/>
          </w:tcPr>
          <w:p w14:paraId="059095FB"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7548">
              <w:rPr>
                <w:rFonts w:ascii="Open Sans Semibold" w:eastAsia="Times New Roman" w:hAnsi="Open Sans Semibold" w:cs="Open Sans Semibold"/>
                <w:color w:val="FFFFFF"/>
                <w:sz w:val="16"/>
                <w:szCs w:val="16"/>
                <w:lang w:eastAsia="en-AU"/>
              </w:rPr>
              <w:t>2019-20</w:t>
            </w:r>
          </w:p>
        </w:tc>
        <w:tc>
          <w:tcPr>
            <w:tcW w:w="1276" w:type="dxa"/>
            <w:tcBorders>
              <w:top w:val="single" w:sz="8" w:space="0" w:color="ADD6EA"/>
              <w:left w:val="nil"/>
              <w:bottom w:val="single" w:sz="8" w:space="0" w:color="ADD6EA"/>
              <w:right w:val="nil"/>
            </w:tcBorders>
            <w:shd w:val="clear" w:color="000000" w:fill="006991"/>
            <w:noWrap/>
            <w:vAlign w:val="center"/>
          </w:tcPr>
          <w:p w14:paraId="16D68478"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7548">
              <w:rPr>
                <w:rFonts w:ascii="Open Sans Semibold" w:eastAsia="Times New Roman" w:hAnsi="Open Sans Semibold" w:cs="Open Sans Semibold"/>
                <w:color w:val="FFFFFF"/>
                <w:sz w:val="16"/>
                <w:szCs w:val="16"/>
                <w:lang w:eastAsia="en-AU"/>
              </w:rPr>
              <w:t>2020-21</w:t>
            </w:r>
          </w:p>
        </w:tc>
        <w:tc>
          <w:tcPr>
            <w:tcW w:w="1418" w:type="dxa"/>
            <w:tcBorders>
              <w:top w:val="single" w:sz="8" w:space="0" w:color="ADD6EA"/>
              <w:left w:val="nil"/>
              <w:bottom w:val="single" w:sz="8" w:space="0" w:color="ADD6EA"/>
              <w:right w:val="nil"/>
            </w:tcBorders>
            <w:shd w:val="clear" w:color="000000" w:fill="006991"/>
            <w:noWrap/>
            <w:vAlign w:val="center"/>
            <w:hideMark/>
          </w:tcPr>
          <w:p w14:paraId="3EA4B19B"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7548">
              <w:rPr>
                <w:rFonts w:ascii="Open Sans Semibold" w:eastAsia="Times New Roman" w:hAnsi="Open Sans Semibold" w:cs="Open Sans Semibold"/>
                <w:color w:val="FFFFFF"/>
                <w:sz w:val="16"/>
                <w:szCs w:val="16"/>
                <w:lang w:eastAsia="en-AU"/>
              </w:rPr>
              <w:t>2021-22</w:t>
            </w:r>
          </w:p>
        </w:tc>
      </w:tr>
      <w:tr w:rsidR="00FC59A2" w:rsidRPr="00A67548" w14:paraId="1620F7BB" w14:textId="77777777" w:rsidTr="00527DF9">
        <w:trPr>
          <w:trHeight w:val="259"/>
        </w:trPr>
        <w:tc>
          <w:tcPr>
            <w:tcW w:w="2840" w:type="dxa"/>
            <w:tcBorders>
              <w:top w:val="single" w:sz="4" w:space="0" w:color="ADD6EA"/>
              <w:left w:val="nil"/>
              <w:bottom w:val="nil"/>
              <w:right w:val="nil"/>
            </w:tcBorders>
            <w:shd w:val="clear" w:color="000000" w:fill="B6D5E4"/>
            <w:vAlign w:val="bottom"/>
            <w:hideMark/>
          </w:tcPr>
          <w:p w14:paraId="27471ECC" w14:textId="77777777" w:rsidR="00FC59A2" w:rsidRPr="00A67548" w:rsidRDefault="00FC59A2" w:rsidP="00527DF9">
            <w:pPr>
              <w:tabs>
                <w:tab w:val="clear" w:pos="567"/>
              </w:tabs>
              <w:spacing w:before="0" w:line="240" w:lineRule="auto"/>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 </w:t>
            </w:r>
          </w:p>
        </w:tc>
        <w:tc>
          <w:tcPr>
            <w:tcW w:w="1129" w:type="dxa"/>
            <w:tcBorders>
              <w:top w:val="single" w:sz="4" w:space="0" w:color="ADD6EA"/>
              <w:left w:val="nil"/>
              <w:bottom w:val="nil"/>
              <w:right w:val="nil"/>
            </w:tcBorders>
            <w:shd w:val="clear" w:color="000000" w:fill="B6D5E4"/>
            <w:noWrap/>
            <w:vAlign w:val="bottom"/>
            <w:hideMark/>
          </w:tcPr>
          <w:p w14:paraId="6E754249"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w:t>
            </w:r>
            <w:r>
              <w:rPr>
                <w:rFonts w:ascii="Open Sans Semibold" w:eastAsia="Times New Roman" w:hAnsi="Open Sans Semibold" w:cs="Open Sans Semibold"/>
                <w:color w:val="000000"/>
                <w:sz w:val="16"/>
                <w:szCs w:val="16"/>
                <w:lang w:eastAsia="en-AU"/>
              </w:rPr>
              <w:t>b</w:t>
            </w:r>
          </w:p>
        </w:tc>
        <w:tc>
          <w:tcPr>
            <w:tcW w:w="1134" w:type="dxa"/>
            <w:tcBorders>
              <w:top w:val="single" w:sz="4" w:space="0" w:color="ADD6EA"/>
              <w:left w:val="nil"/>
              <w:bottom w:val="nil"/>
              <w:right w:val="nil"/>
            </w:tcBorders>
            <w:shd w:val="clear" w:color="000000" w:fill="B6D5E4"/>
            <w:noWrap/>
            <w:vAlign w:val="bottom"/>
            <w:hideMark/>
          </w:tcPr>
          <w:p w14:paraId="237CE3FB"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w:t>
            </w:r>
            <w:r>
              <w:rPr>
                <w:rFonts w:ascii="Open Sans Semibold" w:eastAsia="Times New Roman" w:hAnsi="Open Sans Semibold" w:cs="Open Sans Semibold"/>
                <w:color w:val="000000"/>
                <w:sz w:val="16"/>
                <w:szCs w:val="16"/>
                <w:lang w:eastAsia="en-AU"/>
              </w:rPr>
              <w:t>b</w:t>
            </w:r>
          </w:p>
        </w:tc>
        <w:tc>
          <w:tcPr>
            <w:tcW w:w="1134" w:type="dxa"/>
            <w:tcBorders>
              <w:top w:val="single" w:sz="4" w:space="0" w:color="ADD6EA"/>
              <w:left w:val="nil"/>
              <w:bottom w:val="nil"/>
              <w:right w:val="nil"/>
            </w:tcBorders>
            <w:shd w:val="clear" w:color="000000" w:fill="B6D5E4"/>
            <w:noWrap/>
            <w:vAlign w:val="bottom"/>
            <w:hideMark/>
          </w:tcPr>
          <w:p w14:paraId="0942D899"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w:t>
            </w:r>
            <w:r>
              <w:rPr>
                <w:rFonts w:ascii="Open Sans Semibold" w:eastAsia="Times New Roman" w:hAnsi="Open Sans Semibold" w:cs="Open Sans Semibold"/>
                <w:color w:val="000000"/>
                <w:sz w:val="16"/>
                <w:szCs w:val="16"/>
                <w:lang w:eastAsia="en-AU"/>
              </w:rPr>
              <w:t>b</w:t>
            </w:r>
          </w:p>
        </w:tc>
        <w:tc>
          <w:tcPr>
            <w:tcW w:w="1276" w:type="dxa"/>
            <w:tcBorders>
              <w:top w:val="single" w:sz="4" w:space="0" w:color="ADD6EA"/>
              <w:left w:val="nil"/>
              <w:bottom w:val="nil"/>
              <w:right w:val="nil"/>
            </w:tcBorders>
            <w:shd w:val="clear" w:color="000000" w:fill="B6D5E4"/>
            <w:noWrap/>
            <w:vAlign w:val="bottom"/>
            <w:hideMark/>
          </w:tcPr>
          <w:p w14:paraId="647C12D6"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w:t>
            </w:r>
            <w:r>
              <w:rPr>
                <w:rFonts w:ascii="Open Sans Semibold" w:eastAsia="Times New Roman" w:hAnsi="Open Sans Semibold" w:cs="Open Sans Semibold"/>
                <w:color w:val="000000"/>
                <w:sz w:val="16"/>
                <w:szCs w:val="16"/>
                <w:lang w:eastAsia="en-AU"/>
              </w:rPr>
              <w:t>b</w:t>
            </w:r>
          </w:p>
        </w:tc>
        <w:tc>
          <w:tcPr>
            <w:tcW w:w="1418" w:type="dxa"/>
            <w:tcBorders>
              <w:top w:val="single" w:sz="4" w:space="0" w:color="ADD6EA"/>
              <w:left w:val="nil"/>
              <w:bottom w:val="nil"/>
              <w:right w:val="nil"/>
            </w:tcBorders>
            <w:shd w:val="clear" w:color="000000" w:fill="B6D5E4"/>
            <w:noWrap/>
            <w:vAlign w:val="bottom"/>
            <w:hideMark/>
          </w:tcPr>
          <w:p w14:paraId="06EB90DC"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w:t>
            </w:r>
            <w:r>
              <w:rPr>
                <w:rFonts w:ascii="Open Sans Semibold" w:eastAsia="Times New Roman" w:hAnsi="Open Sans Semibold" w:cs="Open Sans Semibold"/>
                <w:color w:val="000000"/>
                <w:sz w:val="16"/>
                <w:szCs w:val="16"/>
                <w:lang w:eastAsia="en-AU"/>
              </w:rPr>
              <w:t>b</w:t>
            </w:r>
          </w:p>
        </w:tc>
      </w:tr>
      <w:tr w:rsidR="00FC59A2" w:rsidRPr="00A67548" w14:paraId="41AA2A0D" w14:textId="77777777" w:rsidTr="00527DF9">
        <w:trPr>
          <w:trHeight w:val="315"/>
        </w:trPr>
        <w:tc>
          <w:tcPr>
            <w:tcW w:w="2840" w:type="dxa"/>
            <w:tcBorders>
              <w:top w:val="single" w:sz="4" w:space="0" w:color="ADD6EA"/>
              <w:left w:val="nil"/>
              <w:bottom w:val="nil"/>
              <w:right w:val="nil"/>
            </w:tcBorders>
            <w:shd w:val="clear" w:color="auto" w:fill="auto"/>
            <w:vAlign w:val="bottom"/>
            <w:hideMark/>
          </w:tcPr>
          <w:p w14:paraId="09CC7011" w14:textId="77777777" w:rsidR="00FC59A2" w:rsidRPr="00A67548" w:rsidRDefault="00FC59A2" w:rsidP="00527DF9">
            <w:pPr>
              <w:tabs>
                <w:tab w:val="clear" w:pos="567"/>
              </w:tabs>
              <w:spacing w:before="0" w:line="240" w:lineRule="auto"/>
              <w:rPr>
                <w:rFonts w:eastAsia="Times New Roman" w:cs="Open Sans Light"/>
                <w:color w:val="000000"/>
                <w:sz w:val="16"/>
                <w:szCs w:val="16"/>
                <w:lang w:eastAsia="en-AU"/>
              </w:rPr>
            </w:pPr>
            <w:r w:rsidRPr="00A67548">
              <w:rPr>
                <w:rFonts w:eastAsia="Times New Roman" w:cs="Open Sans Light"/>
                <w:color w:val="000000"/>
                <w:sz w:val="16"/>
                <w:szCs w:val="16"/>
                <w:lang w:eastAsia="en-AU"/>
              </w:rPr>
              <w:t>Schools</w:t>
            </w:r>
          </w:p>
        </w:tc>
        <w:tc>
          <w:tcPr>
            <w:tcW w:w="1129" w:type="dxa"/>
            <w:tcBorders>
              <w:top w:val="single" w:sz="4" w:space="0" w:color="ADD6EA"/>
              <w:left w:val="nil"/>
              <w:bottom w:val="nil"/>
              <w:right w:val="nil"/>
            </w:tcBorders>
            <w:shd w:val="clear" w:color="auto" w:fill="auto"/>
            <w:noWrap/>
            <w:vAlign w:val="bottom"/>
            <w:hideMark/>
          </w:tcPr>
          <w:p w14:paraId="02F3F952"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34</w:t>
            </w:r>
          </w:p>
        </w:tc>
        <w:tc>
          <w:tcPr>
            <w:tcW w:w="1134" w:type="dxa"/>
            <w:tcBorders>
              <w:top w:val="single" w:sz="4" w:space="0" w:color="ADD6EA"/>
              <w:left w:val="nil"/>
              <w:bottom w:val="nil"/>
              <w:right w:val="nil"/>
            </w:tcBorders>
            <w:shd w:val="clear" w:color="auto" w:fill="auto"/>
            <w:noWrap/>
            <w:vAlign w:val="bottom"/>
            <w:hideMark/>
          </w:tcPr>
          <w:p w14:paraId="64B07AA8"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36</w:t>
            </w:r>
          </w:p>
        </w:tc>
        <w:tc>
          <w:tcPr>
            <w:tcW w:w="1134" w:type="dxa"/>
            <w:tcBorders>
              <w:top w:val="single" w:sz="4" w:space="0" w:color="ADD6EA"/>
              <w:left w:val="nil"/>
              <w:bottom w:val="nil"/>
              <w:right w:val="nil"/>
            </w:tcBorders>
            <w:shd w:val="clear" w:color="auto" w:fill="auto"/>
            <w:noWrap/>
            <w:vAlign w:val="bottom"/>
            <w:hideMark/>
          </w:tcPr>
          <w:p w14:paraId="615E5DE4"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38</w:t>
            </w:r>
          </w:p>
        </w:tc>
        <w:tc>
          <w:tcPr>
            <w:tcW w:w="1276" w:type="dxa"/>
            <w:tcBorders>
              <w:top w:val="single" w:sz="4" w:space="0" w:color="ADD6EA"/>
              <w:left w:val="nil"/>
              <w:bottom w:val="nil"/>
              <w:right w:val="nil"/>
            </w:tcBorders>
            <w:shd w:val="clear" w:color="auto" w:fill="auto"/>
            <w:noWrap/>
            <w:vAlign w:val="bottom"/>
            <w:hideMark/>
          </w:tcPr>
          <w:p w14:paraId="7C44E305"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38</w:t>
            </w:r>
          </w:p>
        </w:tc>
        <w:tc>
          <w:tcPr>
            <w:tcW w:w="1418" w:type="dxa"/>
            <w:tcBorders>
              <w:top w:val="single" w:sz="4" w:space="0" w:color="ADD6EA"/>
              <w:left w:val="nil"/>
              <w:bottom w:val="nil"/>
              <w:right w:val="nil"/>
            </w:tcBorders>
            <w:shd w:val="clear" w:color="auto" w:fill="auto"/>
            <w:noWrap/>
            <w:vAlign w:val="bottom"/>
            <w:hideMark/>
          </w:tcPr>
          <w:p w14:paraId="79C625EF"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41</w:t>
            </w:r>
          </w:p>
        </w:tc>
      </w:tr>
      <w:tr w:rsidR="00FC59A2" w:rsidRPr="00A67548" w14:paraId="114459BF" w14:textId="77777777" w:rsidTr="00527DF9">
        <w:trPr>
          <w:trHeight w:val="315"/>
        </w:trPr>
        <w:tc>
          <w:tcPr>
            <w:tcW w:w="2840" w:type="dxa"/>
            <w:tcBorders>
              <w:top w:val="single" w:sz="4" w:space="0" w:color="ADD6EA"/>
              <w:left w:val="nil"/>
              <w:bottom w:val="nil"/>
              <w:right w:val="nil"/>
            </w:tcBorders>
            <w:shd w:val="clear" w:color="auto" w:fill="auto"/>
            <w:vAlign w:val="bottom"/>
            <w:hideMark/>
          </w:tcPr>
          <w:p w14:paraId="381C01AD" w14:textId="77777777" w:rsidR="00FC59A2" w:rsidRPr="00A67548" w:rsidRDefault="00FC59A2" w:rsidP="00527DF9">
            <w:pPr>
              <w:tabs>
                <w:tab w:val="clear" w:pos="567"/>
              </w:tabs>
              <w:spacing w:before="0" w:line="240" w:lineRule="auto"/>
              <w:rPr>
                <w:rFonts w:eastAsia="Times New Roman" w:cs="Open Sans Light"/>
                <w:color w:val="000000"/>
                <w:sz w:val="16"/>
                <w:szCs w:val="16"/>
                <w:lang w:eastAsia="en-AU"/>
              </w:rPr>
            </w:pPr>
            <w:r w:rsidRPr="00A67548">
              <w:rPr>
                <w:rFonts w:eastAsia="Times New Roman" w:cs="Open Sans Light"/>
                <w:color w:val="000000"/>
                <w:sz w:val="16"/>
                <w:szCs w:val="16"/>
                <w:lang w:eastAsia="en-AU"/>
              </w:rPr>
              <w:t>Post-secondary education</w:t>
            </w:r>
          </w:p>
        </w:tc>
        <w:tc>
          <w:tcPr>
            <w:tcW w:w="1129" w:type="dxa"/>
            <w:tcBorders>
              <w:top w:val="single" w:sz="4" w:space="0" w:color="ADD6EA"/>
              <w:left w:val="nil"/>
              <w:bottom w:val="nil"/>
              <w:right w:val="nil"/>
            </w:tcBorders>
            <w:shd w:val="clear" w:color="auto" w:fill="auto"/>
            <w:noWrap/>
            <w:vAlign w:val="bottom"/>
            <w:hideMark/>
          </w:tcPr>
          <w:p w14:paraId="2579123B"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w:t>
            </w:r>
          </w:p>
        </w:tc>
        <w:tc>
          <w:tcPr>
            <w:tcW w:w="1134" w:type="dxa"/>
            <w:tcBorders>
              <w:top w:val="single" w:sz="4" w:space="0" w:color="ADD6EA"/>
              <w:left w:val="nil"/>
              <w:bottom w:val="nil"/>
              <w:right w:val="nil"/>
            </w:tcBorders>
            <w:shd w:val="clear" w:color="auto" w:fill="auto"/>
            <w:noWrap/>
            <w:vAlign w:val="bottom"/>
            <w:hideMark/>
          </w:tcPr>
          <w:p w14:paraId="30BD26BE"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w:t>
            </w:r>
          </w:p>
        </w:tc>
        <w:tc>
          <w:tcPr>
            <w:tcW w:w="1134" w:type="dxa"/>
            <w:tcBorders>
              <w:top w:val="single" w:sz="4" w:space="0" w:color="ADD6EA"/>
              <w:left w:val="nil"/>
              <w:bottom w:val="nil"/>
              <w:right w:val="nil"/>
            </w:tcBorders>
            <w:shd w:val="clear" w:color="auto" w:fill="auto"/>
            <w:noWrap/>
            <w:vAlign w:val="bottom"/>
            <w:hideMark/>
          </w:tcPr>
          <w:p w14:paraId="63842189"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w:t>
            </w:r>
          </w:p>
        </w:tc>
        <w:tc>
          <w:tcPr>
            <w:tcW w:w="1276" w:type="dxa"/>
            <w:tcBorders>
              <w:top w:val="single" w:sz="4" w:space="0" w:color="ADD6EA"/>
              <w:left w:val="nil"/>
              <w:bottom w:val="nil"/>
              <w:right w:val="nil"/>
            </w:tcBorders>
            <w:shd w:val="clear" w:color="auto" w:fill="auto"/>
            <w:noWrap/>
            <w:vAlign w:val="bottom"/>
            <w:hideMark/>
          </w:tcPr>
          <w:p w14:paraId="5F076ECB"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7</w:t>
            </w:r>
          </w:p>
        </w:tc>
        <w:tc>
          <w:tcPr>
            <w:tcW w:w="1418" w:type="dxa"/>
            <w:tcBorders>
              <w:top w:val="single" w:sz="4" w:space="0" w:color="ADD6EA"/>
              <w:left w:val="nil"/>
              <w:bottom w:val="nil"/>
              <w:right w:val="nil"/>
            </w:tcBorders>
            <w:shd w:val="clear" w:color="auto" w:fill="auto"/>
            <w:noWrap/>
            <w:vAlign w:val="bottom"/>
            <w:hideMark/>
          </w:tcPr>
          <w:p w14:paraId="3B323C69"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w:t>
            </w:r>
          </w:p>
        </w:tc>
      </w:tr>
      <w:tr w:rsidR="00FC59A2" w:rsidRPr="00A67548" w14:paraId="780CAD89" w14:textId="77777777" w:rsidTr="00527DF9">
        <w:trPr>
          <w:trHeight w:val="315"/>
        </w:trPr>
        <w:tc>
          <w:tcPr>
            <w:tcW w:w="2840" w:type="dxa"/>
            <w:tcBorders>
              <w:top w:val="single" w:sz="4" w:space="0" w:color="ADD6EA"/>
              <w:left w:val="nil"/>
              <w:bottom w:val="nil"/>
              <w:right w:val="nil"/>
            </w:tcBorders>
            <w:shd w:val="clear" w:color="auto" w:fill="auto"/>
            <w:vAlign w:val="bottom"/>
            <w:hideMark/>
          </w:tcPr>
          <w:p w14:paraId="0633A073" w14:textId="77777777" w:rsidR="00FC59A2" w:rsidRPr="00A67548" w:rsidRDefault="00FC59A2" w:rsidP="00527DF9">
            <w:pPr>
              <w:tabs>
                <w:tab w:val="clear" w:pos="567"/>
              </w:tabs>
              <w:spacing w:before="0" w:line="240" w:lineRule="auto"/>
              <w:rPr>
                <w:rFonts w:eastAsia="Times New Roman" w:cs="Open Sans Light"/>
                <w:color w:val="000000"/>
                <w:sz w:val="16"/>
                <w:szCs w:val="16"/>
                <w:lang w:eastAsia="en-AU"/>
              </w:rPr>
            </w:pPr>
            <w:r w:rsidRPr="00A67548">
              <w:rPr>
                <w:rFonts w:eastAsia="Times New Roman" w:cs="Open Sans Light"/>
                <w:color w:val="000000"/>
                <w:sz w:val="16"/>
                <w:szCs w:val="16"/>
                <w:lang w:eastAsia="en-AU"/>
              </w:rPr>
              <w:t>Health</w:t>
            </w:r>
          </w:p>
        </w:tc>
        <w:tc>
          <w:tcPr>
            <w:tcW w:w="1129" w:type="dxa"/>
            <w:tcBorders>
              <w:top w:val="single" w:sz="4" w:space="0" w:color="ADD6EA"/>
              <w:left w:val="nil"/>
              <w:bottom w:val="nil"/>
              <w:right w:val="nil"/>
            </w:tcBorders>
            <w:shd w:val="clear" w:color="auto" w:fill="auto"/>
            <w:noWrap/>
            <w:vAlign w:val="bottom"/>
            <w:hideMark/>
          </w:tcPr>
          <w:p w14:paraId="059F07C4"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64</w:t>
            </w:r>
          </w:p>
        </w:tc>
        <w:tc>
          <w:tcPr>
            <w:tcW w:w="1134" w:type="dxa"/>
            <w:tcBorders>
              <w:top w:val="single" w:sz="4" w:space="0" w:color="ADD6EA"/>
              <w:left w:val="nil"/>
              <w:bottom w:val="nil"/>
              <w:right w:val="nil"/>
            </w:tcBorders>
            <w:shd w:val="clear" w:color="auto" w:fill="auto"/>
            <w:noWrap/>
            <w:vAlign w:val="bottom"/>
            <w:hideMark/>
          </w:tcPr>
          <w:p w14:paraId="40F98F38"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68</w:t>
            </w:r>
          </w:p>
        </w:tc>
        <w:tc>
          <w:tcPr>
            <w:tcW w:w="1134" w:type="dxa"/>
            <w:tcBorders>
              <w:top w:val="single" w:sz="4" w:space="0" w:color="ADD6EA"/>
              <w:left w:val="nil"/>
              <w:bottom w:val="nil"/>
              <w:right w:val="nil"/>
            </w:tcBorders>
            <w:shd w:val="clear" w:color="auto" w:fill="auto"/>
            <w:noWrap/>
            <w:vAlign w:val="bottom"/>
            <w:hideMark/>
          </w:tcPr>
          <w:p w14:paraId="40F826D8"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71</w:t>
            </w:r>
          </w:p>
        </w:tc>
        <w:tc>
          <w:tcPr>
            <w:tcW w:w="1276" w:type="dxa"/>
            <w:tcBorders>
              <w:top w:val="single" w:sz="4" w:space="0" w:color="ADD6EA"/>
              <w:left w:val="nil"/>
              <w:bottom w:val="nil"/>
              <w:right w:val="nil"/>
            </w:tcBorders>
            <w:shd w:val="clear" w:color="auto" w:fill="auto"/>
            <w:noWrap/>
            <w:vAlign w:val="bottom"/>
            <w:hideMark/>
          </w:tcPr>
          <w:p w14:paraId="0AF6FB99"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77</w:t>
            </w:r>
          </w:p>
        </w:tc>
        <w:tc>
          <w:tcPr>
            <w:tcW w:w="1418" w:type="dxa"/>
            <w:tcBorders>
              <w:top w:val="single" w:sz="4" w:space="0" w:color="ADD6EA"/>
              <w:left w:val="nil"/>
              <w:bottom w:val="nil"/>
              <w:right w:val="nil"/>
            </w:tcBorders>
            <w:shd w:val="clear" w:color="auto" w:fill="auto"/>
            <w:noWrap/>
            <w:vAlign w:val="bottom"/>
            <w:hideMark/>
          </w:tcPr>
          <w:p w14:paraId="401EC8DD"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86</w:t>
            </w:r>
          </w:p>
        </w:tc>
      </w:tr>
      <w:tr w:rsidR="00FC59A2" w:rsidRPr="00A67548" w14:paraId="0CBF5C2D" w14:textId="77777777" w:rsidTr="00527DF9">
        <w:trPr>
          <w:trHeight w:val="315"/>
        </w:trPr>
        <w:tc>
          <w:tcPr>
            <w:tcW w:w="2840" w:type="dxa"/>
            <w:tcBorders>
              <w:top w:val="single" w:sz="4" w:space="0" w:color="ADD6EA"/>
              <w:left w:val="nil"/>
              <w:bottom w:val="nil"/>
              <w:right w:val="nil"/>
            </w:tcBorders>
            <w:shd w:val="clear" w:color="auto" w:fill="auto"/>
            <w:vAlign w:val="bottom"/>
            <w:hideMark/>
          </w:tcPr>
          <w:p w14:paraId="196A4626" w14:textId="77777777" w:rsidR="00FC59A2" w:rsidRPr="00A67548" w:rsidRDefault="00FC59A2" w:rsidP="00527DF9">
            <w:pPr>
              <w:tabs>
                <w:tab w:val="clear" w:pos="567"/>
              </w:tabs>
              <w:spacing w:before="0" w:line="240" w:lineRule="auto"/>
              <w:rPr>
                <w:rFonts w:eastAsia="Times New Roman" w:cs="Open Sans Light"/>
                <w:color w:val="000000"/>
                <w:sz w:val="16"/>
                <w:szCs w:val="16"/>
                <w:lang w:eastAsia="en-AU"/>
              </w:rPr>
            </w:pPr>
            <w:r w:rsidRPr="00A67548">
              <w:rPr>
                <w:rFonts w:eastAsia="Times New Roman" w:cs="Open Sans Light"/>
                <w:color w:val="000000"/>
                <w:sz w:val="16"/>
                <w:szCs w:val="16"/>
                <w:lang w:eastAsia="en-AU"/>
              </w:rPr>
              <w:t>Housing</w:t>
            </w:r>
          </w:p>
        </w:tc>
        <w:tc>
          <w:tcPr>
            <w:tcW w:w="1129" w:type="dxa"/>
            <w:tcBorders>
              <w:top w:val="single" w:sz="4" w:space="0" w:color="ADD6EA"/>
              <w:left w:val="nil"/>
              <w:bottom w:val="nil"/>
              <w:right w:val="nil"/>
            </w:tcBorders>
            <w:shd w:val="clear" w:color="auto" w:fill="auto"/>
            <w:noWrap/>
            <w:vAlign w:val="bottom"/>
            <w:hideMark/>
          </w:tcPr>
          <w:p w14:paraId="1D11F081"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2</w:t>
            </w:r>
          </w:p>
        </w:tc>
        <w:tc>
          <w:tcPr>
            <w:tcW w:w="1134" w:type="dxa"/>
            <w:tcBorders>
              <w:top w:val="single" w:sz="4" w:space="0" w:color="ADD6EA"/>
              <w:left w:val="nil"/>
              <w:bottom w:val="nil"/>
              <w:right w:val="nil"/>
            </w:tcBorders>
            <w:shd w:val="clear" w:color="auto" w:fill="auto"/>
            <w:noWrap/>
            <w:vAlign w:val="bottom"/>
            <w:hideMark/>
          </w:tcPr>
          <w:p w14:paraId="54445064"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2</w:t>
            </w:r>
          </w:p>
        </w:tc>
        <w:tc>
          <w:tcPr>
            <w:tcW w:w="1134" w:type="dxa"/>
            <w:tcBorders>
              <w:top w:val="single" w:sz="4" w:space="0" w:color="ADD6EA"/>
              <w:left w:val="nil"/>
              <w:bottom w:val="nil"/>
              <w:right w:val="nil"/>
            </w:tcBorders>
            <w:shd w:val="clear" w:color="auto" w:fill="auto"/>
            <w:noWrap/>
            <w:vAlign w:val="bottom"/>
            <w:hideMark/>
          </w:tcPr>
          <w:p w14:paraId="5BCCE9C3"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2</w:t>
            </w:r>
          </w:p>
        </w:tc>
        <w:tc>
          <w:tcPr>
            <w:tcW w:w="1276" w:type="dxa"/>
            <w:tcBorders>
              <w:top w:val="single" w:sz="4" w:space="0" w:color="ADD6EA"/>
              <w:left w:val="nil"/>
              <w:bottom w:val="nil"/>
              <w:right w:val="nil"/>
            </w:tcBorders>
            <w:shd w:val="clear" w:color="auto" w:fill="auto"/>
            <w:noWrap/>
            <w:vAlign w:val="bottom"/>
            <w:hideMark/>
          </w:tcPr>
          <w:p w14:paraId="5F30CB15"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3</w:t>
            </w:r>
          </w:p>
        </w:tc>
        <w:tc>
          <w:tcPr>
            <w:tcW w:w="1418" w:type="dxa"/>
            <w:tcBorders>
              <w:top w:val="single" w:sz="4" w:space="0" w:color="ADD6EA"/>
              <w:left w:val="nil"/>
              <w:bottom w:val="nil"/>
              <w:right w:val="nil"/>
            </w:tcBorders>
            <w:shd w:val="clear" w:color="auto" w:fill="auto"/>
            <w:noWrap/>
            <w:vAlign w:val="bottom"/>
            <w:hideMark/>
          </w:tcPr>
          <w:p w14:paraId="6DEBDE63"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4</w:t>
            </w:r>
          </w:p>
        </w:tc>
      </w:tr>
      <w:tr w:rsidR="00FC59A2" w:rsidRPr="00A67548" w14:paraId="425133C5" w14:textId="77777777" w:rsidTr="00527DF9">
        <w:trPr>
          <w:trHeight w:val="315"/>
        </w:trPr>
        <w:tc>
          <w:tcPr>
            <w:tcW w:w="2840" w:type="dxa"/>
            <w:tcBorders>
              <w:top w:val="single" w:sz="4" w:space="0" w:color="ADD6EA"/>
              <w:left w:val="nil"/>
              <w:bottom w:val="nil"/>
              <w:right w:val="nil"/>
            </w:tcBorders>
            <w:shd w:val="clear" w:color="auto" w:fill="auto"/>
            <w:vAlign w:val="bottom"/>
            <w:hideMark/>
          </w:tcPr>
          <w:p w14:paraId="243FE684" w14:textId="77777777" w:rsidR="00FC59A2" w:rsidRPr="00A67548" w:rsidRDefault="00FC59A2" w:rsidP="00527DF9">
            <w:pPr>
              <w:tabs>
                <w:tab w:val="clear" w:pos="567"/>
              </w:tabs>
              <w:spacing w:before="0" w:line="240" w:lineRule="auto"/>
              <w:rPr>
                <w:rFonts w:eastAsia="Times New Roman" w:cs="Open Sans Light"/>
                <w:color w:val="000000"/>
                <w:sz w:val="16"/>
                <w:szCs w:val="16"/>
                <w:lang w:eastAsia="en-AU"/>
              </w:rPr>
            </w:pPr>
            <w:r w:rsidRPr="00A67548">
              <w:rPr>
                <w:rFonts w:eastAsia="Times New Roman" w:cs="Open Sans Light"/>
                <w:color w:val="000000"/>
                <w:sz w:val="16"/>
                <w:szCs w:val="16"/>
                <w:lang w:eastAsia="en-AU"/>
              </w:rPr>
              <w:t>Welfare</w:t>
            </w:r>
          </w:p>
        </w:tc>
        <w:tc>
          <w:tcPr>
            <w:tcW w:w="1129" w:type="dxa"/>
            <w:tcBorders>
              <w:top w:val="single" w:sz="4" w:space="0" w:color="ADD6EA"/>
              <w:left w:val="nil"/>
              <w:bottom w:val="nil"/>
              <w:right w:val="nil"/>
            </w:tcBorders>
            <w:shd w:val="clear" w:color="auto" w:fill="auto"/>
            <w:noWrap/>
            <w:vAlign w:val="bottom"/>
            <w:hideMark/>
          </w:tcPr>
          <w:p w14:paraId="427B2A53"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w:t>
            </w:r>
          </w:p>
        </w:tc>
        <w:tc>
          <w:tcPr>
            <w:tcW w:w="1134" w:type="dxa"/>
            <w:tcBorders>
              <w:top w:val="single" w:sz="4" w:space="0" w:color="ADD6EA"/>
              <w:left w:val="nil"/>
              <w:bottom w:val="nil"/>
              <w:right w:val="nil"/>
            </w:tcBorders>
            <w:shd w:val="clear" w:color="auto" w:fill="auto"/>
            <w:noWrap/>
            <w:vAlign w:val="bottom"/>
            <w:hideMark/>
          </w:tcPr>
          <w:p w14:paraId="0A1379DD"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6</w:t>
            </w:r>
          </w:p>
        </w:tc>
        <w:tc>
          <w:tcPr>
            <w:tcW w:w="1134" w:type="dxa"/>
            <w:tcBorders>
              <w:top w:val="single" w:sz="4" w:space="0" w:color="ADD6EA"/>
              <w:left w:val="nil"/>
              <w:bottom w:val="nil"/>
              <w:right w:val="nil"/>
            </w:tcBorders>
            <w:shd w:val="clear" w:color="auto" w:fill="auto"/>
            <w:noWrap/>
            <w:vAlign w:val="bottom"/>
            <w:hideMark/>
          </w:tcPr>
          <w:p w14:paraId="2836C03E"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7</w:t>
            </w:r>
          </w:p>
        </w:tc>
        <w:tc>
          <w:tcPr>
            <w:tcW w:w="1276" w:type="dxa"/>
            <w:tcBorders>
              <w:top w:val="single" w:sz="4" w:space="0" w:color="ADD6EA"/>
              <w:left w:val="nil"/>
              <w:bottom w:val="nil"/>
              <w:right w:val="nil"/>
            </w:tcBorders>
            <w:shd w:val="clear" w:color="auto" w:fill="auto"/>
            <w:noWrap/>
            <w:vAlign w:val="bottom"/>
            <w:hideMark/>
          </w:tcPr>
          <w:p w14:paraId="5779E3C3"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8</w:t>
            </w:r>
          </w:p>
        </w:tc>
        <w:tc>
          <w:tcPr>
            <w:tcW w:w="1418" w:type="dxa"/>
            <w:tcBorders>
              <w:top w:val="single" w:sz="4" w:space="0" w:color="ADD6EA"/>
              <w:left w:val="nil"/>
              <w:bottom w:val="nil"/>
              <w:right w:val="nil"/>
            </w:tcBorders>
            <w:shd w:val="clear" w:color="auto" w:fill="auto"/>
            <w:noWrap/>
            <w:vAlign w:val="bottom"/>
            <w:hideMark/>
          </w:tcPr>
          <w:p w14:paraId="7A23967D"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8</w:t>
            </w:r>
          </w:p>
        </w:tc>
      </w:tr>
      <w:tr w:rsidR="00FC59A2" w:rsidRPr="00A67548" w14:paraId="6B2F6A6F" w14:textId="77777777" w:rsidTr="00527DF9">
        <w:trPr>
          <w:trHeight w:val="315"/>
        </w:trPr>
        <w:tc>
          <w:tcPr>
            <w:tcW w:w="2840" w:type="dxa"/>
            <w:tcBorders>
              <w:top w:val="single" w:sz="4" w:space="0" w:color="ADD6EA"/>
              <w:left w:val="nil"/>
              <w:bottom w:val="nil"/>
              <w:right w:val="nil"/>
            </w:tcBorders>
            <w:shd w:val="clear" w:color="auto" w:fill="auto"/>
            <w:vAlign w:val="bottom"/>
            <w:hideMark/>
          </w:tcPr>
          <w:p w14:paraId="403BD7DF" w14:textId="77777777" w:rsidR="00FC59A2" w:rsidRPr="00A67548" w:rsidRDefault="00FC59A2" w:rsidP="00527DF9">
            <w:pPr>
              <w:tabs>
                <w:tab w:val="clear" w:pos="567"/>
              </w:tabs>
              <w:spacing w:before="0" w:line="240" w:lineRule="auto"/>
              <w:rPr>
                <w:rFonts w:eastAsia="Times New Roman" w:cs="Open Sans Light"/>
                <w:color w:val="000000"/>
                <w:sz w:val="16"/>
                <w:szCs w:val="16"/>
                <w:lang w:eastAsia="en-AU"/>
              </w:rPr>
            </w:pPr>
            <w:r w:rsidRPr="00A67548">
              <w:rPr>
                <w:rFonts w:eastAsia="Times New Roman" w:cs="Open Sans Light"/>
                <w:color w:val="000000"/>
                <w:sz w:val="16"/>
                <w:szCs w:val="16"/>
                <w:lang w:eastAsia="en-AU"/>
              </w:rPr>
              <w:t>Justice</w:t>
            </w:r>
          </w:p>
        </w:tc>
        <w:tc>
          <w:tcPr>
            <w:tcW w:w="1129" w:type="dxa"/>
            <w:tcBorders>
              <w:top w:val="single" w:sz="4" w:space="0" w:color="ADD6EA"/>
              <w:left w:val="nil"/>
              <w:bottom w:val="nil"/>
              <w:right w:val="nil"/>
            </w:tcBorders>
            <w:shd w:val="clear" w:color="auto" w:fill="auto"/>
            <w:noWrap/>
            <w:vAlign w:val="bottom"/>
            <w:hideMark/>
          </w:tcPr>
          <w:p w14:paraId="52D54E8B"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18</w:t>
            </w:r>
          </w:p>
        </w:tc>
        <w:tc>
          <w:tcPr>
            <w:tcW w:w="1134" w:type="dxa"/>
            <w:tcBorders>
              <w:top w:val="single" w:sz="4" w:space="0" w:color="ADD6EA"/>
              <w:left w:val="nil"/>
              <w:bottom w:val="nil"/>
              <w:right w:val="nil"/>
            </w:tcBorders>
            <w:shd w:val="clear" w:color="auto" w:fill="auto"/>
            <w:noWrap/>
            <w:vAlign w:val="bottom"/>
            <w:hideMark/>
          </w:tcPr>
          <w:p w14:paraId="5C32FDBD"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20</w:t>
            </w:r>
          </w:p>
        </w:tc>
        <w:tc>
          <w:tcPr>
            <w:tcW w:w="1134" w:type="dxa"/>
            <w:tcBorders>
              <w:top w:val="single" w:sz="4" w:space="0" w:color="ADD6EA"/>
              <w:left w:val="nil"/>
              <w:bottom w:val="nil"/>
              <w:right w:val="nil"/>
            </w:tcBorders>
            <w:shd w:val="clear" w:color="auto" w:fill="auto"/>
            <w:noWrap/>
            <w:vAlign w:val="bottom"/>
            <w:hideMark/>
          </w:tcPr>
          <w:p w14:paraId="2B3D344C"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21</w:t>
            </w:r>
          </w:p>
        </w:tc>
        <w:tc>
          <w:tcPr>
            <w:tcW w:w="1276" w:type="dxa"/>
            <w:tcBorders>
              <w:top w:val="single" w:sz="4" w:space="0" w:color="ADD6EA"/>
              <w:left w:val="nil"/>
              <w:bottom w:val="nil"/>
              <w:right w:val="nil"/>
            </w:tcBorders>
            <w:shd w:val="clear" w:color="auto" w:fill="auto"/>
            <w:noWrap/>
            <w:vAlign w:val="bottom"/>
            <w:hideMark/>
          </w:tcPr>
          <w:p w14:paraId="660C0C04"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22</w:t>
            </w:r>
          </w:p>
        </w:tc>
        <w:tc>
          <w:tcPr>
            <w:tcW w:w="1418" w:type="dxa"/>
            <w:tcBorders>
              <w:top w:val="single" w:sz="4" w:space="0" w:color="ADD6EA"/>
              <w:left w:val="nil"/>
              <w:bottom w:val="nil"/>
              <w:right w:val="nil"/>
            </w:tcBorders>
            <w:shd w:val="clear" w:color="auto" w:fill="auto"/>
            <w:noWrap/>
            <w:vAlign w:val="bottom"/>
            <w:hideMark/>
          </w:tcPr>
          <w:p w14:paraId="7735EF6F" w14:textId="77777777" w:rsidR="00FC59A2" w:rsidRPr="00A67548" w:rsidRDefault="00FC59A2" w:rsidP="00527DF9">
            <w:pPr>
              <w:tabs>
                <w:tab w:val="clear" w:pos="567"/>
              </w:tabs>
              <w:spacing w:before="0" w:line="240" w:lineRule="auto"/>
              <w:jc w:val="right"/>
              <w:rPr>
                <w:rFonts w:eastAsia="Times New Roman" w:cs="Open Sans Light"/>
                <w:color w:val="000000"/>
                <w:sz w:val="16"/>
                <w:szCs w:val="16"/>
                <w:lang w:eastAsia="en-AU"/>
              </w:rPr>
            </w:pPr>
            <w:r w:rsidRPr="00A67548">
              <w:rPr>
                <w:rFonts w:eastAsia="Times New Roman" w:cs="Open Sans Light"/>
                <w:color w:val="000000"/>
                <w:sz w:val="16"/>
                <w:szCs w:val="16"/>
                <w:lang w:eastAsia="en-AU"/>
              </w:rPr>
              <w:t>23</w:t>
            </w:r>
          </w:p>
        </w:tc>
      </w:tr>
      <w:tr w:rsidR="00FC59A2" w:rsidRPr="00A67548" w14:paraId="0B0484ED" w14:textId="77777777" w:rsidTr="00527DF9">
        <w:trPr>
          <w:trHeight w:val="315"/>
        </w:trPr>
        <w:tc>
          <w:tcPr>
            <w:tcW w:w="2840" w:type="dxa"/>
            <w:tcBorders>
              <w:top w:val="single" w:sz="4" w:space="0" w:color="ADD6EA"/>
              <w:left w:val="nil"/>
              <w:bottom w:val="single" w:sz="4" w:space="0" w:color="ADD6EA"/>
              <w:right w:val="nil"/>
            </w:tcBorders>
            <w:shd w:val="clear" w:color="000000" w:fill="D6E7F0"/>
            <w:vAlign w:val="bottom"/>
            <w:hideMark/>
          </w:tcPr>
          <w:p w14:paraId="151320EF" w14:textId="77777777" w:rsidR="00FC59A2" w:rsidRPr="00A67548" w:rsidRDefault="00FC59A2" w:rsidP="00527DF9">
            <w:pPr>
              <w:tabs>
                <w:tab w:val="clear" w:pos="567"/>
              </w:tabs>
              <w:spacing w:before="0" w:line="240" w:lineRule="auto"/>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Total</w:t>
            </w:r>
          </w:p>
        </w:tc>
        <w:tc>
          <w:tcPr>
            <w:tcW w:w="1129" w:type="dxa"/>
            <w:tcBorders>
              <w:top w:val="single" w:sz="4" w:space="0" w:color="ADD6EA"/>
              <w:left w:val="nil"/>
              <w:bottom w:val="single" w:sz="4" w:space="0" w:color="ADD6EA"/>
              <w:right w:val="nil"/>
            </w:tcBorders>
            <w:shd w:val="clear" w:color="000000" w:fill="D6E7F0"/>
            <w:noWrap/>
            <w:vAlign w:val="bottom"/>
            <w:hideMark/>
          </w:tcPr>
          <w:p w14:paraId="19E32700"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130</w:t>
            </w:r>
          </w:p>
        </w:tc>
        <w:tc>
          <w:tcPr>
            <w:tcW w:w="1134" w:type="dxa"/>
            <w:tcBorders>
              <w:top w:val="single" w:sz="4" w:space="0" w:color="ADD6EA"/>
              <w:left w:val="nil"/>
              <w:bottom w:val="single" w:sz="4" w:space="0" w:color="ADD6EA"/>
              <w:right w:val="nil"/>
            </w:tcBorders>
            <w:shd w:val="clear" w:color="000000" w:fill="D6E7F0"/>
            <w:noWrap/>
            <w:vAlign w:val="bottom"/>
            <w:hideMark/>
          </w:tcPr>
          <w:p w14:paraId="3A5BEAFD"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138</w:t>
            </w:r>
          </w:p>
        </w:tc>
        <w:tc>
          <w:tcPr>
            <w:tcW w:w="1134" w:type="dxa"/>
            <w:tcBorders>
              <w:top w:val="single" w:sz="4" w:space="0" w:color="ADD6EA"/>
              <w:left w:val="nil"/>
              <w:bottom w:val="single" w:sz="4" w:space="0" w:color="ADD6EA"/>
              <w:right w:val="nil"/>
            </w:tcBorders>
            <w:shd w:val="clear" w:color="000000" w:fill="D6E7F0"/>
            <w:noWrap/>
            <w:vAlign w:val="bottom"/>
            <w:hideMark/>
          </w:tcPr>
          <w:p w14:paraId="7352CA64"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145</w:t>
            </w:r>
          </w:p>
        </w:tc>
        <w:tc>
          <w:tcPr>
            <w:tcW w:w="1276" w:type="dxa"/>
            <w:tcBorders>
              <w:top w:val="single" w:sz="4" w:space="0" w:color="ADD6EA"/>
              <w:left w:val="nil"/>
              <w:bottom w:val="single" w:sz="4" w:space="0" w:color="ADD6EA"/>
              <w:right w:val="nil"/>
            </w:tcBorders>
            <w:shd w:val="clear" w:color="000000" w:fill="D6E7F0"/>
            <w:noWrap/>
            <w:vAlign w:val="bottom"/>
            <w:hideMark/>
          </w:tcPr>
          <w:p w14:paraId="4A2B6067"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154</w:t>
            </w:r>
          </w:p>
        </w:tc>
        <w:tc>
          <w:tcPr>
            <w:tcW w:w="1418" w:type="dxa"/>
            <w:tcBorders>
              <w:top w:val="single" w:sz="4" w:space="0" w:color="ADD6EA"/>
              <w:left w:val="nil"/>
              <w:bottom w:val="single" w:sz="4" w:space="0" w:color="ADD6EA"/>
              <w:right w:val="nil"/>
            </w:tcBorders>
            <w:shd w:val="clear" w:color="000000" w:fill="D6E7F0"/>
            <w:noWrap/>
            <w:vAlign w:val="bottom"/>
            <w:hideMark/>
          </w:tcPr>
          <w:p w14:paraId="7D1E35D7"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7548">
              <w:rPr>
                <w:rFonts w:ascii="Open Sans Semibold" w:eastAsia="Times New Roman" w:hAnsi="Open Sans Semibold" w:cs="Open Sans Semibold"/>
                <w:color w:val="000000"/>
                <w:sz w:val="16"/>
                <w:szCs w:val="16"/>
                <w:lang w:eastAsia="en-AU"/>
              </w:rPr>
              <w:t>169</w:t>
            </w:r>
          </w:p>
        </w:tc>
      </w:tr>
      <w:tr w:rsidR="00FC59A2" w:rsidRPr="00A67548" w14:paraId="59E4B546" w14:textId="77777777" w:rsidTr="00527DF9">
        <w:trPr>
          <w:trHeight w:val="315"/>
        </w:trPr>
        <w:tc>
          <w:tcPr>
            <w:tcW w:w="2840" w:type="dxa"/>
            <w:tcBorders>
              <w:top w:val="single" w:sz="4" w:space="0" w:color="ADD6EA"/>
              <w:left w:val="nil"/>
              <w:bottom w:val="single" w:sz="4" w:space="0" w:color="ADD6EA"/>
              <w:right w:val="nil"/>
            </w:tcBorders>
            <w:shd w:val="clear" w:color="000000" w:fill="D6E7F0"/>
            <w:vAlign w:val="bottom"/>
          </w:tcPr>
          <w:p w14:paraId="476C297A" w14:textId="77777777" w:rsidR="00FC59A2" w:rsidRPr="00A67548" w:rsidRDefault="00FC59A2" w:rsidP="00527DF9">
            <w:pPr>
              <w:tabs>
                <w:tab w:val="clear" w:pos="567"/>
              </w:tabs>
              <w:spacing w:before="0" w:line="240" w:lineRule="auto"/>
              <w:rPr>
                <w:rFonts w:ascii="Open Sans Semibold" w:eastAsia="Times New Roman" w:hAnsi="Open Sans Semibold" w:cs="Open Sans Semibold"/>
                <w:color w:val="000000"/>
                <w:sz w:val="16"/>
                <w:szCs w:val="16"/>
                <w:lang w:eastAsia="en-AU"/>
              </w:rPr>
            </w:pPr>
            <w:r w:rsidRPr="00BD1DDA">
              <w:rPr>
                <w:rFonts w:ascii="Open Sans Semibold" w:eastAsia="Times New Roman" w:hAnsi="Open Sans Semibold" w:cs="Open Sans Semibold"/>
                <w:color w:val="000000"/>
                <w:sz w:val="16"/>
                <w:szCs w:val="16"/>
                <w:lang w:eastAsia="en-AU"/>
              </w:rPr>
              <w:t>Proportion of total expenses (%)</w:t>
            </w:r>
          </w:p>
        </w:tc>
        <w:tc>
          <w:tcPr>
            <w:tcW w:w="1129" w:type="dxa"/>
            <w:tcBorders>
              <w:top w:val="single" w:sz="4" w:space="0" w:color="ADD6EA"/>
              <w:left w:val="nil"/>
              <w:bottom w:val="single" w:sz="4" w:space="0" w:color="ADD6EA"/>
              <w:right w:val="nil"/>
            </w:tcBorders>
            <w:shd w:val="clear" w:color="000000" w:fill="D6E7F0"/>
            <w:noWrap/>
            <w:vAlign w:val="bottom"/>
          </w:tcPr>
          <w:p w14:paraId="1B7FFBB3"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D1DDA">
              <w:rPr>
                <w:rFonts w:ascii="Open Sans Semibold" w:eastAsia="Times New Roman" w:hAnsi="Open Sans Semibold" w:cs="Open Sans Semibold"/>
                <w:color w:val="000000"/>
                <w:sz w:val="16"/>
                <w:szCs w:val="16"/>
                <w:lang w:eastAsia="en-AU"/>
              </w:rPr>
              <w:t>60</w:t>
            </w:r>
          </w:p>
        </w:tc>
        <w:tc>
          <w:tcPr>
            <w:tcW w:w="1134" w:type="dxa"/>
            <w:tcBorders>
              <w:top w:val="single" w:sz="4" w:space="0" w:color="ADD6EA"/>
              <w:left w:val="nil"/>
              <w:bottom w:val="single" w:sz="4" w:space="0" w:color="ADD6EA"/>
              <w:right w:val="nil"/>
            </w:tcBorders>
            <w:shd w:val="clear" w:color="000000" w:fill="D6E7F0"/>
            <w:noWrap/>
            <w:vAlign w:val="bottom"/>
          </w:tcPr>
          <w:p w14:paraId="17E7B55B"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D1DDA">
              <w:rPr>
                <w:rFonts w:ascii="Open Sans Semibold" w:eastAsia="Times New Roman" w:hAnsi="Open Sans Semibold" w:cs="Open Sans Semibold"/>
                <w:color w:val="000000"/>
                <w:sz w:val="16"/>
                <w:szCs w:val="16"/>
                <w:lang w:eastAsia="en-AU"/>
              </w:rPr>
              <w:t>62</w:t>
            </w:r>
          </w:p>
        </w:tc>
        <w:tc>
          <w:tcPr>
            <w:tcW w:w="1134" w:type="dxa"/>
            <w:tcBorders>
              <w:top w:val="single" w:sz="4" w:space="0" w:color="ADD6EA"/>
              <w:left w:val="nil"/>
              <w:bottom w:val="single" w:sz="4" w:space="0" w:color="ADD6EA"/>
              <w:right w:val="nil"/>
            </w:tcBorders>
            <w:shd w:val="clear" w:color="000000" w:fill="D6E7F0"/>
            <w:noWrap/>
            <w:vAlign w:val="bottom"/>
          </w:tcPr>
          <w:p w14:paraId="2F2527CC"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D1DDA">
              <w:rPr>
                <w:rFonts w:ascii="Open Sans Semibold" w:eastAsia="Times New Roman" w:hAnsi="Open Sans Semibold" w:cs="Open Sans Semibold"/>
                <w:color w:val="000000"/>
                <w:sz w:val="16"/>
                <w:szCs w:val="16"/>
                <w:lang w:eastAsia="en-AU"/>
              </w:rPr>
              <w:t>60</w:t>
            </w:r>
          </w:p>
        </w:tc>
        <w:tc>
          <w:tcPr>
            <w:tcW w:w="1276" w:type="dxa"/>
            <w:tcBorders>
              <w:top w:val="single" w:sz="4" w:space="0" w:color="ADD6EA"/>
              <w:left w:val="nil"/>
              <w:bottom w:val="single" w:sz="4" w:space="0" w:color="ADD6EA"/>
              <w:right w:val="nil"/>
            </w:tcBorders>
            <w:shd w:val="clear" w:color="000000" w:fill="D6E7F0"/>
            <w:noWrap/>
            <w:vAlign w:val="bottom"/>
          </w:tcPr>
          <w:p w14:paraId="3F747861"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D1DDA">
              <w:rPr>
                <w:rFonts w:ascii="Open Sans Semibold" w:eastAsia="Times New Roman" w:hAnsi="Open Sans Semibold" w:cs="Open Sans Semibold"/>
                <w:color w:val="000000"/>
                <w:sz w:val="16"/>
                <w:szCs w:val="16"/>
                <w:lang w:eastAsia="en-AU"/>
              </w:rPr>
              <w:t>59</w:t>
            </w:r>
          </w:p>
        </w:tc>
        <w:tc>
          <w:tcPr>
            <w:tcW w:w="1418" w:type="dxa"/>
            <w:tcBorders>
              <w:top w:val="single" w:sz="4" w:space="0" w:color="ADD6EA"/>
              <w:left w:val="nil"/>
              <w:bottom w:val="single" w:sz="4" w:space="0" w:color="ADD6EA"/>
              <w:right w:val="nil"/>
            </w:tcBorders>
            <w:shd w:val="clear" w:color="000000" w:fill="D6E7F0"/>
            <w:noWrap/>
            <w:vAlign w:val="bottom"/>
          </w:tcPr>
          <w:p w14:paraId="723AEEB6" w14:textId="77777777" w:rsidR="00FC59A2" w:rsidRPr="00A67548" w:rsidRDefault="00FC59A2" w:rsidP="00527DF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D1DDA">
              <w:rPr>
                <w:rFonts w:ascii="Open Sans Semibold" w:eastAsia="Times New Roman" w:hAnsi="Open Sans Semibold" w:cs="Open Sans Semibold"/>
                <w:color w:val="000000"/>
                <w:sz w:val="16"/>
                <w:szCs w:val="16"/>
                <w:lang w:eastAsia="en-AU"/>
              </w:rPr>
              <w:t>58</w:t>
            </w:r>
          </w:p>
        </w:tc>
      </w:tr>
    </w:tbl>
    <w:p w14:paraId="360B33B2" w14:textId="77777777" w:rsidR="00FC59A2" w:rsidRPr="003F1F10" w:rsidRDefault="00FC59A2" w:rsidP="003729E6">
      <w:pPr>
        <w:pStyle w:val="CGC2025TableNote"/>
      </w:pPr>
      <w:r>
        <w:t>Source</w:t>
      </w:r>
      <w:r w:rsidRPr="003F1F10">
        <w:t>:</w:t>
      </w:r>
      <w:r w:rsidRPr="003F1F10">
        <w:tab/>
        <w:t xml:space="preserve">Commission calculation, 2023 Update. </w:t>
      </w:r>
    </w:p>
    <w:p w14:paraId="66CAF167" w14:textId="77777777" w:rsidR="00FC59A2" w:rsidRPr="00FA5E33" w:rsidRDefault="00FC59A2" w:rsidP="00FC59A2">
      <w:pPr>
        <w:pStyle w:val="Heading3"/>
      </w:pPr>
      <w:bookmarkStart w:id="10" w:name="_Toc121741485"/>
      <w:bookmarkStart w:id="11" w:name="_Toc138155433"/>
      <w:r>
        <w:t>GST distribution</w:t>
      </w:r>
      <w:bookmarkEnd w:id="10"/>
      <w:r>
        <w:t xml:space="preserve"> in the 2023 Update</w:t>
      </w:r>
      <w:bookmarkEnd w:id="11"/>
    </w:p>
    <w:p w14:paraId="129BF009" w14:textId="4AF8DE71" w:rsidR="00FC59A2" w:rsidRPr="004D223A" w:rsidRDefault="00FC59A2" w:rsidP="00AB36B2">
      <w:pPr>
        <w:pStyle w:val="CGC2025ParaNumbers"/>
      </w:pPr>
      <w:r w:rsidRPr="004D223A">
        <w:fldChar w:fldCharType="begin"/>
      </w:r>
      <w:r w:rsidRPr="004D223A">
        <w:instrText xml:space="preserve"> REF _Ref135234901 \h </w:instrText>
      </w:r>
      <w:r w:rsidR="00AB36B2">
        <w:instrText xml:space="preserve"> \* MERGEFORMAT </w:instrText>
      </w:r>
      <w:r w:rsidRPr="004D223A">
        <w:fldChar w:fldCharType="separate"/>
      </w:r>
      <w:r w:rsidR="00D95B35" w:rsidRPr="00FF5BF7">
        <w:rPr>
          <w:noProof/>
        </w:rPr>
        <w:t xml:space="preserve">Table </w:t>
      </w:r>
      <w:r w:rsidR="00D95B35">
        <w:rPr>
          <w:noProof/>
        </w:rPr>
        <w:t>2</w:t>
      </w:r>
      <w:r w:rsidRPr="004D223A">
        <w:fldChar w:fldCharType="end"/>
      </w:r>
      <w:r w:rsidRPr="004D223A">
        <w:t xml:space="preserve"> shows the estimated GST impact (difference from </w:t>
      </w:r>
      <w:r w:rsidR="005319F7" w:rsidRPr="004D223A">
        <w:t>equal per capita</w:t>
      </w:r>
      <w:r w:rsidRPr="004D223A">
        <w:t>) of socio-economic status within the various assessments. Socio-economic status distributed $1,054 million ($40 per capita) away from an equal per capita distribution in the 2023 Update.</w:t>
      </w:r>
      <w:r w:rsidR="008C436E" w:rsidRPr="008C436E">
        <w:rPr>
          <w:rStyle w:val="FootnoteReference"/>
        </w:rPr>
        <w:t xml:space="preserve"> </w:t>
      </w:r>
      <w:r w:rsidR="008C436E" w:rsidRPr="00650DAE">
        <w:rPr>
          <w:rStyle w:val="FootnoteReference"/>
        </w:rPr>
        <w:footnoteReference w:id="4"/>
      </w:r>
    </w:p>
    <w:p w14:paraId="0354472A" w14:textId="3D73A805" w:rsidR="00FC59A2" w:rsidRPr="004D223A" w:rsidRDefault="00FC59A2" w:rsidP="00AB36B2">
      <w:pPr>
        <w:pStyle w:val="CGC2025ParaNumbers"/>
      </w:pPr>
      <w:r w:rsidRPr="004D223A">
        <w:t xml:space="preserve">The influence of socio-economic status among First Nations people reduces the GST received by the Northern Territory. This may appear counterintuitive, as a large </w:t>
      </w:r>
      <w:r w:rsidRPr="004D223A">
        <w:lastRenderedPageBreak/>
        <w:t>share of the most disadvantaged First Nations people in Australia live in the Northern Territory. This outcome arises because the influence of socio-economic status among First Nations people measures the difference in</w:t>
      </w:r>
      <w:r w:rsidRPr="004D223A">
        <w:rPr>
          <w:rStyle w:val="CommentReference"/>
          <w:sz w:val="20"/>
          <w:szCs w:val="20"/>
        </w:rPr>
        <w:t xml:space="preserve"> </w:t>
      </w:r>
      <w:r w:rsidRPr="004D223A">
        <w:t xml:space="preserve">GST distribution that is not attributed to either the size or the remoteness of that population. </w:t>
      </w:r>
      <w:bookmarkStart w:id="12" w:name="_Ref113608127"/>
    </w:p>
    <w:p w14:paraId="533ACB15" w14:textId="5E6EEEDF" w:rsidR="00FC59A2" w:rsidRDefault="00FC59A2" w:rsidP="00691CA0">
      <w:pPr>
        <w:pStyle w:val="CGC2025Caption"/>
        <w:keepNext/>
        <w:tabs>
          <w:tab w:val="left" w:pos="1134"/>
        </w:tabs>
        <w:rPr>
          <w:noProof/>
        </w:rPr>
      </w:pPr>
      <w:bookmarkStart w:id="13" w:name="_Ref135234901"/>
      <w:r w:rsidRPr="00FF5BF7">
        <w:rPr>
          <w:noProof/>
        </w:rPr>
        <w:t xml:space="preserve">Table </w:t>
      </w:r>
      <w:r w:rsidRPr="00FF5BF7">
        <w:rPr>
          <w:noProof/>
        </w:rPr>
        <w:fldChar w:fldCharType="begin"/>
      </w:r>
      <w:r w:rsidRPr="00FF5BF7">
        <w:rPr>
          <w:noProof/>
        </w:rPr>
        <w:instrText xml:space="preserve"> SEQ Table \* ARABIC </w:instrText>
      </w:r>
      <w:r w:rsidRPr="00FF5BF7">
        <w:rPr>
          <w:noProof/>
        </w:rPr>
        <w:fldChar w:fldCharType="separate"/>
      </w:r>
      <w:r w:rsidR="00D95B35">
        <w:rPr>
          <w:noProof/>
        </w:rPr>
        <w:t>2</w:t>
      </w:r>
      <w:r w:rsidRPr="00FF5BF7">
        <w:rPr>
          <w:noProof/>
        </w:rPr>
        <w:fldChar w:fldCharType="end"/>
      </w:r>
      <w:bookmarkEnd w:id="12"/>
      <w:bookmarkEnd w:id="13"/>
      <w:r w:rsidRPr="00FF5BF7">
        <w:rPr>
          <w:noProof/>
        </w:rPr>
        <w:tab/>
        <w:t>GST impact</w:t>
      </w:r>
      <w:r w:rsidRPr="00794E59">
        <w:rPr>
          <w:noProof/>
        </w:rPr>
        <w:t xml:space="preserve"> </w:t>
      </w:r>
      <w:r w:rsidRPr="0081219B">
        <w:rPr>
          <w:noProof/>
        </w:rPr>
        <w:t xml:space="preserve">of the </w:t>
      </w:r>
      <w:r>
        <w:rPr>
          <w:noProof/>
        </w:rPr>
        <w:t>assessment of socio-economic status</w:t>
      </w:r>
    </w:p>
    <w:tbl>
      <w:tblPr>
        <w:tblW w:w="8902" w:type="dxa"/>
        <w:tblLook w:val="04A0" w:firstRow="1" w:lastRow="0" w:firstColumn="1" w:lastColumn="0" w:noHBand="0" w:noVBand="1"/>
      </w:tblPr>
      <w:tblGrid>
        <w:gridCol w:w="2802"/>
        <w:gridCol w:w="720"/>
        <w:gridCol w:w="680"/>
        <w:gridCol w:w="640"/>
        <w:gridCol w:w="680"/>
        <w:gridCol w:w="620"/>
        <w:gridCol w:w="620"/>
        <w:gridCol w:w="680"/>
        <w:gridCol w:w="680"/>
        <w:gridCol w:w="780"/>
      </w:tblGrid>
      <w:tr w:rsidR="00FC59A2" w:rsidRPr="00B92243" w14:paraId="797B4BEB" w14:textId="77777777" w:rsidTr="00527DF9">
        <w:trPr>
          <w:trHeight w:val="555"/>
        </w:trPr>
        <w:tc>
          <w:tcPr>
            <w:tcW w:w="4120" w:type="dxa"/>
            <w:tcBorders>
              <w:top w:val="nil"/>
              <w:left w:val="nil"/>
              <w:bottom w:val="nil"/>
              <w:right w:val="nil"/>
            </w:tcBorders>
            <w:shd w:val="clear" w:color="000000" w:fill="006991"/>
            <w:vAlign w:val="bottom"/>
            <w:hideMark/>
          </w:tcPr>
          <w:p w14:paraId="118DC0A5" w14:textId="77777777" w:rsidR="00FC59A2" w:rsidRPr="00B92243" w:rsidRDefault="00FC59A2" w:rsidP="00527DF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06244686"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NSW</w:t>
            </w:r>
          </w:p>
        </w:tc>
        <w:tc>
          <w:tcPr>
            <w:tcW w:w="680" w:type="dxa"/>
            <w:tcBorders>
              <w:top w:val="nil"/>
              <w:left w:val="nil"/>
              <w:bottom w:val="nil"/>
              <w:right w:val="nil"/>
            </w:tcBorders>
            <w:shd w:val="clear" w:color="000000" w:fill="006991"/>
            <w:vAlign w:val="center"/>
            <w:hideMark/>
          </w:tcPr>
          <w:p w14:paraId="38B22838"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25BDC642"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Qld</w:t>
            </w:r>
          </w:p>
        </w:tc>
        <w:tc>
          <w:tcPr>
            <w:tcW w:w="680" w:type="dxa"/>
            <w:tcBorders>
              <w:top w:val="nil"/>
              <w:left w:val="nil"/>
              <w:bottom w:val="nil"/>
              <w:right w:val="nil"/>
            </w:tcBorders>
            <w:shd w:val="clear" w:color="000000" w:fill="006991"/>
            <w:vAlign w:val="center"/>
            <w:hideMark/>
          </w:tcPr>
          <w:p w14:paraId="7C6BAA9D"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WA</w:t>
            </w:r>
          </w:p>
        </w:tc>
        <w:tc>
          <w:tcPr>
            <w:tcW w:w="620" w:type="dxa"/>
            <w:tcBorders>
              <w:top w:val="nil"/>
              <w:left w:val="nil"/>
              <w:bottom w:val="nil"/>
              <w:right w:val="nil"/>
            </w:tcBorders>
            <w:shd w:val="clear" w:color="000000" w:fill="006991"/>
            <w:vAlign w:val="center"/>
            <w:hideMark/>
          </w:tcPr>
          <w:p w14:paraId="497D44AB"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SA</w:t>
            </w:r>
          </w:p>
        </w:tc>
        <w:tc>
          <w:tcPr>
            <w:tcW w:w="620" w:type="dxa"/>
            <w:tcBorders>
              <w:top w:val="nil"/>
              <w:left w:val="nil"/>
              <w:bottom w:val="nil"/>
              <w:right w:val="nil"/>
            </w:tcBorders>
            <w:shd w:val="clear" w:color="000000" w:fill="006991"/>
            <w:vAlign w:val="center"/>
            <w:hideMark/>
          </w:tcPr>
          <w:p w14:paraId="65C022DE"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17069B2F"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ACT</w:t>
            </w:r>
          </w:p>
        </w:tc>
        <w:tc>
          <w:tcPr>
            <w:tcW w:w="680" w:type="dxa"/>
            <w:tcBorders>
              <w:top w:val="nil"/>
              <w:left w:val="nil"/>
              <w:bottom w:val="nil"/>
              <w:right w:val="nil"/>
            </w:tcBorders>
            <w:shd w:val="clear" w:color="000000" w:fill="006991"/>
            <w:vAlign w:val="center"/>
            <w:hideMark/>
          </w:tcPr>
          <w:p w14:paraId="737C0934"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NT</w:t>
            </w:r>
          </w:p>
        </w:tc>
        <w:tc>
          <w:tcPr>
            <w:tcW w:w="780" w:type="dxa"/>
            <w:tcBorders>
              <w:top w:val="nil"/>
              <w:left w:val="nil"/>
              <w:bottom w:val="nil"/>
              <w:right w:val="nil"/>
            </w:tcBorders>
            <w:shd w:val="clear" w:color="000000" w:fill="006991"/>
            <w:vAlign w:val="center"/>
            <w:hideMark/>
          </w:tcPr>
          <w:p w14:paraId="7879F364"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2243">
              <w:rPr>
                <w:rFonts w:ascii="Open Sans Semibold" w:eastAsia="Times New Roman" w:hAnsi="Open Sans Semibold" w:cs="Open Sans Semibold"/>
                <w:color w:val="FFFFFF"/>
                <w:sz w:val="16"/>
                <w:szCs w:val="16"/>
                <w:lang w:eastAsia="en-AU"/>
              </w:rPr>
              <w:t>Total effect</w:t>
            </w:r>
          </w:p>
        </w:tc>
      </w:tr>
      <w:tr w:rsidR="00FC59A2" w:rsidRPr="00B92243" w14:paraId="37C9052E" w14:textId="77777777" w:rsidTr="00527DF9">
        <w:trPr>
          <w:trHeight w:val="300"/>
        </w:trPr>
        <w:tc>
          <w:tcPr>
            <w:tcW w:w="4120" w:type="dxa"/>
            <w:tcBorders>
              <w:top w:val="single" w:sz="4" w:space="0" w:color="ADD6EA"/>
              <w:left w:val="nil"/>
              <w:bottom w:val="nil"/>
              <w:right w:val="nil"/>
            </w:tcBorders>
            <w:shd w:val="clear" w:color="000000" w:fill="B6D5E4"/>
            <w:vAlign w:val="bottom"/>
            <w:hideMark/>
          </w:tcPr>
          <w:p w14:paraId="0A1C7BAC" w14:textId="77777777" w:rsidR="00FC59A2" w:rsidRPr="00B92243" w:rsidRDefault="00FC59A2" w:rsidP="00527DF9">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noWrap/>
            <w:vAlign w:val="bottom"/>
            <w:hideMark/>
          </w:tcPr>
          <w:p w14:paraId="01C12E5C"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noWrap/>
            <w:vAlign w:val="bottom"/>
            <w:hideMark/>
          </w:tcPr>
          <w:p w14:paraId="6B1C2DBA"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noWrap/>
            <w:vAlign w:val="bottom"/>
            <w:hideMark/>
          </w:tcPr>
          <w:p w14:paraId="33131C27"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noWrap/>
            <w:vAlign w:val="bottom"/>
            <w:hideMark/>
          </w:tcPr>
          <w:p w14:paraId="7F2BDE01"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620" w:type="dxa"/>
            <w:tcBorders>
              <w:top w:val="single" w:sz="4" w:space="0" w:color="ADD6EA"/>
              <w:left w:val="nil"/>
              <w:bottom w:val="nil"/>
              <w:right w:val="nil"/>
            </w:tcBorders>
            <w:shd w:val="clear" w:color="000000" w:fill="B6D5E4"/>
            <w:noWrap/>
            <w:vAlign w:val="bottom"/>
            <w:hideMark/>
          </w:tcPr>
          <w:p w14:paraId="50F0C466"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620" w:type="dxa"/>
            <w:tcBorders>
              <w:top w:val="single" w:sz="4" w:space="0" w:color="ADD6EA"/>
              <w:left w:val="nil"/>
              <w:bottom w:val="nil"/>
              <w:right w:val="nil"/>
            </w:tcBorders>
            <w:shd w:val="clear" w:color="000000" w:fill="B6D5E4"/>
            <w:noWrap/>
            <w:vAlign w:val="bottom"/>
            <w:hideMark/>
          </w:tcPr>
          <w:p w14:paraId="3FAB5698"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noWrap/>
            <w:vAlign w:val="bottom"/>
            <w:hideMark/>
          </w:tcPr>
          <w:p w14:paraId="2B25E162"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noWrap/>
            <w:vAlign w:val="bottom"/>
            <w:hideMark/>
          </w:tcPr>
          <w:p w14:paraId="6744301C"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c>
          <w:tcPr>
            <w:tcW w:w="780" w:type="dxa"/>
            <w:tcBorders>
              <w:top w:val="single" w:sz="4" w:space="0" w:color="ADD6EA"/>
              <w:left w:val="nil"/>
              <w:bottom w:val="nil"/>
              <w:right w:val="nil"/>
            </w:tcBorders>
            <w:shd w:val="clear" w:color="000000" w:fill="B6D5E4"/>
            <w:noWrap/>
            <w:vAlign w:val="bottom"/>
            <w:hideMark/>
          </w:tcPr>
          <w:p w14:paraId="3DF69543"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$m</w:t>
            </w:r>
          </w:p>
        </w:tc>
      </w:tr>
      <w:tr w:rsidR="00FC59A2" w:rsidRPr="00B92243" w14:paraId="46DD66C3"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35D88762"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310 Schools</w:t>
            </w:r>
          </w:p>
        </w:tc>
        <w:tc>
          <w:tcPr>
            <w:tcW w:w="720" w:type="dxa"/>
            <w:tcBorders>
              <w:top w:val="single" w:sz="4" w:space="0" w:color="ADD6EA"/>
              <w:left w:val="nil"/>
              <w:bottom w:val="nil"/>
              <w:right w:val="nil"/>
            </w:tcBorders>
            <w:shd w:val="clear" w:color="auto" w:fill="auto"/>
            <w:noWrap/>
            <w:vAlign w:val="bottom"/>
            <w:hideMark/>
          </w:tcPr>
          <w:p w14:paraId="4ECE93F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26</w:t>
            </w:r>
          </w:p>
        </w:tc>
        <w:tc>
          <w:tcPr>
            <w:tcW w:w="680" w:type="dxa"/>
            <w:tcBorders>
              <w:top w:val="single" w:sz="4" w:space="0" w:color="ADD6EA"/>
              <w:left w:val="nil"/>
              <w:bottom w:val="nil"/>
              <w:right w:val="nil"/>
            </w:tcBorders>
            <w:shd w:val="clear" w:color="auto" w:fill="auto"/>
            <w:noWrap/>
            <w:vAlign w:val="bottom"/>
            <w:hideMark/>
          </w:tcPr>
          <w:p w14:paraId="6610457F"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-234</w:t>
            </w:r>
          </w:p>
        </w:tc>
        <w:tc>
          <w:tcPr>
            <w:tcW w:w="640" w:type="dxa"/>
            <w:tcBorders>
              <w:top w:val="single" w:sz="4" w:space="0" w:color="ADD6EA"/>
              <w:left w:val="nil"/>
              <w:bottom w:val="nil"/>
              <w:right w:val="nil"/>
            </w:tcBorders>
            <w:shd w:val="clear" w:color="auto" w:fill="auto"/>
            <w:noWrap/>
            <w:vAlign w:val="bottom"/>
            <w:hideMark/>
          </w:tcPr>
          <w:p w14:paraId="19470B41"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162</w:t>
            </w:r>
          </w:p>
        </w:tc>
        <w:tc>
          <w:tcPr>
            <w:tcW w:w="680" w:type="dxa"/>
            <w:tcBorders>
              <w:top w:val="single" w:sz="4" w:space="0" w:color="ADD6EA"/>
              <w:left w:val="nil"/>
              <w:bottom w:val="nil"/>
              <w:right w:val="nil"/>
            </w:tcBorders>
            <w:shd w:val="clear" w:color="auto" w:fill="auto"/>
            <w:noWrap/>
            <w:vAlign w:val="bottom"/>
            <w:hideMark/>
          </w:tcPr>
          <w:p w14:paraId="5587889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-25</w:t>
            </w:r>
          </w:p>
        </w:tc>
        <w:tc>
          <w:tcPr>
            <w:tcW w:w="620" w:type="dxa"/>
            <w:tcBorders>
              <w:top w:val="single" w:sz="4" w:space="0" w:color="ADD6EA"/>
              <w:left w:val="nil"/>
              <w:bottom w:val="nil"/>
              <w:right w:val="nil"/>
            </w:tcBorders>
            <w:shd w:val="clear" w:color="auto" w:fill="auto"/>
            <w:noWrap/>
            <w:vAlign w:val="bottom"/>
            <w:hideMark/>
          </w:tcPr>
          <w:p w14:paraId="4B8FE9B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22</w:t>
            </w:r>
          </w:p>
        </w:tc>
        <w:tc>
          <w:tcPr>
            <w:tcW w:w="620" w:type="dxa"/>
            <w:tcBorders>
              <w:top w:val="single" w:sz="4" w:space="0" w:color="ADD6EA"/>
              <w:left w:val="nil"/>
              <w:bottom w:val="nil"/>
              <w:right w:val="nil"/>
            </w:tcBorders>
            <w:shd w:val="clear" w:color="auto" w:fill="auto"/>
            <w:noWrap/>
            <w:vAlign w:val="bottom"/>
            <w:hideMark/>
          </w:tcPr>
          <w:p w14:paraId="6B06CC2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63</w:t>
            </w:r>
          </w:p>
        </w:tc>
        <w:tc>
          <w:tcPr>
            <w:tcW w:w="680" w:type="dxa"/>
            <w:tcBorders>
              <w:top w:val="single" w:sz="4" w:space="0" w:color="ADD6EA"/>
              <w:left w:val="nil"/>
              <w:bottom w:val="nil"/>
              <w:right w:val="nil"/>
            </w:tcBorders>
            <w:shd w:val="clear" w:color="auto" w:fill="auto"/>
            <w:noWrap/>
            <w:vAlign w:val="bottom"/>
            <w:hideMark/>
          </w:tcPr>
          <w:p w14:paraId="7ED3D65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-81</w:t>
            </w:r>
          </w:p>
        </w:tc>
        <w:tc>
          <w:tcPr>
            <w:tcW w:w="680" w:type="dxa"/>
            <w:tcBorders>
              <w:top w:val="single" w:sz="4" w:space="0" w:color="ADD6EA"/>
              <w:left w:val="nil"/>
              <w:bottom w:val="nil"/>
              <w:right w:val="nil"/>
            </w:tcBorders>
            <w:shd w:val="clear" w:color="auto" w:fill="auto"/>
            <w:noWrap/>
            <w:vAlign w:val="bottom"/>
            <w:hideMark/>
          </w:tcPr>
          <w:p w14:paraId="1FD32C3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67</w:t>
            </w:r>
          </w:p>
        </w:tc>
        <w:tc>
          <w:tcPr>
            <w:tcW w:w="780" w:type="dxa"/>
            <w:tcBorders>
              <w:top w:val="single" w:sz="4" w:space="0" w:color="ADD6EA"/>
              <w:left w:val="nil"/>
              <w:bottom w:val="nil"/>
              <w:right w:val="nil"/>
            </w:tcBorders>
            <w:shd w:val="clear" w:color="auto" w:fill="auto"/>
            <w:noWrap/>
            <w:vAlign w:val="bottom"/>
            <w:hideMark/>
          </w:tcPr>
          <w:p w14:paraId="0353F4A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340</w:t>
            </w:r>
          </w:p>
        </w:tc>
      </w:tr>
      <w:tr w:rsidR="00FC59A2" w:rsidRPr="00B92243" w14:paraId="190DEF13"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36BC143E"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 xml:space="preserve">320 </w:t>
            </w:r>
            <w:proofErr w:type="gramStart"/>
            <w:r w:rsidRPr="00B92243">
              <w:rPr>
                <w:rFonts w:eastAsia="Times New Roman" w:cs="Open Sans Light"/>
                <w:color w:val="000000"/>
                <w:sz w:val="16"/>
                <w:szCs w:val="16"/>
                <w:lang w:eastAsia="en-AU"/>
              </w:rPr>
              <w:t>Post-secondary</w:t>
            </w:r>
            <w:proofErr w:type="gramEnd"/>
            <w:r w:rsidRPr="00B92243">
              <w:rPr>
                <w:rFonts w:eastAsia="Times New Roman" w:cs="Open Sans Light"/>
                <w:color w:val="000000"/>
                <w:sz w:val="16"/>
                <w:szCs w:val="16"/>
                <w:lang w:eastAsia="en-AU"/>
              </w:rPr>
              <w:t xml:space="preserve"> education</w:t>
            </w:r>
          </w:p>
        </w:tc>
        <w:tc>
          <w:tcPr>
            <w:tcW w:w="720" w:type="dxa"/>
            <w:tcBorders>
              <w:top w:val="single" w:sz="4" w:space="0" w:color="ADD6EA"/>
              <w:left w:val="nil"/>
              <w:bottom w:val="nil"/>
              <w:right w:val="nil"/>
            </w:tcBorders>
            <w:shd w:val="clear" w:color="auto" w:fill="auto"/>
            <w:vAlign w:val="bottom"/>
            <w:hideMark/>
          </w:tcPr>
          <w:p w14:paraId="6861715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-14</w:t>
            </w:r>
          </w:p>
        </w:tc>
        <w:tc>
          <w:tcPr>
            <w:tcW w:w="680" w:type="dxa"/>
            <w:tcBorders>
              <w:top w:val="single" w:sz="4" w:space="0" w:color="ADD6EA"/>
              <w:left w:val="nil"/>
              <w:bottom w:val="nil"/>
              <w:right w:val="nil"/>
            </w:tcBorders>
            <w:shd w:val="clear" w:color="auto" w:fill="auto"/>
            <w:vAlign w:val="bottom"/>
            <w:hideMark/>
          </w:tcPr>
          <w:p w14:paraId="7D4679EF"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auto" w:fill="auto"/>
            <w:vAlign w:val="bottom"/>
            <w:hideMark/>
          </w:tcPr>
          <w:p w14:paraId="13C0C9C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10</w:t>
            </w:r>
          </w:p>
        </w:tc>
        <w:tc>
          <w:tcPr>
            <w:tcW w:w="680" w:type="dxa"/>
            <w:tcBorders>
              <w:top w:val="single" w:sz="4" w:space="0" w:color="ADD6EA"/>
              <w:left w:val="nil"/>
              <w:bottom w:val="nil"/>
              <w:right w:val="nil"/>
            </w:tcBorders>
            <w:shd w:val="clear" w:color="auto" w:fill="auto"/>
            <w:vAlign w:val="bottom"/>
            <w:hideMark/>
          </w:tcPr>
          <w:p w14:paraId="660985D2"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w:t>
            </w:r>
          </w:p>
        </w:tc>
        <w:tc>
          <w:tcPr>
            <w:tcW w:w="620" w:type="dxa"/>
            <w:tcBorders>
              <w:top w:val="single" w:sz="4" w:space="0" w:color="ADD6EA"/>
              <w:left w:val="nil"/>
              <w:bottom w:val="nil"/>
              <w:right w:val="nil"/>
            </w:tcBorders>
            <w:shd w:val="clear" w:color="auto" w:fill="auto"/>
            <w:vAlign w:val="bottom"/>
            <w:hideMark/>
          </w:tcPr>
          <w:p w14:paraId="165FC1C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24</w:t>
            </w:r>
          </w:p>
        </w:tc>
        <w:tc>
          <w:tcPr>
            <w:tcW w:w="620" w:type="dxa"/>
            <w:tcBorders>
              <w:top w:val="single" w:sz="4" w:space="0" w:color="ADD6EA"/>
              <w:left w:val="nil"/>
              <w:bottom w:val="nil"/>
              <w:right w:val="nil"/>
            </w:tcBorders>
            <w:shd w:val="clear" w:color="auto" w:fill="auto"/>
            <w:vAlign w:val="bottom"/>
            <w:hideMark/>
          </w:tcPr>
          <w:p w14:paraId="7299A5C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auto" w:fill="auto"/>
            <w:vAlign w:val="bottom"/>
            <w:hideMark/>
          </w:tcPr>
          <w:p w14:paraId="0B792C12"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-16</w:t>
            </w:r>
          </w:p>
        </w:tc>
        <w:tc>
          <w:tcPr>
            <w:tcW w:w="680" w:type="dxa"/>
            <w:tcBorders>
              <w:top w:val="single" w:sz="4" w:space="0" w:color="ADD6EA"/>
              <w:left w:val="nil"/>
              <w:bottom w:val="nil"/>
              <w:right w:val="nil"/>
            </w:tcBorders>
            <w:shd w:val="clear" w:color="auto" w:fill="auto"/>
            <w:vAlign w:val="bottom"/>
            <w:hideMark/>
          </w:tcPr>
          <w:p w14:paraId="429C565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-5</w:t>
            </w:r>
          </w:p>
        </w:tc>
        <w:tc>
          <w:tcPr>
            <w:tcW w:w="780" w:type="dxa"/>
            <w:tcBorders>
              <w:top w:val="single" w:sz="4" w:space="0" w:color="ADD6EA"/>
              <w:left w:val="nil"/>
              <w:bottom w:val="nil"/>
              <w:right w:val="nil"/>
            </w:tcBorders>
            <w:shd w:val="clear" w:color="auto" w:fill="auto"/>
            <w:vAlign w:val="bottom"/>
            <w:hideMark/>
          </w:tcPr>
          <w:p w14:paraId="02A8994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39</w:t>
            </w:r>
          </w:p>
        </w:tc>
      </w:tr>
      <w:tr w:rsidR="00FC59A2" w:rsidRPr="00B92243" w14:paraId="11AAA323"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4699660D"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410 Health</w:t>
            </w:r>
          </w:p>
        </w:tc>
        <w:tc>
          <w:tcPr>
            <w:tcW w:w="720" w:type="dxa"/>
            <w:tcBorders>
              <w:top w:val="single" w:sz="4" w:space="0" w:color="ADD6EA"/>
              <w:left w:val="nil"/>
              <w:bottom w:val="nil"/>
              <w:right w:val="nil"/>
            </w:tcBorders>
            <w:shd w:val="clear" w:color="auto" w:fill="auto"/>
            <w:noWrap/>
            <w:vAlign w:val="bottom"/>
            <w:hideMark/>
          </w:tcPr>
          <w:p w14:paraId="05ECC968"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-9</w:t>
            </w:r>
          </w:p>
        </w:tc>
        <w:tc>
          <w:tcPr>
            <w:tcW w:w="680" w:type="dxa"/>
            <w:tcBorders>
              <w:top w:val="single" w:sz="4" w:space="0" w:color="ADD6EA"/>
              <w:left w:val="nil"/>
              <w:bottom w:val="nil"/>
              <w:right w:val="nil"/>
            </w:tcBorders>
            <w:shd w:val="clear" w:color="auto" w:fill="auto"/>
            <w:noWrap/>
            <w:vAlign w:val="bottom"/>
            <w:hideMark/>
          </w:tcPr>
          <w:p w14:paraId="67F75599"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auto" w:fill="auto"/>
            <w:noWrap/>
            <w:vAlign w:val="bottom"/>
            <w:hideMark/>
          </w:tcPr>
          <w:p w14:paraId="169BBEF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115</w:t>
            </w:r>
          </w:p>
        </w:tc>
        <w:tc>
          <w:tcPr>
            <w:tcW w:w="680" w:type="dxa"/>
            <w:tcBorders>
              <w:top w:val="single" w:sz="4" w:space="0" w:color="ADD6EA"/>
              <w:left w:val="nil"/>
              <w:bottom w:val="nil"/>
              <w:right w:val="nil"/>
            </w:tcBorders>
            <w:shd w:val="clear" w:color="auto" w:fill="auto"/>
            <w:noWrap/>
            <w:vAlign w:val="bottom"/>
            <w:hideMark/>
          </w:tcPr>
          <w:p w14:paraId="6FFA41F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-88</w:t>
            </w:r>
          </w:p>
        </w:tc>
        <w:tc>
          <w:tcPr>
            <w:tcW w:w="620" w:type="dxa"/>
            <w:tcBorders>
              <w:top w:val="single" w:sz="4" w:space="0" w:color="ADD6EA"/>
              <w:left w:val="nil"/>
              <w:bottom w:val="nil"/>
              <w:right w:val="nil"/>
            </w:tcBorders>
            <w:shd w:val="clear" w:color="auto" w:fill="auto"/>
            <w:noWrap/>
            <w:vAlign w:val="bottom"/>
            <w:hideMark/>
          </w:tcPr>
          <w:p w14:paraId="6EC206C2"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318</w:t>
            </w:r>
          </w:p>
        </w:tc>
        <w:tc>
          <w:tcPr>
            <w:tcW w:w="620" w:type="dxa"/>
            <w:tcBorders>
              <w:top w:val="single" w:sz="4" w:space="0" w:color="ADD6EA"/>
              <w:left w:val="nil"/>
              <w:bottom w:val="nil"/>
              <w:right w:val="nil"/>
            </w:tcBorders>
            <w:shd w:val="clear" w:color="auto" w:fill="auto"/>
            <w:noWrap/>
            <w:vAlign w:val="bottom"/>
            <w:hideMark/>
          </w:tcPr>
          <w:p w14:paraId="248A32E5"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37</w:t>
            </w:r>
          </w:p>
        </w:tc>
        <w:tc>
          <w:tcPr>
            <w:tcW w:w="680" w:type="dxa"/>
            <w:tcBorders>
              <w:top w:val="single" w:sz="4" w:space="0" w:color="ADD6EA"/>
              <w:left w:val="nil"/>
              <w:bottom w:val="nil"/>
              <w:right w:val="nil"/>
            </w:tcBorders>
            <w:shd w:val="clear" w:color="auto" w:fill="auto"/>
            <w:noWrap/>
            <w:vAlign w:val="bottom"/>
            <w:hideMark/>
          </w:tcPr>
          <w:p w14:paraId="64CF3CC0"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-157</w:t>
            </w:r>
          </w:p>
        </w:tc>
        <w:tc>
          <w:tcPr>
            <w:tcW w:w="680" w:type="dxa"/>
            <w:tcBorders>
              <w:top w:val="single" w:sz="4" w:space="0" w:color="ADD6EA"/>
              <w:left w:val="nil"/>
              <w:bottom w:val="nil"/>
              <w:right w:val="nil"/>
            </w:tcBorders>
            <w:shd w:val="clear" w:color="auto" w:fill="auto"/>
            <w:noWrap/>
            <w:vAlign w:val="bottom"/>
            <w:hideMark/>
          </w:tcPr>
          <w:p w14:paraId="7D5A8F7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-213</w:t>
            </w:r>
          </w:p>
        </w:tc>
        <w:tc>
          <w:tcPr>
            <w:tcW w:w="780" w:type="dxa"/>
            <w:tcBorders>
              <w:top w:val="single" w:sz="4" w:space="0" w:color="ADD6EA"/>
              <w:left w:val="nil"/>
              <w:bottom w:val="nil"/>
              <w:right w:val="nil"/>
            </w:tcBorders>
            <w:shd w:val="clear" w:color="auto" w:fill="auto"/>
            <w:noWrap/>
            <w:vAlign w:val="bottom"/>
            <w:hideMark/>
          </w:tcPr>
          <w:p w14:paraId="163F3395"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471</w:t>
            </w:r>
          </w:p>
        </w:tc>
      </w:tr>
      <w:tr w:rsidR="00FC59A2" w:rsidRPr="00B92243" w14:paraId="5BB8C9AF"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5A413E8B"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510 Housing</w:t>
            </w:r>
          </w:p>
        </w:tc>
        <w:tc>
          <w:tcPr>
            <w:tcW w:w="720" w:type="dxa"/>
            <w:tcBorders>
              <w:top w:val="single" w:sz="4" w:space="0" w:color="ADD6EA"/>
              <w:left w:val="nil"/>
              <w:bottom w:val="nil"/>
              <w:right w:val="nil"/>
            </w:tcBorders>
            <w:shd w:val="clear" w:color="auto" w:fill="auto"/>
            <w:noWrap/>
            <w:vAlign w:val="bottom"/>
            <w:hideMark/>
          </w:tcPr>
          <w:p w14:paraId="1409499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-13</w:t>
            </w:r>
          </w:p>
        </w:tc>
        <w:tc>
          <w:tcPr>
            <w:tcW w:w="680" w:type="dxa"/>
            <w:tcBorders>
              <w:top w:val="single" w:sz="4" w:space="0" w:color="ADD6EA"/>
              <w:left w:val="nil"/>
              <w:bottom w:val="nil"/>
              <w:right w:val="nil"/>
            </w:tcBorders>
            <w:shd w:val="clear" w:color="auto" w:fill="auto"/>
            <w:noWrap/>
            <w:vAlign w:val="bottom"/>
            <w:hideMark/>
          </w:tcPr>
          <w:p w14:paraId="4359F430"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auto" w:fill="auto"/>
            <w:noWrap/>
            <w:vAlign w:val="bottom"/>
            <w:hideMark/>
          </w:tcPr>
          <w:p w14:paraId="6CF99B58"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-7</w:t>
            </w:r>
          </w:p>
        </w:tc>
        <w:tc>
          <w:tcPr>
            <w:tcW w:w="680" w:type="dxa"/>
            <w:tcBorders>
              <w:top w:val="single" w:sz="4" w:space="0" w:color="ADD6EA"/>
              <w:left w:val="nil"/>
              <w:bottom w:val="nil"/>
              <w:right w:val="nil"/>
            </w:tcBorders>
            <w:shd w:val="clear" w:color="auto" w:fill="auto"/>
            <w:noWrap/>
            <w:vAlign w:val="bottom"/>
            <w:hideMark/>
          </w:tcPr>
          <w:p w14:paraId="3EC96AD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-5</w:t>
            </w:r>
          </w:p>
        </w:tc>
        <w:tc>
          <w:tcPr>
            <w:tcW w:w="620" w:type="dxa"/>
            <w:tcBorders>
              <w:top w:val="single" w:sz="4" w:space="0" w:color="ADD6EA"/>
              <w:left w:val="nil"/>
              <w:bottom w:val="nil"/>
              <w:right w:val="nil"/>
            </w:tcBorders>
            <w:shd w:val="clear" w:color="auto" w:fill="auto"/>
            <w:noWrap/>
            <w:vAlign w:val="bottom"/>
            <w:hideMark/>
          </w:tcPr>
          <w:p w14:paraId="50158FB4"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39</w:t>
            </w:r>
          </w:p>
        </w:tc>
        <w:tc>
          <w:tcPr>
            <w:tcW w:w="620" w:type="dxa"/>
            <w:tcBorders>
              <w:top w:val="single" w:sz="4" w:space="0" w:color="ADD6EA"/>
              <w:left w:val="nil"/>
              <w:bottom w:val="nil"/>
              <w:right w:val="nil"/>
            </w:tcBorders>
            <w:shd w:val="clear" w:color="auto" w:fill="auto"/>
            <w:noWrap/>
            <w:vAlign w:val="bottom"/>
            <w:hideMark/>
          </w:tcPr>
          <w:p w14:paraId="6636CA0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auto" w:fill="auto"/>
            <w:noWrap/>
            <w:vAlign w:val="bottom"/>
            <w:hideMark/>
          </w:tcPr>
          <w:p w14:paraId="5EF23082"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-20</w:t>
            </w:r>
          </w:p>
        </w:tc>
        <w:tc>
          <w:tcPr>
            <w:tcW w:w="680" w:type="dxa"/>
            <w:tcBorders>
              <w:top w:val="single" w:sz="4" w:space="0" w:color="ADD6EA"/>
              <w:left w:val="nil"/>
              <w:bottom w:val="nil"/>
              <w:right w:val="nil"/>
            </w:tcBorders>
            <w:shd w:val="clear" w:color="auto" w:fill="auto"/>
            <w:noWrap/>
            <w:vAlign w:val="bottom"/>
            <w:hideMark/>
          </w:tcPr>
          <w:p w14:paraId="0C3BD8A0"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w:t>
            </w:r>
          </w:p>
        </w:tc>
        <w:tc>
          <w:tcPr>
            <w:tcW w:w="780" w:type="dxa"/>
            <w:tcBorders>
              <w:top w:val="single" w:sz="4" w:space="0" w:color="ADD6EA"/>
              <w:left w:val="nil"/>
              <w:bottom w:val="nil"/>
              <w:right w:val="nil"/>
            </w:tcBorders>
            <w:shd w:val="clear" w:color="auto" w:fill="auto"/>
            <w:noWrap/>
            <w:vAlign w:val="bottom"/>
            <w:hideMark/>
          </w:tcPr>
          <w:p w14:paraId="6EF22D1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45</w:t>
            </w:r>
          </w:p>
        </w:tc>
      </w:tr>
      <w:tr w:rsidR="00FC59A2" w:rsidRPr="00B92243" w14:paraId="2BC46D1A"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5B1E2201"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520 Welfare</w:t>
            </w:r>
          </w:p>
        </w:tc>
        <w:tc>
          <w:tcPr>
            <w:tcW w:w="720" w:type="dxa"/>
            <w:tcBorders>
              <w:top w:val="single" w:sz="4" w:space="0" w:color="ADD6EA"/>
              <w:left w:val="nil"/>
              <w:bottom w:val="nil"/>
              <w:right w:val="nil"/>
            </w:tcBorders>
            <w:shd w:val="clear" w:color="auto" w:fill="auto"/>
            <w:noWrap/>
            <w:vAlign w:val="bottom"/>
            <w:hideMark/>
          </w:tcPr>
          <w:p w14:paraId="2E0B5BA1"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23</w:t>
            </w:r>
          </w:p>
        </w:tc>
        <w:tc>
          <w:tcPr>
            <w:tcW w:w="680" w:type="dxa"/>
            <w:tcBorders>
              <w:top w:val="single" w:sz="4" w:space="0" w:color="ADD6EA"/>
              <w:left w:val="nil"/>
              <w:bottom w:val="nil"/>
              <w:right w:val="nil"/>
            </w:tcBorders>
            <w:shd w:val="clear" w:color="auto" w:fill="auto"/>
            <w:noWrap/>
            <w:vAlign w:val="bottom"/>
            <w:hideMark/>
          </w:tcPr>
          <w:p w14:paraId="04C6EC1C"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-30</w:t>
            </w:r>
          </w:p>
        </w:tc>
        <w:tc>
          <w:tcPr>
            <w:tcW w:w="640" w:type="dxa"/>
            <w:tcBorders>
              <w:top w:val="single" w:sz="4" w:space="0" w:color="ADD6EA"/>
              <w:left w:val="nil"/>
              <w:bottom w:val="nil"/>
              <w:right w:val="nil"/>
            </w:tcBorders>
            <w:shd w:val="clear" w:color="auto" w:fill="auto"/>
            <w:noWrap/>
            <w:vAlign w:val="bottom"/>
            <w:hideMark/>
          </w:tcPr>
          <w:p w14:paraId="5E5C9F9F"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14</w:t>
            </w:r>
          </w:p>
        </w:tc>
        <w:tc>
          <w:tcPr>
            <w:tcW w:w="680" w:type="dxa"/>
            <w:tcBorders>
              <w:top w:val="single" w:sz="4" w:space="0" w:color="ADD6EA"/>
              <w:left w:val="nil"/>
              <w:bottom w:val="nil"/>
              <w:right w:val="nil"/>
            </w:tcBorders>
            <w:shd w:val="clear" w:color="auto" w:fill="auto"/>
            <w:noWrap/>
            <w:vAlign w:val="bottom"/>
            <w:hideMark/>
          </w:tcPr>
          <w:p w14:paraId="22649278"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-37</w:t>
            </w:r>
          </w:p>
        </w:tc>
        <w:tc>
          <w:tcPr>
            <w:tcW w:w="620" w:type="dxa"/>
            <w:tcBorders>
              <w:top w:val="single" w:sz="4" w:space="0" w:color="ADD6EA"/>
              <w:left w:val="nil"/>
              <w:bottom w:val="nil"/>
              <w:right w:val="nil"/>
            </w:tcBorders>
            <w:shd w:val="clear" w:color="auto" w:fill="auto"/>
            <w:noWrap/>
            <w:vAlign w:val="bottom"/>
            <w:hideMark/>
          </w:tcPr>
          <w:p w14:paraId="0753DB2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41</w:t>
            </w:r>
          </w:p>
        </w:tc>
        <w:tc>
          <w:tcPr>
            <w:tcW w:w="620" w:type="dxa"/>
            <w:tcBorders>
              <w:top w:val="single" w:sz="4" w:space="0" w:color="ADD6EA"/>
              <w:left w:val="nil"/>
              <w:bottom w:val="nil"/>
              <w:right w:val="nil"/>
            </w:tcBorders>
            <w:shd w:val="clear" w:color="auto" w:fill="auto"/>
            <w:noWrap/>
            <w:vAlign w:val="bottom"/>
            <w:hideMark/>
          </w:tcPr>
          <w:p w14:paraId="370B9E5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18</w:t>
            </w:r>
          </w:p>
        </w:tc>
        <w:tc>
          <w:tcPr>
            <w:tcW w:w="680" w:type="dxa"/>
            <w:tcBorders>
              <w:top w:val="single" w:sz="4" w:space="0" w:color="ADD6EA"/>
              <w:left w:val="nil"/>
              <w:bottom w:val="nil"/>
              <w:right w:val="nil"/>
            </w:tcBorders>
            <w:shd w:val="clear" w:color="auto" w:fill="auto"/>
            <w:noWrap/>
            <w:vAlign w:val="bottom"/>
            <w:hideMark/>
          </w:tcPr>
          <w:p w14:paraId="53C75A42"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-27</w:t>
            </w:r>
          </w:p>
        </w:tc>
        <w:tc>
          <w:tcPr>
            <w:tcW w:w="680" w:type="dxa"/>
            <w:tcBorders>
              <w:top w:val="single" w:sz="4" w:space="0" w:color="ADD6EA"/>
              <w:left w:val="nil"/>
              <w:bottom w:val="nil"/>
              <w:right w:val="nil"/>
            </w:tcBorders>
            <w:shd w:val="clear" w:color="auto" w:fill="auto"/>
            <w:noWrap/>
            <w:vAlign w:val="bottom"/>
            <w:hideMark/>
          </w:tcPr>
          <w:p w14:paraId="21DE7536"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w:t>
            </w:r>
          </w:p>
        </w:tc>
        <w:tc>
          <w:tcPr>
            <w:tcW w:w="780" w:type="dxa"/>
            <w:tcBorders>
              <w:top w:val="single" w:sz="4" w:space="0" w:color="ADD6EA"/>
              <w:left w:val="nil"/>
              <w:bottom w:val="nil"/>
              <w:right w:val="nil"/>
            </w:tcBorders>
            <w:shd w:val="clear" w:color="auto" w:fill="auto"/>
            <w:noWrap/>
            <w:vAlign w:val="bottom"/>
            <w:hideMark/>
          </w:tcPr>
          <w:p w14:paraId="6E436D49"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97</w:t>
            </w:r>
          </w:p>
        </w:tc>
      </w:tr>
      <w:tr w:rsidR="00FC59A2" w:rsidRPr="00B92243" w14:paraId="5A8F74E0"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299A415C"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610 Justice</w:t>
            </w:r>
          </w:p>
        </w:tc>
        <w:tc>
          <w:tcPr>
            <w:tcW w:w="720" w:type="dxa"/>
            <w:tcBorders>
              <w:top w:val="single" w:sz="4" w:space="0" w:color="ADD6EA"/>
              <w:left w:val="nil"/>
              <w:bottom w:val="nil"/>
              <w:right w:val="nil"/>
            </w:tcBorders>
            <w:shd w:val="clear" w:color="auto" w:fill="auto"/>
            <w:noWrap/>
            <w:vAlign w:val="bottom"/>
            <w:hideMark/>
          </w:tcPr>
          <w:p w14:paraId="1DCA21C4"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35</w:t>
            </w:r>
          </w:p>
        </w:tc>
        <w:tc>
          <w:tcPr>
            <w:tcW w:w="680" w:type="dxa"/>
            <w:tcBorders>
              <w:top w:val="single" w:sz="4" w:space="0" w:color="ADD6EA"/>
              <w:left w:val="nil"/>
              <w:bottom w:val="nil"/>
              <w:right w:val="nil"/>
            </w:tcBorders>
            <w:shd w:val="clear" w:color="auto" w:fill="auto"/>
            <w:noWrap/>
            <w:vAlign w:val="bottom"/>
            <w:hideMark/>
          </w:tcPr>
          <w:p w14:paraId="6E7E30A5"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-58</w:t>
            </w:r>
          </w:p>
        </w:tc>
        <w:tc>
          <w:tcPr>
            <w:tcW w:w="640" w:type="dxa"/>
            <w:tcBorders>
              <w:top w:val="single" w:sz="4" w:space="0" w:color="ADD6EA"/>
              <w:left w:val="nil"/>
              <w:bottom w:val="nil"/>
              <w:right w:val="nil"/>
            </w:tcBorders>
            <w:shd w:val="clear" w:color="auto" w:fill="auto"/>
            <w:noWrap/>
            <w:vAlign w:val="bottom"/>
            <w:hideMark/>
          </w:tcPr>
          <w:p w14:paraId="7A1D1EF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31</w:t>
            </w:r>
          </w:p>
        </w:tc>
        <w:tc>
          <w:tcPr>
            <w:tcW w:w="680" w:type="dxa"/>
            <w:tcBorders>
              <w:top w:val="single" w:sz="4" w:space="0" w:color="ADD6EA"/>
              <w:left w:val="nil"/>
              <w:bottom w:val="nil"/>
              <w:right w:val="nil"/>
            </w:tcBorders>
            <w:shd w:val="clear" w:color="auto" w:fill="auto"/>
            <w:noWrap/>
            <w:vAlign w:val="bottom"/>
            <w:hideMark/>
          </w:tcPr>
          <w:p w14:paraId="4A3A5288"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-38</w:t>
            </w:r>
          </w:p>
        </w:tc>
        <w:tc>
          <w:tcPr>
            <w:tcW w:w="620" w:type="dxa"/>
            <w:tcBorders>
              <w:top w:val="single" w:sz="4" w:space="0" w:color="ADD6EA"/>
              <w:left w:val="nil"/>
              <w:bottom w:val="nil"/>
              <w:right w:val="nil"/>
            </w:tcBorders>
            <w:shd w:val="clear" w:color="auto" w:fill="auto"/>
            <w:noWrap/>
            <w:vAlign w:val="bottom"/>
            <w:hideMark/>
          </w:tcPr>
          <w:p w14:paraId="3A7D1308"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121</w:t>
            </w:r>
          </w:p>
        </w:tc>
        <w:tc>
          <w:tcPr>
            <w:tcW w:w="620" w:type="dxa"/>
            <w:tcBorders>
              <w:top w:val="single" w:sz="4" w:space="0" w:color="ADD6EA"/>
              <w:left w:val="nil"/>
              <w:bottom w:val="nil"/>
              <w:right w:val="nil"/>
            </w:tcBorders>
            <w:shd w:val="clear" w:color="auto" w:fill="auto"/>
            <w:noWrap/>
            <w:vAlign w:val="bottom"/>
            <w:hideMark/>
          </w:tcPr>
          <w:p w14:paraId="6B4FFBC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-7</w:t>
            </w:r>
          </w:p>
        </w:tc>
        <w:tc>
          <w:tcPr>
            <w:tcW w:w="680" w:type="dxa"/>
            <w:tcBorders>
              <w:top w:val="single" w:sz="4" w:space="0" w:color="ADD6EA"/>
              <w:left w:val="nil"/>
              <w:bottom w:val="nil"/>
              <w:right w:val="nil"/>
            </w:tcBorders>
            <w:shd w:val="clear" w:color="auto" w:fill="auto"/>
            <w:noWrap/>
            <w:vAlign w:val="bottom"/>
            <w:hideMark/>
          </w:tcPr>
          <w:p w14:paraId="767A4A38"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-68</w:t>
            </w:r>
          </w:p>
        </w:tc>
        <w:tc>
          <w:tcPr>
            <w:tcW w:w="680" w:type="dxa"/>
            <w:tcBorders>
              <w:top w:val="single" w:sz="4" w:space="0" w:color="ADD6EA"/>
              <w:left w:val="nil"/>
              <w:bottom w:val="nil"/>
              <w:right w:val="nil"/>
            </w:tcBorders>
            <w:shd w:val="clear" w:color="auto" w:fill="auto"/>
            <w:noWrap/>
            <w:vAlign w:val="bottom"/>
            <w:hideMark/>
          </w:tcPr>
          <w:p w14:paraId="4C7E333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-17</w:t>
            </w:r>
          </w:p>
        </w:tc>
        <w:tc>
          <w:tcPr>
            <w:tcW w:w="780" w:type="dxa"/>
            <w:tcBorders>
              <w:top w:val="single" w:sz="4" w:space="0" w:color="ADD6EA"/>
              <w:left w:val="nil"/>
              <w:bottom w:val="nil"/>
              <w:right w:val="nil"/>
            </w:tcBorders>
            <w:shd w:val="clear" w:color="auto" w:fill="auto"/>
            <w:noWrap/>
            <w:vAlign w:val="bottom"/>
            <w:hideMark/>
          </w:tcPr>
          <w:p w14:paraId="207F9BF9"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188</w:t>
            </w:r>
          </w:p>
        </w:tc>
      </w:tr>
      <w:tr w:rsidR="00FC59A2" w:rsidRPr="00B92243" w14:paraId="428F2EB2"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4C8391E9"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720" w:type="dxa"/>
            <w:tcBorders>
              <w:top w:val="single" w:sz="4" w:space="0" w:color="ADD6EA"/>
              <w:left w:val="nil"/>
              <w:bottom w:val="nil"/>
              <w:right w:val="nil"/>
            </w:tcBorders>
            <w:shd w:val="clear" w:color="auto" w:fill="auto"/>
            <w:noWrap/>
            <w:vAlign w:val="bottom"/>
            <w:hideMark/>
          </w:tcPr>
          <w:p w14:paraId="6E817DF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78CB7E1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40" w:type="dxa"/>
            <w:tcBorders>
              <w:top w:val="single" w:sz="4" w:space="0" w:color="ADD6EA"/>
              <w:left w:val="nil"/>
              <w:bottom w:val="nil"/>
              <w:right w:val="nil"/>
            </w:tcBorders>
            <w:shd w:val="clear" w:color="auto" w:fill="auto"/>
            <w:noWrap/>
            <w:vAlign w:val="bottom"/>
            <w:hideMark/>
          </w:tcPr>
          <w:p w14:paraId="31B2470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1F5C84D5"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20" w:type="dxa"/>
            <w:tcBorders>
              <w:top w:val="single" w:sz="4" w:space="0" w:color="ADD6EA"/>
              <w:left w:val="nil"/>
              <w:bottom w:val="nil"/>
              <w:right w:val="nil"/>
            </w:tcBorders>
            <w:shd w:val="clear" w:color="auto" w:fill="auto"/>
            <w:noWrap/>
            <w:vAlign w:val="bottom"/>
            <w:hideMark/>
          </w:tcPr>
          <w:p w14:paraId="3B60A151"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20" w:type="dxa"/>
            <w:tcBorders>
              <w:top w:val="single" w:sz="4" w:space="0" w:color="ADD6EA"/>
              <w:left w:val="nil"/>
              <w:bottom w:val="nil"/>
              <w:right w:val="nil"/>
            </w:tcBorders>
            <w:shd w:val="clear" w:color="auto" w:fill="auto"/>
            <w:noWrap/>
            <w:vAlign w:val="bottom"/>
            <w:hideMark/>
          </w:tcPr>
          <w:p w14:paraId="05197446"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3C8E5EB9"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3CD4A90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780" w:type="dxa"/>
            <w:tcBorders>
              <w:top w:val="single" w:sz="4" w:space="0" w:color="ADD6EA"/>
              <w:left w:val="nil"/>
              <w:bottom w:val="nil"/>
              <w:right w:val="nil"/>
            </w:tcBorders>
            <w:shd w:val="clear" w:color="auto" w:fill="auto"/>
            <w:noWrap/>
            <w:vAlign w:val="bottom"/>
            <w:hideMark/>
          </w:tcPr>
          <w:p w14:paraId="4564AEB5"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r>
      <w:tr w:rsidR="00FC59A2" w:rsidRPr="00B92243" w14:paraId="1908AC84"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09FF2D72"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Socio-educational advantage</w:t>
            </w:r>
          </w:p>
        </w:tc>
        <w:tc>
          <w:tcPr>
            <w:tcW w:w="720" w:type="dxa"/>
            <w:tcBorders>
              <w:top w:val="single" w:sz="4" w:space="0" w:color="ADD6EA"/>
              <w:left w:val="nil"/>
              <w:bottom w:val="nil"/>
              <w:right w:val="nil"/>
            </w:tcBorders>
            <w:shd w:val="clear" w:color="auto" w:fill="auto"/>
            <w:vAlign w:val="bottom"/>
            <w:hideMark/>
          </w:tcPr>
          <w:p w14:paraId="1D7F2C88"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26</w:t>
            </w:r>
          </w:p>
        </w:tc>
        <w:tc>
          <w:tcPr>
            <w:tcW w:w="680" w:type="dxa"/>
            <w:tcBorders>
              <w:top w:val="single" w:sz="4" w:space="0" w:color="ADD6EA"/>
              <w:left w:val="nil"/>
              <w:bottom w:val="nil"/>
              <w:right w:val="nil"/>
            </w:tcBorders>
            <w:shd w:val="clear" w:color="auto" w:fill="auto"/>
            <w:vAlign w:val="bottom"/>
            <w:hideMark/>
          </w:tcPr>
          <w:p w14:paraId="32DC272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-234</w:t>
            </w:r>
          </w:p>
        </w:tc>
        <w:tc>
          <w:tcPr>
            <w:tcW w:w="640" w:type="dxa"/>
            <w:tcBorders>
              <w:top w:val="single" w:sz="4" w:space="0" w:color="ADD6EA"/>
              <w:left w:val="nil"/>
              <w:bottom w:val="nil"/>
              <w:right w:val="nil"/>
            </w:tcBorders>
            <w:shd w:val="clear" w:color="auto" w:fill="auto"/>
            <w:vAlign w:val="bottom"/>
            <w:hideMark/>
          </w:tcPr>
          <w:p w14:paraId="42D6395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162</w:t>
            </w:r>
          </w:p>
        </w:tc>
        <w:tc>
          <w:tcPr>
            <w:tcW w:w="680" w:type="dxa"/>
            <w:tcBorders>
              <w:top w:val="single" w:sz="4" w:space="0" w:color="ADD6EA"/>
              <w:left w:val="nil"/>
              <w:bottom w:val="nil"/>
              <w:right w:val="nil"/>
            </w:tcBorders>
            <w:shd w:val="clear" w:color="auto" w:fill="auto"/>
            <w:vAlign w:val="bottom"/>
            <w:hideMark/>
          </w:tcPr>
          <w:p w14:paraId="2F6381D9"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-25</w:t>
            </w:r>
          </w:p>
        </w:tc>
        <w:tc>
          <w:tcPr>
            <w:tcW w:w="620" w:type="dxa"/>
            <w:tcBorders>
              <w:top w:val="single" w:sz="4" w:space="0" w:color="ADD6EA"/>
              <w:left w:val="nil"/>
              <w:bottom w:val="nil"/>
              <w:right w:val="nil"/>
            </w:tcBorders>
            <w:shd w:val="clear" w:color="auto" w:fill="auto"/>
            <w:vAlign w:val="bottom"/>
            <w:hideMark/>
          </w:tcPr>
          <w:p w14:paraId="17792C3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22</w:t>
            </w:r>
          </w:p>
        </w:tc>
        <w:tc>
          <w:tcPr>
            <w:tcW w:w="620" w:type="dxa"/>
            <w:tcBorders>
              <w:top w:val="single" w:sz="4" w:space="0" w:color="ADD6EA"/>
              <w:left w:val="nil"/>
              <w:bottom w:val="nil"/>
              <w:right w:val="nil"/>
            </w:tcBorders>
            <w:shd w:val="clear" w:color="auto" w:fill="auto"/>
            <w:vAlign w:val="bottom"/>
            <w:hideMark/>
          </w:tcPr>
          <w:p w14:paraId="1EA2E1C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63</w:t>
            </w:r>
          </w:p>
        </w:tc>
        <w:tc>
          <w:tcPr>
            <w:tcW w:w="680" w:type="dxa"/>
            <w:tcBorders>
              <w:top w:val="single" w:sz="4" w:space="0" w:color="ADD6EA"/>
              <w:left w:val="nil"/>
              <w:bottom w:val="nil"/>
              <w:right w:val="nil"/>
            </w:tcBorders>
            <w:shd w:val="clear" w:color="auto" w:fill="auto"/>
            <w:vAlign w:val="bottom"/>
            <w:hideMark/>
          </w:tcPr>
          <w:p w14:paraId="69BD2D71"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-81</w:t>
            </w:r>
          </w:p>
        </w:tc>
        <w:tc>
          <w:tcPr>
            <w:tcW w:w="680" w:type="dxa"/>
            <w:tcBorders>
              <w:top w:val="single" w:sz="4" w:space="0" w:color="ADD6EA"/>
              <w:left w:val="nil"/>
              <w:bottom w:val="nil"/>
              <w:right w:val="nil"/>
            </w:tcBorders>
            <w:shd w:val="clear" w:color="auto" w:fill="auto"/>
            <w:vAlign w:val="bottom"/>
            <w:hideMark/>
          </w:tcPr>
          <w:p w14:paraId="19853C31"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67</w:t>
            </w:r>
          </w:p>
        </w:tc>
        <w:tc>
          <w:tcPr>
            <w:tcW w:w="780" w:type="dxa"/>
            <w:tcBorders>
              <w:top w:val="single" w:sz="4" w:space="0" w:color="ADD6EA"/>
              <w:left w:val="nil"/>
              <w:bottom w:val="nil"/>
              <w:right w:val="nil"/>
            </w:tcBorders>
            <w:shd w:val="clear" w:color="auto" w:fill="auto"/>
            <w:vAlign w:val="bottom"/>
            <w:hideMark/>
          </w:tcPr>
          <w:p w14:paraId="2762EC1C"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340</w:t>
            </w:r>
          </w:p>
        </w:tc>
      </w:tr>
      <w:tr w:rsidR="00FC59A2" w:rsidRPr="00B92243" w14:paraId="016DBD68"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7CCEFC39"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Socio-economic status among First Nations people</w:t>
            </w:r>
          </w:p>
        </w:tc>
        <w:tc>
          <w:tcPr>
            <w:tcW w:w="720" w:type="dxa"/>
            <w:tcBorders>
              <w:top w:val="single" w:sz="4" w:space="0" w:color="ADD6EA"/>
              <w:left w:val="nil"/>
              <w:bottom w:val="nil"/>
              <w:right w:val="nil"/>
            </w:tcBorders>
            <w:shd w:val="clear" w:color="auto" w:fill="auto"/>
            <w:vAlign w:val="bottom"/>
            <w:hideMark/>
          </w:tcPr>
          <w:p w14:paraId="2BAF005C"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45</w:t>
            </w:r>
          </w:p>
        </w:tc>
        <w:tc>
          <w:tcPr>
            <w:tcW w:w="680" w:type="dxa"/>
            <w:tcBorders>
              <w:top w:val="single" w:sz="4" w:space="0" w:color="ADD6EA"/>
              <w:left w:val="nil"/>
              <w:bottom w:val="nil"/>
              <w:right w:val="nil"/>
            </w:tcBorders>
            <w:shd w:val="clear" w:color="auto" w:fill="auto"/>
            <w:vAlign w:val="bottom"/>
            <w:hideMark/>
          </w:tcPr>
          <w:p w14:paraId="73AD8164"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-52</w:t>
            </w:r>
          </w:p>
        </w:tc>
        <w:tc>
          <w:tcPr>
            <w:tcW w:w="640" w:type="dxa"/>
            <w:tcBorders>
              <w:top w:val="single" w:sz="4" w:space="0" w:color="ADD6EA"/>
              <w:left w:val="nil"/>
              <w:bottom w:val="nil"/>
              <w:right w:val="nil"/>
            </w:tcBorders>
            <w:shd w:val="clear" w:color="auto" w:fill="auto"/>
            <w:vAlign w:val="bottom"/>
            <w:hideMark/>
          </w:tcPr>
          <w:p w14:paraId="6249CD7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-13</w:t>
            </w:r>
          </w:p>
        </w:tc>
        <w:tc>
          <w:tcPr>
            <w:tcW w:w="680" w:type="dxa"/>
            <w:tcBorders>
              <w:top w:val="single" w:sz="4" w:space="0" w:color="ADD6EA"/>
              <w:left w:val="nil"/>
              <w:bottom w:val="nil"/>
              <w:right w:val="nil"/>
            </w:tcBorders>
            <w:shd w:val="clear" w:color="auto" w:fill="auto"/>
            <w:vAlign w:val="bottom"/>
            <w:hideMark/>
          </w:tcPr>
          <w:p w14:paraId="445C3D0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69</w:t>
            </w:r>
          </w:p>
        </w:tc>
        <w:tc>
          <w:tcPr>
            <w:tcW w:w="620" w:type="dxa"/>
            <w:tcBorders>
              <w:top w:val="single" w:sz="4" w:space="0" w:color="ADD6EA"/>
              <w:left w:val="nil"/>
              <w:bottom w:val="nil"/>
              <w:right w:val="nil"/>
            </w:tcBorders>
            <w:shd w:val="clear" w:color="auto" w:fill="auto"/>
            <w:vAlign w:val="bottom"/>
            <w:hideMark/>
          </w:tcPr>
          <w:p w14:paraId="219EE800"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46</w:t>
            </w:r>
          </w:p>
        </w:tc>
        <w:tc>
          <w:tcPr>
            <w:tcW w:w="620" w:type="dxa"/>
            <w:tcBorders>
              <w:top w:val="single" w:sz="4" w:space="0" w:color="ADD6EA"/>
              <w:left w:val="nil"/>
              <w:bottom w:val="nil"/>
              <w:right w:val="nil"/>
            </w:tcBorders>
            <w:shd w:val="clear" w:color="auto" w:fill="auto"/>
            <w:vAlign w:val="bottom"/>
            <w:hideMark/>
          </w:tcPr>
          <w:p w14:paraId="68371E64"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-70</w:t>
            </w:r>
          </w:p>
        </w:tc>
        <w:tc>
          <w:tcPr>
            <w:tcW w:w="680" w:type="dxa"/>
            <w:tcBorders>
              <w:top w:val="single" w:sz="4" w:space="0" w:color="ADD6EA"/>
              <w:left w:val="nil"/>
              <w:bottom w:val="nil"/>
              <w:right w:val="nil"/>
            </w:tcBorders>
            <w:shd w:val="clear" w:color="auto" w:fill="auto"/>
            <w:vAlign w:val="bottom"/>
            <w:hideMark/>
          </w:tcPr>
          <w:p w14:paraId="2595CCB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-7</w:t>
            </w:r>
          </w:p>
        </w:tc>
        <w:tc>
          <w:tcPr>
            <w:tcW w:w="680" w:type="dxa"/>
            <w:tcBorders>
              <w:top w:val="single" w:sz="4" w:space="0" w:color="ADD6EA"/>
              <w:left w:val="nil"/>
              <w:bottom w:val="nil"/>
              <w:right w:val="nil"/>
            </w:tcBorders>
            <w:shd w:val="clear" w:color="auto" w:fill="auto"/>
            <w:vAlign w:val="bottom"/>
            <w:hideMark/>
          </w:tcPr>
          <w:p w14:paraId="7EDBD2B5"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-18</w:t>
            </w:r>
          </w:p>
        </w:tc>
        <w:tc>
          <w:tcPr>
            <w:tcW w:w="780" w:type="dxa"/>
            <w:tcBorders>
              <w:top w:val="single" w:sz="4" w:space="0" w:color="ADD6EA"/>
              <w:left w:val="nil"/>
              <w:bottom w:val="nil"/>
              <w:right w:val="nil"/>
            </w:tcBorders>
            <w:shd w:val="clear" w:color="auto" w:fill="auto"/>
            <w:vAlign w:val="bottom"/>
            <w:hideMark/>
          </w:tcPr>
          <w:p w14:paraId="522F7379"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160</w:t>
            </w:r>
          </w:p>
        </w:tc>
      </w:tr>
      <w:tr w:rsidR="00FC59A2" w:rsidRPr="00B92243" w14:paraId="71131A0A"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6A07E717"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Non-Indigenous socio-economic status</w:t>
            </w:r>
          </w:p>
        </w:tc>
        <w:tc>
          <w:tcPr>
            <w:tcW w:w="720" w:type="dxa"/>
            <w:tcBorders>
              <w:top w:val="single" w:sz="4" w:space="0" w:color="ADD6EA"/>
              <w:left w:val="nil"/>
              <w:bottom w:val="nil"/>
              <w:right w:val="nil"/>
            </w:tcBorders>
            <w:shd w:val="clear" w:color="auto" w:fill="auto"/>
            <w:vAlign w:val="bottom"/>
            <w:hideMark/>
          </w:tcPr>
          <w:p w14:paraId="4C3952EB"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-23</w:t>
            </w:r>
          </w:p>
        </w:tc>
        <w:tc>
          <w:tcPr>
            <w:tcW w:w="680" w:type="dxa"/>
            <w:tcBorders>
              <w:top w:val="single" w:sz="4" w:space="0" w:color="ADD6EA"/>
              <w:left w:val="nil"/>
              <w:bottom w:val="nil"/>
              <w:right w:val="nil"/>
            </w:tcBorders>
            <w:shd w:val="clear" w:color="auto" w:fill="auto"/>
            <w:vAlign w:val="bottom"/>
            <w:hideMark/>
          </w:tcPr>
          <w:p w14:paraId="4E2EE67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-37</w:t>
            </w:r>
          </w:p>
        </w:tc>
        <w:tc>
          <w:tcPr>
            <w:tcW w:w="640" w:type="dxa"/>
            <w:tcBorders>
              <w:top w:val="single" w:sz="4" w:space="0" w:color="ADD6EA"/>
              <w:left w:val="nil"/>
              <w:bottom w:val="nil"/>
              <w:right w:val="nil"/>
            </w:tcBorders>
            <w:shd w:val="clear" w:color="auto" w:fill="auto"/>
            <w:vAlign w:val="bottom"/>
            <w:hideMark/>
          </w:tcPr>
          <w:p w14:paraId="784BA4E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176</w:t>
            </w:r>
          </w:p>
        </w:tc>
        <w:tc>
          <w:tcPr>
            <w:tcW w:w="680" w:type="dxa"/>
            <w:tcBorders>
              <w:top w:val="single" w:sz="4" w:space="0" w:color="ADD6EA"/>
              <w:left w:val="nil"/>
              <w:bottom w:val="nil"/>
              <w:right w:val="nil"/>
            </w:tcBorders>
            <w:shd w:val="clear" w:color="auto" w:fill="auto"/>
            <w:vAlign w:val="bottom"/>
            <w:hideMark/>
          </w:tcPr>
          <w:p w14:paraId="090193E0"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-242</w:t>
            </w:r>
          </w:p>
        </w:tc>
        <w:tc>
          <w:tcPr>
            <w:tcW w:w="620" w:type="dxa"/>
            <w:tcBorders>
              <w:top w:val="single" w:sz="4" w:space="0" w:color="ADD6EA"/>
              <w:left w:val="nil"/>
              <w:bottom w:val="nil"/>
              <w:right w:val="nil"/>
            </w:tcBorders>
            <w:shd w:val="clear" w:color="auto" w:fill="auto"/>
            <w:vAlign w:val="bottom"/>
            <w:hideMark/>
          </w:tcPr>
          <w:p w14:paraId="1C92B226"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497</w:t>
            </w:r>
          </w:p>
        </w:tc>
        <w:tc>
          <w:tcPr>
            <w:tcW w:w="620" w:type="dxa"/>
            <w:tcBorders>
              <w:top w:val="single" w:sz="4" w:space="0" w:color="ADD6EA"/>
              <w:left w:val="nil"/>
              <w:bottom w:val="nil"/>
              <w:right w:val="nil"/>
            </w:tcBorders>
            <w:shd w:val="clear" w:color="auto" w:fill="auto"/>
            <w:vAlign w:val="bottom"/>
            <w:hideMark/>
          </w:tcPr>
          <w:p w14:paraId="42C91101"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121</w:t>
            </w:r>
          </w:p>
        </w:tc>
        <w:tc>
          <w:tcPr>
            <w:tcW w:w="680" w:type="dxa"/>
            <w:tcBorders>
              <w:top w:val="single" w:sz="4" w:space="0" w:color="ADD6EA"/>
              <w:left w:val="nil"/>
              <w:bottom w:val="nil"/>
              <w:right w:val="nil"/>
            </w:tcBorders>
            <w:shd w:val="clear" w:color="auto" w:fill="auto"/>
            <w:vAlign w:val="bottom"/>
            <w:hideMark/>
          </w:tcPr>
          <w:p w14:paraId="369E2BDB"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-281</w:t>
            </w:r>
          </w:p>
        </w:tc>
        <w:tc>
          <w:tcPr>
            <w:tcW w:w="680" w:type="dxa"/>
            <w:tcBorders>
              <w:top w:val="single" w:sz="4" w:space="0" w:color="ADD6EA"/>
              <w:left w:val="nil"/>
              <w:bottom w:val="nil"/>
              <w:right w:val="nil"/>
            </w:tcBorders>
            <w:shd w:val="clear" w:color="auto" w:fill="auto"/>
            <w:vAlign w:val="bottom"/>
            <w:hideMark/>
          </w:tcPr>
          <w:p w14:paraId="6D0537E3"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-216</w:t>
            </w:r>
          </w:p>
        </w:tc>
        <w:tc>
          <w:tcPr>
            <w:tcW w:w="780" w:type="dxa"/>
            <w:tcBorders>
              <w:top w:val="single" w:sz="4" w:space="0" w:color="ADD6EA"/>
              <w:left w:val="nil"/>
              <w:bottom w:val="nil"/>
              <w:right w:val="nil"/>
            </w:tcBorders>
            <w:shd w:val="clear" w:color="auto" w:fill="auto"/>
            <w:vAlign w:val="bottom"/>
            <w:hideMark/>
          </w:tcPr>
          <w:p w14:paraId="7C3DFCAB"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796</w:t>
            </w:r>
          </w:p>
        </w:tc>
      </w:tr>
      <w:tr w:rsidR="00FC59A2" w:rsidRPr="00B92243" w14:paraId="42F478D2" w14:textId="77777777" w:rsidTr="00527DF9">
        <w:trPr>
          <w:trHeight w:val="300"/>
        </w:trPr>
        <w:tc>
          <w:tcPr>
            <w:tcW w:w="4120" w:type="dxa"/>
            <w:tcBorders>
              <w:top w:val="single" w:sz="4" w:space="0" w:color="ADD6EA"/>
              <w:left w:val="nil"/>
              <w:bottom w:val="nil"/>
              <w:right w:val="nil"/>
            </w:tcBorders>
            <w:shd w:val="clear" w:color="auto" w:fill="auto"/>
            <w:vAlign w:val="bottom"/>
            <w:hideMark/>
          </w:tcPr>
          <w:p w14:paraId="04DADD75"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720" w:type="dxa"/>
            <w:tcBorders>
              <w:top w:val="single" w:sz="4" w:space="0" w:color="ADD6EA"/>
              <w:left w:val="nil"/>
              <w:bottom w:val="nil"/>
              <w:right w:val="nil"/>
            </w:tcBorders>
            <w:shd w:val="clear" w:color="auto" w:fill="auto"/>
            <w:noWrap/>
            <w:vAlign w:val="bottom"/>
            <w:hideMark/>
          </w:tcPr>
          <w:p w14:paraId="5B6E93A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3C23C982"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40" w:type="dxa"/>
            <w:tcBorders>
              <w:top w:val="single" w:sz="4" w:space="0" w:color="ADD6EA"/>
              <w:left w:val="nil"/>
              <w:bottom w:val="nil"/>
              <w:right w:val="nil"/>
            </w:tcBorders>
            <w:shd w:val="clear" w:color="auto" w:fill="auto"/>
            <w:noWrap/>
            <w:vAlign w:val="bottom"/>
            <w:hideMark/>
          </w:tcPr>
          <w:p w14:paraId="43F65785"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5C88543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20" w:type="dxa"/>
            <w:tcBorders>
              <w:top w:val="single" w:sz="4" w:space="0" w:color="ADD6EA"/>
              <w:left w:val="nil"/>
              <w:bottom w:val="nil"/>
              <w:right w:val="nil"/>
            </w:tcBorders>
            <w:shd w:val="clear" w:color="auto" w:fill="auto"/>
            <w:noWrap/>
            <w:vAlign w:val="bottom"/>
            <w:hideMark/>
          </w:tcPr>
          <w:p w14:paraId="7514C0F0"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20" w:type="dxa"/>
            <w:tcBorders>
              <w:top w:val="single" w:sz="4" w:space="0" w:color="ADD6EA"/>
              <w:left w:val="nil"/>
              <w:bottom w:val="nil"/>
              <w:right w:val="nil"/>
            </w:tcBorders>
            <w:shd w:val="clear" w:color="auto" w:fill="auto"/>
            <w:noWrap/>
            <w:vAlign w:val="bottom"/>
            <w:hideMark/>
          </w:tcPr>
          <w:p w14:paraId="383A9F0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3BF4132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680" w:type="dxa"/>
            <w:tcBorders>
              <w:top w:val="single" w:sz="4" w:space="0" w:color="ADD6EA"/>
              <w:left w:val="nil"/>
              <w:bottom w:val="nil"/>
              <w:right w:val="nil"/>
            </w:tcBorders>
            <w:shd w:val="clear" w:color="auto" w:fill="auto"/>
            <w:noWrap/>
            <w:vAlign w:val="bottom"/>
            <w:hideMark/>
          </w:tcPr>
          <w:p w14:paraId="1D90AFAB"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c>
          <w:tcPr>
            <w:tcW w:w="780" w:type="dxa"/>
            <w:tcBorders>
              <w:top w:val="single" w:sz="4" w:space="0" w:color="ADD6EA"/>
              <w:left w:val="nil"/>
              <w:bottom w:val="nil"/>
              <w:right w:val="nil"/>
            </w:tcBorders>
            <w:shd w:val="clear" w:color="auto" w:fill="auto"/>
            <w:noWrap/>
            <w:vAlign w:val="bottom"/>
            <w:hideMark/>
          </w:tcPr>
          <w:p w14:paraId="52AFF26F"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 </w:t>
            </w:r>
          </w:p>
        </w:tc>
      </w:tr>
      <w:tr w:rsidR="00FC59A2" w:rsidRPr="00B92243" w14:paraId="22B66D6C" w14:textId="77777777" w:rsidTr="00527DF9">
        <w:trPr>
          <w:trHeight w:val="300"/>
        </w:trPr>
        <w:tc>
          <w:tcPr>
            <w:tcW w:w="4120" w:type="dxa"/>
            <w:tcBorders>
              <w:top w:val="single" w:sz="4" w:space="0" w:color="ADD6EA"/>
              <w:left w:val="nil"/>
              <w:bottom w:val="nil"/>
              <w:right w:val="nil"/>
            </w:tcBorders>
            <w:shd w:val="clear" w:color="000000" w:fill="D6E7F0"/>
            <w:vAlign w:val="bottom"/>
            <w:hideMark/>
          </w:tcPr>
          <w:p w14:paraId="37CBEABA" w14:textId="77777777" w:rsidR="00FC59A2" w:rsidRPr="00B92243" w:rsidRDefault="00FC59A2" w:rsidP="00527DF9">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Total</w:t>
            </w:r>
          </w:p>
        </w:tc>
        <w:tc>
          <w:tcPr>
            <w:tcW w:w="720" w:type="dxa"/>
            <w:tcBorders>
              <w:top w:val="single" w:sz="4" w:space="0" w:color="ADD6EA"/>
              <w:left w:val="nil"/>
              <w:bottom w:val="nil"/>
              <w:right w:val="nil"/>
            </w:tcBorders>
            <w:shd w:val="clear" w:color="000000" w:fill="D6E7F0"/>
            <w:noWrap/>
            <w:vAlign w:val="bottom"/>
            <w:hideMark/>
          </w:tcPr>
          <w:p w14:paraId="24F8C4A1"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48</w:t>
            </w:r>
          </w:p>
        </w:tc>
        <w:tc>
          <w:tcPr>
            <w:tcW w:w="680" w:type="dxa"/>
            <w:tcBorders>
              <w:top w:val="single" w:sz="4" w:space="0" w:color="ADD6EA"/>
              <w:left w:val="nil"/>
              <w:bottom w:val="nil"/>
              <w:right w:val="nil"/>
            </w:tcBorders>
            <w:shd w:val="clear" w:color="000000" w:fill="D6E7F0"/>
            <w:noWrap/>
            <w:vAlign w:val="bottom"/>
            <w:hideMark/>
          </w:tcPr>
          <w:p w14:paraId="769C0CE8"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-323</w:t>
            </w:r>
          </w:p>
        </w:tc>
        <w:tc>
          <w:tcPr>
            <w:tcW w:w="640" w:type="dxa"/>
            <w:tcBorders>
              <w:top w:val="single" w:sz="4" w:space="0" w:color="ADD6EA"/>
              <w:left w:val="nil"/>
              <w:bottom w:val="nil"/>
              <w:right w:val="nil"/>
            </w:tcBorders>
            <w:shd w:val="clear" w:color="000000" w:fill="D6E7F0"/>
            <w:noWrap/>
            <w:vAlign w:val="bottom"/>
            <w:hideMark/>
          </w:tcPr>
          <w:p w14:paraId="5BA817DE"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325</w:t>
            </w:r>
          </w:p>
        </w:tc>
        <w:tc>
          <w:tcPr>
            <w:tcW w:w="680" w:type="dxa"/>
            <w:tcBorders>
              <w:top w:val="single" w:sz="4" w:space="0" w:color="ADD6EA"/>
              <w:left w:val="nil"/>
              <w:bottom w:val="nil"/>
              <w:right w:val="nil"/>
            </w:tcBorders>
            <w:shd w:val="clear" w:color="000000" w:fill="D6E7F0"/>
            <w:noWrap/>
            <w:vAlign w:val="bottom"/>
            <w:hideMark/>
          </w:tcPr>
          <w:p w14:paraId="5AA87597"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-198</w:t>
            </w:r>
          </w:p>
        </w:tc>
        <w:tc>
          <w:tcPr>
            <w:tcW w:w="620" w:type="dxa"/>
            <w:tcBorders>
              <w:top w:val="single" w:sz="4" w:space="0" w:color="ADD6EA"/>
              <w:left w:val="nil"/>
              <w:bottom w:val="nil"/>
              <w:right w:val="nil"/>
            </w:tcBorders>
            <w:shd w:val="clear" w:color="000000" w:fill="D6E7F0"/>
            <w:noWrap/>
            <w:vAlign w:val="bottom"/>
            <w:hideMark/>
          </w:tcPr>
          <w:p w14:paraId="0BB408CF"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564</w:t>
            </w:r>
          </w:p>
        </w:tc>
        <w:tc>
          <w:tcPr>
            <w:tcW w:w="620" w:type="dxa"/>
            <w:tcBorders>
              <w:top w:val="single" w:sz="4" w:space="0" w:color="ADD6EA"/>
              <w:left w:val="nil"/>
              <w:bottom w:val="nil"/>
              <w:right w:val="nil"/>
            </w:tcBorders>
            <w:shd w:val="clear" w:color="000000" w:fill="D6E7F0"/>
            <w:noWrap/>
            <w:vAlign w:val="bottom"/>
            <w:hideMark/>
          </w:tcPr>
          <w:p w14:paraId="14C2B6B5"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114</w:t>
            </w:r>
          </w:p>
        </w:tc>
        <w:tc>
          <w:tcPr>
            <w:tcW w:w="680" w:type="dxa"/>
            <w:tcBorders>
              <w:top w:val="single" w:sz="4" w:space="0" w:color="ADD6EA"/>
              <w:left w:val="nil"/>
              <w:bottom w:val="nil"/>
              <w:right w:val="nil"/>
            </w:tcBorders>
            <w:shd w:val="clear" w:color="000000" w:fill="D6E7F0"/>
            <w:noWrap/>
            <w:vAlign w:val="bottom"/>
            <w:hideMark/>
          </w:tcPr>
          <w:p w14:paraId="0CE7F880"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-370</w:t>
            </w:r>
          </w:p>
        </w:tc>
        <w:tc>
          <w:tcPr>
            <w:tcW w:w="680" w:type="dxa"/>
            <w:tcBorders>
              <w:top w:val="single" w:sz="4" w:space="0" w:color="ADD6EA"/>
              <w:left w:val="nil"/>
              <w:bottom w:val="nil"/>
              <w:right w:val="nil"/>
            </w:tcBorders>
            <w:shd w:val="clear" w:color="000000" w:fill="D6E7F0"/>
            <w:noWrap/>
            <w:vAlign w:val="bottom"/>
            <w:hideMark/>
          </w:tcPr>
          <w:p w14:paraId="3A350990"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-166</w:t>
            </w:r>
          </w:p>
        </w:tc>
        <w:tc>
          <w:tcPr>
            <w:tcW w:w="780" w:type="dxa"/>
            <w:tcBorders>
              <w:top w:val="single" w:sz="4" w:space="0" w:color="ADD6EA"/>
              <w:left w:val="nil"/>
              <w:bottom w:val="nil"/>
              <w:right w:val="nil"/>
            </w:tcBorders>
            <w:shd w:val="clear" w:color="000000" w:fill="D6E7F0"/>
            <w:noWrap/>
            <w:vAlign w:val="bottom"/>
            <w:hideMark/>
          </w:tcPr>
          <w:p w14:paraId="1FBCA298" w14:textId="77777777" w:rsidR="00FC59A2" w:rsidRPr="00B92243" w:rsidRDefault="00FC59A2" w:rsidP="00527D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92243">
              <w:rPr>
                <w:rFonts w:ascii="Open Sans Semibold" w:eastAsia="Times New Roman" w:hAnsi="Open Sans Semibold" w:cs="Open Sans Semibold"/>
                <w:color w:val="000000"/>
                <w:sz w:val="16"/>
                <w:szCs w:val="16"/>
                <w:lang w:eastAsia="en-AU"/>
              </w:rPr>
              <w:t>1,054</w:t>
            </w:r>
          </w:p>
        </w:tc>
      </w:tr>
      <w:tr w:rsidR="00FC59A2" w:rsidRPr="00B92243" w14:paraId="32D56826" w14:textId="77777777" w:rsidTr="00527DF9">
        <w:trPr>
          <w:trHeight w:val="300"/>
        </w:trPr>
        <w:tc>
          <w:tcPr>
            <w:tcW w:w="4120" w:type="dxa"/>
            <w:tcBorders>
              <w:top w:val="single" w:sz="4" w:space="0" w:color="ADD6EA"/>
              <w:left w:val="nil"/>
              <w:bottom w:val="single" w:sz="4" w:space="0" w:color="ADD6EA"/>
              <w:right w:val="nil"/>
            </w:tcBorders>
            <w:shd w:val="clear" w:color="auto" w:fill="auto"/>
            <w:vAlign w:val="bottom"/>
            <w:hideMark/>
          </w:tcPr>
          <w:p w14:paraId="4B9097A8" w14:textId="77777777" w:rsidR="00FC59A2" w:rsidRPr="00B92243" w:rsidRDefault="00FC59A2" w:rsidP="00527DF9">
            <w:pPr>
              <w:keepNext/>
              <w:keepLines/>
              <w:tabs>
                <w:tab w:val="clear" w:pos="567"/>
              </w:tabs>
              <w:spacing w:before="0" w:line="240" w:lineRule="auto"/>
              <w:rPr>
                <w:rFonts w:eastAsia="Times New Roman" w:cs="Open Sans Light"/>
                <w:color w:val="000000"/>
                <w:sz w:val="16"/>
                <w:szCs w:val="16"/>
                <w:lang w:eastAsia="en-AU"/>
              </w:rPr>
            </w:pPr>
            <w:r w:rsidRPr="00B92243">
              <w:rPr>
                <w:rFonts w:eastAsia="Times New Roman" w:cs="Open Sans Light"/>
                <w:color w:val="000000"/>
                <w:sz w:val="16"/>
                <w:szCs w:val="16"/>
                <w:lang w:eastAsia="en-AU"/>
              </w:rPr>
              <w:t>Total ($pc)</w:t>
            </w:r>
          </w:p>
        </w:tc>
        <w:tc>
          <w:tcPr>
            <w:tcW w:w="720" w:type="dxa"/>
            <w:tcBorders>
              <w:top w:val="single" w:sz="4" w:space="0" w:color="ADD6EA"/>
              <w:left w:val="nil"/>
              <w:bottom w:val="single" w:sz="4" w:space="0" w:color="ADD6EA"/>
              <w:right w:val="nil"/>
            </w:tcBorders>
            <w:shd w:val="clear" w:color="auto" w:fill="auto"/>
            <w:noWrap/>
            <w:vAlign w:val="bottom"/>
            <w:hideMark/>
          </w:tcPr>
          <w:p w14:paraId="0516F68E"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w:t>
            </w:r>
          </w:p>
        </w:tc>
        <w:tc>
          <w:tcPr>
            <w:tcW w:w="680" w:type="dxa"/>
            <w:tcBorders>
              <w:top w:val="single" w:sz="4" w:space="0" w:color="ADD6EA"/>
              <w:left w:val="nil"/>
              <w:bottom w:val="single" w:sz="4" w:space="0" w:color="ADD6EA"/>
              <w:right w:val="nil"/>
            </w:tcBorders>
            <w:shd w:val="clear" w:color="auto" w:fill="auto"/>
            <w:noWrap/>
            <w:vAlign w:val="bottom"/>
            <w:hideMark/>
          </w:tcPr>
          <w:p w14:paraId="5CFD55F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-48</w:t>
            </w:r>
          </w:p>
        </w:tc>
        <w:tc>
          <w:tcPr>
            <w:tcW w:w="640" w:type="dxa"/>
            <w:tcBorders>
              <w:top w:val="single" w:sz="4" w:space="0" w:color="ADD6EA"/>
              <w:left w:val="nil"/>
              <w:bottom w:val="single" w:sz="4" w:space="0" w:color="ADD6EA"/>
              <w:right w:val="nil"/>
            </w:tcBorders>
            <w:shd w:val="clear" w:color="auto" w:fill="auto"/>
            <w:noWrap/>
            <w:vAlign w:val="bottom"/>
            <w:hideMark/>
          </w:tcPr>
          <w:p w14:paraId="7DD8B1C9"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60</w:t>
            </w:r>
          </w:p>
        </w:tc>
        <w:tc>
          <w:tcPr>
            <w:tcW w:w="680" w:type="dxa"/>
            <w:tcBorders>
              <w:top w:val="single" w:sz="4" w:space="0" w:color="ADD6EA"/>
              <w:left w:val="nil"/>
              <w:bottom w:val="single" w:sz="4" w:space="0" w:color="ADD6EA"/>
              <w:right w:val="nil"/>
            </w:tcBorders>
            <w:shd w:val="clear" w:color="auto" w:fill="auto"/>
            <w:noWrap/>
            <w:vAlign w:val="bottom"/>
            <w:hideMark/>
          </w:tcPr>
          <w:p w14:paraId="7D2954E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-70</w:t>
            </w:r>
          </w:p>
        </w:tc>
        <w:tc>
          <w:tcPr>
            <w:tcW w:w="620" w:type="dxa"/>
            <w:tcBorders>
              <w:top w:val="single" w:sz="4" w:space="0" w:color="ADD6EA"/>
              <w:left w:val="nil"/>
              <w:bottom w:val="single" w:sz="4" w:space="0" w:color="ADD6EA"/>
              <w:right w:val="nil"/>
            </w:tcBorders>
            <w:shd w:val="clear" w:color="auto" w:fill="auto"/>
            <w:noWrap/>
            <w:vAlign w:val="bottom"/>
            <w:hideMark/>
          </w:tcPr>
          <w:p w14:paraId="35ABA09A"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304</w:t>
            </w:r>
          </w:p>
        </w:tc>
        <w:tc>
          <w:tcPr>
            <w:tcW w:w="620" w:type="dxa"/>
            <w:tcBorders>
              <w:top w:val="single" w:sz="4" w:space="0" w:color="ADD6EA"/>
              <w:left w:val="nil"/>
              <w:bottom w:val="single" w:sz="4" w:space="0" w:color="ADD6EA"/>
              <w:right w:val="nil"/>
            </w:tcBorders>
            <w:shd w:val="clear" w:color="auto" w:fill="auto"/>
            <w:noWrap/>
            <w:vAlign w:val="bottom"/>
            <w:hideMark/>
          </w:tcPr>
          <w:p w14:paraId="143CF6B6"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194</w:t>
            </w:r>
          </w:p>
        </w:tc>
        <w:tc>
          <w:tcPr>
            <w:tcW w:w="680" w:type="dxa"/>
            <w:tcBorders>
              <w:top w:val="single" w:sz="4" w:space="0" w:color="ADD6EA"/>
              <w:left w:val="nil"/>
              <w:bottom w:val="single" w:sz="4" w:space="0" w:color="ADD6EA"/>
              <w:right w:val="nil"/>
            </w:tcBorders>
            <w:shd w:val="clear" w:color="auto" w:fill="auto"/>
            <w:noWrap/>
            <w:vAlign w:val="bottom"/>
            <w:hideMark/>
          </w:tcPr>
          <w:p w14:paraId="01D15187"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-785</w:t>
            </w:r>
          </w:p>
        </w:tc>
        <w:tc>
          <w:tcPr>
            <w:tcW w:w="680" w:type="dxa"/>
            <w:tcBorders>
              <w:top w:val="single" w:sz="4" w:space="0" w:color="ADD6EA"/>
              <w:left w:val="nil"/>
              <w:bottom w:val="single" w:sz="4" w:space="0" w:color="ADD6EA"/>
              <w:right w:val="nil"/>
            </w:tcBorders>
            <w:shd w:val="clear" w:color="auto" w:fill="auto"/>
            <w:noWrap/>
            <w:vAlign w:val="bottom"/>
            <w:hideMark/>
          </w:tcPr>
          <w:p w14:paraId="56315E5D"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-639</w:t>
            </w:r>
          </w:p>
        </w:tc>
        <w:tc>
          <w:tcPr>
            <w:tcW w:w="780" w:type="dxa"/>
            <w:tcBorders>
              <w:top w:val="single" w:sz="4" w:space="0" w:color="ADD6EA"/>
              <w:left w:val="nil"/>
              <w:bottom w:val="single" w:sz="4" w:space="0" w:color="ADD6EA"/>
              <w:right w:val="nil"/>
            </w:tcBorders>
            <w:shd w:val="clear" w:color="auto" w:fill="auto"/>
            <w:noWrap/>
            <w:vAlign w:val="bottom"/>
            <w:hideMark/>
          </w:tcPr>
          <w:p w14:paraId="3EFE0A14" w14:textId="77777777" w:rsidR="00FC59A2" w:rsidRPr="00B92243" w:rsidRDefault="00FC59A2" w:rsidP="00527DF9">
            <w:pPr>
              <w:keepNext/>
              <w:keepLines/>
              <w:tabs>
                <w:tab w:val="clear" w:pos="567"/>
              </w:tabs>
              <w:spacing w:before="0" w:line="240" w:lineRule="auto"/>
              <w:jc w:val="right"/>
              <w:rPr>
                <w:rFonts w:eastAsia="Times New Roman" w:cs="Open Sans Light"/>
                <w:color w:val="000000"/>
                <w:sz w:val="16"/>
                <w:szCs w:val="16"/>
                <w:lang w:eastAsia="en-AU"/>
              </w:rPr>
            </w:pPr>
            <w:r w:rsidRPr="00B92243">
              <w:rPr>
                <w:rFonts w:eastAsia="Times New Roman" w:cs="Open Sans Light"/>
                <w:color w:val="000000"/>
                <w:sz w:val="16"/>
                <w:szCs w:val="16"/>
                <w:lang w:eastAsia="en-AU"/>
              </w:rPr>
              <w:t>40</w:t>
            </w:r>
          </w:p>
        </w:tc>
      </w:tr>
    </w:tbl>
    <w:p w14:paraId="40094D33" w14:textId="77777777" w:rsidR="00FC59A2" w:rsidRPr="006C117C" w:rsidRDefault="00FC59A2" w:rsidP="003215A9">
      <w:pPr>
        <w:pStyle w:val="CGC2025TableNote"/>
      </w:pPr>
      <w:r w:rsidRPr="006C117C">
        <w:t>Note:</w:t>
      </w:r>
      <w:r w:rsidRPr="006C117C">
        <w:tab/>
        <w:t>Commission calculation, 2023 Update.</w:t>
      </w:r>
    </w:p>
    <w:p w14:paraId="3FE37DBC" w14:textId="77777777" w:rsidR="00FC59A2" w:rsidRDefault="00FC59A2" w:rsidP="00FC59A2">
      <w:pPr>
        <w:pStyle w:val="Heading2"/>
      </w:pPr>
      <w:bookmarkStart w:id="14" w:name="_Toc121741486"/>
      <w:bookmarkStart w:id="15" w:name="_Toc138155434"/>
      <w:r>
        <w:t>What has changed since the 2020 Review?</w:t>
      </w:r>
      <w:bookmarkEnd w:id="14"/>
      <w:bookmarkEnd w:id="15"/>
      <w:r>
        <w:t xml:space="preserve"> </w:t>
      </w:r>
    </w:p>
    <w:p w14:paraId="155B77D5" w14:textId="7CE6C601" w:rsidR="00FC59A2" w:rsidRDefault="00FC59A2" w:rsidP="00FC59A2">
      <w:pPr>
        <w:pStyle w:val="Heading3"/>
      </w:pPr>
      <w:bookmarkStart w:id="16" w:name="_Toc138155435"/>
      <w:r>
        <w:t xml:space="preserve">New data have become available, and the Commission has </w:t>
      </w:r>
      <w:r w:rsidR="003753C2">
        <w:t>identified</w:t>
      </w:r>
      <w:r>
        <w:t xml:space="preserve"> an alternative </w:t>
      </w:r>
      <w:proofErr w:type="gramStart"/>
      <w:r>
        <w:t>approach</w:t>
      </w:r>
      <w:bookmarkEnd w:id="16"/>
      <w:proofErr w:type="gramEnd"/>
    </w:p>
    <w:p w14:paraId="7110D462" w14:textId="0930EAD5" w:rsidR="00FC59A2" w:rsidRPr="004D223A" w:rsidRDefault="00FC59A2" w:rsidP="00AB36B2">
      <w:pPr>
        <w:pStyle w:val="CGC2025ParaNumbers"/>
      </w:pPr>
      <w:r w:rsidRPr="004D223A">
        <w:t xml:space="preserve">The Multi-Agency Data Integration Project (MADIP) is coordinated by the ABS and involves personal data from a range of </w:t>
      </w:r>
      <w:r w:rsidR="001717CC">
        <w:t>mostly</w:t>
      </w:r>
      <w:r w:rsidRPr="004D223A">
        <w:t xml:space="preserve"> Commonwealth agencies being linked together. It relates the attributes of individuals as measured by the census, the Department of Social </w:t>
      </w:r>
      <w:r w:rsidR="007374B7">
        <w:t>Services</w:t>
      </w:r>
      <w:r w:rsidRPr="004D223A">
        <w:t xml:space="preserve">, the Australian Tax Office, Medicare, the Pharmaceutical Benefits </w:t>
      </w:r>
      <w:proofErr w:type="gramStart"/>
      <w:r w:rsidRPr="004D223A">
        <w:t>Scheme</w:t>
      </w:r>
      <w:proofErr w:type="gramEnd"/>
      <w:r w:rsidRPr="004D223A">
        <w:t xml:space="preserve"> and other datasets. Data developed through this project ha</w:t>
      </w:r>
      <w:r w:rsidR="00D1527C" w:rsidRPr="004D223A">
        <w:t>ve</w:t>
      </w:r>
      <w:r w:rsidRPr="004D223A">
        <w:t xml:space="preserve"> matured significantly and become more accessible since the 2020</w:t>
      </w:r>
      <w:r w:rsidR="003D64AB">
        <w:t> </w:t>
      </w:r>
      <w:r w:rsidRPr="004D223A">
        <w:t xml:space="preserve">Review. This data environment allows for the individual records of all Australians from a range of datasets to be linked. It is now possible to relate the attributes of people as identified in tax, social security, Medicare, </w:t>
      </w:r>
      <w:r w:rsidR="00792034">
        <w:t>P</w:t>
      </w:r>
      <w:r w:rsidRPr="004D223A">
        <w:t xml:space="preserve">harmaceutical </w:t>
      </w:r>
      <w:r w:rsidR="00792034">
        <w:t>B</w:t>
      </w:r>
      <w:r w:rsidRPr="004D223A">
        <w:t xml:space="preserve">enefits </w:t>
      </w:r>
      <w:r w:rsidR="00792034">
        <w:t>S</w:t>
      </w:r>
      <w:r w:rsidRPr="004D223A">
        <w:t xml:space="preserve">cheme, </w:t>
      </w:r>
      <w:proofErr w:type="gramStart"/>
      <w:r w:rsidRPr="004D223A">
        <w:t>census</w:t>
      </w:r>
      <w:proofErr w:type="gramEnd"/>
      <w:r w:rsidRPr="004D223A">
        <w:t xml:space="preserve"> and other datasets. </w:t>
      </w:r>
    </w:p>
    <w:p w14:paraId="2DB0A1AC" w14:textId="105F01D7" w:rsidR="00FC59A2" w:rsidRPr="004D223A" w:rsidRDefault="00FC59A2" w:rsidP="00AB36B2">
      <w:pPr>
        <w:pStyle w:val="CGC2025ParaNumbers"/>
      </w:pPr>
      <w:r w:rsidRPr="004D223A">
        <w:t>Data from MADIP offer the potential to produce a more contemporaneous (i.e., annual) measure of socio-economic status. They also allow for more detailed analysis of issues affecting socio-economic status.</w:t>
      </w:r>
    </w:p>
    <w:p w14:paraId="6C3716E1" w14:textId="1A3B4B8A" w:rsidR="00FC59A2" w:rsidRDefault="0492E1D0" w:rsidP="00FC59A2">
      <w:pPr>
        <w:pStyle w:val="Heading2"/>
      </w:pPr>
      <w:bookmarkStart w:id="17" w:name="_Toc121741487"/>
      <w:bookmarkStart w:id="18" w:name="_Toc138155436"/>
      <w:r>
        <w:lastRenderedPageBreak/>
        <w:t xml:space="preserve">Implications </w:t>
      </w:r>
      <w:bookmarkEnd w:id="17"/>
      <w:r>
        <w:t>for assessment</w:t>
      </w:r>
      <w:bookmarkEnd w:id="18"/>
    </w:p>
    <w:p w14:paraId="187595F3" w14:textId="77777777" w:rsidR="00FC59A2" w:rsidRPr="004D223A" w:rsidRDefault="00FC59A2" w:rsidP="00AB36B2">
      <w:pPr>
        <w:pStyle w:val="CGC2025ParaNumbers"/>
      </w:pPr>
      <w:bookmarkStart w:id="19" w:name="_Hlk128488938"/>
      <w:bookmarkStart w:id="20" w:name="_Toc121741488"/>
      <w:r w:rsidRPr="004D223A">
        <w:t>The Commission has identified one issue for consideration.</w:t>
      </w:r>
    </w:p>
    <w:p w14:paraId="72064771" w14:textId="00E443DC" w:rsidR="00FC59A2" w:rsidRPr="008B20F4" w:rsidRDefault="00FC59A2" w:rsidP="00AB36B2">
      <w:pPr>
        <w:pStyle w:val="CGC2025Bullet1"/>
      </w:pPr>
      <w:r>
        <w:t xml:space="preserve">Based on the newly available MADIP data, should the Commission use an annual measure of socio-economic </w:t>
      </w:r>
      <w:r w:rsidRPr="008B20F4">
        <w:t>status?</w:t>
      </w:r>
    </w:p>
    <w:p w14:paraId="350054B5" w14:textId="313E7449" w:rsidR="00FC59A2" w:rsidRPr="004D223A" w:rsidRDefault="00FC59A2" w:rsidP="00AB36B2">
      <w:pPr>
        <w:pStyle w:val="CGC2025ParaNumbers"/>
      </w:pPr>
      <w:r w:rsidRPr="004D223A">
        <w:t>The Commission has also investigated and found that</w:t>
      </w:r>
      <w:r w:rsidR="003753C2" w:rsidRPr="004D223A">
        <w:t xml:space="preserve"> </w:t>
      </w:r>
      <w:r w:rsidRPr="004D223A">
        <w:t xml:space="preserve">the 2021 census indicators of socio-economic status were not affected by lockdowns. As such, they could </w:t>
      </w:r>
      <w:r w:rsidR="00F179A8" w:rsidRPr="004D223A">
        <w:t xml:space="preserve">continue to </w:t>
      </w:r>
      <w:r w:rsidRPr="004D223A">
        <w:t>provide a reliable indicator of socio</w:t>
      </w:r>
      <w:r w:rsidR="009F1FAC" w:rsidRPr="004D223A">
        <w:noBreakHyphen/>
      </w:r>
      <w:r w:rsidRPr="004D223A">
        <w:t xml:space="preserve">economic status if </w:t>
      </w:r>
      <w:r w:rsidR="00CB372E" w:rsidRPr="004D223A">
        <w:t>an</w:t>
      </w:r>
      <w:r w:rsidRPr="004D223A">
        <w:t xml:space="preserve"> alternative, annual, measure is not adopted</w:t>
      </w:r>
      <w:r w:rsidR="00E45B40" w:rsidRPr="004D223A">
        <w:t xml:space="preserve"> in this </w:t>
      </w:r>
      <w:r w:rsidR="004D3DB7" w:rsidRPr="004D223A">
        <w:t>R</w:t>
      </w:r>
      <w:r w:rsidR="00E45B40" w:rsidRPr="004D223A">
        <w:t xml:space="preserve">eview. </w:t>
      </w:r>
    </w:p>
    <w:p w14:paraId="68BE7BB8" w14:textId="5EE789C1" w:rsidR="00FC59A2" w:rsidRDefault="00FC59A2" w:rsidP="00FC59A2">
      <w:pPr>
        <w:pStyle w:val="Heading3"/>
      </w:pPr>
      <w:bookmarkStart w:id="21" w:name="_Toc138155437"/>
      <w:bookmarkEnd w:id="19"/>
      <w:bookmarkEnd w:id="20"/>
      <w:r>
        <w:t>Should the Commission use an annual measure of socio-economic status for non-Indigenous Australians?</w:t>
      </w:r>
      <w:bookmarkEnd w:id="21"/>
    </w:p>
    <w:p w14:paraId="6E9D251F" w14:textId="62311486" w:rsidR="00FC59A2" w:rsidRPr="004D223A" w:rsidRDefault="00FC59A2" w:rsidP="00AB36B2">
      <w:pPr>
        <w:pStyle w:val="CGC2025ParaNumbers"/>
      </w:pPr>
      <w:r w:rsidRPr="004D223A">
        <w:t xml:space="preserve">The SEIFA score of an area at census time is not necessarily a good indication of the likely score over the next 5 years. This raises questions about whether a five-yearly census appropriately reflects state circumstances in </w:t>
      </w:r>
      <w:r w:rsidR="00FC5F69" w:rsidRPr="004D223A">
        <w:t xml:space="preserve">each </w:t>
      </w:r>
      <w:r w:rsidRPr="004D223A">
        <w:t xml:space="preserve">assessment year. </w:t>
      </w:r>
    </w:p>
    <w:p w14:paraId="1D59C309" w14:textId="0FC26FBC" w:rsidR="0084052B" w:rsidRPr="004D223A" w:rsidRDefault="00F03C81" w:rsidP="00AB36B2">
      <w:pPr>
        <w:pStyle w:val="CGC2025ParaNumbers"/>
      </w:pPr>
      <w:r w:rsidRPr="004D223A">
        <w:t xml:space="preserve">Each SEIFA point equates to an estimated $7 per capita in GST. </w:t>
      </w:r>
      <w:r w:rsidR="003B5743" w:rsidRPr="004D223A">
        <w:t>For illustrative purposes only, i</w:t>
      </w:r>
      <w:r w:rsidRPr="004D223A">
        <w:t xml:space="preserve">t is </w:t>
      </w:r>
      <w:r w:rsidR="003B5743" w:rsidRPr="004D223A">
        <w:t xml:space="preserve">plausible that </w:t>
      </w:r>
      <w:r w:rsidR="00005195" w:rsidRPr="004D223A">
        <w:t xml:space="preserve">the average SEIFA score across Western Australia </w:t>
      </w:r>
      <w:r w:rsidR="006C32F3" w:rsidRPr="004D223A">
        <w:t xml:space="preserve">could </w:t>
      </w:r>
      <w:r w:rsidR="00005195" w:rsidRPr="004D223A">
        <w:t>have been 4-6 points higher had a census been run between 2011 and 2014 than when it was run in 2016 (</w:t>
      </w:r>
      <w:r w:rsidR="00005195" w:rsidRPr="004D223A">
        <w:fldChar w:fldCharType="begin"/>
      </w:r>
      <w:r w:rsidR="00005195" w:rsidRPr="004D223A">
        <w:instrText xml:space="preserve"> REF _Ref135303502 \h </w:instrText>
      </w:r>
      <w:r w:rsidR="00AB36B2">
        <w:instrText xml:space="preserve"> \* MERGEFORMAT </w:instrText>
      </w:r>
      <w:r w:rsidR="00005195" w:rsidRPr="004D223A">
        <w:fldChar w:fldCharType="separate"/>
      </w:r>
      <w:r w:rsidR="00D95B35">
        <w:t xml:space="preserve">Figure </w:t>
      </w:r>
      <w:r w:rsidR="00D95B35">
        <w:rPr>
          <w:noProof/>
        </w:rPr>
        <w:t>1</w:t>
      </w:r>
      <w:r w:rsidR="00005195" w:rsidRPr="004D223A">
        <w:fldChar w:fldCharType="end"/>
      </w:r>
      <w:r w:rsidR="00005195" w:rsidRPr="004D223A">
        <w:t>).</w:t>
      </w:r>
      <w:r w:rsidR="001B6BF9" w:rsidRPr="004D223A">
        <w:t xml:space="preserve"> </w:t>
      </w:r>
      <w:r w:rsidR="00AA31E9" w:rsidRPr="004D223A">
        <w:t xml:space="preserve">Similarly, economic conditions in Victoria improved after 2016, </w:t>
      </w:r>
      <w:r w:rsidR="005E41DE" w:rsidRPr="004D223A">
        <w:t xml:space="preserve">so its </w:t>
      </w:r>
      <w:r w:rsidR="00AA31E9" w:rsidRPr="004D223A">
        <w:t xml:space="preserve">average SEIFA score </w:t>
      </w:r>
      <w:r w:rsidR="00546020" w:rsidRPr="004D223A">
        <w:t xml:space="preserve">could </w:t>
      </w:r>
      <w:r w:rsidR="00AA31E9" w:rsidRPr="004D223A">
        <w:t xml:space="preserve">have been up to 4 points higher </w:t>
      </w:r>
      <w:r w:rsidR="00AB315B" w:rsidRPr="004D223A">
        <w:t xml:space="preserve">had a </w:t>
      </w:r>
      <w:r w:rsidR="00AA31E9" w:rsidRPr="004D223A">
        <w:t xml:space="preserve">census </w:t>
      </w:r>
      <w:r w:rsidR="00AB315B" w:rsidRPr="004D223A">
        <w:t xml:space="preserve">been </w:t>
      </w:r>
      <w:r w:rsidR="00AA31E9" w:rsidRPr="004D223A">
        <w:t xml:space="preserve">run in 2018 to 2020 than </w:t>
      </w:r>
      <w:r w:rsidR="00AB315B" w:rsidRPr="004D223A">
        <w:t xml:space="preserve">in </w:t>
      </w:r>
      <w:r w:rsidR="00AA31E9" w:rsidRPr="004D223A">
        <w:t>2016.</w:t>
      </w:r>
    </w:p>
    <w:p w14:paraId="05D89A81" w14:textId="1627BD53" w:rsidR="00FC59A2" w:rsidRDefault="00FC59A2" w:rsidP="00691CA0">
      <w:pPr>
        <w:pStyle w:val="CGC2025Caption"/>
        <w:keepNext/>
        <w:tabs>
          <w:tab w:val="left" w:pos="1134"/>
        </w:tabs>
      </w:pPr>
      <w:bookmarkStart w:id="22" w:name="_Ref135303502"/>
      <w:r>
        <w:t xml:space="preserve">Figure </w:t>
      </w:r>
      <w:r>
        <w:fldChar w:fldCharType="begin"/>
      </w:r>
      <w:r>
        <w:instrText>SEQ Figure \* ARABIC</w:instrText>
      </w:r>
      <w:r>
        <w:fldChar w:fldCharType="separate"/>
      </w:r>
      <w:r w:rsidR="00D95B35">
        <w:rPr>
          <w:noProof/>
        </w:rPr>
        <w:t>1</w:t>
      </w:r>
      <w:r>
        <w:fldChar w:fldCharType="end"/>
      </w:r>
      <w:bookmarkEnd w:id="22"/>
      <w:r>
        <w:tab/>
        <w:t xml:space="preserve">Estimated quarterly change in SEIFA points, selected </w:t>
      </w:r>
      <w:proofErr w:type="gramStart"/>
      <w:r>
        <w:t>states</w:t>
      </w:r>
      <w:proofErr w:type="gramEnd"/>
    </w:p>
    <w:p w14:paraId="61ABF791" w14:textId="77777777" w:rsidR="00FC59A2" w:rsidRDefault="00FC59A2" w:rsidP="00FC59A2">
      <w:r w:rsidRPr="005471AE">
        <w:rPr>
          <w:noProof/>
        </w:rPr>
        <w:drawing>
          <wp:inline distT="0" distB="0" distL="0" distR="0" wp14:anchorId="254B657A" wp14:editId="5880AD2B">
            <wp:extent cx="5658485" cy="3571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8485" cy="3571875"/>
                    </a:xfrm>
                    <a:prstGeom prst="rect">
                      <a:avLst/>
                    </a:prstGeom>
                    <a:noFill/>
                    <a:ln>
                      <a:noFill/>
                    </a:ln>
                  </pic:spPr>
                </pic:pic>
              </a:graphicData>
            </a:graphic>
          </wp:inline>
        </w:drawing>
      </w:r>
    </w:p>
    <w:p w14:paraId="3344C5EB" w14:textId="13D7AAAE" w:rsidR="00705D81" w:rsidRPr="003F1F10" w:rsidRDefault="00705D81" w:rsidP="003215A9">
      <w:pPr>
        <w:pStyle w:val="CGC2025TableNote"/>
      </w:pPr>
      <w:r>
        <w:t>Source</w:t>
      </w:r>
      <w:r w:rsidRPr="003F1F10">
        <w:t>:</w:t>
      </w:r>
      <w:r w:rsidRPr="003F1F10">
        <w:tab/>
        <w:t>Commission calculation</w:t>
      </w:r>
      <w:r w:rsidR="007A4318">
        <w:t xml:space="preserve"> using</w:t>
      </w:r>
      <w:r w:rsidRPr="003F1F10">
        <w:t xml:space="preserve"> </w:t>
      </w:r>
      <w:r>
        <w:t>ABS labour force survey data</w:t>
      </w:r>
      <w:r w:rsidRPr="003F1F10">
        <w:t xml:space="preserve">. </w:t>
      </w:r>
    </w:p>
    <w:p w14:paraId="1D455211" w14:textId="4A74764B" w:rsidR="00FC59A2" w:rsidRPr="004D223A" w:rsidRDefault="00FC59A2" w:rsidP="00AB36B2">
      <w:pPr>
        <w:pStyle w:val="CGC2025ParaNumbers"/>
      </w:pPr>
      <w:r w:rsidRPr="004D223A">
        <w:lastRenderedPageBreak/>
        <w:t xml:space="preserve">The Commission has identified an approach using MADIP </w:t>
      </w:r>
      <w:r w:rsidR="003577E3" w:rsidRPr="004D223A">
        <w:t xml:space="preserve">data </w:t>
      </w:r>
      <w:r w:rsidRPr="004D223A">
        <w:t>that combines 3</w:t>
      </w:r>
      <w:r w:rsidR="003D64AB">
        <w:t> </w:t>
      </w:r>
      <w:r w:rsidRPr="004D223A">
        <w:t>measures of socio-economic status. It is based on the proportion of non</w:t>
      </w:r>
      <w:r w:rsidR="003D64AB">
        <w:noBreakHyphen/>
      </w:r>
      <w:r w:rsidRPr="004D223A">
        <w:t>Indigenous people in an area that receive selected D</w:t>
      </w:r>
      <w:r w:rsidR="00995819" w:rsidRPr="004D223A">
        <w:t xml:space="preserve">epartment of Social </w:t>
      </w:r>
      <w:r w:rsidR="00A7038B">
        <w:t>Services</w:t>
      </w:r>
      <w:r w:rsidRPr="004D223A">
        <w:t xml:space="preserve"> pensions, that have a prescription for certain lifestyle</w:t>
      </w:r>
      <w:r w:rsidR="003D6A7A" w:rsidRPr="004D223A">
        <w:t>-</w:t>
      </w:r>
      <w:r w:rsidRPr="004D223A">
        <w:t xml:space="preserve">related conditions, and that have high incomes. This combined measure predicts independent outcomes driven by socio-economic status </w:t>
      </w:r>
      <w:r w:rsidR="00F57034" w:rsidRPr="004D223A">
        <w:t xml:space="preserve">with about the same accuracy </w:t>
      </w:r>
      <w:r w:rsidRPr="004D223A">
        <w:t xml:space="preserve">as </w:t>
      </w:r>
      <w:proofErr w:type="gramStart"/>
      <w:r w:rsidRPr="004D223A">
        <w:t>census</w:t>
      </w:r>
      <w:r w:rsidR="004C2F14">
        <w:t xml:space="preserve"> </w:t>
      </w:r>
      <w:r w:rsidRPr="004D223A">
        <w:t>based</w:t>
      </w:r>
      <w:proofErr w:type="gramEnd"/>
      <w:r w:rsidRPr="004D223A">
        <w:t xml:space="preserve"> measures in the census year. It is available annually, and in intercensal years represents a better measure of socio-economic status. The Commission’</w:t>
      </w:r>
      <w:r w:rsidR="0017799C" w:rsidRPr="004D223A">
        <w:t>s</w:t>
      </w:r>
      <w:r w:rsidRPr="004D223A">
        <w:t xml:space="preserve"> alternative approach to measuring socio-economic status for the non-Indigenous population is described in more detail in Appendix 1. </w:t>
      </w:r>
    </w:p>
    <w:p w14:paraId="1B89837F" w14:textId="24B2F12D" w:rsidR="0088389D" w:rsidRPr="004D223A" w:rsidRDefault="0088389D" w:rsidP="00AB36B2">
      <w:pPr>
        <w:pStyle w:val="CGC2025ParaNumbers"/>
      </w:pPr>
      <w:r w:rsidRPr="004D223A">
        <w:t>The Commission is in discussions with the ABS</w:t>
      </w:r>
      <w:r w:rsidR="000071CA">
        <w:t xml:space="preserve"> </w:t>
      </w:r>
      <w:r w:rsidR="00EB4C99">
        <w:t>about</w:t>
      </w:r>
      <w:r w:rsidRPr="004D223A">
        <w:t xml:space="preserve"> this alternative measure. Commission staff intend to engage with states from July</w:t>
      </w:r>
      <w:r w:rsidR="008313A8" w:rsidRPr="004D223A">
        <w:t> </w:t>
      </w:r>
      <w:r w:rsidRPr="004D223A">
        <w:t xml:space="preserve">2023 to explain the approach in detail and to </w:t>
      </w:r>
      <w:r w:rsidR="009314AD" w:rsidRPr="004D223A">
        <w:t xml:space="preserve">get feedback on </w:t>
      </w:r>
      <w:r w:rsidRPr="004D223A">
        <w:t xml:space="preserve">any concerns and suggestions for improvement. </w:t>
      </w:r>
      <w:r w:rsidR="000A4B2F">
        <w:t xml:space="preserve">ABS formal feedback will not be available </w:t>
      </w:r>
      <w:r w:rsidR="002619ED">
        <w:t xml:space="preserve">to inform tranche 1 state </w:t>
      </w:r>
      <w:proofErr w:type="gramStart"/>
      <w:r w:rsidR="002619ED">
        <w:t>submissions, but</w:t>
      </w:r>
      <w:proofErr w:type="gramEnd"/>
      <w:r w:rsidR="002619ED">
        <w:t xml:space="preserve"> will </w:t>
      </w:r>
      <w:r w:rsidR="00B567DA">
        <w:t xml:space="preserve">be </w:t>
      </w:r>
      <w:r w:rsidR="00EB69CD">
        <w:t xml:space="preserve">available as part of ongoing consultation with states on </w:t>
      </w:r>
      <w:r w:rsidR="00B567DA">
        <w:t>the development of this assessment</w:t>
      </w:r>
      <w:r w:rsidR="001D7226">
        <w:t xml:space="preserve">. </w:t>
      </w:r>
    </w:p>
    <w:p w14:paraId="076A083B" w14:textId="75D853F6" w:rsidR="00FC59A2" w:rsidRPr="004D223A" w:rsidRDefault="00FC59A2" w:rsidP="00AB36B2">
      <w:pPr>
        <w:pStyle w:val="CGC2025ParaNumbers"/>
      </w:pPr>
      <w:r w:rsidRPr="004D223A">
        <w:t xml:space="preserve">The Commission has not developed a similar measure for First Nations people. It would need to do this in consultation with First Nations people, and </w:t>
      </w:r>
      <w:r w:rsidR="00435AFE" w:rsidRPr="004D223A">
        <w:t xml:space="preserve">the Commission </w:t>
      </w:r>
      <w:r w:rsidRPr="004D223A">
        <w:t xml:space="preserve">has </w:t>
      </w:r>
      <w:r w:rsidR="00435AFE" w:rsidRPr="004D223A">
        <w:t>not yet received the required approval to use First Nations specific data sets.</w:t>
      </w:r>
      <w:r w:rsidR="003B67EA" w:rsidRPr="004D223A">
        <w:t xml:space="preserve"> </w:t>
      </w:r>
      <w:r w:rsidRPr="004D223A">
        <w:t>Until such a measure is developed, the ANU Centre for Aboriginal Economic and Population Research’s Indigenous Relative Socio-Economic Outcomes measures remains the most reliable measure of socio-economic status for First Nations people. This measure would only be updated five-yearly with census</w:t>
      </w:r>
      <w:r w:rsidR="007E6E56" w:rsidRPr="004D223A">
        <w:t xml:space="preserve"> data</w:t>
      </w:r>
      <w:r w:rsidRPr="004D223A">
        <w:t>.</w:t>
      </w:r>
    </w:p>
    <w:p w14:paraId="09CA7FCD" w14:textId="2570300E" w:rsidR="00FC59A2" w:rsidRPr="00B00E5D" w:rsidRDefault="00FC59A2" w:rsidP="00AB36B2">
      <w:pPr>
        <w:pStyle w:val="CGC2025ParaNumbers"/>
      </w:pPr>
      <w:r>
        <w:t xml:space="preserve">The </w:t>
      </w:r>
      <w:r w:rsidRPr="004D223A">
        <w:t>Commission’s</w:t>
      </w:r>
      <w:r>
        <w:t xml:space="preserve"> preliminary view is that an annual measure of socio-economic status for non-Indigenous people, </w:t>
      </w:r>
      <w:r w:rsidRPr="167753A5">
        <w:rPr>
          <w:lang w:eastAsia="en-AU"/>
        </w:rPr>
        <w:t xml:space="preserve">using the specification in Attachment </w:t>
      </w:r>
      <w:r w:rsidR="00D43C30" w:rsidRPr="167753A5">
        <w:rPr>
          <w:lang w:eastAsia="en-AU"/>
        </w:rPr>
        <w:t>1</w:t>
      </w:r>
      <w:r w:rsidRPr="167753A5">
        <w:rPr>
          <w:lang w:eastAsia="en-AU"/>
        </w:rPr>
        <w:t>,</w:t>
      </w:r>
      <w:r>
        <w:t xml:space="preserve"> will provide more </w:t>
      </w:r>
      <w:r w:rsidR="006528A6">
        <w:t>contemporaneous</w:t>
      </w:r>
      <w:r>
        <w:t xml:space="preserve"> data for its assessments.</w:t>
      </w:r>
      <w:r w:rsidR="00D54FB2">
        <w:t xml:space="preserve"> Subject to </w:t>
      </w:r>
      <w:r w:rsidR="002B34C8">
        <w:t xml:space="preserve">the results of analysis on the 2021 Census based MADIP (when available), </w:t>
      </w:r>
      <w:r w:rsidR="001420A7">
        <w:t>feedback from the ABS</w:t>
      </w:r>
      <w:r w:rsidR="00EE2011">
        <w:t xml:space="preserve">, and in consultation with </w:t>
      </w:r>
      <w:r w:rsidR="002B28FD">
        <w:t>s</w:t>
      </w:r>
      <w:r w:rsidR="00EE2011">
        <w:t xml:space="preserve">tates, the Commission </w:t>
      </w:r>
      <w:r w:rsidR="00A96227">
        <w:t>proposes</w:t>
      </w:r>
      <w:r w:rsidR="00EE2011">
        <w:t xml:space="preserve"> </w:t>
      </w:r>
      <w:r w:rsidR="00CF3EB5">
        <w:t xml:space="preserve">to </w:t>
      </w:r>
      <w:r w:rsidR="00C316DC">
        <w:t xml:space="preserve">use </w:t>
      </w:r>
      <w:r w:rsidR="00CF3EB5">
        <w:t>a</w:t>
      </w:r>
      <w:r w:rsidR="00351964">
        <w:t>n annual</w:t>
      </w:r>
      <w:r w:rsidR="00C316DC">
        <w:t xml:space="preserve"> measure of socio-economic status </w:t>
      </w:r>
      <w:proofErr w:type="gramStart"/>
      <w:r w:rsidR="00C316DC">
        <w:t>similar to</w:t>
      </w:r>
      <w:proofErr w:type="gramEnd"/>
      <w:r w:rsidR="00C316DC">
        <w:t xml:space="preserve"> Attachment 1.</w:t>
      </w:r>
      <w:r w:rsidR="0066687E">
        <w:t xml:space="preserve">  The Comm</w:t>
      </w:r>
      <w:r w:rsidR="005E1789">
        <w:t>ission will keep states informed</w:t>
      </w:r>
      <w:r w:rsidR="005567E2">
        <w:t xml:space="preserve"> of the results of further analysis </w:t>
      </w:r>
      <w:r w:rsidR="00556039">
        <w:t xml:space="preserve">and the ABS feedback </w:t>
      </w:r>
      <w:r w:rsidR="002416E7">
        <w:t xml:space="preserve">as </w:t>
      </w:r>
      <w:r w:rsidR="00556039">
        <w:t xml:space="preserve">this information </w:t>
      </w:r>
      <w:r w:rsidR="002416E7">
        <w:t>becomes available.</w:t>
      </w:r>
    </w:p>
    <w:p w14:paraId="38959013" w14:textId="18A58E90" w:rsidR="00FC59A2" w:rsidRDefault="00FC59A2" w:rsidP="00FC59A2">
      <w:pPr>
        <w:pStyle w:val="Heading4"/>
      </w:pPr>
      <w:r>
        <w:t>Consultation question</w:t>
      </w:r>
    </w:p>
    <w:p w14:paraId="5CC4F002" w14:textId="77777777" w:rsidR="00FC59A2" w:rsidRPr="00B00E5D" w:rsidRDefault="00FC59A2" w:rsidP="00FC59A2">
      <w:pPr>
        <w:pStyle w:val="CGCBodyPara"/>
        <w:tabs>
          <w:tab w:val="clear" w:pos="927"/>
        </w:tabs>
        <w:ind w:left="0" w:firstLine="0"/>
      </w:pPr>
      <w:r w:rsidRPr="001C4DF3">
        <w:rPr>
          <w:noProof/>
        </w:rPr>
        <mc:AlternateContent>
          <mc:Choice Requires="wps">
            <w:drawing>
              <wp:inline distT="0" distB="0" distL="0" distR="0" wp14:anchorId="5B803F22" wp14:editId="0BE0F194">
                <wp:extent cx="5688965" cy="787400"/>
                <wp:effectExtent l="0" t="0" r="6985" b="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88965" cy="787400"/>
                        </a:xfrm>
                        <a:prstGeom prst="rect">
                          <a:avLst/>
                        </a:prstGeom>
                        <a:solidFill>
                          <a:srgbClr val="EBF3F5"/>
                        </a:solidFill>
                        <a:ln w="25400" cap="flat" cmpd="sng" algn="ctr">
                          <a:noFill/>
                          <a:prstDash val="solid"/>
                        </a:ln>
                        <a:effectLst/>
                      </wps:spPr>
                      <wps:txbx>
                        <w:txbxContent>
                          <w:p w14:paraId="2393A382" w14:textId="07ED690C" w:rsidR="00FC59A2" w:rsidRDefault="00FC59A2" w:rsidP="00AB36B2">
                            <w:pPr>
                              <w:pStyle w:val="CGC2025QuestionNumbers"/>
                              <w:rPr>
                                <w:lang w:eastAsia="en-AU"/>
                              </w:rPr>
                            </w:pPr>
                            <w:r>
                              <w:rPr>
                                <w:lang w:eastAsia="en-AU"/>
                              </w:rPr>
                              <w:t xml:space="preserve">Do states agree that an annual </w:t>
                            </w:r>
                            <w:r w:rsidR="00392F53">
                              <w:rPr>
                                <w:lang w:eastAsia="en-AU"/>
                              </w:rPr>
                              <w:t xml:space="preserve">MADIP-based </w:t>
                            </w:r>
                            <w:r>
                              <w:rPr>
                                <w:lang w:eastAsia="en-AU"/>
                              </w:rPr>
                              <w:t>measure of socio</w:t>
                            </w:r>
                            <w:r>
                              <w:rPr>
                                <w:lang w:eastAsia="en-AU"/>
                              </w:rPr>
                              <w:noBreakHyphen/>
                              <w:t xml:space="preserve">economic status </w:t>
                            </w:r>
                            <w:r w:rsidR="00392F53">
                              <w:rPr>
                                <w:lang w:eastAsia="en-AU"/>
                              </w:rPr>
                              <w:t>for non-Indigenous people</w:t>
                            </w:r>
                            <w:r w:rsidR="00F26ECF">
                              <w:rPr>
                                <w:lang w:eastAsia="en-AU"/>
                              </w:rPr>
                              <w:t xml:space="preserve"> has the potential for a more contemporaneous assessment</w:t>
                            </w:r>
                            <w:r>
                              <w:rPr>
                                <w:lang w:eastAsia="en-A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803F22" id="Rectangle 2" o:spid="_x0000_s1029" alt="&quot;&quot;" style="width:447.95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" fillcolor="#ebf3f5" stroked="f" strokeweight="2pt">
                <v:textbox>
                  <w:txbxContent>
                    <w:p w14:paraId="2393A382" w14:textId="07ED690C" w:rsidR="00FC59A2" w:rsidRDefault="00FC59A2" w:rsidP="00AB36B2">
                      <w:pPr>
                        <w:pStyle w:val="CGC2025QuestionNumbers"/>
                        <w:rPr>
                          <w:lang w:eastAsia="en-AU"/>
                        </w:rPr>
                      </w:pPr>
                      <w:r>
                        <w:rPr>
                          <w:lang w:eastAsia="en-AU"/>
                        </w:rPr>
                        <w:t xml:space="preserve">Do states agree that an annual </w:t>
                      </w:r>
                      <w:r w:rsidR="00392F53">
                        <w:rPr>
                          <w:lang w:eastAsia="en-AU"/>
                        </w:rPr>
                        <w:t xml:space="preserve">MADIP-based </w:t>
                      </w:r>
                      <w:r>
                        <w:rPr>
                          <w:lang w:eastAsia="en-AU"/>
                        </w:rPr>
                        <w:t>measure of socio</w:t>
                      </w:r>
                      <w:r>
                        <w:rPr>
                          <w:lang w:eastAsia="en-AU"/>
                        </w:rPr>
                        <w:noBreakHyphen/>
                        <w:t xml:space="preserve">economic status </w:t>
                      </w:r>
                      <w:r w:rsidR="00392F53">
                        <w:rPr>
                          <w:lang w:eastAsia="en-AU"/>
                        </w:rPr>
                        <w:t>for non-Indigenous people</w:t>
                      </w:r>
                      <w:r w:rsidR="00F26ECF">
                        <w:rPr>
                          <w:lang w:eastAsia="en-AU"/>
                        </w:rPr>
                        <w:t xml:space="preserve"> has the potential for a more contemporaneous assessment</w:t>
                      </w:r>
                      <w:r>
                        <w:rPr>
                          <w:lang w:eastAsia="en-AU"/>
                        </w:rPr>
                        <w:t xml:space="preserve">? </w:t>
                      </w:r>
                    </w:p>
                  </w:txbxContent>
                </v:textbox>
                <w10:anchorlock/>
              </v:rect>
            </w:pict>
          </mc:Fallback>
        </mc:AlternateContent>
      </w:r>
    </w:p>
    <w:p w14:paraId="6FBD1D30" w14:textId="77777777" w:rsidR="00FC59A2" w:rsidRDefault="00FC59A2" w:rsidP="00AF4A97">
      <w:pPr>
        <w:pStyle w:val="Heading3"/>
        <w:keepNext/>
      </w:pPr>
      <w:bookmarkStart w:id="23" w:name="_Toc121741490"/>
      <w:bookmarkStart w:id="24" w:name="_Toc138155438"/>
      <w:r>
        <w:lastRenderedPageBreak/>
        <w:t>Is the 2021 census a reliable indicator of socio-economic status?</w:t>
      </w:r>
      <w:bookmarkEnd w:id="24"/>
    </w:p>
    <w:p w14:paraId="4515A283" w14:textId="397A0652" w:rsidR="00FC59A2" w:rsidRPr="004D223A" w:rsidRDefault="00834183" w:rsidP="00AF4A97">
      <w:pPr>
        <w:pStyle w:val="CGC2025ParaNumbers"/>
        <w:keepNext/>
      </w:pPr>
      <w:r w:rsidRPr="004D223A">
        <w:t>If</w:t>
      </w:r>
      <w:r w:rsidR="00FC59A2" w:rsidRPr="004D223A">
        <w:t xml:space="preserve"> the Commission does not adopt an annual measure of socio</w:t>
      </w:r>
      <w:r w:rsidR="005E40BA" w:rsidRPr="004D223A">
        <w:noBreakHyphen/>
      </w:r>
      <w:r w:rsidR="00FC59A2" w:rsidRPr="004D223A">
        <w:t>economic status, it will be important to know whether lockdowns affected 2021</w:t>
      </w:r>
      <w:r w:rsidR="005E40BA" w:rsidRPr="004D223A">
        <w:t> </w:t>
      </w:r>
      <w:r w:rsidR="00FC59A2" w:rsidRPr="004D223A">
        <w:t>SEIFA.</w:t>
      </w:r>
    </w:p>
    <w:p w14:paraId="6A0860F7" w14:textId="38153A35" w:rsidR="00FC59A2" w:rsidRPr="004D223A" w:rsidRDefault="00FC59A2" w:rsidP="00AB36B2">
      <w:pPr>
        <w:pStyle w:val="CGC2025ParaNumbers"/>
      </w:pPr>
      <w:r w:rsidRPr="004D223A">
        <w:t>To test this, the Commission used the ABS’s labour force survey to produce quarterly estimates of the average SEIFA score in each state. This approach tracks change</w:t>
      </w:r>
      <w:r w:rsidR="00834183">
        <w:t>s</w:t>
      </w:r>
      <w:r w:rsidRPr="004D223A">
        <w:t xml:space="preserve"> in the employment, </w:t>
      </w:r>
      <w:proofErr w:type="gramStart"/>
      <w:r w:rsidRPr="004D223A">
        <w:t>education</w:t>
      </w:r>
      <w:proofErr w:type="gramEnd"/>
      <w:r w:rsidRPr="004D223A">
        <w:t xml:space="preserve"> and some family variables from SEIFA. While employment patterns during lockdown were different to those outside lockdown periods, this did not affect the specific variables used in SEIFA. There are no identifiable differences in the average SEIFA score of any states in August 2021 compared to other periods (</w:t>
      </w:r>
      <w:r w:rsidR="00EF6128" w:rsidRPr="004D223A">
        <w:fldChar w:fldCharType="begin"/>
      </w:r>
      <w:r w:rsidR="00EF6128" w:rsidRPr="004D223A">
        <w:instrText xml:space="preserve"> REF _Ref135303502 \h </w:instrText>
      </w:r>
      <w:r w:rsidR="00AB36B2">
        <w:instrText xml:space="preserve"> \* MERGEFORMAT </w:instrText>
      </w:r>
      <w:r w:rsidR="00EF6128" w:rsidRPr="004D223A">
        <w:fldChar w:fldCharType="separate"/>
      </w:r>
      <w:r w:rsidR="00D95B35">
        <w:t xml:space="preserve">Figure </w:t>
      </w:r>
      <w:r w:rsidR="00D95B35">
        <w:rPr>
          <w:noProof/>
        </w:rPr>
        <w:t>1</w:t>
      </w:r>
      <w:r w:rsidR="00EF6128" w:rsidRPr="004D223A">
        <w:fldChar w:fldCharType="end"/>
      </w:r>
      <w:r w:rsidRPr="004D223A">
        <w:t>). The quarterly variability during the COVID</w:t>
      </w:r>
      <w:r w:rsidR="002B28FD">
        <w:t>-19</w:t>
      </w:r>
      <w:r w:rsidRPr="004D223A">
        <w:t xml:space="preserve"> period cannot be readily distinguished from other periods. This is also true of the 8 individual indicators that make up SEIFA and that can be measured quarterly. </w:t>
      </w:r>
    </w:p>
    <w:p w14:paraId="5E7CDAB7" w14:textId="71BD0C60" w:rsidR="00FC59A2" w:rsidRPr="004D223A" w:rsidRDefault="00FC59A2" w:rsidP="00AB36B2">
      <w:pPr>
        <w:pStyle w:val="CGC2025ParaNumbers"/>
      </w:pPr>
      <w:r w:rsidRPr="004D223A">
        <w:t>Based on this analysis, the Commission considers that SEIFA data have not been significantly impacted by COVID-19</w:t>
      </w:r>
      <w:r w:rsidR="00605BDF" w:rsidRPr="004D223A">
        <w:t xml:space="preserve"> lockdowns</w:t>
      </w:r>
      <w:r w:rsidRPr="004D223A">
        <w:t>.</w:t>
      </w:r>
    </w:p>
    <w:p w14:paraId="76DF8966" w14:textId="77777777" w:rsidR="00FC59A2" w:rsidRDefault="00FC59A2" w:rsidP="00FC59A2">
      <w:pPr>
        <w:pStyle w:val="Heading2"/>
      </w:pPr>
      <w:bookmarkStart w:id="25" w:name="_Toc138155439"/>
      <w:r>
        <w:t>Proposed assessment</w:t>
      </w:r>
      <w:bookmarkEnd w:id="23"/>
      <w:bookmarkEnd w:id="25"/>
    </w:p>
    <w:p w14:paraId="78A715F9" w14:textId="23F98B9F" w:rsidR="00FC59A2" w:rsidRDefault="00FC59A2" w:rsidP="00FC59A2">
      <w:pPr>
        <w:pStyle w:val="Heading3"/>
      </w:pPr>
      <w:bookmarkStart w:id="26" w:name="_Toc121741492"/>
      <w:bookmarkStart w:id="27" w:name="_Toc121741491"/>
      <w:bookmarkStart w:id="28" w:name="_Toc138155440"/>
      <w:r>
        <w:t xml:space="preserve">Differences from </w:t>
      </w:r>
      <w:r w:rsidR="00592647">
        <w:t xml:space="preserve">the </w:t>
      </w:r>
      <w:r>
        <w:t>2020 Review approach</w:t>
      </w:r>
      <w:bookmarkEnd w:id="26"/>
      <w:bookmarkEnd w:id="28"/>
    </w:p>
    <w:p w14:paraId="3D02DE7A" w14:textId="679345D2" w:rsidR="00FC59A2" w:rsidRPr="004D223A" w:rsidRDefault="005F4890" w:rsidP="00AB36B2">
      <w:pPr>
        <w:pStyle w:val="CGC2025ParaNumbers"/>
      </w:pPr>
      <w:r w:rsidRPr="004D223A">
        <w:t xml:space="preserve">The </w:t>
      </w:r>
      <w:r w:rsidR="00FC59A2" w:rsidRPr="004D223A">
        <w:t>Commission</w:t>
      </w:r>
      <w:r w:rsidRPr="004D223A">
        <w:t xml:space="preserve">’s preliminary view </w:t>
      </w:r>
      <w:r w:rsidR="004A2A5B" w:rsidRPr="004D223A">
        <w:t xml:space="preserve">is to </w:t>
      </w:r>
      <w:r w:rsidR="00FC59A2" w:rsidRPr="004D223A">
        <w:t xml:space="preserve">change the assessment of socio-economic status to use an annual measure </w:t>
      </w:r>
      <w:r w:rsidR="00FE1326" w:rsidRPr="004D223A">
        <w:t xml:space="preserve">for the non-Indigenous population using data </w:t>
      </w:r>
      <w:r w:rsidR="00FC59A2" w:rsidRPr="004D223A">
        <w:t xml:space="preserve">from MADIP. </w:t>
      </w:r>
    </w:p>
    <w:p w14:paraId="321DD340" w14:textId="38D2EF23" w:rsidR="00FC59A2" w:rsidRPr="004D223A" w:rsidRDefault="00FC59A2" w:rsidP="00AB36B2">
      <w:pPr>
        <w:pStyle w:val="CGC2025ParaNumbers"/>
      </w:pPr>
      <w:r w:rsidRPr="004D223A">
        <w:t xml:space="preserve">Socio-economic status of an area will continue to be used as under the 2020 Review methods. It will continue to be classified into one of 5 quintiles. Only the way it is calculated </w:t>
      </w:r>
      <w:r w:rsidR="002B623E" w:rsidRPr="004D223A">
        <w:t xml:space="preserve">for the non-Indigenous </w:t>
      </w:r>
      <w:r w:rsidR="00DF1EF1" w:rsidRPr="004D223A">
        <w:t xml:space="preserve">population </w:t>
      </w:r>
      <w:r w:rsidRPr="004D223A">
        <w:t xml:space="preserve">would be changed. </w:t>
      </w:r>
    </w:p>
    <w:p w14:paraId="3D3E0B6D" w14:textId="77777777" w:rsidR="00FC59A2" w:rsidRDefault="00FC59A2" w:rsidP="00FC59A2">
      <w:pPr>
        <w:pStyle w:val="Heading3"/>
      </w:pPr>
      <w:bookmarkStart w:id="29" w:name="_Toc121741493"/>
      <w:bookmarkStart w:id="30" w:name="_Toc138155441"/>
      <w:bookmarkEnd w:id="27"/>
      <w:r>
        <w:t>New data requirements</w:t>
      </w:r>
      <w:bookmarkEnd w:id="30"/>
    </w:p>
    <w:p w14:paraId="104931E3" w14:textId="1613240D" w:rsidR="00FC59A2" w:rsidRPr="004D223A" w:rsidRDefault="00FC59A2" w:rsidP="00AB36B2">
      <w:pPr>
        <w:pStyle w:val="CGC2025ParaNumbers"/>
      </w:pPr>
      <w:r w:rsidRPr="004D223A">
        <w:t>No new data are required from states. The Commission has used the 2016 based MADIP for its exploratory work</w:t>
      </w:r>
      <w:r w:rsidR="009826D0">
        <w:t>.</w:t>
      </w:r>
      <w:r w:rsidRPr="004D223A">
        <w:t xml:space="preserve"> </w:t>
      </w:r>
      <w:r w:rsidR="009826D0">
        <w:t xml:space="preserve">It </w:t>
      </w:r>
      <w:r w:rsidRPr="004D223A">
        <w:t xml:space="preserve">intends to replicate these methods using the 2021 based MADIP for each year in the period of the 2025 Review. </w:t>
      </w:r>
    </w:p>
    <w:p w14:paraId="677AE384" w14:textId="77777777" w:rsidR="00802195" w:rsidRDefault="00802195">
      <w:pPr>
        <w:tabs>
          <w:tab w:val="clear" w:pos="567"/>
        </w:tabs>
        <w:spacing w:before="0" w:after="200" w:line="276" w:lineRule="auto"/>
        <w:rPr>
          <w:rFonts w:ascii="Work Sans" w:eastAsia="Times New Roman" w:hAnsi="Work Sans" w:cs="Open Sans"/>
          <w:b/>
          <w:bCs/>
          <w:color w:val="006991"/>
          <w:sz w:val="36"/>
          <w:szCs w:val="36"/>
        </w:rPr>
      </w:pPr>
      <w:r>
        <w:br w:type="page"/>
      </w:r>
    </w:p>
    <w:p w14:paraId="630B8A69" w14:textId="2E9A1095" w:rsidR="00FC59A2" w:rsidRDefault="00FC59A2" w:rsidP="00FC59A2">
      <w:pPr>
        <w:pStyle w:val="Heading2"/>
      </w:pPr>
      <w:bookmarkStart w:id="31" w:name="_Toc138155442"/>
      <w:r>
        <w:lastRenderedPageBreak/>
        <w:t>Consultation</w:t>
      </w:r>
      <w:bookmarkEnd w:id="29"/>
      <w:bookmarkEnd w:id="31"/>
    </w:p>
    <w:p w14:paraId="2E162D2A" w14:textId="0707FAFC" w:rsidR="00471D79" w:rsidRDefault="00FC59A2" w:rsidP="00802195">
      <w:pPr>
        <w:pStyle w:val="CGC2025ParaNumbers"/>
      </w:pPr>
      <w:bookmarkStart w:id="32" w:name="_Hlk121314611"/>
      <w:r w:rsidRPr="004D223A">
        <w:t>The Commission welcomes state views on the consultation question</w:t>
      </w:r>
      <w:r w:rsidR="00E431E9">
        <w:t xml:space="preserve"> identified</w:t>
      </w:r>
      <w:r w:rsidRPr="004D223A">
        <w:t xml:space="preserve"> in this paper (</w:t>
      </w:r>
      <w:r w:rsidR="00E431E9">
        <w:t>outlined</w:t>
      </w:r>
      <w:r w:rsidRPr="004D223A">
        <w:t xml:space="preserve"> below) and the proposed assessment. State </w:t>
      </w:r>
      <w:r w:rsidR="00BE64E4">
        <w:t>submissions</w:t>
      </w:r>
      <w:r w:rsidRPr="004D223A">
        <w:t xml:space="preserve"> should </w:t>
      </w:r>
      <w:r w:rsidR="0060747A" w:rsidRPr="004D223A">
        <w:t xml:space="preserve">accord </w:t>
      </w:r>
      <w:r w:rsidRPr="004D223A">
        <w:t>with the 2025 Review framework. States are welcome to raise other relevant issues with the Commission.</w:t>
      </w:r>
      <w:bookmarkStart w:id="33" w:name="Content"/>
      <w:bookmarkEnd w:id="32"/>
      <w:bookmarkEnd w:id="33"/>
    </w:p>
    <w:p w14:paraId="0FDB1F6B" w14:textId="21056E8E" w:rsidR="00802195" w:rsidRDefault="00802195" w:rsidP="00802195">
      <w:pPr>
        <w:pStyle w:val="CGC2025ParaNumbers"/>
        <w:numPr>
          <w:ilvl w:val="0"/>
          <w:numId w:val="0"/>
        </w:numPr>
      </w:pPr>
      <w:r w:rsidRPr="001C4DF3">
        <w:rPr>
          <w:noProof/>
        </w:rPr>
        <mc:AlternateContent>
          <mc:Choice Requires="wps">
            <w:drawing>
              <wp:inline distT="0" distB="0" distL="0" distR="0" wp14:anchorId="686EEF56" wp14:editId="52B945DC">
                <wp:extent cx="5688965" cy="787400"/>
                <wp:effectExtent l="0" t="0" r="6985" b="0"/>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88965" cy="787400"/>
                        </a:xfrm>
                        <a:prstGeom prst="rect">
                          <a:avLst/>
                        </a:prstGeom>
                        <a:solidFill>
                          <a:srgbClr val="EBF3F5"/>
                        </a:solidFill>
                        <a:ln w="25400" cap="flat" cmpd="sng" algn="ctr">
                          <a:noFill/>
                          <a:prstDash val="solid"/>
                        </a:ln>
                        <a:effectLst/>
                      </wps:spPr>
                      <wps:txbx>
                        <w:txbxContent>
                          <w:p w14:paraId="55546076" w14:textId="77777777" w:rsidR="00802195" w:rsidRDefault="00802195" w:rsidP="00802195">
                            <w:pPr>
                              <w:pStyle w:val="CGC2025Questionsnumbers2"/>
                              <w:rPr>
                                <w:lang w:eastAsia="en-AU"/>
                              </w:rPr>
                            </w:pPr>
                            <w:r>
                              <w:rPr>
                                <w:lang w:eastAsia="en-AU"/>
                              </w:rPr>
                              <w:t>Do states agree that an annual MADIP-based measure of socio</w:t>
                            </w:r>
                            <w:r>
                              <w:rPr>
                                <w:lang w:eastAsia="en-AU"/>
                              </w:rPr>
                              <w:noBreakHyphen/>
                              <w:t>economic status for non-</w:t>
                            </w:r>
                            <w:r w:rsidRPr="00802195">
                              <w:t>Indigenous</w:t>
                            </w:r>
                            <w:r>
                              <w:rPr>
                                <w:lang w:eastAsia="en-AU"/>
                              </w:rPr>
                              <w:t xml:space="preserve"> people has the potential for a more contemporaneous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6EEF56" id="Rectangle 12" o:spid="_x0000_s1030" alt="&quot;&quot;" style="width:447.95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" fillcolor="#ebf3f5" stroked="f" strokeweight="2pt">
                <v:textbox>
                  <w:txbxContent>
                    <w:p w14:paraId="55546076" w14:textId="77777777" w:rsidR="00802195" w:rsidRDefault="00802195" w:rsidP="00802195">
                      <w:pPr>
                        <w:pStyle w:val="CGC2025Questionsnumbers2"/>
                        <w:rPr>
                          <w:lang w:eastAsia="en-AU"/>
                        </w:rPr>
                      </w:pPr>
                      <w:r>
                        <w:rPr>
                          <w:lang w:eastAsia="en-AU"/>
                        </w:rPr>
                        <w:t>Do states agree that an annual MADIP-based measure of socio</w:t>
                      </w:r>
                      <w:r>
                        <w:rPr>
                          <w:lang w:eastAsia="en-AU"/>
                        </w:rPr>
                        <w:noBreakHyphen/>
                        <w:t>economic status for non-</w:t>
                      </w:r>
                      <w:r w:rsidRPr="00802195">
                        <w:t>Indigenous</w:t>
                      </w:r>
                      <w:r>
                        <w:rPr>
                          <w:lang w:eastAsia="en-AU"/>
                        </w:rPr>
                        <w:t xml:space="preserve"> people has the potential for a more contemporaneous assessment? </w:t>
                      </w:r>
                    </w:p>
                  </w:txbxContent>
                </v:textbox>
                <w10:anchorlock/>
              </v:rect>
            </w:pict>
          </mc:Fallback>
        </mc:AlternateContent>
      </w:r>
    </w:p>
    <w:p w14:paraId="27D60931" w14:textId="77777777" w:rsidR="00802195" w:rsidRDefault="00802195">
      <w:pPr>
        <w:tabs>
          <w:tab w:val="clear" w:pos="567"/>
        </w:tabs>
        <w:spacing w:before="0" w:after="200" w:line="276" w:lineRule="auto"/>
        <w:rPr>
          <w:rFonts w:ascii="Work Sans" w:eastAsia="Times New Roman" w:hAnsi="Work Sans" w:cs="Open Sans"/>
          <w:b/>
          <w:bCs/>
          <w:color w:val="006991"/>
          <w:sz w:val="36"/>
          <w:szCs w:val="36"/>
        </w:rPr>
      </w:pPr>
      <w:r>
        <w:br w:type="page"/>
      </w:r>
    </w:p>
    <w:p w14:paraId="31B63877" w14:textId="7077326A" w:rsidR="00FC59A2" w:rsidRDefault="00FC59A2" w:rsidP="00AF4A97">
      <w:pPr>
        <w:pStyle w:val="Heading2"/>
        <w:keepNext/>
      </w:pPr>
      <w:bookmarkStart w:id="34" w:name="_Toc138155443"/>
      <w:r>
        <w:lastRenderedPageBreak/>
        <w:t xml:space="preserve">Appendix 1: </w:t>
      </w:r>
      <w:r w:rsidRPr="00BE6047">
        <w:rPr>
          <w:b w:val="0"/>
          <w:bCs w:val="0"/>
        </w:rPr>
        <w:t>An area-based measure of socio</w:t>
      </w:r>
      <w:r w:rsidR="000645D1" w:rsidRPr="00BE6047">
        <w:rPr>
          <w:b w:val="0"/>
          <w:bCs w:val="0"/>
        </w:rPr>
        <w:noBreakHyphen/>
      </w:r>
      <w:r w:rsidRPr="00BE6047">
        <w:rPr>
          <w:b w:val="0"/>
          <w:bCs w:val="0"/>
        </w:rPr>
        <w:t>economic status from MADIP</w:t>
      </w:r>
      <w:bookmarkEnd w:id="34"/>
      <w:r>
        <w:t xml:space="preserve"> </w:t>
      </w:r>
    </w:p>
    <w:p w14:paraId="36A0F829" w14:textId="77777777" w:rsidR="00FC59A2" w:rsidRPr="006B052C" w:rsidRDefault="00FC59A2" w:rsidP="00AF4A97">
      <w:pPr>
        <w:pStyle w:val="Heading3"/>
        <w:keepNext/>
      </w:pPr>
      <w:bookmarkStart w:id="35" w:name="_Hlk128484801"/>
      <w:bookmarkStart w:id="36" w:name="_Toc138155444"/>
      <w:r>
        <w:t>Is an annual measure of socio-economic status available?</w:t>
      </w:r>
      <w:bookmarkEnd w:id="36"/>
    </w:p>
    <w:bookmarkEnd w:id="35"/>
    <w:p w14:paraId="585D08F2" w14:textId="720DCA89" w:rsidR="00FC59A2" w:rsidRPr="004D223A" w:rsidRDefault="00FC59A2" w:rsidP="00AB36B2">
      <w:pPr>
        <w:pStyle w:val="CGC2025ParaNumbers"/>
      </w:pPr>
      <w:r w:rsidRPr="004D223A">
        <w:t>Socio-economic status can vary significantly within the 5</w:t>
      </w:r>
      <w:r w:rsidRPr="004D223A">
        <w:noBreakHyphen/>
        <w:t xml:space="preserve">year life of the SEIFA indexes. The Commission has examined whether data available through MADIP can produce a reliable measure of socio-economic status for small areas. </w:t>
      </w:r>
    </w:p>
    <w:p w14:paraId="042D13C5" w14:textId="77777777" w:rsidR="00FC59A2" w:rsidRPr="004D223A" w:rsidRDefault="00FC59A2" w:rsidP="00AB36B2">
      <w:pPr>
        <w:pStyle w:val="CGC2025ParaNumbers"/>
      </w:pPr>
      <w:r w:rsidRPr="004D223A">
        <w:t xml:space="preserve">The Commission has identified 2 criteria that any possible measures should meet. </w:t>
      </w:r>
    </w:p>
    <w:p w14:paraId="505C169A" w14:textId="49C86249" w:rsidR="00FC59A2" w:rsidRDefault="00FC59A2" w:rsidP="00AB36B2">
      <w:pPr>
        <w:pStyle w:val="CGC2025Bullet1"/>
      </w:pPr>
      <w:r>
        <w:t xml:space="preserve">They need to draw on sufficiently prevalent attributes </w:t>
      </w:r>
      <w:r w:rsidR="003F3668">
        <w:t>t</w:t>
      </w:r>
      <w:r>
        <w:t xml:space="preserve">o produce reliable measures. Very rare </w:t>
      </w:r>
      <w:r w:rsidR="00132373">
        <w:t xml:space="preserve">attributes </w:t>
      </w:r>
      <w:r>
        <w:t>are subject to high levels of random volatility, and therefore cannot reliably reflect levels of disadvantage.</w:t>
      </w:r>
    </w:p>
    <w:p w14:paraId="77DBE7F6" w14:textId="77777777" w:rsidR="00FC59A2" w:rsidRDefault="00FC59A2" w:rsidP="00AB36B2">
      <w:pPr>
        <w:pStyle w:val="CGC2025Bullet1"/>
      </w:pPr>
      <w:r>
        <w:t xml:space="preserve">They must not reflect accessibility of service provision. For example, there are measures of poor health outcomes identifiable from Medicare data with a relationship to socio-economic status. However, use of Medicare services also varies based on proximity, </w:t>
      </w:r>
      <w:proofErr w:type="gramStart"/>
      <w:r>
        <w:t>cost</w:t>
      </w:r>
      <w:proofErr w:type="gramEnd"/>
      <w:r>
        <w:t xml:space="preserve"> and wait-time barriers to accessing bulk billing and non-bulk billing doctors, and hospital emergency departments. These barriers vary across the country, and so prevent Medicare service use from being a consistent measure of socio-economic status.</w:t>
      </w:r>
    </w:p>
    <w:p w14:paraId="4A5EB649" w14:textId="039C4183" w:rsidR="00FC59A2" w:rsidRPr="004D223A" w:rsidRDefault="00FC59A2" w:rsidP="00AB36B2">
      <w:pPr>
        <w:pStyle w:val="CGC2025ParaNumbers"/>
      </w:pPr>
      <w:r w:rsidRPr="004D223A">
        <w:t xml:space="preserve">The Commission has identified 3 measures available from MADIP </w:t>
      </w:r>
      <w:r w:rsidR="00EB74BB" w:rsidRPr="004D223A">
        <w:t xml:space="preserve">data </w:t>
      </w:r>
      <w:r w:rsidRPr="004D223A">
        <w:t>that, when taken together, appear to reliably measure socio-economic status. These are discussed individually below. Each measure is available annually and for statistical area 1</w:t>
      </w:r>
      <w:r w:rsidR="00BC12F9">
        <w:t>.</w:t>
      </w:r>
      <w:r w:rsidRPr="00BC12F9">
        <w:rPr>
          <w:rStyle w:val="FootnoteReference"/>
        </w:rPr>
        <w:footnoteReference w:id="5"/>
      </w:r>
    </w:p>
    <w:p w14:paraId="2E83FA58" w14:textId="77777777" w:rsidR="00FC59A2" w:rsidRDefault="00FC59A2" w:rsidP="00FC59A2">
      <w:pPr>
        <w:pStyle w:val="Heading4"/>
      </w:pPr>
      <w:r>
        <w:t xml:space="preserve">Population receiving selected income support </w:t>
      </w:r>
      <w:proofErr w:type="gramStart"/>
      <w:r>
        <w:t>payments</w:t>
      </w:r>
      <w:proofErr w:type="gramEnd"/>
    </w:p>
    <w:p w14:paraId="1827C40F" w14:textId="5EF8EFF4" w:rsidR="00FC59A2" w:rsidRPr="004D223A" w:rsidRDefault="00FC59A2" w:rsidP="00AB36B2">
      <w:pPr>
        <w:pStyle w:val="CGC2025ParaNumbers"/>
      </w:pPr>
      <w:r w:rsidRPr="004D223A">
        <w:t>The Commission has identified 6 income support payments that strongly correlate with other measures of disadvantage and has used those payments in its possible indicator. These payments are:</w:t>
      </w:r>
    </w:p>
    <w:p w14:paraId="48992EDE" w14:textId="77777777" w:rsidR="00FC59A2" w:rsidRPr="00F3530E" w:rsidRDefault="00FC59A2" w:rsidP="00AB36B2">
      <w:pPr>
        <w:pStyle w:val="CGC2025Bullet1"/>
      </w:pPr>
      <w:r w:rsidRPr="00F3530E">
        <w:t>Age pension</w:t>
      </w:r>
    </w:p>
    <w:p w14:paraId="37A7D610" w14:textId="77777777" w:rsidR="00FC59A2" w:rsidRPr="00F3530E" w:rsidRDefault="00FC59A2" w:rsidP="00AB36B2">
      <w:pPr>
        <w:pStyle w:val="CGC2025Bullet1"/>
      </w:pPr>
      <w:r w:rsidRPr="00F3530E">
        <w:t>Youth allowance</w:t>
      </w:r>
    </w:p>
    <w:p w14:paraId="3CCBEE5E" w14:textId="77777777" w:rsidR="00FC59A2" w:rsidRPr="00F3530E" w:rsidRDefault="00FC59A2" w:rsidP="00AB36B2">
      <w:pPr>
        <w:pStyle w:val="CGC2025Bullet1"/>
      </w:pPr>
      <w:r w:rsidRPr="00F3530E">
        <w:t>Newstart allowance</w:t>
      </w:r>
    </w:p>
    <w:p w14:paraId="76845BB8" w14:textId="77777777" w:rsidR="00FC59A2" w:rsidRPr="00F3530E" w:rsidRDefault="00FC59A2" w:rsidP="00AB36B2">
      <w:pPr>
        <w:pStyle w:val="CGC2025Bullet1"/>
      </w:pPr>
      <w:r w:rsidRPr="00F3530E">
        <w:t>Disability support pension</w:t>
      </w:r>
    </w:p>
    <w:p w14:paraId="4EBF9E4D" w14:textId="77777777" w:rsidR="00FC59A2" w:rsidRPr="00F3530E" w:rsidRDefault="00FC59A2" w:rsidP="00AB36B2">
      <w:pPr>
        <w:pStyle w:val="CGC2025Bullet1"/>
      </w:pPr>
      <w:r w:rsidRPr="00F3530E">
        <w:t xml:space="preserve">Single parent payment </w:t>
      </w:r>
    </w:p>
    <w:p w14:paraId="2828BE93" w14:textId="77777777" w:rsidR="00FC59A2" w:rsidRPr="00F3530E" w:rsidRDefault="00FC59A2" w:rsidP="00AB36B2">
      <w:pPr>
        <w:pStyle w:val="CGC2025Bullet1"/>
      </w:pPr>
      <w:r w:rsidRPr="00F3530E">
        <w:t xml:space="preserve">Partnered parent </w:t>
      </w:r>
      <w:proofErr w:type="gramStart"/>
      <w:r w:rsidRPr="00F3530E">
        <w:t>payment</w:t>
      </w:r>
      <w:proofErr w:type="gramEnd"/>
      <w:r w:rsidRPr="00F3530E">
        <w:t xml:space="preserve"> </w:t>
      </w:r>
    </w:p>
    <w:p w14:paraId="3E23D5A2" w14:textId="77777777" w:rsidR="00FC59A2" w:rsidRPr="004D223A" w:rsidRDefault="00FC59A2" w:rsidP="007E3545">
      <w:pPr>
        <w:pStyle w:val="CGC2025ParaNumbers"/>
      </w:pPr>
      <w:r w:rsidRPr="004D223A">
        <w:t xml:space="preserve">Other payments, including </w:t>
      </w:r>
      <w:proofErr w:type="spellStart"/>
      <w:r w:rsidRPr="004D223A">
        <w:t>Austudy</w:t>
      </w:r>
      <w:proofErr w:type="spellEnd"/>
      <w:r w:rsidRPr="004D223A">
        <w:t xml:space="preserve"> and family tax benefit part B, include eligibility criteria that reflect advantage, or are not strongly correlated with disadvantage. As such, these payments have not been included in the Commission’s measure.</w:t>
      </w:r>
    </w:p>
    <w:p w14:paraId="7FC78595" w14:textId="5A73C16F" w:rsidR="00FC59A2" w:rsidRPr="004D223A" w:rsidRDefault="00FC59A2" w:rsidP="007E3545">
      <w:pPr>
        <w:pStyle w:val="CGC2025ParaNumbers"/>
      </w:pPr>
      <w:r w:rsidRPr="004D223A">
        <w:t xml:space="preserve">Receipt of income support payments is strongly correlated with age. To ensure that an area is not misclassified because it has an atypical age structure, the </w:t>
      </w:r>
      <w:r w:rsidRPr="004D223A">
        <w:lastRenderedPageBreak/>
        <w:t>Commission has age standardised this, and other indicators. Its measure of the socio-economic status in an area is the number of people receiving a selected payment divided by the number that would be expected if the people in that area received those payments at the national rate for their age group</w:t>
      </w:r>
      <w:r w:rsidR="00B875C7" w:rsidRPr="004D223A">
        <w:t xml:space="preserve"> (Figure </w:t>
      </w:r>
      <w:r w:rsidR="005C1E4A">
        <w:t>A1</w:t>
      </w:r>
      <w:r w:rsidR="00B875C7" w:rsidRPr="004D223A">
        <w:t>).</w:t>
      </w:r>
    </w:p>
    <w:p w14:paraId="245CAE40" w14:textId="7C1B1658" w:rsidR="00FC59A2" w:rsidRPr="00B71DF2" w:rsidRDefault="00313CE0" w:rsidP="009F605E">
      <w:pPr>
        <w:pStyle w:val="CGC2025Caption"/>
        <w:keepNext/>
        <w:ind w:left="1134" w:hanging="1134"/>
      </w:pPr>
      <w:r>
        <w:t xml:space="preserve">Figure </w:t>
      </w:r>
      <w:r w:rsidR="005C1E4A">
        <w:t>A1</w:t>
      </w:r>
      <w:r w:rsidR="00FC59A2">
        <w:tab/>
      </w:r>
      <w:r w:rsidR="00FC59A2" w:rsidRPr="00B71DF2">
        <w:t xml:space="preserve">Population receiving selected </w:t>
      </w:r>
      <w:r w:rsidR="00FC59A2">
        <w:t>income support</w:t>
      </w:r>
      <w:r w:rsidR="00FC59A2" w:rsidRPr="00B71DF2">
        <w:t xml:space="preserve"> payments by SEIFA quintile and </w:t>
      </w:r>
      <w:proofErr w:type="gramStart"/>
      <w:r w:rsidR="00FC59A2" w:rsidRPr="00B71DF2">
        <w:t>age</w:t>
      </w:r>
      <w:proofErr w:type="gramEnd"/>
    </w:p>
    <w:p w14:paraId="12959050" w14:textId="703FABC5" w:rsidR="00FC59A2" w:rsidRPr="002664BB" w:rsidRDefault="00AE43B9" w:rsidP="00687868">
      <w:pPr>
        <w:pStyle w:val="CGC2025Caption"/>
        <w:keepNext/>
      </w:pPr>
      <w:r w:rsidRPr="00AE43B9">
        <w:rPr>
          <w:noProof/>
        </w:rPr>
        <w:drawing>
          <wp:inline distT="0" distB="0" distL="0" distR="0" wp14:anchorId="45CF80A9" wp14:editId="1FCC0099">
            <wp:extent cx="5664835" cy="35744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64835" cy="3574415"/>
                    </a:xfrm>
                    <a:prstGeom prst="rect">
                      <a:avLst/>
                    </a:prstGeom>
                    <a:noFill/>
                    <a:ln>
                      <a:noFill/>
                    </a:ln>
                  </pic:spPr>
                </pic:pic>
              </a:graphicData>
            </a:graphic>
          </wp:inline>
        </w:drawing>
      </w:r>
    </w:p>
    <w:p w14:paraId="51175628" w14:textId="6B722CEA" w:rsidR="00705D81" w:rsidRDefault="00705D81" w:rsidP="003215A9">
      <w:pPr>
        <w:pStyle w:val="CGC2025TableNote"/>
      </w:pPr>
      <w:r>
        <w:t>Source</w:t>
      </w:r>
      <w:r w:rsidRPr="003F1F10">
        <w:t>:</w:t>
      </w:r>
      <w:r w:rsidRPr="003F1F10">
        <w:tab/>
        <w:t>Commission calculation</w:t>
      </w:r>
      <w:r w:rsidR="007A4318">
        <w:t xml:space="preserve"> using</w:t>
      </w:r>
      <w:r w:rsidR="004A1AE1">
        <w:t xml:space="preserve"> </w:t>
      </w:r>
      <w:r w:rsidR="004A3767">
        <w:t xml:space="preserve">social security data from </w:t>
      </w:r>
      <w:r>
        <w:t>MADIP</w:t>
      </w:r>
      <w:r w:rsidR="007A4318">
        <w:t>.</w:t>
      </w:r>
    </w:p>
    <w:p w14:paraId="0ECE1658" w14:textId="6D14C6B1" w:rsidR="00FC59A2" w:rsidRDefault="00FC59A2" w:rsidP="00FC59A2">
      <w:pPr>
        <w:pStyle w:val="Heading4"/>
      </w:pPr>
      <w:r>
        <w:t xml:space="preserve">Population receiving prescription medication for alimentary tract and metabolism related </w:t>
      </w:r>
      <w:proofErr w:type="gramStart"/>
      <w:r>
        <w:t>disorders</w:t>
      </w:r>
      <w:proofErr w:type="gramEnd"/>
      <w:r>
        <w:t xml:space="preserve"> </w:t>
      </w:r>
    </w:p>
    <w:p w14:paraId="133BFA2D" w14:textId="4EBCA148" w:rsidR="00FC59A2" w:rsidRPr="004D223A" w:rsidRDefault="00FC59A2" w:rsidP="007E3545">
      <w:pPr>
        <w:pStyle w:val="CGC2025ParaNumbers"/>
      </w:pPr>
      <w:r w:rsidRPr="004D223A">
        <w:t>Drugs for alimentary tract and metabolism related disorders includes</w:t>
      </w:r>
      <w:r w:rsidR="001F6B25" w:rsidRPr="004D223A">
        <w:t xml:space="preserve"> </w:t>
      </w:r>
      <w:r w:rsidRPr="004D223A">
        <w:t xml:space="preserve">medications for diabetes and other lifestyle related conditions that are recognised </w:t>
      </w:r>
      <w:r w:rsidR="00B3588F" w:rsidRPr="004D223A">
        <w:t xml:space="preserve">in the literature </w:t>
      </w:r>
      <w:r w:rsidRPr="004D223A">
        <w:t>to have a strong relationship with socio-economic status</w:t>
      </w:r>
      <w:r w:rsidR="007E3545">
        <w:t>.</w:t>
      </w:r>
      <w:r w:rsidR="00320AB0" w:rsidRPr="007E3545">
        <w:rPr>
          <w:rStyle w:val="FootnoteReference"/>
        </w:rPr>
        <w:footnoteReference w:id="6"/>
      </w:r>
      <w:r w:rsidRPr="004D223A">
        <w:t xml:space="preserve"> </w:t>
      </w:r>
    </w:p>
    <w:p w14:paraId="7EF93968" w14:textId="6FF8C729" w:rsidR="00FC59A2" w:rsidRPr="004D223A" w:rsidRDefault="00FC59A2" w:rsidP="007E3545">
      <w:pPr>
        <w:pStyle w:val="CGC2025ParaNumbers"/>
      </w:pPr>
      <w:r w:rsidRPr="004D223A">
        <w:t>As with income support payments, there is a strong relationship with age. At very young ages and very old ages, the relationship with socio-economic status decreases. At young ages, lifestyle</w:t>
      </w:r>
      <w:r w:rsidR="00B31D12" w:rsidRPr="004D223A">
        <w:t>-</w:t>
      </w:r>
      <w:r w:rsidRPr="004D223A">
        <w:t>related drivers become less important as determinants of the conditions treated by these drugs. The optimal indicator appears to be using the age standardised prescription rate among people aged 35</w:t>
      </w:r>
      <w:r w:rsidR="00E837F1">
        <w:t> </w:t>
      </w:r>
      <w:r w:rsidRPr="004D223A">
        <w:t>to</w:t>
      </w:r>
      <w:r w:rsidR="00E837F1">
        <w:t> </w:t>
      </w:r>
      <w:r w:rsidRPr="004D223A">
        <w:t xml:space="preserve">64 </w:t>
      </w:r>
      <w:r w:rsidR="002B1595" w:rsidRPr="004D223A">
        <w:t xml:space="preserve">(Figure </w:t>
      </w:r>
      <w:r w:rsidR="00647C90">
        <w:t>A2</w:t>
      </w:r>
      <w:r w:rsidR="002B1595" w:rsidRPr="004D223A">
        <w:t>)</w:t>
      </w:r>
      <w:r w:rsidR="007102F0">
        <w:t>.</w:t>
      </w:r>
    </w:p>
    <w:p w14:paraId="3A1C394D" w14:textId="20A4404C" w:rsidR="00FC59A2" w:rsidRPr="004D223A" w:rsidRDefault="00FC59A2" w:rsidP="007E3545">
      <w:pPr>
        <w:pStyle w:val="CGC2025ParaNumbers"/>
      </w:pPr>
      <w:r w:rsidRPr="004D223A">
        <w:t xml:space="preserve">There should be minimal bias from differential access or ability to pay for these prescriptions. This is because access to the Pharmaceutical Benefits Scheme is </w:t>
      </w:r>
      <w:r w:rsidRPr="004D223A">
        <w:lastRenderedPageBreak/>
        <w:t>universal, regardless of whether a prescription is generated through a general practitioner, a hospital or other health setting.</w:t>
      </w:r>
      <w:r w:rsidR="00647C90" w:rsidRPr="00865B65">
        <w:rPr>
          <w:rStyle w:val="FootnoteReference"/>
        </w:rPr>
        <w:footnoteReference w:id="7"/>
      </w:r>
    </w:p>
    <w:p w14:paraId="67CF15D0" w14:textId="796380F6" w:rsidR="00FC59A2" w:rsidRPr="00B71DF2" w:rsidRDefault="00313CE0" w:rsidP="009F605E">
      <w:pPr>
        <w:pStyle w:val="CGC2025Caption"/>
        <w:keepNext/>
        <w:ind w:left="1134" w:hanging="1134"/>
      </w:pPr>
      <w:r>
        <w:t xml:space="preserve">Figure </w:t>
      </w:r>
      <w:r w:rsidR="00647C90">
        <w:t>A2</w:t>
      </w:r>
      <w:r w:rsidR="00FC59A2">
        <w:tab/>
      </w:r>
      <w:r w:rsidR="00FC59A2" w:rsidRPr="00B71DF2">
        <w:t xml:space="preserve">Population proportion prescribed </w:t>
      </w:r>
      <w:r w:rsidR="00FC59A2">
        <w:t xml:space="preserve">alimentary canal and </w:t>
      </w:r>
      <w:r w:rsidR="00FC59A2" w:rsidRPr="00B71DF2">
        <w:t xml:space="preserve">metabolic drugs by SEIFA quintile and </w:t>
      </w:r>
      <w:proofErr w:type="gramStart"/>
      <w:r w:rsidR="00FC59A2" w:rsidRPr="00B71DF2">
        <w:t>age</w:t>
      </w:r>
      <w:proofErr w:type="gramEnd"/>
    </w:p>
    <w:p w14:paraId="0E84BA69" w14:textId="1A2511D5" w:rsidR="00FC59A2" w:rsidRDefault="00EF6328" w:rsidP="00687868">
      <w:pPr>
        <w:pStyle w:val="CGC2025Caption"/>
        <w:keepNext/>
      </w:pPr>
      <w:r w:rsidRPr="00EF6328">
        <w:rPr>
          <w:noProof/>
        </w:rPr>
        <w:drawing>
          <wp:inline distT="0" distB="0" distL="0" distR="0" wp14:anchorId="60AA8330" wp14:editId="3A09844B">
            <wp:extent cx="5664835" cy="35744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4835" cy="3574415"/>
                    </a:xfrm>
                    <a:prstGeom prst="rect">
                      <a:avLst/>
                    </a:prstGeom>
                    <a:noFill/>
                    <a:ln>
                      <a:noFill/>
                    </a:ln>
                  </pic:spPr>
                </pic:pic>
              </a:graphicData>
            </a:graphic>
          </wp:inline>
        </w:drawing>
      </w:r>
    </w:p>
    <w:p w14:paraId="2E400C55" w14:textId="23C749BB" w:rsidR="007A4318" w:rsidRDefault="007A4318" w:rsidP="003215A9">
      <w:pPr>
        <w:pStyle w:val="CGC2025TableNote"/>
      </w:pPr>
      <w:r>
        <w:t>Source</w:t>
      </w:r>
      <w:r w:rsidRPr="003F1F10">
        <w:t>:</w:t>
      </w:r>
      <w:r w:rsidRPr="003F1F10">
        <w:tab/>
        <w:t>Commission calculation</w:t>
      </w:r>
      <w:r>
        <w:t xml:space="preserve"> using</w:t>
      </w:r>
      <w:r w:rsidR="00955DB7">
        <w:t xml:space="preserve"> </w:t>
      </w:r>
      <w:r w:rsidR="00A06B98">
        <w:t>Pharmaceutical</w:t>
      </w:r>
      <w:r w:rsidR="00955DB7">
        <w:t xml:space="preserve"> Benefits Scheme data </w:t>
      </w:r>
      <w:r w:rsidR="00A06B98">
        <w:t xml:space="preserve">in </w:t>
      </w:r>
      <w:r>
        <w:t>MADIP</w:t>
      </w:r>
      <w:r w:rsidR="00A06B98">
        <w:t>.</w:t>
      </w:r>
    </w:p>
    <w:p w14:paraId="14F00C90" w14:textId="77777777" w:rsidR="00FC59A2" w:rsidRDefault="00FC59A2" w:rsidP="00FC59A2">
      <w:pPr>
        <w:pStyle w:val="Heading4"/>
      </w:pPr>
      <w:r>
        <w:t>Couple income over $200,000 per annum</w:t>
      </w:r>
    </w:p>
    <w:p w14:paraId="581EAF8D" w14:textId="069E4889" w:rsidR="00FC59A2" w:rsidRPr="004D223A" w:rsidRDefault="00FC59A2" w:rsidP="007E3545">
      <w:pPr>
        <w:pStyle w:val="CGC2025ParaNumbers"/>
      </w:pPr>
      <w:r w:rsidRPr="004D223A">
        <w:t xml:space="preserve">Socio-economic determinants of health are not simply about the prevalence of disadvantage in a community. Socio-economic status is a continuum, and the incidence of poor health and other outcomes gradually decreases with increasing income, or education or any other aspect of socio-economic status. An area with a low proportion of high-income earners has lower socio-economic status than an area with a high proportion. Because many low-income earners are not required to submit tax returns, Australian Taxation Office data are not effective at measuring low socio-economic status. However, they are effective at distinguishing between medium and higher levels of socio-economic status. </w:t>
      </w:r>
    </w:p>
    <w:p w14:paraId="2C4199C1" w14:textId="2516A493" w:rsidR="00FC59A2" w:rsidRPr="004D223A" w:rsidRDefault="00FC59A2" w:rsidP="007E3545">
      <w:pPr>
        <w:pStyle w:val="CGC2025ParaNumbers"/>
      </w:pPr>
      <w:r w:rsidRPr="004D223A">
        <w:t>The Commission has found that couple income</w:t>
      </w:r>
      <w:r w:rsidR="008E4D98">
        <w:t xml:space="preserve"> </w:t>
      </w:r>
      <w:r w:rsidRPr="004D223A">
        <w:t>is more strongly correlated with other measures of socio-economic status than personal income.</w:t>
      </w:r>
      <w:r w:rsidRPr="00600EF4">
        <w:rPr>
          <w:rStyle w:val="FootnoteReference"/>
        </w:rPr>
        <w:t xml:space="preserve"> </w:t>
      </w:r>
      <w:r w:rsidR="00600EF4" w:rsidRPr="007E3545">
        <w:rPr>
          <w:rStyle w:val="FootnoteReference"/>
        </w:rPr>
        <w:footnoteReference w:id="8"/>
      </w:r>
      <w:r w:rsidRPr="004D223A">
        <w:t xml:space="preserve"> Dividing income into above or below $200,000 per year provides a highly effective cut-off, giving a sufficiently large sample of high-income earners, and having a strong correlation with other measures</w:t>
      </w:r>
      <w:r w:rsidR="00E94B9C" w:rsidRPr="004D223A">
        <w:t xml:space="preserve"> (Figure </w:t>
      </w:r>
      <w:r w:rsidR="00912A36">
        <w:t>A3</w:t>
      </w:r>
      <w:r w:rsidR="00E94B9C" w:rsidRPr="004D223A">
        <w:t>)</w:t>
      </w:r>
      <w:r w:rsidRPr="004D223A">
        <w:t xml:space="preserve">. </w:t>
      </w:r>
    </w:p>
    <w:p w14:paraId="6BB4394F" w14:textId="69AFD29B" w:rsidR="00FC59A2" w:rsidRDefault="00FC59A2" w:rsidP="00FC59A2">
      <w:pPr>
        <w:tabs>
          <w:tab w:val="clear" w:pos="567"/>
        </w:tabs>
        <w:spacing w:before="0" w:after="200" w:line="276" w:lineRule="auto"/>
        <w:rPr>
          <w:rFonts w:ascii="Work Sans SemiBold" w:hAnsi="Work Sans SemiBold"/>
          <w:szCs w:val="20"/>
        </w:rPr>
      </w:pPr>
    </w:p>
    <w:p w14:paraId="7C076E60" w14:textId="13F1B7E7" w:rsidR="00FC59A2" w:rsidRPr="000F3C17" w:rsidRDefault="00313CE0" w:rsidP="009F605E">
      <w:pPr>
        <w:pStyle w:val="CGC2025Caption"/>
        <w:keepNext/>
        <w:tabs>
          <w:tab w:val="left" w:pos="1134"/>
        </w:tabs>
      </w:pPr>
      <w:r>
        <w:t xml:space="preserve">Figure </w:t>
      </w:r>
      <w:r w:rsidR="00912A36">
        <w:t>A3</w:t>
      </w:r>
      <w:r w:rsidR="00FC59A2" w:rsidRPr="000F3C17">
        <w:tab/>
      </w:r>
      <w:r w:rsidR="00FC59A2" w:rsidRPr="00313CE0">
        <w:t>Couple</w:t>
      </w:r>
      <w:r w:rsidR="00FC59A2" w:rsidRPr="000F3C17">
        <w:t xml:space="preserve"> income </w:t>
      </w:r>
      <w:r w:rsidR="00FC59A2">
        <w:t>and the</w:t>
      </w:r>
      <w:r w:rsidR="00FC59A2" w:rsidRPr="000F3C17">
        <w:t xml:space="preserve"> </w:t>
      </w:r>
      <w:r w:rsidR="00FC59A2">
        <w:t xml:space="preserve">prescription </w:t>
      </w:r>
      <w:r w:rsidR="00FC59A2" w:rsidRPr="000F3C17">
        <w:t xml:space="preserve">rate </w:t>
      </w:r>
      <w:r w:rsidR="00FC59A2">
        <w:t xml:space="preserve">for </w:t>
      </w:r>
      <w:r w:rsidR="00FC59A2" w:rsidRPr="000F3C17">
        <w:t>metabolic prescriptions</w:t>
      </w:r>
    </w:p>
    <w:p w14:paraId="4422619F" w14:textId="260C6694" w:rsidR="00FC59A2" w:rsidRDefault="0080138D" w:rsidP="00FC59A2">
      <w:pPr>
        <w:pStyle w:val="CGCTablenote"/>
        <w:rPr>
          <w:rFonts w:ascii="Work Sans SemiBold" w:hAnsi="Work Sans SemiBold"/>
        </w:rPr>
      </w:pPr>
      <w:r w:rsidRPr="0080138D">
        <w:rPr>
          <w:noProof/>
        </w:rPr>
        <w:drawing>
          <wp:inline distT="0" distB="0" distL="0" distR="0" wp14:anchorId="386F0504" wp14:editId="43F4EBF1">
            <wp:extent cx="5664835" cy="35744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64835" cy="3574415"/>
                    </a:xfrm>
                    <a:prstGeom prst="rect">
                      <a:avLst/>
                    </a:prstGeom>
                    <a:noFill/>
                    <a:ln>
                      <a:noFill/>
                    </a:ln>
                  </pic:spPr>
                </pic:pic>
              </a:graphicData>
            </a:graphic>
          </wp:inline>
        </w:drawing>
      </w:r>
    </w:p>
    <w:p w14:paraId="2E691EBF" w14:textId="3C0B6F72" w:rsidR="007A4318" w:rsidRDefault="007A4318" w:rsidP="00151B0D">
      <w:pPr>
        <w:pStyle w:val="CGC2025TableNote"/>
      </w:pPr>
      <w:r>
        <w:t>Source</w:t>
      </w:r>
      <w:r w:rsidRPr="003F1F10">
        <w:t>:</w:t>
      </w:r>
      <w:r w:rsidRPr="003F1F10">
        <w:tab/>
        <w:t>Commission calculation</w:t>
      </w:r>
      <w:r>
        <w:t xml:space="preserve"> using</w:t>
      </w:r>
      <w:r w:rsidRPr="003F1F10">
        <w:t xml:space="preserve"> </w:t>
      </w:r>
      <w:r>
        <w:t>Tax office data from MADIP.</w:t>
      </w:r>
    </w:p>
    <w:p w14:paraId="7607D744" w14:textId="77777777" w:rsidR="00FC59A2" w:rsidRPr="00C819AC" w:rsidRDefault="00FC59A2" w:rsidP="00FC59A2">
      <w:pPr>
        <w:pStyle w:val="Heading4"/>
      </w:pPr>
      <w:r w:rsidRPr="00C819AC">
        <w:t xml:space="preserve">How </w:t>
      </w:r>
      <w:r>
        <w:t xml:space="preserve">proposed measures </w:t>
      </w:r>
      <w:r w:rsidRPr="00C819AC">
        <w:t xml:space="preserve">compare </w:t>
      </w:r>
      <w:r>
        <w:t>with</w:t>
      </w:r>
      <w:r w:rsidRPr="00C819AC">
        <w:t xml:space="preserve"> SEIFA in predicting </w:t>
      </w:r>
      <w:r w:rsidRPr="001F438C">
        <w:t xml:space="preserve">service </w:t>
      </w:r>
      <w:proofErr w:type="gramStart"/>
      <w:r w:rsidRPr="001F438C">
        <w:t>use</w:t>
      </w:r>
      <w:proofErr w:type="gramEnd"/>
    </w:p>
    <w:p w14:paraId="25DA48FC" w14:textId="2D49F366" w:rsidR="00FC59A2" w:rsidRPr="004D223A" w:rsidRDefault="00FC59A2" w:rsidP="00865B65">
      <w:pPr>
        <w:pStyle w:val="CGC2025ParaNumbers"/>
      </w:pPr>
      <w:r w:rsidRPr="004D223A">
        <w:t>While each of the proposed measures appears to reflect socio-economic status to some extent, it is possible to combine them using the same principal components analysis that the ABS uses to produce SEIFA. This extracts the element that all 3</w:t>
      </w:r>
      <w:r w:rsidR="008E11F2" w:rsidRPr="004D223A">
        <w:t> </w:t>
      </w:r>
      <w:r w:rsidRPr="004D223A">
        <w:t>measures have in common. Using all three measures effectively increases the sample size used to measure that concept.</w:t>
      </w:r>
    </w:p>
    <w:p w14:paraId="422EB9FF" w14:textId="77777777" w:rsidR="00FC59A2" w:rsidRPr="004D223A" w:rsidRDefault="00FC59A2" w:rsidP="00865B65">
      <w:pPr>
        <w:pStyle w:val="CGC2025ParaNumbers"/>
      </w:pPr>
      <w:r w:rsidRPr="004D223A">
        <w:t xml:space="preserve">The Commission has used 2016 data to test how well the various indicators predict socio-economic outcomes in that year. </w:t>
      </w:r>
    </w:p>
    <w:p w14:paraId="15A24C4C" w14:textId="0E13BDBE" w:rsidR="00FC59A2" w:rsidRPr="004D223A" w:rsidRDefault="00FC59A2" w:rsidP="00865B65">
      <w:pPr>
        <w:pStyle w:val="CGC2025ParaNumbers"/>
      </w:pPr>
      <w:r w:rsidRPr="004D223A">
        <w:t>MADIP contains other measures of socio-economic outcomes. Because of the small numbers of people involved, these measures are too variable to be used as indicators of socio-economic status for small areas. They are still valuable to validate the proposed indicators.</w:t>
      </w:r>
    </w:p>
    <w:p w14:paraId="0E55BF3A" w14:textId="6D04E7BD" w:rsidR="00FC59A2" w:rsidRPr="004D223A" w:rsidRDefault="00FC59A2" w:rsidP="00865B65">
      <w:pPr>
        <w:pStyle w:val="CGC2025ParaNumbers"/>
      </w:pPr>
      <w:r w:rsidRPr="004D223A">
        <w:t xml:space="preserve">The Australian Early Development Census asks teachers in the first year of full-time education to assess their students against a range of criteria, and determine which children are vulnerable in a range of domains. Most </w:t>
      </w:r>
      <w:r w:rsidR="00B62B49" w:rsidRPr="004D223A">
        <w:t xml:space="preserve">statistical area </w:t>
      </w:r>
      <w:r w:rsidR="008A52D6" w:rsidRPr="004D223A">
        <w:t>1</w:t>
      </w:r>
      <w:r w:rsidRPr="004D223A">
        <w:t>s typically only contain a very small number of 5</w:t>
      </w:r>
      <w:r w:rsidR="000F59C7">
        <w:t>-</w:t>
      </w:r>
      <w:r w:rsidRPr="004D223A">
        <w:t>year</w:t>
      </w:r>
      <w:r w:rsidR="000F59C7">
        <w:t>-</w:t>
      </w:r>
      <w:r w:rsidRPr="004D223A">
        <w:t>olds, and the number of those that are vulnerable across two or more domains is highly variable. Therefore</w:t>
      </w:r>
      <w:r w:rsidR="00045ABF">
        <w:t>,</w:t>
      </w:r>
      <w:r w:rsidRPr="004D223A">
        <w:t xml:space="preserve"> this indicator cannot be used directly to measure socio-economic status. However, the proportion of people receiving income support payments can explain as much variance in this measure as Non-Indigenous SEIFA. The fact that both can only explain 20% of </w:t>
      </w:r>
      <w:r w:rsidRPr="004D223A">
        <w:lastRenderedPageBreak/>
        <w:t>variance (</w:t>
      </w:r>
      <w:r w:rsidR="006B4886">
        <w:t>A4</w:t>
      </w:r>
      <w:r w:rsidRPr="004D223A">
        <w:t xml:space="preserve">) is largely because of the highly variable nature of this indicator, being based on very small numbers. </w:t>
      </w:r>
    </w:p>
    <w:p w14:paraId="0A95CFB8" w14:textId="65C2DB46" w:rsidR="00FC59A2" w:rsidRPr="004D223A" w:rsidRDefault="00FC59A2" w:rsidP="00865B65">
      <w:pPr>
        <w:pStyle w:val="CGC2025ParaNumbers"/>
      </w:pPr>
      <w:r w:rsidRPr="004D223A">
        <w:t>The number of deaths in an area, having accounted for the age structure of the area, is a widely used proxy for the health needs of an area. Once again, variability in this indicator reflects the low number of deaths for most age groups, and in total. Non</w:t>
      </w:r>
      <w:r w:rsidRPr="004D223A">
        <w:noBreakHyphen/>
        <w:t xml:space="preserve">Indigenous SEIFA is a better predictor of non-Indigenous deaths than any of the MADIP measures. </w:t>
      </w:r>
    </w:p>
    <w:p w14:paraId="304E6970" w14:textId="674A9BB4" w:rsidR="00FC59A2" w:rsidRPr="004D223A" w:rsidRDefault="00FC59A2" w:rsidP="00865B65">
      <w:pPr>
        <w:pStyle w:val="CGC2025ParaNumbers"/>
      </w:pPr>
      <w:r w:rsidRPr="004D223A">
        <w:t>As with metabolic and alimentary canal drug use, cardio-vascular drug use has a relationship with socio-economic status. The proposed indicators all out-perform Non</w:t>
      </w:r>
      <w:r w:rsidR="00187A5A" w:rsidRPr="004D223A">
        <w:noBreakHyphen/>
      </w:r>
      <w:r w:rsidRPr="004D223A">
        <w:t xml:space="preserve">Indigenous SEIFA as predictors for </w:t>
      </w:r>
      <w:r w:rsidR="00240B41" w:rsidRPr="004D223A">
        <w:t>cardio-vascular drug use</w:t>
      </w:r>
      <w:r w:rsidRPr="004D223A">
        <w:t>. However, the fact that metabolic and alimentary canal drug use is highly effective at predicting cardio</w:t>
      </w:r>
      <w:r w:rsidR="008701E6">
        <w:noBreakHyphen/>
      </w:r>
      <w:r w:rsidRPr="004D223A">
        <w:t>vascular drug use may reflect the co-morbidity of certain conditions and so this relationship should be treated with caution. The other MADIP indicators out</w:t>
      </w:r>
      <w:r w:rsidR="008701E6">
        <w:noBreakHyphen/>
      </w:r>
      <w:r w:rsidRPr="004D223A">
        <w:t>perform Non</w:t>
      </w:r>
      <w:r w:rsidR="00187A5A" w:rsidRPr="004D223A">
        <w:noBreakHyphen/>
      </w:r>
      <w:r w:rsidRPr="004D223A">
        <w:t xml:space="preserve">Indigenous SEIFA for this outcome. </w:t>
      </w:r>
    </w:p>
    <w:p w14:paraId="4B2FABE1" w14:textId="14D7AF5A" w:rsidR="00FC59A2" w:rsidRPr="004D223A" w:rsidRDefault="00FC59A2" w:rsidP="00865B65">
      <w:pPr>
        <w:pStyle w:val="CGC2025ParaNumbers"/>
      </w:pPr>
      <w:r w:rsidRPr="004D223A">
        <w:t xml:space="preserve">The 3 MADIP </w:t>
      </w:r>
      <w:r w:rsidR="00DA13EA" w:rsidRPr="004D223A">
        <w:t>-</w:t>
      </w:r>
      <w:r w:rsidRPr="004D223A">
        <w:t>based measures, and a fourth measure based on a combination</w:t>
      </w:r>
      <w:r w:rsidRPr="00FC5374">
        <w:rPr>
          <w:vertAlign w:val="superscript"/>
        </w:rPr>
        <w:t xml:space="preserve"> </w:t>
      </w:r>
      <w:r w:rsidRPr="004D223A">
        <w:t>of all 3, are highly effective at predicting independent elements of socio-economic status, across the young (Australian early development census), middle</w:t>
      </w:r>
      <w:r w:rsidR="00BB7619" w:rsidRPr="004D223A">
        <w:t xml:space="preserve"> to older</w:t>
      </w:r>
      <w:r w:rsidR="00EB7B70" w:rsidRPr="004D223A">
        <w:t xml:space="preserve"> </w:t>
      </w:r>
      <w:r w:rsidRPr="004D223A">
        <w:t>age</w:t>
      </w:r>
      <w:r w:rsidR="00080B40" w:rsidRPr="004D223A">
        <w:t>s</w:t>
      </w:r>
      <w:r w:rsidRPr="004D223A">
        <w:t xml:space="preserve"> (cardio</w:t>
      </w:r>
      <w:r w:rsidR="00F87D2E">
        <w:t>-</w:t>
      </w:r>
      <w:r w:rsidRPr="004D223A">
        <w:t>vascular drug use) and the aged (death)</w:t>
      </w:r>
      <w:r w:rsidR="00DA13EA" w:rsidRPr="004D223A">
        <w:t>.</w:t>
      </w:r>
      <w:r w:rsidR="004A3FB9" w:rsidRPr="00FC5374">
        <w:rPr>
          <w:rStyle w:val="FootnoteReference"/>
        </w:rPr>
        <w:footnoteReference w:id="9"/>
      </w:r>
    </w:p>
    <w:p w14:paraId="7EE1A76F" w14:textId="3C875F46" w:rsidR="00FC59A2" w:rsidRPr="0000739F" w:rsidRDefault="00FC59A2" w:rsidP="009F605E">
      <w:pPr>
        <w:pStyle w:val="CGC2025Caption"/>
        <w:keepNext/>
        <w:tabs>
          <w:tab w:val="left" w:pos="1134"/>
        </w:tabs>
      </w:pPr>
      <w:bookmarkStart w:id="37" w:name="_Ref135255509"/>
      <w:r>
        <w:t xml:space="preserve">Figure </w:t>
      </w:r>
      <w:bookmarkEnd w:id="37"/>
      <w:r w:rsidR="00C05930">
        <w:t>A4</w:t>
      </w:r>
      <w:r>
        <w:tab/>
        <w:t>P</w:t>
      </w:r>
      <w:r w:rsidRPr="0000739F">
        <w:t xml:space="preserve">redictive power of </w:t>
      </w:r>
      <w:r w:rsidRPr="00080B40">
        <w:t>various</w:t>
      </w:r>
      <w:r>
        <w:t xml:space="preserve"> indicators of socio-economic status, 2016</w:t>
      </w:r>
    </w:p>
    <w:p w14:paraId="31E13F37" w14:textId="37C1C565" w:rsidR="00FC59A2" w:rsidRDefault="0069248E" w:rsidP="00B7563F">
      <w:r w:rsidRPr="0069248E">
        <w:rPr>
          <w:noProof/>
        </w:rPr>
        <w:drawing>
          <wp:inline distT="0" distB="0" distL="0" distR="0" wp14:anchorId="62C43A25" wp14:editId="60730633">
            <wp:extent cx="5658485" cy="357441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8485" cy="3574415"/>
                    </a:xfrm>
                    <a:prstGeom prst="rect">
                      <a:avLst/>
                    </a:prstGeom>
                    <a:noFill/>
                    <a:ln>
                      <a:noFill/>
                    </a:ln>
                  </pic:spPr>
                </pic:pic>
              </a:graphicData>
            </a:graphic>
          </wp:inline>
        </w:drawing>
      </w:r>
    </w:p>
    <w:p w14:paraId="517E9595" w14:textId="33549128" w:rsidR="004A3767" w:rsidRDefault="004A3767" w:rsidP="00151B0D">
      <w:pPr>
        <w:pStyle w:val="CGC2025TableNote"/>
      </w:pPr>
      <w:r>
        <w:t>Source</w:t>
      </w:r>
      <w:r w:rsidRPr="003F1F10">
        <w:t>:</w:t>
      </w:r>
      <w:r w:rsidRPr="003F1F10">
        <w:tab/>
        <w:t>Commission calculation</w:t>
      </w:r>
      <w:r>
        <w:t xml:space="preserve"> using</w:t>
      </w:r>
      <w:r w:rsidRPr="003F1F10">
        <w:t xml:space="preserve"> </w:t>
      </w:r>
      <w:r w:rsidR="005A73DC">
        <w:t xml:space="preserve">Multi-Agency Data Integration Project </w:t>
      </w:r>
      <w:r>
        <w:t>data.</w:t>
      </w:r>
    </w:p>
    <w:p w14:paraId="2942FE6B" w14:textId="5A010B36" w:rsidR="00FB50C4" w:rsidRDefault="00FC59A2" w:rsidP="00EA61DD">
      <w:pPr>
        <w:pStyle w:val="CGC2025ParaNumbers"/>
      </w:pPr>
      <w:r w:rsidRPr="004D223A">
        <w:lastRenderedPageBreak/>
        <w:t xml:space="preserve">The above analysis showed that when Non-Indigenous SEIFA is at its most relevant (in the year it references) it can perform about as well as the MADIP indicators: marginally better on some measures, marginally worse on others. However, when SEIFA is </w:t>
      </w:r>
      <w:r w:rsidR="005860E3" w:rsidRPr="004D223A">
        <w:t xml:space="preserve">more </w:t>
      </w:r>
      <w:r w:rsidRPr="004D223A">
        <w:t xml:space="preserve">dated, </w:t>
      </w:r>
      <w:r w:rsidR="00D305C2" w:rsidRPr="004D223A">
        <w:t>it performs slightly worse</w:t>
      </w:r>
      <w:r w:rsidR="00A22594" w:rsidRPr="004D223A">
        <w:t xml:space="preserve">, and potentially with a state bias. </w:t>
      </w:r>
      <w:r w:rsidRPr="004D223A">
        <w:t xml:space="preserve">The Commission’s preliminary view is that it should use a MADIP based indicator to best reflect the state circumstances in each assessment year. </w:t>
      </w:r>
    </w:p>
    <w:sectPr w:rsidR="00FB50C4" w:rsidSect="00C8452A">
      <w:footerReference w:type="default" r:id="rId23"/>
      <w:footerReference w:type="first" r:id="rId24"/>
      <w:footnotePr>
        <w:numRestart w:val="eachSect"/>
      </w:footnotePr>
      <w:pgSz w:w="11907" w:h="16840" w:code="9"/>
      <w:pgMar w:top="1418" w:right="1474" w:bottom="1418" w:left="147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0C5F" w14:textId="77777777" w:rsidR="00FE3F7D" w:rsidRDefault="00FE3F7D">
      <w:r>
        <w:separator/>
      </w:r>
    </w:p>
  </w:endnote>
  <w:endnote w:type="continuationSeparator" w:id="0">
    <w:p w14:paraId="2F6F8CBF" w14:textId="77777777" w:rsidR="00FE3F7D" w:rsidRDefault="00FE3F7D">
      <w:r>
        <w:continuationSeparator/>
      </w:r>
    </w:p>
  </w:endnote>
  <w:endnote w:type="continuationNotice" w:id="1">
    <w:p w14:paraId="2B24E53D" w14:textId="77777777" w:rsidR="00FE3F7D" w:rsidRDefault="00FE3F7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ork Sans SemiBold">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DF1F" w14:textId="77777777" w:rsidR="00FC59A2" w:rsidRDefault="00FC5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C370B8" w14:textId="77777777" w:rsidR="00FC59A2" w:rsidRDefault="00FC59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255950"/>
      <w:docPartObj>
        <w:docPartGallery w:val="Page Numbers (Bottom of Page)"/>
        <w:docPartUnique/>
      </w:docPartObj>
    </w:sdtPr>
    <w:sdtEndPr>
      <w:rPr>
        <w:noProof/>
      </w:rPr>
    </w:sdtEndPr>
    <w:sdtContent>
      <w:p w14:paraId="75F8EEA7" w14:textId="77777777" w:rsidR="00FC59A2" w:rsidRDefault="00FC59A2">
        <w:pPr>
          <w:pStyle w:val="Footer"/>
        </w:pPr>
        <w:r>
          <w:fldChar w:fldCharType="begin"/>
        </w:r>
        <w:r>
          <w:instrText xml:space="preserve"> PAGE   \* MERGEFORMAT </w:instrText>
        </w:r>
        <w:r>
          <w:fldChar w:fldCharType="separate"/>
        </w:r>
        <w:r>
          <w:rPr>
            <w:noProof/>
          </w:rPr>
          <w:t>2</w:t>
        </w:r>
        <w:r>
          <w:rPr>
            <w:noProof/>
          </w:rPr>
          <w:fldChar w:fldCharType="end"/>
        </w:r>
      </w:p>
    </w:sdtContent>
  </w:sdt>
  <w:p w14:paraId="69E86710" w14:textId="77777777" w:rsidR="00FC59A2" w:rsidRPr="008B3F9B" w:rsidRDefault="00FC59A2">
    <w:pPr>
      <w:pStyle w:val="Footer"/>
      <w:ind w:right="360"/>
      <w:rPr>
        <w:rFonts w:ascii="Open Sans" w:hAnsi="Open Sans" w:cs="Open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FC59A2" w14:paraId="1C39AC14" w14:textId="77777777">
      <w:trPr>
        <w:trHeight w:val="300"/>
      </w:trPr>
      <w:tc>
        <w:tcPr>
          <w:tcW w:w="3020" w:type="dxa"/>
        </w:tcPr>
        <w:p w14:paraId="0BEB2962" w14:textId="77777777" w:rsidR="00FC59A2" w:rsidRDefault="00FC59A2">
          <w:pPr>
            <w:pStyle w:val="Header"/>
            <w:ind w:left="-115"/>
            <w:jc w:val="left"/>
          </w:pPr>
        </w:p>
      </w:tc>
      <w:tc>
        <w:tcPr>
          <w:tcW w:w="3020" w:type="dxa"/>
        </w:tcPr>
        <w:p w14:paraId="579F45AE" w14:textId="77777777" w:rsidR="00FC59A2" w:rsidRDefault="00FC59A2">
          <w:pPr>
            <w:pStyle w:val="Header"/>
            <w:jc w:val="center"/>
          </w:pPr>
        </w:p>
      </w:tc>
      <w:tc>
        <w:tcPr>
          <w:tcW w:w="3020" w:type="dxa"/>
        </w:tcPr>
        <w:p w14:paraId="1440FD14" w14:textId="77777777" w:rsidR="00FC59A2" w:rsidRDefault="00FC59A2">
          <w:pPr>
            <w:pStyle w:val="Header"/>
            <w:ind w:right="-115"/>
          </w:pPr>
        </w:p>
      </w:tc>
    </w:tr>
  </w:tbl>
  <w:p w14:paraId="6B8B3D80" w14:textId="77777777" w:rsidR="00FC59A2" w:rsidRDefault="00FC59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D450" w14:textId="77777777" w:rsidR="00AB1A13" w:rsidRPr="0011178C" w:rsidRDefault="00F56813" w:rsidP="003929D2">
    <w:pPr>
      <w:pStyle w:val="Footer"/>
    </w:pPr>
    <w:r>
      <w:fldChar w:fldCharType="begin"/>
    </w:r>
    <w:r>
      <w:instrText xml:space="preserve"> PAGE  \* Arabic  \* MERGEFORMAT </w:instrText>
    </w:r>
    <w:r>
      <w:fldChar w:fldCharType="separate"/>
    </w:r>
    <w:r w:rsidR="001C1AC5">
      <w:rPr>
        <w:noProof/>
      </w:rPr>
      <w:t>5</w:t>
    </w:r>
    <w:r>
      <w:rPr>
        <w:noProof/>
      </w:rPr>
      <w:fldChar w:fldCharType="end"/>
    </w:r>
  </w:p>
  <w:p w14:paraId="6832E577" w14:textId="77777777" w:rsidR="009C18B8" w:rsidRDefault="009C18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49D4" w14:textId="77777777" w:rsidR="009C18B8" w:rsidRPr="001C1AC5" w:rsidRDefault="00AB1A13" w:rsidP="001C1AC5">
    <w:pPr>
      <w:pStyle w:val="Footer"/>
      <w:tabs>
        <w:tab w:val="right" w:pos="8931"/>
      </w:tabs>
      <w:rPr>
        <w:szCs w:val="20"/>
      </w:rPr>
    </w:pPr>
    <w:r>
      <w:rPr>
        <w:szCs w:val="20"/>
      </w:rPr>
      <w:tab/>
    </w:r>
    <w:r w:rsidR="00DC0F02">
      <w:rPr>
        <w:szCs w:val="20"/>
      </w:rPr>
      <w:tab/>
    </w:r>
    <w:r w:rsidR="00F56813">
      <w:fldChar w:fldCharType="begin"/>
    </w:r>
    <w:r w:rsidR="00F56813">
      <w:instrText xml:space="preserve"> PAGE   \* MERGEFORMAT </w:instrText>
    </w:r>
    <w:r w:rsidR="00F56813">
      <w:fldChar w:fldCharType="separate"/>
    </w:r>
    <w:r w:rsidR="00485F13">
      <w:rPr>
        <w:noProof/>
      </w:rPr>
      <w:t>4</w:t>
    </w:r>
    <w:r w:rsidR="00F568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91B1" w14:textId="77777777" w:rsidR="00FE3F7D" w:rsidRPr="001C1AC5" w:rsidRDefault="00FE3F7D">
      <w:pPr>
        <w:rPr>
          <w:color w:val="ADD6EA"/>
        </w:rPr>
      </w:pPr>
      <w:r w:rsidRPr="001C1AC5">
        <w:rPr>
          <w:color w:val="ADD6EA"/>
        </w:rPr>
        <w:separator/>
      </w:r>
    </w:p>
  </w:footnote>
  <w:footnote w:type="continuationSeparator" w:id="0">
    <w:p w14:paraId="42804D09" w14:textId="77777777" w:rsidR="00FE3F7D" w:rsidRDefault="00FE3F7D">
      <w:r>
        <w:continuationSeparator/>
      </w:r>
    </w:p>
  </w:footnote>
  <w:footnote w:type="continuationNotice" w:id="1">
    <w:p w14:paraId="6BD7318F" w14:textId="77777777" w:rsidR="00FE3F7D" w:rsidRDefault="00FE3F7D">
      <w:pPr>
        <w:spacing w:before="0" w:line="240" w:lineRule="auto"/>
      </w:pPr>
    </w:p>
  </w:footnote>
  <w:footnote w:id="2">
    <w:p w14:paraId="3507876C" w14:textId="77777777" w:rsidR="001960DB" w:rsidRDefault="001960DB" w:rsidP="00AE0922">
      <w:pPr>
        <w:pStyle w:val="FootnoteText"/>
      </w:pPr>
      <w:r>
        <w:rPr>
          <w:rStyle w:val="FootnoteReference"/>
        </w:rPr>
        <w:footnoteRef/>
      </w:r>
      <w:r>
        <w:t xml:space="preserve"> SEIFA includes a suite of 4 indexes. The Commission uses the Index of Relative Socio-economic Disadvantage. Throughout this paper, unless otherwise specified, the term SEIFA is used to refer to this index.</w:t>
      </w:r>
    </w:p>
  </w:footnote>
  <w:footnote w:id="3">
    <w:p w14:paraId="15F4CD15" w14:textId="77777777" w:rsidR="00FC59A2" w:rsidRDefault="00FC59A2" w:rsidP="00AE0922">
      <w:pPr>
        <w:pStyle w:val="FootnoteText"/>
      </w:pPr>
      <w:r>
        <w:rPr>
          <w:rStyle w:val="FootnoteReference"/>
        </w:rPr>
        <w:footnoteRef/>
      </w:r>
      <w:r>
        <w:t xml:space="preserve"> This is household income adjusted for the composition of the household. </w:t>
      </w:r>
    </w:p>
  </w:footnote>
  <w:footnote w:id="4">
    <w:p w14:paraId="3A1AA134" w14:textId="157343F3" w:rsidR="008C436E" w:rsidRDefault="008C436E" w:rsidP="00AE0922">
      <w:pPr>
        <w:pStyle w:val="FootnoteText"/>
      </w:pPr>
      <w:r>
        <w:rPr>
          <w:rStyle w:val="FootnoteReference"/>
        </w:rPr>
        <w:footnoteRef/>
      </w:r>
      <w:r>
        <w:t xml:space="preserve"> Because socio-economic status is assessed as part of a broader assessment of </w:t>
      </w:r>
      <w:r w:rsidR="00426614">
        <w:t>r</w:t>
      </w:r>
      <w:r>
        <w:t xml:space="preserve">emoteness, Indigenous status, and age, the allocation of the combined effects to one of these individual drivers reflects the Commission’s analytical framework. </w:t>
      </w:r>
    </w:p>
  </w:footnote>
  <w:footnote w:id="5">
    <w:p w14:paraId="35576A54" w14:textId="77777777" w:rsidR="00FC59A2" w:rsidRDefault="00FC59A2" w:rsidP="00AE0922">
      <w:pPr>
        <w:pStyle w:val="FootnoteText"/>
      </w:pPr>
      <w:r>
        <w:rPr>
          <w:rStyle w:val="FootnoteReference"/>
        </w:rPr>
        <w:footnoteRef/>
      </w:r>
      <w:r>
        <w:t xml:space="preserve"> Australia is divided into 57,523 Statistical Area 1s, with an average population of approximately 400. This is the level of geography the ABS uses to calculate SEIFA.</w:t>
      </w:r>
    </w:p>
  </w:footnote>
  <w:footnote w:id="6">
    <w:p w14:paraId="626E0B0E" w14:textId="6BF87454" w:rsidR="004D3DB7" w:rsidRDefault="00320AB0" w:rsidP="00AE0922">
      <w:pPr>
        <w:pStyle w:val="FootnoteText"/>
        <w:rPr>
          <w:noProof/>
        </w:rPr>
      </w:pPr>
      <w:r>
        <w:rPr>
          <w:rStyle w:val="FootnoteReference"/>
        </w:rPr>
        <w:footnoteRef/>
      </w:r>
      <w:r>
        <w:t xml:space="preserve"> </w:t>
      </w:r>
      <w:r w:rsidR="004D3DB7" w:rsidRPr="004D3DB7">
        <w:rPr>
          <w:noProof/>
        </w:rPr>
        <w:t>AIHW. (2023). Diabetes: Australian Facts. Canberra: AIHW.</w:t>
      </w:r>
    </w:p>
    <w:p w14:paraId="64AE0BEB" w14:textId="77777777" w:rsidR="004D3DB7" w:rsidRDefault="004D3DB7" w:rsidP="00AE0922">
      <w:pPr>
        <w:pStyle w:val="FootnoteText"/>
      </w:pPr>
    </w:p>
  </w:footnote>
  <w:footnote w:id="7">
    <w:p w14:paraId="477A9716" w14:textId="77777777" w:rsidR="00647C90" w:rsidRDefault="00647C90" w:rsidP="00AE0922">
      <w:pPr>
        <w:pStyle w:val="FootnoteText"/>
      </w:pPr>
      <w:r>
        <w:rPr>
          <w:rStyle w:val="FootnoteReference"/>
        </w:rPr>
        <w:footnoteRef/>
      </w:r>
      <w:r>
        <w:t xml:space="preserve"> The level of subsidy does vary with Concession card holders receiving low-cost prescriptions. However, access is universal, with all Australians prescribed these drugs receiving some subsidy.</w:t>
      </w:r>
    </w:p>
  </w:footnote>
  <w:footnote w:id="8">
    <w:p w14:paraId="5C717607" w14:textId="77777777" w:rsidR="00600EF4" w:rsidRDefault="00600EF4" w:rsidP="00AE0922">
      <w:pPr>
        <w:pStyle w:val="FootnoteText"/>
      </w:pPr>
      <w:r>
        <w:rPr>
          <w:rStyle w:val="FootnoteReference"/>
        </w:rPr>
        <w:footnoteRef/>
      </w:r>
      <w:r>
        <w:t xml:space="preserve"> This is couple income for individuals in a relationship for tax purposes, and individual income for others. </w:t>
      </w:r>
    </w:p>
  </w:footnote>
  <w:footnote w:id="9">
    <w:p w14:paraId="68DADC2A" w14:textId="77777777" w:rsidR="004A3FB9" w:rsidRDefault="004A3FB9" w:rsidP="00AE0922">
      <w:pPr>
        <w:pStyle w:val="FootnoteText"/>
      </w:pPr>
      <w:r>
        <w:rPr>
          <w:rStyle w:val="FootnoteReference"/>
        </w:rPr>
        <w:footnoteRef/>
      </w:r>
      <w:r>
        <w:t xml:space="preserve"> The </w:t>
      </w:r>
      <w:r w:rsidRPr="00A5031A">
        <w:t>first principal component</w:t>
      </w:r>
      <w:r>
        <w:t xml:space="preserve"> of the three individual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DCC8" w14:textId="77777777" w:rsidR="00FC59A2" w:rsidRDefault="00FC59A2">
    <w:pPr>
      <w:pStyle w:val="Header"/>
    </w:pPr>
    <w:r>
      <w:rPr>
        <w:noProof/>
      </w:rPr>
      <w:drawing>
        <wp:anchor distT="0" distB="0" distL="114300" distR="114300" simplePos="0" relativeHeight="251658242" behindDoc="1" locked="0" layoutInCell="1" allowOverlap="1" wp14:anchorId="79900296" wp14:editId="24C02D21">
          <wp:simplePos x="0" y="0"/>
          <wp:positionH relativeFrom="column">
            <wp:posOffset>-923290</wp:posOffset>
          </wp:positionH>
          <wp:positionV relativeFrom="paragraph">
            <wp:posOffset>10351135</wp:posOffset>
          </wp:positionV>
          <wp:extent cx="7580630" cy="10691495"/>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7B900F8B" wp14:editId="60B14F6A">
          <wp:simplePos x="0" y="0"/>
          <wp:positionH relativeFrom="column">
            <wp:posOffset>-900430</wp:posOffset>
          </wp:positionH>
          <wp:positionV relativeFrom="paragraph">
            <wp:posOffset>10362565</wp:posOffset>
          </wp:positionV>
          <wp:extent cx="7580630" cy="10691495"/>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Pr="00410188">
      <w:rPr>
        <w:rFonts w:ascii="Open Sans Semibold" w:hAnsi="Open Sans Semibold" w:cs="Open Sans Semibold"/>
        <w:bCs/>
        <w:noProof/>
        <w:sz w:val="40"/>
        <w:szCs w:val="40"/>
        <w:lang w:val="en-US"/>
      </w:rPr>
      <w:drawing>
        <wp:anchor distT="0" distB="0" distL="114300" distR="114300" simplePos="0" relativeHeight="251658240" behindDoc="1" locked="0" layoutInCell="1" allowOverlap="1" wp14:anchorId="0D408288" wp14:editId="7EDC59E5">
          <wp:simplePos x="0" y="0"/>
          <wp:positionH relativeFrom="column">
            <wp:posOffset>-1037590</wp:posOffset>
          </wp:positionH>
          <wp:positionV relativeFrom="paragraph">
            <wp:posOffset>10328275</wp:posOffset>
          </wp:positionV>
          <wp:extent cx="7683500" cy="10836275"/>
          <wp:effectExtent l="38100" t="38100" r="63500" b="349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7683500" cy="10836275"/>
                  </a:xfrm>
                  <a:prstGeom prst="rect">
                    <a:avLst/>
                  </a:prstGeom>
                  <a:noFill/>
                  <a:ln w="88900" cap="sq">
                    <a:noFill/>
                    <a:miter lim="800000"/>
                  </a:ln>
                  <a:effectLst>
                    <a:outerShdw blurRad="55000" dist="18000" dir="5400000" algn="tl" rotWithShape="0">
                      <a:srgbClr val="000000">
                        <a:alpha val="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F086F92"/>
    <w:numStyleLink w:val="CGCConsultQuestion"/>
  </w:abstractNum>
  <w:abstractNum w:abstractNumId="2" w15:restartNumberingAfterBreak="0">
    <w:nsid w:val="0B597618"/>
    <w:multiLevelType w:val="hybridMultilevel"/>
    <w:tmpl w:val="8C68DF64"/>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DD3110D"/>
    <w:multiLevelType w:val="hybridMultilevel"/>
    <w:tmpl w:val="9D14754A"/>
    <w:lvl w:ilvl="0" w:tplc="BB94D04E">
      <w:start w:val="1"/>
      <w:numFmt w:val="bullet"/>
      <w:lvlText w:val=""/>
      <w:lvlJc w:val="left"/>
      <w:pPr>
        <w:ind w:left="927" w:hanging="360"/>
      </w:pPr>
      <w:rPr>
        <w:rFonts w:ascii="Symbol" w:hAnsi="Symbol" w:hint="default"/>
        <w:color w:val="636466"/>
      </w:rPr>
    </w:lvl>
    <w:lvl w:ilvl="1" w:tplc="945E73F8">
      <w:start w:val="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D639C2"/>
    <w:multiLevelType w:val="hybridMultilevel"/>
    <w:tmpl w:val="32DEDA92"/>
    <w:lvl w:ilvl="0" w:tplc="BB94D04E">
      <w:start w:val="1"/>
      <w:numFmt w:val="bullet"/>
      <w:lvlText w:val=""/>
      <w:lvlJc w:val="left"/>
      <w:pPr>
        <w:ind w:left="927" w:hanging="360"/>
      </w:pPr>
      <w:rPr>
        <w:rFonts w:ascii="Symbol" w:hAnsi="Symbol" w:hint="default"/>
        <w:color w:val="636466"/>
      </w:rPr>
    </w:lvl>
    <w:lvl w:ilvl="1" w:tplc="945E73F8">
      <w:start w:val="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27583"/>
    <w:multiLevelType w:val="multilevel"/>
    <w:tmpl w:val="D88A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C4C05"/>
    <w:multiLevelType w:val="hybridMultilevel"/>
    <w:tmpl w:val="5BAEB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96AF5"/>
    <w:multiLevelType w:val="hybridMultilevel"/>
    <w:tmpl w:val="00EA78B8"/>
    <w:lvl w:ilvl="0" w:tplc="BB94D04E">
      <w:start w:val="1"/>
      <w:numFmt w:val="bullet"/>
      <w:lvlText w:val=""/>
      <w:lvlJc w:val="left"/>
      <w:pPr>
        <w:ind w:left="927" w:hanging="360"/>
      </w:pPr>
      <w:rPr>
        <w:rFonts w:ascii="Symbol" w:hAnsi="Symbol" w:hint="default"/>
        <w:color w:val="636466"/>
      </w:rPr>
    </w:lvl>
    <w:lvl w:ilvl="1" w:tplc="945E73F8">
      <w:start w:val="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93303"/>
    <w:multiLevelType w:val="hybridMultilevel"/>
    <w:tmpl w:val="48E4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51827"/>
    <w:multiLevelType w:val="hybridMultilevel"/>
    <w:tmpl w:val="6B9CC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66598"/>
    <w:multiLevelType w:val="hybridMultilevel"/>
    <w:tmpl w:val="679C6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B52DA0"/>
    <w:multiLevelType w:val="hybridMultilevel"/>
    <w:tmpl w:val="AF086F92"/>
    <w:styleLink w:val="CGCConsultQuestion"/>
    <w:lvl w:ilvl="0" w:tplc="A61AAA14">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974B00"/>
    <w:multiLevelType w:val="multilevel"/>
    <w:tmpl w:val="AF086F92"/>
    <w:numStyleLink w:val="CGCConsultQuestion"/>
  </w:abstractNum>
  <w:abstractNum w:abstractNumId="23" w15:restartNumberingAfterBreak="0">
    <w:nsid w:val="500F1895"/>
    <w:multiLevelType w:val="multilevel"/>
    <w:tmpl w:val="AF086F92"/>
    <w:numStyleLink w:val="CGCConsultQuestion"/>
  </w:abstractNum>
  <w:abstractNum w:abstractNumId="24" w15:restartNumberingAfterBreak="0">
    <w:nsid w:val="56BF3182"/>
    <w:multiLevelType w:val="hybridMultilevel"/>
    <w:tmpl w:val="25963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6C4F7D"/>
    <w:multiLevelType w:val="hybridMultilevel"/>
    <w:tmpl w:val="A80C58A8"/>
    <w:lvl w:ilvl="0" w:tplc="97C62766">
      <w:start w:val="1"/>
      <w:numFmt w:val="decimal"/>
      <w:lvlText w:val="%1."/>
      <w:lvlJc w:val="right"/>
      <w:pPr>
        <w:ind w:left="2988" w:hanging="360"/>
      </w:pPr>
      <w:rPr>
        <w:rFonts w:ascii="Open Sans Light" w:eastAsiaTheme="minorHAnsi" w:hAnsi="Open Sans Light" w:cs="Open Sans Light"/>
        <w:sz w:val="20"/>
        <w:szCs w:val="20"/>
      </w:rPr>
    </w:lvl>
    <w:lvl w:ilvl="1" w:tplc="0C090019">
      <w:start w:val="1"/>
      <w:numFmt w:val="lowerLetter"/>
      <w:lvlText w:val="%2."/>
      <w:lvlJc w:val="left"/>
      <w:pPr>
        <w:ind w:left="3708" w:hanging="360"/>
      </w:pPr>
    </w:lvl>
    <w:lvl w:ilvl="2" w:tplc="0C09001B">
      <w:start w:val="1"/>
      <w:numFmt w:val="lowerRoman"/>
      <w:lvlText w:val="%3."/>
      <w:lvlJc w:val="right"/>
      <w:pPr>
        <w:ind w:left="4428" w:hanging="180"/>
      </w:pPr>
    </w:lvl>
    <w:lvl w:ilvl="3" w:tplc="0C09000F">
      <w:start w:val="1"/>
      <w:numFmt w:val="decimal"/>
      <w:lvlText w:val="%4."/>
      <w:lvlJc w:val="left"/>
      <w:pPr>
        <w:ind w:left="5148" w:hanging="360"/>
      </w:pPr>
    </w:lvl>
    <w:lvl w:ilvl="4" w:tplc="0C090019">
      <w:start w:val="1"/>
      <w:numFmt w:val="lowerLetter"/>
      <w:lvlText w:val="%5."/>
      <w:lvlJc w:val="left"/>
      <w:pPr>
        <w:ind w:left="5868" w:hanging="360"/>
      </w:pPr>
    </w:lvl>
    <w:lvl w:ilvl="5" w:tplc="0C09001B">
      <w:start w:val="1"/>
      <w:numFmt w:val="lowerRoman"/>
      <w:lvlText w:val="%6."/>
      <w:lvlJc w:val="right"/>
      <w:pPr>
        <w:ind w:left="6588" w:hanging="180"/>
      </w:pPr>
    </w:lvl>
    <w:lvl w:ilvl="6" w:tplc="0C09000F">
      <w:start w:val="1"/>
      <w:numFmt w:val="decimal"/>
      <w:lvlText w:val="%7."/>
      <w:lvlJc w:val="left"/>
      <w:pPr>
        <w:ind w:left="7308" w:hanging="360"/>
      </w:pPr>
    </w:lvl>
    <w:lvl w:ilvl="7" w:tplc="0C090019">
      <w:start w:val="1"/>
      <w:numFmt w:val="lowerLetter"/>
      <w:lvlText w:val="%8."/>
      <w:lvlJc w:val="left"/>
      <w:pPr>
        <w:ind w:left="8028" w:hanging="360"/>
      </w:pPr>
    </w:lvl>
    <w:lvl w:ilvl="8" w:tplc="0C09001B">
      <w:start w:val="1"/>
      <w:numFmt w:val="lowerRoman"/>
      <w:lvlText w:val="%9."/>
      <w:lvlJc w:val="right"/>
      <w:pPr>
        <w:ind w:left="8748" w:hanging="180"/>
      </w:pPr>
    </w:lvl>
  </w:abstractNum>
  <w:abstractNum w:abstractNumId="26"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7" w15:restartNumberingAfterBreak="0">
    <w:nsid w:val="69AE757B"/>
    <w:multiLevelType w:val="hybridMultilevel"/>
    <w:tmpl w:val="37C297E0"/>
    <w:lvl w:ilvl="0" w:tplc="FA02E2F4">
      <w:start w:val="1"/>
      <w:numFmt w:val="lowerLetter"/>
      <w:lvlText w:val="(%1)"/>
      <w:lvlJc w:val="left"/>
      <w:pPr>
        <w:ind w:left="689" w:hanging="576"/>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8"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9" w15:restartNumberingAfterBreak="0">
    <w:nsid w:val="6DDE22CF"/>
    <w:multiLevelType w:val="hybridMultilevel"/>
    <w:tmpl w:val="E9366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12762399">
    <w:abstractNumId w:val="14"/>
  </w:num>
  <w:num w:numId="2" w16cid:durableId="1811552582">
    <w:abstractNumId w:val="30"/>
  </w:num>
  <w:num w:numId="3" w16cid:durableId="1216816626">
    <w:abstractNumId w:val="16"/>
  </w:num>
  <w:num w:numId="4" w16cid:durableId="1045789015">
    <w:abstractNumId w:val="11"/>
  </w:num>
  <w:num w:numId="5" w16cid:durableId="880630624">
    <w:abstractNumId w:val="9"/>
  </w:num>
  <w:num w:numId="6" w16cid:durableId="1057128230">
    <w:abstractNumId w:val="26"/>
  </w:num>
  <w:num w:numId="7" w16cid:durableId="250702278">
    <w:abstractNumId w:val="0"/>
    <w:lvlOverride w:ilvl="0">
      <w:startOverride w:val="1"/>
    </w:lvlOverride>
  </w:num>
  <w:num w:numId="8" w16cid:durableId="318777033">
    <w:abstractNumId w:val="16"/>
    <w:lvlOverride w:ilvl="0">
      <w:startOverride w:val="1"/>
    </w:lvlOverride>
  </w:num>
  <w:num w:numId="9" w16cid:durableId="1538810361">
    <w:abstractNumId w:val="16"/>
    <w:lvlOverride w:ilvl="0">
      <w:startOverride w:val="1"/>
    </w:lvlOverride>
  </w:num>
  <w:num w:numId="10" w16cid:durableId="1648893201">
    <w:abstractNumId w:val="28"/>
  </w:num>
  <w:num w:numId="11" w16cid:durableId="1058015183">
    <w:abstractNumId w:val="8"/>
  </w:num>
  <w:num w:numId="12" w16cid:durableId="1372069506">
    <w:abstractNumId w:val="20"/>
  </w:num>
  <w:num w:numId="13" w16cid:durableId="2121217111">
    <w:abstractNumId w:val="21"/>
  </w:num>
  <w:num w:numId="14" w16cid:durableId="1933202694">
    <w:abstractNumId w:val="15"/>
  </w:num>
  <w:num w:numId="15" w16cid:durableId="254365186">
    <w:abstractNumId w:val="17"/>
  </w:num>
  <w:num w:numId="16" w16cid:durableId="2067102393">
    <w:abstractNumId w:val="0"/>
  </w:num>
  <w:num w:numId="17" w16cid:durableId="1853103272">
    <w:abstractNumId w:val="29"/>
  </w:num>
  <w:num w:numId="18" w16cid:durableId="219750026">
    <w:abstractNumId w:val="18"/>
  </w:num>
  <w:num w:numId="19" w16cid:durableId="1162043425">
    <w:abstractNumId w:val="13"/>
  </w:num>
  <w:num w:numId="20" w16cid:durableId="267128482">
    <w:abstractNumId w:val="7"/>
  </w:num>
  <w:num w:numId="21" w16cid:durableId="2112508654">
    <w:abstractNumId w:val="12"/>
  </w:num>
  <w:num w:numId="22" w16cid:durableId="1239906879">
    <w:abstractNumId w:val="10"/>
  </w:num>
  <w:num w:numId="23" w16cid:durableId="215512054">
    <w:abstractNumId w:val="27"/>
  </w:num>
  <w:num w:numId="24" w16cid:durableId="37363720">
    <w:abstractNumId w:val="3"/>
  </w:num>
  <w:num w:numId="25" w16cid:durableId="420759574">
    <w:abstractNumId w:val="5"/>
  </w:num>
  <w:num w:numId="26" w16cid:durableId="843009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16822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9750475">
    <w:abstractNumId w:val="24"/>
  </w:num>
  <w:num w:numId="29" w16cid:durableId="1529489758">
    <w:abstractNumId w:val="16"/>
    <w:lvlOverride w:ilvl="0">
      <w:startOverride w:val="1"/>
    </w:lvlOverride>
  </w:num>
  <w:num w:numId="30" w16cid:durableId="549922509">
    <w:abstractNumId w:val="16"/>
    <w:lvlOverride w:ilvl="0">
      <w:startOverride w:val="1"/>
    </w:lvlOverride>
  </w:num>
  <w:num w:numId="31" w16cid:durableId="158275542">
    <w:abstractNumId w:val="16"/>
    <w:lvlOverride w:ilvl="0">
      <w:startOverride w:val="1"/>
    </w:lvlOverride>
  </w:num>
  <w:num w:numId="32" w16cid:durableId="290139868">
    <w:abstractNumId w:val="16"/>
    <w:lvlOverride w:ilvl="0">
      <w:startOverride w:val="1"/>
    </w:lvlOverride>
  </w:num>
  <w:num w:numId="33" w16cid:durableId="596913583">
    <w:abstractNumId w:val="6"/>
  </w:num>
  <w:num w:numId="34" w16cid:durableId="538858407">
    <w:abstractNumId w:val="16"/>
    <w:lvlOverride w:ilvl="0">
      <w:startOverride w:val="1"/>
    </w:lvlOverride>
  </w:num>
  <w:num w:numId="35" w16cid:durableId="24409819">
    <w:abstractNumId w:val="16"/>
    <w:lvlOverride w:ilvl="0">
      <w:startOverride w:val="1"/>
    </w:lvlOverride>
  </w:num>
  <w:num w:numId="36" w16cid:durableId="1186213602">
    <w:abstractNumId w:val="16"/>
    <w:lvlOverride w:ilvl="0">
      <w:startOverride w:val="1"/>
    </w:lvlOverride>
  </w:num>
  <w:num w:numId="37" w16cid:durableId="145897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2731094">
    <w:abstractNumId w:val="19"/>
  </w:num>
  <w:num w:numId="39" w16cid:durableId="2093306653">
    <w:abstractNumId w:val="4"/>
  </w:num>
  <w:num w:numId="40" w16cid:durableId="146821968">
    <w:abstractNumId w:val="4"/>
    <w:lvlOverride w:ilvl="0">
      <w:startOverride w:val="1"/>
    </w:lvlOverride>
  </w:num>
  <w:num w:numId="41" w16cid:durableId="861553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186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026035">
    <w:abstractNumId w:val="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7537804">
    <w:abstractNumId w:val="8"/>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1261251">
    <w:abstractNumId w:val="8"/>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4651018">
    <w:abstractNumId w:val="1"/>
  </w:num>
  <w:num w:numId="47" w16cid:durableId="1409036146">
    <w:abstractNumId w:val="23"/>
  </w:num>
  <w:num w:numId="48" w16cid:durableId="154625734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A2"/>
    <w:rsid w:val="00000C9F"/>
    <w:rsid w:val="00001DA2"/>
    <w:rsid w:val="00002356"/>
    <w:rsid w:val="000025E6"/>
    <w:rsid w:val="000036D8"/>
    <w:rsid w:val="000042F1"/>
    <w:rsid w:val="000043F9"/>
    <w:rsid w:val="00004C67"/>
    <w:rsid w:val="00005195"/>
    <w:rsid w:val="00005FA6"/>
    <w:rsid w:val="0000648D"/>
    <w:rsid w:val="00006543"/>
    <w:rsid w:val="00006E30"/>
    <w:rsid w:val="00006F3D"/>
    <w:rsid w:val="000071CA"/>
    <w:rsid w:val="00007FD5"/>
    <w:rsid w:val="00010F5B"/>
    <w:rsid w:val="00011C73"/>
    <w:rsid w:val="00012B67"/>
    <w:rsid w:val="00012C74"/>
    <w:rsid w:val="0001442A"/>
    <w:rsid w:val="000148C5"/>
    <w:rsid w:val="00014CB0"/>
    <w:rsid w:val="000150BF"/>
    <w:rsid w:val="000156B2"/>
    <w:rsid w:val="00015A97"/>
    <w:rsid w:val="000161DB"/>
    <w:rsid w:val="00016C62"/>
    <w:rsid w:val="00016FE0"/>
    <w:rsid w:val="0001770B"/>
    <w:rsid w:val="00017E5B"/>
    <w:rsid w:val="00017EB6"/>
    <w:rsid w:val="000204C9"/>
    <w:rsid w:val="00020D21"/>
    <w:rsid w:val="00020EA3"/>
    <w:rsid w:val="00021727"/>
    <w:rsid w:val="00022C1B"/>
    <w:rsid w:val="00022CE0"/>
    <w:rsid w:val="00022EA9"/>
    <w:rsid w:val="00023068"/>
    <w:rsid w:val="00023137"/>
    <w:rsid w:val="00023BDB"/>
    <w:rsid w:val="00024069"/>
    <w:rsid w:val="00024745"/>
    <w:rsid w:val="00025242"/>
    <w:rsid w:val="00025CB3"/>
    <w:rsid w:val="00026896"/>
    <w:rsid w:val="00026A1A"/>
    <w:rsid w:val="00026E7B"/>
    <w:rsid w:val="000273C6"/>
    <w:rsid w:val="000274F7"/>
    <w:rsid w:val="00027557"/>
    <w:rsid w:val="00030629"/>
    <w:rsid w:val="00030E66"/>
    <w:rsid w:val="00031648"/>
    <w:rsid w:val="00031B65"/>
    <w:rsid w:val="00031CF4"/>
    <w:rsid w:val="000326F5"/>
    <w:rsid w:val="00032856"/>
    <w:rsid w:val="000328A8"/>
    <w:rsid w:val="00032F41"/>
    <w:rsid w:val="00033A71"/>
    <w:rsid w:val="00034DBB"/>
    <w:rsid w:val="000363C5"/>
    <w:rsid w:val="000370C8"/>
    <w:rsid w:val="000372BA"/>
    <w:rsid w:val="00040135"/>
    <w:rsid w:val="00040571"/>
    <w:rsid w:val="00040601"/>
    <w:rsid w:val="0004123E"/>
    <w:rsid w:val="00041748"/>
    <w:rsid w:val="00041E84"/>
    <w:rsid w:val="000424EA"/>
    <w:rsid w:val="0004258C"/>
    <w:rsid w:val="0004324B"/>
    <w:rsid w:val="00044479"/>
    <w:rsid w:val="0004456B"/>
    <w:rsid w:val="00045ABF"/>
    <w:rsid w:val="00045C11"/>
    <w:rsid w:val="0004655E"/>
    <w:rsid w:val="00047856"/>
    <w:rsid w:val="00047AB0"/>
    <w:rsid w:val="00051114"/>
    <w:rsid w:val="00051756"/>
    <w:rsid w:val="00051F3C"/>
    <w:rsid w:val="00052DA0"/>
    <w:rsid w:val="00053512"/>
    <w:rsid w:val="0005377C"/>
    <w:rsid w:val="00053F80"/>
    <w:rsid w:val="00054311"/>
    <w:rsid w:val="0005450F"/>
    <w:rsid w:val="0005451C"/>
    <w:rsid w:val="00054DE6"/>
    <w:rsid w:val="000554BF"/>
    <w:rsid w:val="00056371"/>
    <w:rsid w:val="00056373"/>
    <w:rsid w:val="000569CD"/>
    <w:rsid w:val="00056B63"/>
    <w:rsid w:val="00056E89"/>
    <w:rsid w:val="00057BF1"/>
    <w:rsid w:val="00057D13"/>
    <w:rsid w:val="00061111"/>
    <w:rsid w:val="0006177C"/>
    <w:rsid w:val="00061933"/>
    <w:rsid w:val="00062330"/>
    <w:rsid w:val="000624BB"/>
    <w:rsid w:val="00062C57"/>
    <w:rsid w:val="0006366E"/>
    <w:rsid w:val="000641EB"/>
    <w:rsid w:val="00064557"/>
    <w:rsid w:val="000645D1"/>
    <w:rsid w:val="000648E8"/>
    <w:rsid w:val="000653F5"/>
    <w:rsid w:val="00065BF3"/>
    <w:rsid w:val="000665AB"/>
    <w:rsid w:val="00066E63"/>
    <w:rsid w:val="00066FC9"/>
    <w:rsid w:val="00067DF8"/>
    <w:rsid w:val="000702C3"/>
    <w:rsid w:val="00070EA5"/>
    <w:rsid w:val="0007176E"/>
    <w:rsid w:val="00071B4B"/>
    <w:rsid w:val="00071EF7"/>
    <w:rsid w:val="00072373"/>
    <w:rsid w:val="00072CBE"/>
    <w:rsid w:val="000731C5"/>
    <w:rsid w:val="0007335C"/>
    <w:rsid w:val="0007360C"/>
    <w:rsid w:val="00073E85"/>
    <w:rsid w:val="00075593"/>
    <w:rsid w:val="0007582F"/>
    <w:rsid w:val="00076DA5"/>
    <w:rsid w:val="00077AAF"/>
    <w:rsid w:val="00077ADE"/>
    <w:rsid w:val="0008020F"/>
    <w:rsid w:val="00080895"/>
    <w:rsid w:val="00080B40"/>
    <w:rsid w:val="000812ED"/>
    <w:rsid w:val="000816E0"/>
    <w:rsid w:val="000819A8"/>
    <w:rsid w:val="00081FAD"/>
    <w:rsid w:val="00082DEF"/>
    <w:rsid w:val="00083837"/>
    <w:rsid w:val="000847BF"/>
    <w:rsid w:val="00085EA1"/>
    <w:rsid w:val="00086A5C"/>
    <w:rsid w:val="00086B04"/>
    <w:rsid w:val="00086C42"/>
    <w:rsid w:val="00086EBC"/>
    <w:rsid w:val="0008779D"/>
    <w:rsid w:val="00087F7D"/>
    <w:rsid w:val="00091C4F"/>
    <w:rsid w:val="00093796"/>
    <w:rsid w:val="000939CA"/>
    <w:rsid w:val="000943A8"/>
    <w:rsid w:val="0009613B"/>
    <w:rsid w:val="00096325"/>
    <w:rsid w:val="0009650F"/>
    <w:rsid w:val="00096896"/>
    <w:rsid w:val="00096A17"/>
    <w:rsid w:val="00096C06"/>
    <w:rsid w:val="00097192"/>
    <w:rsid w:val="00097790"/>
    <w:rsid w:val="00097CF0"/>
    <w:rsid w:val="000A17F1"/>
    <w:rsid w:val="000A1B09"/>
    <w:rsid w:val="000A1D9C"/>
    <w:rsid w:val="000A2395"/>
    <w:rsid w:val="000A3130"/>
    <w:rsid w:val="000A336C"/>
    <w:rsid w:val="000A3898"/>
    <w:rsid w:val="000A3C2F"/>
    <w:rsid w:val="000A4110"/>
    <w:rsid w:val="000A4B2F"/>
    <w:rsid w:val="000A52A1"/>
    <w:rsid w:val="000A633D"/>
    <w:rsid w:val="000A6392"/>
    <w:rsid w:val="000A756F"/>
    <w:rsid w:val="000A7C5E"/>
    <w:rsid w:val="000B2042"/>
    <w:rsid w:val="000B286B"/>
    <w:rsid w:val="000B2942"/>
    <w:rsid w:val="000B2AF2"/>
    <w:rsid w:val="000B2CFB"/>
    <w:rsid w:val="000B2D5D"/>
    <w:rsid w:val="000B2F0F"/>
    <w:rsid w:val="000B3097"/>
    <w:rsid w:val="000B3557"/>
    <w:rsid w:val="000B3A47"/>
    <w:rsid w:val="000B3AA2"/>
    <w:rsid w:val="000B3DC4"/>
    <w:rsid w:val="000B5227"/>
    <w:rsid w:val="000B53C0"/>
    <w:rsid w:val="000B5744"/>
    <w:rsid w:val="000B5C2F"/>
    <w:rsid w:val="000B64E3"/>
    <w:rsid w:val="000B689B"/>
    <w:rsid w:val="000B73C6"/>
    <w:rsid w:val="000B7685"/>
    <w:rsid w:val="000B7CB8"/>
    <w:rsid w:val="000B7DC3"/>
    <w:rsid w:val="000B7F93"/>
    <w:rsid w:val="000C06A4"/>
    <w:rsid w:val="000C0CE7"/>
    <w:rsid w:val="000C0F3A"/>
    <w:rsid w:val="000C0FAC"/>
    <w:rsid w:val="000C1F18"/>
    <w:rsid w:val="000C2987"/>
    <w:rsid w:val="000C2EA9"/>
    <w:rsid w:val="000C3B22"/>
    <w:rsid w:val="000C4BB7"/>
    <w:rsid w:val="000C5486"/>
    <w:rsid w:val="000C782D"/>
    <w:rsid w:val="000D0718"/>
    <w:rsid w:val="000D0A89"/>
    <w:rsid w:val="000D0ACF"/>
    <w:rsid w:val="000D0BB6"/>
    <w:rsid w:val="000D0C8D"/>
    <w:rsid w:val="000D1354"/>
    <w:rsid w:val="000D149C"/>
    <w:rsid w:val="000D1EA8"/>
    <w:rsid w:val="000D2088"/>
    <w:rsid w:val="000D27F5"/>
    <w:rsid w:val="000D2879"/>
    <w:rsid w:val="000D3BC1"/>
    <w:rsid w:val="000D4342"/>
    <w:rsid w:val="000D5BE1"/>
    <w:rsid w:val="000D6C93"/>
    <w:rsid w:val="000D70D7"/>
    <w:rsid w:val="000D763B"/>
    <w:rsid w:val="000D7C54"/>
    <w:rsid w:val="000E0210"/>
    <w:rsid w:val="000E1007"/>
    <w:rsid w:val="000E1767"/>
    <w:rsid w:val="000E17A7"/>
    <w:rsid w:val="000E20EE"/>
    <w:rsid w:val="000E3592"/>
    <w:rsid w:val="000E3BE1"/>
    <w:rsid w:val="000E423E"/>
    <w:rsid w:val="000E5404"/>
    <w:rsid w:val="000E5C21"/>
    <w:rsid w:val="000E6774"/>
    <w:rsid w:val="000E6AA5"/>
    <w:rsid w:val="000E798E"/>
    <w:rsid w:val="000E7BAB"/>
    <w:rsid w:val="000E7F56"/>
    <w:rsid w:val="000F03DA"/>
    <w:rsid w:val="000F0674"/>
    <w:rsid w:val="000F0AC1"/>
    <w:rsid w:val="000F1981"/>
    <w:rsid w:val="000F19C5"/>
    <w:rsid w:val="000F1CDA"/>
    <w:rsid w:val="000F1EE5"/>
    <w:rsid w:val="000F232B"/>
    <w:rsid w:val="000F2A89"/>
    <w:rsid w:val="000F2F0E"/>
    <w:rsid w:val="000F2F8D"/>
    <w:rsid w:val="000F3314"/>
    <w:rsid w:val="000F3C15"/>
    <w:rsid w:val="000F3CBF"/>
    <w:rsid w:val="000F414B"/>
    <w:rsid w:val="000F59C7"/>
    <w:rsid w:val="000F5F7F"/>
    <w:rsid w:val="000F649F"/>
    <w:rsid w:val="000F6604"/>
    <w:rsid w:val="000F6700"/>
    <w:rsid w:val="000F7631"/>
    <w:rsid w:val="000F7694"/>
    <w:rsid w:val="000F7F5B"/>
    <w:rsid w:val="00100409"/>
    <w:rsid w:val="00100F32"/>
    <w:rsid w:val="00101C90"/>
    <w:rsid w:val="00102B47"/>
    <w:rsid w:val="00102BE0"/>
    <w:rsid w:val="00102F76"/>
    <w:rsid w:val="00103339"/>
    <w:rsid w:val="001033A9"/>
    <w:rsid w:val="001034E3"/>
    <w:rsid w:val="001039C2"/>
    <w:rsid w:val="00103C7F"/>
    <w:rsid w:val="00103CBC"/>
    <w:rsid w:val="00103F1C"/>
    <w:rsid w:val="001040AD"/>
    <w:rsid w:val="0010422B"/>
    <w:rsid w:val="00104EDD"/>
    <w:rsid w:val="001064A4"/>
    <w:rsid w:val="00106CEE"/>
    <w:rsid w:val="00110417"/>
    <w:rsid w:val="0011178C"/>
    <w:rsid w:val="00111AE7"/>
    <w:rsid w:val="001125AB"/>
    <w:rsid w:val="00112988"/>
    <w:rsid w:val="00112A57"/>
    <w:rsid w:val="00112CF0"/>
    <w:rsid w:val="00112E1E"/>
    <w:rsid w:val="001136C6"/>
    <w:rsid w:val="0011428D"/>
    <w:rsid w:val="00114636"/>
    <w:rsid w:val="00114DA1"/>
    <w:rsid w:val="0011699D"/>
    <w:rsid w:val="00116EE4"/>
    <w:rsid w:val="001172BD"/>
    <w:rsid w:val="001178E4"/>
    <w:rsid w:val="00117DA1"/>
    <w:rsid w:val="001211AB"/>
    <w:rsid w:val="001214BE"/>
    <w:rsid w:val="001218B8"/>
    <w:rsid w:val="00121A72"/>
    <w:rsid w:val="00121F79"/>
    <w:rsid w:val="00122457"/>
    <w:rsid w:val="00122774"/>
    <w:rsid w:val="001232B2"/>
    <w:rsid w:val="00123325"/>
    <w:rsid w:val="00123BC6"/>
    <w:rsid w:val="00123DA3"/>
    <w:rsid w:val="00124B73"/>
    <w:rsid w:val="00124E9F"/>
    <w:rsid w:val="00124ED1"/>
    <w:rsid w:val="001258EF"/>
    <w:rsid w:val="00125B33"/>
    <w:rsid w:val="00125FE2"/>
    <w:rsid w:val="001260B6"/>
    <w:rsid w:val="00126201"/>
    <w:rsid w:val="00126AD1"/>
    <w:rsid w:val="00126FB4"/>
    <w:rsid w:val="001277C7"/>
    <w:rsid w:val="00130DCA"/>
    <w:rsid w:val="00131D5F"/>
    <w:rsid w:val="00131D65"/>
    <w:rsid w:val="001322D2"/>
    <w:rsid w:val="00132373"/>
    <w:rsid w:val="00132503"/>
    <w:rsid w:val="00132E0B"/>
    <w:rsid w:val="001333F9"/>
    <w:rsid w:val="00133864"/>
    <w:rsid w:val="00133F08"/>
    <w:rsid w:val="00134146"/>
    <w:rsid w:val="00135080"/>
    <w:rsid w:val="00136497"/>
    <w:rsid w:val="0013659F"/>
    <w:rsid w:val="00136CDF"/>
    <w:rsid w:val="00136F29"/>
    <w:rsid w:val="00137D90"/>
    <w:rsid w:val="00140D09"/>
    <w:rsid w:val="00141BD1"/>
    <w:rsid w:val="00141C36"/>
    <w:rsid w:val="001420A7"/>
    <w:rsid w:val="00142239"/>
    <w:rsid w:val="00142B86"/>
    <w:rsid w:val="00143F85"/>
    <w:rsid w:val="001441DA"/>
    <w:rsid w:val="00144A22"/>
    <w:rsid w:val="00144C8A"/>
    <w:rsid w:val="0014616B"/>
    <w:rsid w:val="00147115"/>
    <w:rsid w:val="001477CE"/>
    <w:rsid w:val="00151316"/>
    <w:rsid w:val="001519C7"/>
    <w:rsid w:val="00151B0D"/>
    <w:rsid w:val="00151DFB"/>
    <w:rsid w:val="0015233A"/>
    <w:rsid w:val="00152BE0"/>
    <w:rsid w:val="001530CF"/>
    <w:rsid w:val="00153AA7"/>
    <w:rsid w:val="00153D48"/>
    <w:rsid w:val="00153F8A"/>
    <w:rsid w:val="00154A9A"/>
    <w:rsid w:val="001550A3"/>
    <w:rsid w:val="00155746"/>
    <w:rsid w:val="00155EAF"/>
    <w:rsid w:val="0015686A"/>
    <w:rsid w:val="00156C80"/>
    <w:rsid w:val="0015742B"/>
    <w:rsid w:val="00160346"/>
    <w:rsid w:val="00161DCE"/>
    <w:rsid w:val="00162E9A"/>
    <w:rsid w:val="00163FA7"/>
    <w:rsid w:val="00164202"/>
    <w:rsid w:val="0016534B"/>
    <w:rsid w:val="001654B0"/>
    <w:rsid w:val="00165907"/>
    <w:rsid w:val="00165FF0"/>
    <w:rsid w:val="0016688E"/>
    <w:rsid w:val="00166E24"/>
    <w:rsid w:val="00166F83"/>
    <w:rsid w:val="0016723A"/>
    <w:rsid w:val="00167335"/>
    <w:rsid w:val="00170099"/>
    <w:rsid w:val="001704CF"/>
    <w:rsid w:val="00170DC9"/>
    <w:rsid w:val="001717CC"/>
    <w:rsid w:val="0017181D"/>
    <w:rsid w:val="00171A05"/>
    <w:rsid w:val="00171D48"/>
    <w:rsid w:val="00172E17"/>
    <w:rsid w:val="00172EC4"/>
    <w:rsid w:val="00172F3A"/>
    <w:rsid w:val="001730FD"/>
    <w:rsid w:val="001735B1"/>
    <w:rsid w:val="00173798"/>
    <w:rsid w:val="00173BE6"/>
    <w:rsid w:val="00173DA5"/>
    <w:rsid w:val="00173E72"/>
    <w:rsid w:val="00175209"/>
    <w:rsid w:val="0017572D"/>
    <w:rsid w:val="00175AA2"/>
    <w:rsid w:val="00175ACB"/>
    <w:rsid w:val="0017645D"/>
    <w:rsid w:val="00176E9A"/>
    <w:rsid w:val="001778D0"/>
    <w:rsid w:val="0017799C"/>
    <w:rsid w:val="00177D12"/>
    <w:rsid w:val="001807C0"/>
    <w:rsid w:val="00180935"/>
    <w:rsid w:val="001811DE"/>
    <w:rsid w:val="001818CC"/>
    <w:rsid w:val="00181B43"/>
    <w:rsid w:val="00182487"/>
    <w:rsid w:val="001826CB"/>
    <w:rsid w:val="001827AC"/>
    <w:rsid w:val="00182899"/>
    <w:rsid w:val="001831E8"/>
    <w:rsid w:val="00183562"/>
    <w:rsid w:val="00183649"/>
    <w:rsid w:val="00183970"/>
    <w:rsid w:val="001843C4"/>
    <w:rsid w:val="0018537D"/>
    <w:rsid w:val="001853A5"/>
    <w:rsid w:val="0018540A"/>
    <w:rsid w:val="00185A8A"/>
    <w:rsid w:val="001866D1"/>
    <w:rsid w:val="001868A3"/>
    <w:rsid w:val="00186990"/>
    <w:rsid w:val="00187145"/>
    <w:rsid w:val="001874F4"/>
    <w:rsid w:val="00187613"/>
    <w:rsid w:val="00187A5A"/>
    <w:rsid w:val="00187D22"/>
    <w:rsid w:val="0019104D"/>
    <w:rsid w:val="00191778"/>
    <w:rsid w:val="00191A77"/>
    <w:rsid w:val="00191DB3"/>
    <w:rsid w:val="00191FD5"/>
    <w:rsid w:val="00192D0D"/>
    <w:rsid w:val="00193260"/>
    <w:rsid w:val="001932E7"/>
    <w:rsid w:val="0019374B"/>
    <w:rsid w:val="00193A90"/>
    <w:rsid w:val="00193B10"/>
    <w:rsid w:val="00193EE3"/>
    <w:rsid w:val="00194995"/>
    <w:rsid w:val="00194D2F"/>
    <w:rsid w:val="00195CD2"/>
    <w:rsid w:val="001960DB"/>
    <w:rsid w:val="00196BA3"/>
    <w:rsid w:val="001970F9"/>
    <w:rsid w:val="001A0968"/>
    <w:rsid w:val="001A1300"/>
    <w:rsid w:val="001A27E6"/>
    <w:rsid w:val="001A2F36"/>
    <w:rsid w:val="001A3771"/>
    <w:rsid w:val="001A4336"/>
    <w:rsid w:val="001A4EB6"/>
    <w:rsid w:val="001A5705"/>
    <w:rsid w:val="001A592C"/>
    <w:rsid w:val="001A5D64"/>
    <w:rsid w:val="001A63F2"/>
    <w:rsid w:val="001A6496"/>
    <w:rsid w:val="001A7346"/>
    <w:rsid w:val="001A751B"/>
    <w:rsid w:val="001A7FFD"/>
    <w:rsid w:val="001B0110"/>
    <w:rsid w:val="001B0511"/>
    <w:rsid w:val="001B090D"/>
    <w:rsid w:val="001B1729"/>
    <w:rsid w:val="001B1FAD"/>
    <w:rsid w:val="001B3048"/>
    <w:rsid w:val="001B3961"/>
    <w:rsid w:val="001B3E8E"/>
    <w:rsid w:val="001B436F"/>
    <w:rsid w:val="001B4E90"/>
    <w:rsid w:val="001B5291"/>
    <w:rsid w:val="001B563F"/>
    <w:rsid w:val="001B5D3A"/>
    <w:rsid w:val="001B5D41"/>
    <w:rsid w:val="001B5EB0"/>
    <w:rsid w:val="001B696E"/>
    <w:rsid w:val="001B6A56"/>
    <w:rsid w:val="001B6BF9"/>
    <w:rsid w:val="001B7243"/>
    <w:rsid w:val="001C00F2"/>
    <w:rsid w:val="001C1121"/>
    <w:rsid w:val="001C14EA"/>
    <w:rsid w:val="001C1AC5"/>
    <w:rsid w:val="001C202D"/>
    <w:rsid w:val="001C22BD"/>
    <w:rsid w:val="001C22F8"/>
    <w:rsid w:val="001C23C3"/>
    <w:rsid w:val="001C2A03"/>
    <w:rsid w:val="001C30D2"/>
    <w:rsid w:val="001C3BC6"/>
    <w:rsid w:val="001C469B"/>
    <w:rsid w:val="001C504B"/>
    <w:rsid w:val="001C532B"/>
    <w:rsid w:val="001C6A71"/>
    <w:rsid w:val="001C776C"/>
    <w:rsid w:val="001C77E1"/>
    <w:rsid w:val="001D08D0"/>
    <w:rsid w:val="001D19A8"/>
    <w:rsid w:val="001D28B3"/>
    <w:rsid w:val="001D2932"/>
    <w:rsid w:val="001D5257"/>
    <w:rsid w:val="001D638B"/>
    <w:rsid w:val="001D6CCE"/>
    <w:rsid w:val="001D6DFA"/>
    <w:rsid w:val="001D7159"/>
    <w:rsid w:val="001D7226"/>
    <w:rsid w:val="001E1F97"/>
    <w:rsid w:val="001E252F"/>
    <w:rsid w:val="001E2A8E"/>
    <w:rsid w:val="001E38A8"/>
    <w:rsid w:val="001E390F"/>
    <w:rsid w:val="001E3982"/>
    <w:rsid w:val="001E5F64"/>
    <w:rsid w:val="001E6180"/>
    <w:rsid w:val="001E629C"/>
    <w:rsid w:val="001E674B"/>
    <w:rsid w:val="001E68FC"/>
    <w:rsid w:val="001E6C2D"/>
    <w:rsid w:val="001E72B6"/>
    <w:rsid w:val="001E7569"/>
    <w:rsid w:val="001E7F25"/>
    <w:rsid w:val="001F0766"/>
    <w:rsid w:val="001F0EE5"/>
    <w:rsid w:val="001F10A2"/>
    <w:rsid w:val="001F16FB"/>
    <w:rsid w:val="001F1844"/>
    <w:rsid w:val="001F1A09"/>
    <w:rsid w:val="001F2178"/>
    <w:rsid w:val="001F22CC"/>
    <w:rsid w:val="001F2DF7"/>
    <w:rsid w:val="001F42A4"/>
    <w:rsid w:val="001F4F5A"/>
    <w:rsid w:val="001F66DE"/>
    <w:rsid w:val="001F6B25"/>
    <w:rsid w:val="001F6C87"/>
    <w:rsid w:val="001F6EC5"/>
    <w:rsid w:val="001F7971"/>
    <w:rsid w:val="001F7ACA"/>
    <w:rsid w:val="001F7D00"/>
    <w:rsid w:val="00200CAC"/>
    <w:rsid w:val="00200D92"/>
    <w:rsid w:val="002014E7"/>
    <w:rsid w:val="00202576"/>
    <w:rsid w:val="00202966"/>
    <w:rsid w:val="00202A9E"/>
    <w:rsid w:val="00202D81"/>
    <w:rsid w:val="00204026"/>
    <w:rsid w:val="00204FCF"/>
    <w:rsid w:val="00205644"/>
    <w:rsid w:val="00205B0E"/>
    <w:rsid w:val="00205B1F"/>
    <w:rsid w:val="00205FEA"/>
    <w:rsid w:val="002069BC"/>
    <w:rsid w:val="0020718C"/>
    <w:rsid w:val="00207408"/>
    <w:rsid w:val="0021000D"/>
    <w:rsid w:val="0021033E"/>
    <w:rsid w:val="002103F7"/>
    <w:rsid w:val="00210679"/>
    <w:rsid w:val="00210901"/>
    <w:rsid w:val="00210954"/>
    <w:rsid w:val="00210DCC"/>
    <w:rsid w:val="00210DCD"/>
    <w:rsid w:val="002119BF"/>
    <w:rsid w:val="00211D3D"/>
    <w:rsid w:val="002126B2"/>
    <w:rsid w:val="00212948"/>
    <w:rsid w:val="00212BFF"/>
    <w:rsid w:val="00214036"/>
    <w:rsid w:val="00215101"/>
    <w:rsid w:val="00216AAA"/>
    <w:rsid w:val="00217839"/>
    <w:rsid w:val="00217BBD"/>
    <w:rsid w:val="00220582"/>
    <w:rsid w:val="0022067E"/>
    <w:rsid w:val="0022069C"/>
    <w:rsid w:val="002223C1"/>
    <w:rsid w:val="002224C1"/>
    <w:rsid w:val="0022389B"/>
    <w:rsid w:val="002240C5"/>
    <w:rsid w:val="002240DA"/>
    <w:rsid w:val="00225A3B"/>
    <w:rsid w:val="00225A8C"/>
    <w:rsid w:val="00225BD8"/>
    <w:rsid w:val="00226081"/>
    <w:rsid w:val="002264BB"/>
    <w:rsid w:val="00226AF7"/>
    <w:rsid w:val="00226CF3"/>
    <w:rsid w:val="00230817"/>
    <w:rsid w:val="0023081D"/>
    <w:rsid w:val="00230DCC"/>
    <w:rsid w:val="002326C4"/>
    <w:rsid w:val="00232FEC"/>
    <w:rsid w:val="0023329C"/>
    <w:rsid w:val="00233BC0"/>
    <w:rsid w:val="00234B4F"/>
    <w:rsid w:val="00235412"/>
    <w:rsid w:val="0023617E"/>
    <w:rsid w:val="00236656"/>
    <w:rsid w:val="00236A9D"/>
    <w:rsid w:val="00236DC0"/>
    <w:rsid w:val="00236F4C"/>
    <w:rsid w:val="002373A2"/>
    <w:rsid w:val="00237A0A"/>
    <w:rsid w:val="002401C1"/>
    <w:rsid w:val="002402F3"/>
    <w:rsid w:val="00240461"/>
    <w:rsid w:val="002407CC"/>
    <w:rsid w:val="002409E3"/>
    <w:rsid w:val="00240B41"/>
    <w:rsid w:val="00241394"/>
    <w:rsid w:val="002415CE"/>
    <w:rsid w:val="002416E7"/>
    <w:rsid w:val="00241EFE"/>
    <w:rsid w:val="0024243B"/>
    <w:rsid w:val="00242517"/>
    <w:rsid w:val="0024260B"/>
    <w:rsid w:val="00243D63"/>
    <w:rsid w:val="0024401F"/>
    <w:rsid w:val="00244EE7"/>
    <w:rsid w:val="0024569B"/>
    <w:rsid w:val="00247E9D"/>
    <w:rsid w:val="00250E95"/>
    <w:rsid w:val="002513AE"/>
    <w:rsid w:val="002521E1"/>
    <w:rsid w:val="00253724"/>
    <w:rsid w:val="00253B5A"/>
    <w:rsid w:val="0025447C"/>
    <w:rsid w:val="00255399"/>
    <w:rsid w:val="002559B3"/>
    <w:rsid w:val="00255A84"/>
    <w:rsid w:val="00255B5A"/>
    <w:rsid w:val="0025698E"/>
    <w:rsid w:val="00260448"/>
    <w:rsid w:val="00260C35"/>
    <w:rsid w:val="00260D86"/>
    <w:rsid w:val="0026114B"/>
    <w:rsid w:val="0026123A"/>
    <w:rsid w:val="0026169D"/>
    <w:rsid w:val="00261972"/>
    <w:rsid w:val="002619ED"/>
    <w:rsid w:val="00261CF1"/>
    <w:rsid w:val="002632EE"/>
    <w:rsid w:val="002646FE"/>
    <w:rsid w:val="00264C1F"/>
    <w:rsid w:val="00265AC3"/>
    <w:rsid w:val="00265BFC"/>
    <w:rsid w:val="002671A2"/>
    <w:rsid w:val="0026722A"/>
    <w:rsid w:val="00267496"/>
    <w:rsid w:val="00267A7C"/>
    <w:rsid w:val="002702D2"/>
    <w:rsid w:val="0027170E"/>
    <w:rsid w:val="0027304D"/>
    <w:rsid w:val="002759C0"/>
    <w:rsid w:val="00275B68"/>
    <w:rsid w:val="00275F9E"/>
    <w:rsid w:val="002761BD"/>
    <w:rsid w:val="0027652E"/>
    <w:rsid w:val="00277536"/>
    <w:rsid w:val="00280EA4"/>
    <w:rsid w:val="00280F78"/>
    <w:rsid w:val="002811B7"/>
    <w:rsid w:val="00281653"/>
    <w:rsid w:val="00281DA0"/>
    <w:rsid w:val="00282A64"/>
    <w:rsid w:val="00282BAE"/>
    <w:rsid w:val="00282EE5"/>
    <w:rsid w:val="002834C9"/>
    <w:rsid w:val="002837C2"/>
    <w:rsid w:val="0028399A"/>
    <w:rsid w:val="00284036"/>
    <w:rsid w:val="002845EA"/>
    <w:rsid w:val="0028523A"/>
    <w:rsid w:val="00285309"/>
    <w:rsid w:val="00285DF6"/>
    <w:rsid w:val="0028670B"/>
    <w:rsid w:val="00286894"/>
    <w:rsid w:val="00286B1C"/>
    <w:rsid w:val="00286EBE"/>
    <w:rsid w:val="0028718B"/>
    <w:rsid w:val="0028783E"/>
    <w:rsid w:val="00287AD0"/>
    <w:rsid w:val="002907BC"/>
    <w:rsid w:val="002920C7"/>
    <w:rsid w:val="00292228"/>
    <w:rsid w:val="00293C63"/>
    <w:rsid w:val="00294A58"/>
    <w:rsid w:val="00294C67"/>
    <w:rsid w:val="00295B70"/>
    <w:rsid w:val="00295EEF"/>
    <w:rsid w:val="0029648D"/>
    <w:rsid w:val="002A04E2"/>
    <w:rsid w:val="002A06E7"/>
    <w:rsid w:val="002A0E02"/>
    <w:rsid w:val="002A0E94"/>
    <w:rsid w:val="002A2364"/>
    <w:rsid w:val="002A283D"/>
    <w:rsid w:val="002A2A08"/>
    <w:rsid w:val="002A2D93"/>
    <w:rsid w:val="002A339E"/>
    <w:rsid w:val="002A33FC"/>
    <w:rsid w:val="002A35A5"/>
    <w:rsid w:val="002A3F97"/>
    <w:rsid w:val="002A402F"/>
    <w:rsid w:val="002A4113"/>
    <w:rsid w:val="002A4266"/>
    <w:rsid w:val="002A46C8"/>
    <w:rsid w:val="002A4E42"/>
    <w:rsid w:val="002A556F"/>
    <w:rsid w:val="002A598E"/>
    <w:rsid w:val="002A61A5"/>
    <w:rsid w:val="002A61B1"/>
    <w:rsid w:val="002A648D"/>
    <w:rsid w:val="002A66BE"/>
    <w:rsid w:val="002A7199"/>
    <w:rsid w:val="002A77C3"/>
    <w:rsid w:val="002A7BBD"/>
    <w:rsid w:val="002B0D6E"/>
    <w:rsid w:val="002B10B0"/>
    <w:rsid w:val="002B14DB"/>
    <w:rsid w:val="002B1595"/>
    <w:rsid w:val="002B169C"/>
    <w:rsid w:val="002B28FD"/>
    <w:rsid w:val="002B34C8"/>
    <w:rsid w:val="002B3596"/>
    <w:rsid w:val="002B6031"/>
    <w:rsid w:val="002B623E"/>
    <w:rsid w:val="002B6716"/>
    <w:rsid w:val="002B6EFD"/>
    <w:rsid w:val="002B6F33"/>
    <w:rsid w:val="002B7194"/>
    <w:rsid w:val="002B79F0"/>
    <w:rsid w:val="002B7B8A"/>
    <w:rsid w:val="002B7F3E"/>
    <w:rsid w:val="002C059A"/>
    <w:rsid w:val="002C05D9"/>
    <w:rsid w:val="002C0CCC"/>
    <w:rsid w:val="002C0CD7"/>
    <w:rsid w:val="002C0D7B"/>
    <w:rsid w:val="002C1CBF"/>
    <w:rsid w:val="002C1D9C"/>
    <w:rsid w:val="002C22C5"/>
    <w:rsid w:val="002C2BEB"/>
    <w:rsid w:val="002C34B2"/>
    <w:rsid w:val="002C366F"/>
    <w:rsid w:val="002C3D9B"/>
    <w:rsid w:val="002C4B93"/>
    <w:rsid w:val="002C4CA9"/>
    <w:rsid w:val="002C5453"/>
    <w:rsid w:val="002C6013"/>
    <w:rsid w:val="002C64F8"/>
    <w:rsid w:val="002C7301"/>
    <w:rsid w:val="002C7FF4"/>
    <w:rsid w:val="002D0592"/>
    <w:rsid w:val="002D100C"/>
    <w:rsid w:val="002D2270"/>
    <w:rsid w:val="002D2EC4"/>
    <w:rsid w:val="002D3306"/>
    <w:rsid w:val="002D4074"/>
    <w:rsid w:val="002D4830"/>
    <w:rsid w:val="002D4A0A"/>
    <w:rsid w:val="002D4A43"/>
    <w:rsid w:val="002D607F"/>
    <w:rsid w:val="002D6D06"/>
    <w:rsid w:val="002E0D26"/>
    <w:rsid w:val="002E229D"/>
    <w:rsid w:val="002E25A8"/>
    <w:rsid w:val="002E279A"/>
    <w:rsid w:val="002E2BE7"/>
    <w:rsid w:val="002E323E"/>
    <w:rsid w:val="002E34CF"/>
    <w:rsid w:val="002E4118"/>
    <w:rsid w:val="002E41F3"/>
    <w:rsid w:val="002E4519"/>
    <w:rsid w:val="002E533C"/>
    <w:rsid w:val="002E557C"/>
    <w:rsid w:val="002E6E7C"/>
    <w:rsid w:val="002E6F72"/>
    <w:rsid w:val="002F04DE"/>
    <w:rsid w:val="002F1524"/>
    <w:rsid w:val="002F1CD3"/>
    <w:rsid w:val="002F1D51"/>
    <w:rsid w:val="002F1E43"/>
    <w:rsid w:val="002F2BB2"/>
    <w:rsid w:val="002F3895"/>
    <w:rsid w:val="002F3A93"/>
    <w:rsid w:val="002F3AFA"/>
    <w:rsid w:val="002F4355"/>
    <w:rsid w:val="002F4444"/>
    <w:rsid w:val="002F4777"/>
    <w:rsid w:val="002F4BEA"/>
    <w:rsid w:val="002F5140"/>
    <w:rsid w:val="002F6B24"/>
    <w:rsid w:val="002F6E28"/>
    <w:rsid w:val="002F70E2"/>
    <w:rsid w:val="002F725F"/>
    <w:rsid w:val="002F7A88"/>
    <w:rsid w:val="002F7E68"/>
    <w:rsid w:val="003007DE"/>
    <w:rsid w:val="00300A5A"/>
    <w:rsid w:val="00300C9E"/>
    <w:rsid w:val="00300E39"/>
    <w:rsid w:val="003011A6"/>
    <w:rsid w:val="00301B09"/>
    <w:rsid w:val="00302306"/>
    <w:rsid w:val="00302E5E"/>
    <w:rsid w:val="00302EA1"/>
    <w:rsid w:val="003038DB"/>
    <w:rsid w:val="00303BC0"/>
    <w:rsid w:val="00303BC3"/>
    <w:rsid w:val="00303D58"/>
    <w:rsid w:val="0030415A"/>
    <w:rsid w:val="00304433"/>
    <w:rsid w:val="00304C8F"/>
    <w:rsid w:val="00304FF8"/>
    <w:rsid w:val="00307448"/>
    <w:rsid w:val="00307C55"/>
    <w:rsid w:val="00307DEF"/>
    <w:rsid w:val="003107E5"/>
    <w:rsid w:val="0031115B"/>
    <w:rsid w:val="003115AC"/>
    <w:rsid w:val="00311D33"/>
    <w:rsid w:val="00311EE1"/>
    <w:rsid w:val="0031200F"/>
    <w:rsid w:val="0031208A"/>
    <w:rsid w:val="00313664"/>
    <w:rsid w:val="00313CE0"/>
    <w:rsid w:val="00314475"/>
    <w:rsid w:val="00314F90"/>
    <w:rsid w:val="00315247"/>
    <w:rsid w:val="00315731"/>
    <w:rsid w:val="00315D4B"/>
    <w:rsid w:val="0031617F"/>
    <w:rsid w:val="0032006F"/>
    <w:rsid w:val="003201A1"/>
    <w:rsid w:val="00320747"/>
    <w:rsid w:val="00320AB0"/>
    <w:rsid w:val="0032124F"/>
    <w:rsid w:val="00321560"/>
    <w:rsid w:val="003215A9"/>
    <w:rsid w:val="00321758"/>
    <w:rsid w:val="00321823"/>
    <w:rsid w:val="00322E12"/>
    <w:rsid w:val="003243D1"/>
    <w:rsid w:val="003257A7"/>
    <w:rsid w:val="003259D7"/>
    <w:rsid w:val="00326451"/>
    <w:rsid w:val="003268C7"/>
    <w:rsid w:val="00326B3B"/>
    <w:rsid w:val="00330385"/>
    <w:rsid w:val="0033102E"/>
    <w:rsid w:val="00331401"/>
    <w:rsid w:val="00331FA0"/>
    <w:rsid w:val="00332344"/>
    <w:rsid w:val="00333234"/>
    <w:rsid w:val="00333CC8"/>
    <w:rsid w:val="003340BC"/>
    <w:rsid w:val="003343B5"/>
    <w:rsid w:val="003345F8"/>
    <w:rsid w:val="00334633"/>
    <w:rsid w:val="0033572C"/>
    <w:rsid w:val="00335ED1"/>
    <w:rsid w:val="00336C06"/>
    <w:rsid w:val="00337808"/>
    <w:rsid w:val="00337EF8"/>
    <w:rsid w:val="00341296"/>
    <w:rsid w:val="003428BA"/>
    <w:rsid w:val="00342A60"/>
    <w:rsid w:val="00342CBB"/>
    <w:rsid w:val="00342FBC"/>
    <w:rsid w:val="0034375A"/>
    <w:rsid w:val="0034379D"/>
    <w:rsid w:val="003439F6"/>
    <w:rsid w:val="0034410F"/>
    <w:rsid w:val="00344A29"/>
    <w:rsid w:val="00346192"/>
    <w:rsid w:val="0034646D"/>
    <w:rsid w:val="0034714F"/>
    <w:rsid w:val="003477AD"/>
    <w:rsid w:val="0034797B"/>
    <w:rsid w:val="00347BE5"/>
    <w:rsid w:val="003507DD"/>
    <w:rsid w:val="00350B03"/>
    <w:rsid w:val="00351964"/>
    <w:rsid w:val="003522E0"/>
    <w:rsid w:val="0035267F"/>
    <w:rsid w:val="0035284A"/>
    <w:rsid w:val="00352B55"/>
    <w:rsid w:val="00354193"/>
    <w:rsid w:val="003547FA"/>
    <w:rsid w:val="003550BA"/>
    <w:rsid w:val="003554D2"/>
    <w:rsid w:val="0035580D"/>
    <w:rsid w:val="00355985"/>
    <w:rsid w:val="00355D0B"/>
    <w:rsid w:val="00355D95"/>
    <w:rsid w:val="00356887"/>
    <w:rsid w:val="00356915"/>
    <w:rsid w:val="00356F02"/>
    <w:rsid w:val="003577E3"/>
    <w:rsid w:val="00357CB5"/>
    <w:rsid w:val="003600B2"/>
    <w:rsid w:val="003602DC"/>
    <w:rsid w:val="00360517"/>
    <w:rsid w:val="00360532"/>
    <w:rsid w:val="00362FD3"/>
    <w:rsid w:val="003639FB"/>
    <w:rsid w:val="00363BF7"/>
    <w:rsid w:val="003652B9"/>
    <w:rsid w:val="003678EB"/>
    <w:rsid w:val="00367B88"/>
    <w:rsid w:val="00367D04"/>
    <w:rsid w:val="00370307"/>
    <w:rsid w:val="00370AA1"/>
    <w:rsid w:val="003725AA"/>
    <w:rsid w:val="003729E6"/>
    <w:rsid w:val="00372A5B"/>
    <w:rsid w:val="00373491"/>
    <w:rsid w:val="0037354E"/>
    <w:rsid w:val="00373766"/>
    <w:rsid w:val="003739DD"/>
    <w:rsid w:val="00373A9E"/>
    <w:rsid w:val="003741A2"/>
    <w:rsid w:val="00374419"/>
    <w:rsid w:val="00374C44"/>
    <w:rsid w:val="0037526B"/>
    <w:rsid w:val="003753C2"/>
    <w:rsid w:val="00375E08"/>
    <w:rsid w:val="00376BAA"/>
    <w:rsid w:val="00376F2E"/>
    <w:rsid w:val="0037786B"/>
    <w:rsid w:val="00377CAD"/>
    <w:rsid w:val="00377E4F"/>
    <w:rsid w:val="00380265"/>
    <w:rsid w:val="00380364"/>
    <w:rsid w:val="00380B0B"/>
    <w:rsid w:val="00381256"/>
    <w:rsid w:val="003813B0"/>
    <w:rsid w:val="003814BB"/>
    <w:rsid w:val="00382266"/>
    <w:rsid w:val="0038235E"/>
    <w:rsid w:val="00382AE5"/>
    <w:rsid w:val="00382FE3"/>
    <w:rsid w:val="0038352D"/>
    <w:rsid w:val="003837F4"/>
    <w:rsid w:val="00383BF4"/>
    <w:rsid w:val="00384584"/>
    <w:rsid w:val="00387553"/>
    <w:rsid w:val="003921CD"/>
    <w:rsid w:val="003929D2"/>
    <w:rsid w:val="00392F53"/>
    <w:rsid w:val="00393029"/>
    <w:rsid w:val="00393113"/>
    <w:rsid w:val="0039378B"/>
    <w:rsid w:val="00393E3E"/>
    <w:rsid w:val="00393F81"/>
    <w:rsid w:val="00393FA5"/>
    <w:rsid w:val="0039413F"/>
    <w:rsid w:val="00394244"/>
    <w:rsid w:val="00394B51"/>
    <w:rsid w:val="003953BE"/>
    <w:rsid w:val="00395E9A"/>
    <w:rsid w:val="003965C0"/>
    <w:rsid w:val="00397B19"/>
    <w:rsid w:val="003A06D7"/>
    <w:rsid w:val="003A0D0B"/>
    <w:rsid w:val="003A1301"/>
    <w:rsid w:val="003A27BB"/>
    <w:rsid w:val="003A2FE5"/>
    <w:rsid w:val="003A35D6"/>
    <w:rsid w:val="003A5077"/>
    <w:rsid w:val="003A5614"/>
    <w:rsid w:val="003A5BC5"/>
    <w:rsid w:val="003A5C82"/>
    <w:rsid w:val="003A5D19"/>
    <w:rsid w:val="003A5E4A"/>
    <w:rsid w:val="003A5F4E"/>
    <w:rsid w:val="003A6A4E"/>
    <w:rsid w:val="003A6DDA"/>
    <w:rsid w:val="003A72FF"/>
    <w:rsid w:val="003B1620"/>
    <w:rsid w:val="003B1661"/>
    <w:rsid w:val="003B317B"/>
    <w:rsid w:val="003B4059"/>
    <w:rsid w:val="003B453B"/>
    <w:rsid w:val="003B5254"/>
    <w:rsid w:val="003B533E"/>
    <w:rsid w:val="003B5743"/>
    <w:rsid w:val="003B580F"/>
    <w:rsid w:val="003B673D"/>
    <w:rsid w:val="003B67EA"/>
    <w:rsid w:val="003B7840"/>
    <w:rsid w:val="003B7F41"/>
    <w:rsid w:val="003C1054"/>
    <w:rsid w:val="003C175D"/>
    <w:rsid w:val="003C2577"/>
    <w:rsid w:val="003C2F98"/>
    <w:rsid w:val="003C3379"/>
    <w:rsid w:val="003C3AE8"/>
    <w:rsid w:val="003C3BB5"/>
    <w:rsid w:val="003C3E86"/>
    <w:rsid w:val="003C4448"/>
    <w:rsid w:val="003C4D1E"/>
    <w:rsid w:val="003C4FA8"/>
    <w:rsid w:val="003C529F"/>
    <w:rsid w:val="003C7449"/>
    <w:rsid w:val="003D0022"/>
    <w:rsid w:val="003D0065"/>
    <w:rsid w:val="003D0B52"/>
    <w:rsid w:val="003D1BB5"/>
    <w:rsid w:val="003D1D95"/>
    <w:rsid w:val="003D22D2"/>
    <w:rsid w:val="003D33E2"/>
    <w:rsid w:val="003D3537"/>
    <w:rsid w:val="003D35E6"/>
    <w:rsid w:val="003D3A06"/>
    <w:rsid w:val="003D3CB2"/>
    <w:rsid w:val="003D3D91"/>
    <w:rsid w:val="003D4708"/>
    <w:rsid w:val="003D472C"/>
    <w:rsid w:val="003D477A"/>
    <w:rsid w:val="003D4883"/>
    <w:rsid w:val="003D4B1F"/>
    <w:rsid w:val="003D4D86"/>
    <w:rsid w:val="003D57E5"/>
    <w:rsid w:val="003D614C"/>
    <w:rsid w:val="003D619A"/>
    <w:rsid w:val="003D64AB"/>
    <w:rsid w:val="003D6556"/>
    <w:rsid w:val="003D6A7A"/>
    <w:rsid w:val="003D7078"/>
    <w:rsid w:val="003D7C86"/>
    <w:rsid w:val="003D7CF9"/>
    <w:rsid w:val="003E0C71"/>
    <w:rsid w:val="003E0C99"/>
    <w:rsid w:val="003E213F"/>
    <w:rsid w:val="003E2C5D"/>
    <w:rsid w:val="003E3046"/>
    <w:rsid w:val="003E32FE"/>
    <w:rsid w:val="003E4822"/>
    <w:rsid w:val="003E569A"/>
    <w:rsid w:val="003E6615"/>
    <w:rsid w:val="003E6CD0"/>
    <w:rsid w:val="003E74C3"/>
    <w:rsid w:val="003E79F9"/>
    <w:rsid w:val="003F076E"/>
    <w:rsid w:val="003F08C4"/>
    <w:rsid w:val="003F12E9"/>
    <w:rsid w:val="003F1AB9"/>
    <w:rsid w:val="003F1C13"/>
    <w:rsid w:val="003F2ABB"/>
    <w:rsid w:val="003F33B7"/>
    <w:rsid w:val="003F3668"/>
    <w:rsid w:val="003F37FD"/>
    <w:rsid w:val="003F3854"/>
    <w:rsid w:val="003F4B62"/>
    <w:rsid w:val="003F59F4"/>
    <w:rsid w:val="003F60E1"/>
    <w:rsid w:val="003F672A"/>
    <w:rsid w:val="003F69FE"/>
    <w:rsid w:val="003F757E"/>
    <w:rsid w:val="003F79A9"/>
    <w:rsid w:val="00400494"/>
    <w:rsid w:val="004004F6"/>
    <w:rsid w:val="004017DF"/>
    <w:rsid w:val="00401DBB"/>
    <w:rsid w:val="00401E14"/>
    <w:rsid w:val="0040214B"/>
    <w:rsid w:val="00402280"/>
    <w:rsid w:val="00402B37"/>
    <w:rsid w:val="00402BA1"/>
    <w:rsid w:val="0040313C"/>
    <w:rsid w:val="00403A03"/>
    <w:rsid w:val="00404D94"/>
    <w:rsid w:val="00404DCD"/>
    <w:rsid w:val="00405AE6"/>
    <w:rsid w:val="00406500"/>
    <w:rsid w:val="0040667E"/>
    <w:rsid w:val="00406A86"/>
    <w:rsid w:val="00406AC1"/>
    <w:rsid w:val="00406FFC"/>
    <w:rsid w:val="00407441"/>
    <w:rsid w:val="004077D6"/>
    <w:rsid w:val="0040780E"/>
    <w:rsid w:val="00410047"/>
    <w:rsid w:val="00410883"/>
    <w:rsid w:val="00411033"/>
    <w:rsid w:val="004115E1"/>
    <w:rsid w:val="00411A53"/>
    <w:rsid w:val="00411F5D"/>
    <w:rsid w:val="004121E7"/>
    <w:rsid w:val="0041478B"/>
    <w:rsid w:val="00414C6B"/>
    <w:rsid w:val="00414E51"/>
    <w:rsid w:val="00414E5C"/>
    <w:rsid w:val="00414FB2"/>
    <w:rsid w:val="00415C6D"/>
    <w:rsid w:val="00416512"/>
    <w:rsid w:val="004167C7"/>
    <w:rsid w:val="00416CA7"/>
    <w:rsid w:val="00417347"/>
    <w:rsid w:val="0041747D"/>
    <w:rsid w:val="0041760B"/>
    <w:rsid w:val="00420F04"/>
    <w:rsid w:val="004213A6"/>
    <w:rsid w:val="00421870"/>
    <w:rsid w:val="00423099"/>
    <w:rsid w:val="004240A9"/>
    <w:rsid w:val="00424200"/>
    <w:rsid w:val="00424D0A"/>
    <w:rsid w:val="00424E79"/>
    <w:rsid w:val="00424FA9"/>
    <w:rsid w:val="0042558E"/>
    <w:rsid w:val="004258BD"/>
    <w:rsid w:val="00426126"/>
    <w:rsid w:val="00426614"/>
    <w:rsid w:val="0042661C"/>
    <w:rsid w:val="00427271"/>
    <w:rsid w:val="004274B3"/>
    <w:rsid w:val="00427F27"/>
    <w:rsid w:val="0043009C"/>
    <w:rsid w:val="004303AB"/>
    <w:rsid w:val="00430734"/>
    <w:rsid w:val="00431523"/>
    <w:rsid w:val="00431F95"/>
    <w:rsid w:val="00432048"/>
    <w:rsid w:val="00432D34"/>
    <w:rsid w:val="00432E48"/>
    <w:rsid w:val="00432ED2"/>
    <w:rsid w:val="004332B3"/>
    <w:rsid w:val="00433469"/>
    <w:rsid w:val="00433529"/>
    <w:rsid w:val="0043362C"/>
    <w:rsid w:val="00433C2A"/>
    <w:rsid w:val="00433F36"/>
    <w:rsid w:val="0043452F"/>
    <w:rsid w:val="00435A47"/>
    <w:rsid w:val="00435AFE"/>
    <w:rsid w:val="004375B3"/>
    <w:rsid w:val="00437B99"/>
    <w:rsid w:val="004403F7"/>
    <w:rsid w:val="00440BC0"/>
    <w:rsid w:val="004412FA"/>
    <w:rsid w:val="00441CBC"/>
    <w:rsid w:val="0044207C"/>
    <w:rsid w:val="00443E1F"/>
    <w:rsid w:val="00443EC1"/>
    <w:rsid w:val="004441D6"/>
    <w:rsid w:val="00444240"/>
    <w:rsid w:val="004443E1"/>
    <w:rsid w:val="00446A96"/>
    <w:rsid w:val="00447666"/>
    <w:rsid w:val="00447AC9"/>
    <w:rsid w:val="00451433"/>
    <w:rsid w:val="00451E80"/>
    <w:rsid w:val="00452EAE"/>
    <w:rsid w:val="00452FEC"/>
    <w:rsid w:val="00453264"/>
    <w:rsid w:val="004551F2"/>
    <w:rsid w:val="0045521A"/>
    <w:rsid w:val="0045650E"/>
    <w:rsid w:val="00457981"/>
    <w:rsid w:val="00457990"/>
    <w:rsid w:val="0046174C"/>
    <w:rsid w:val="00461CDE"/>
    <w:rsid w:val="00462036"/>
    <w:rsid w:val="0046222A"/>
    <w:rsid w:val="00462B54"/>
    <w:rsid w:val="00463064"/>
    <w:rsid w:val="0046334D"/>
    <w:rsid w:val="00464118"/>
    <w:rsid w:val="004649CD"/>
    <w:rsid w:val="00464C37"/>
    <w:rsid w:val="0046558A"/>
    <w:rsid w:val="004656CF"/>
    <w:rsid w:val="0046685B"/>
    <w:rsid w:val="00467E2B"/>
    <w:rsid w:val="00471411"/>
    <w:rsid w:val="00471D79"/>
    <w:rsid w:val="00471DEC"/>
    <w:rsid w:val="00472461"/>
    <w:rsid w:val="004724BE"/>
    <w:rsid w:val="004732CA"/>
    <w:rsid w:val="0047335D"/>
    <w:rsid w:val="00473C3D"/>
    <w:rsid w:val="00474445"/>
    <w:rsid w:val="0047451E"/>
    <w:rsid w:val="004752E9"/>
    <w:rsid w:val="00475C50"/>
    <w:rsid w:val="00476AC2"/>
    <w:rsid w:val="0047711B"/>
    <w:rsid w:val="00480065"/>
    <w:rsid w:val="00480562"/>
    <w:rsid w:val="00480564"/>
    <w:rsid w:val="004809B8"/>
    <w:rsid w:val="00481708"/>
    <w:rsid w:val="004817E9"/>
    <w:rsid w:val="00481CFE"/>
    <w:rsid w:val="004821B9"/>
    <w:rsid w:val="00482758"/>
    <w:rsid w:val="00483217"/>
    <w:rsid w:val="0048347E"/>
    <w:rsid w:val="00483A69"/>
    <w:rsid w:val="00484D05"/>
    <w:rsid w:val="00485612"/>
    <w:rsid w:val="00485DD4"/>
    <w:rsid w:val="00485F13"/>
    <w:rsid w:val="00486E2E"/>
    <w:rsid w:val="00487D40"/>
    <w:rsid w:val="004902A7"/>
    <w:rsid w:val="004910A6"/>
    <w:rsid w:val="00491D88"/>
    <w:rsid w:val="004927D8"/>
    <w:rsid w:val="0049508D"/>
    <w:rsid w:val="004958AC"/>
    <w:rsid w:val="0049605C"/>
    <w:rsid w:val="004965F7"/>
    <w:rsid w:val="00496605"/>
    <w:rsid w:val="00497552"/>
    <w:rsid w:val="004975AD"/>
    <w:rsid w:val="004A1635"/>
    <w:rsid w:val="004A1AE1"/>
    <w:rsid w:val="004A1D47"/>
    <w:rsid w:val="004A267A"/>
    <w:rsid w:val="004A29BD"/>
    <w:rsid w:val="004A2A5B"/>
    <w:rsid w:val="004A2A62"/>
    <w:rsid w:val="004A325C"/>
    <w:rsid w:val="004A3767"/>
    <w:rsid w:val="004A3FB9"/>
    <w:rsid w:val="004A4958"/>
    <w:rsid w:val="004A4A56"/>
    <w:rsid w:val="004A5F9D"/>
    <w:rsid w:val="004A6101"/>
    <w:rsid w:val="004A687D"/>
    <w:rsid w:val="004A6896"/>
    <w:rsid w:val="004A6B13"/>
    <w:rsid w:val="004A7048"/>
    <w:rsid w:val="004A73A0"/>
    <w:rsid w:val="004A7EFC"/>
    <w:rsid w:val="004B0A0A"/>
    <w:rsid w:val="004B0B7E"/>
    <w:rsid w:val="004B1125"/>
    <w:rsid w:val="004B12F1"/>
    <w:rsid w:val="004B1C4B"/>
    <w:rsid w:val="004B1DA3"/>
    <w:rsid w:val="004B2267"/>
    <w:rsid w:val="004B2722"/>
    <w:rsid w:val="004B2D30"/>
    <w:rsid w:val="004B3B67"/>
    <w:rsid w:val="004B3BF2"/>
    <w:rsid w:val="004B4507"/>
    <w:rsid w:val="004B60CB"/>
    <w:rsid w:val="004B6784"/>
    <w:rsid w:val="004B6E89"/>
    <w:rsid w:val="004B7591"/>
    <w:rsid w:val="004B7652"/>
    <w:rsid w:val="004C0650"/>
    <w:rsid w:val="004C1CB5"/>
    <w:rsid w:val="004C2F14"/>
    <w:rsid w:val="004C30EF"/>
    <w:rsid w:val="004C3866"/>
    <w:rsid w:val="004C3B79"/>
    <w:rsid w:val="004C5141"/>
    <w:rsid w:val="004C5C5F"/>
    <w:rsid w:val="004C5F33"/>
    <w:rsid w:val="004C7D58"/>
    <w:rsid w:val="004D07EB"/>
    <w:rsid w:val="004D1AB3"/>
    <w:rsid w:val="004D210D"/>
    <w:rsid w:val="004D223A"/>
    <w:rsid w:val="004D228F"/>
    <w:rsid w:val="004D2819"/>
    <w:rsid w:val="004D281A"/>
    <w:rsid w:val="004D2F55"/>
    <w:rsid w:val="004D34A9"/>
    <w:rsid w:val="004D3571"/>
    <w:rsid w:val="004D3DB7"/>
    <w:rsid w:val="004D3F61"/>
    <w:rsid w:val="004D479B"/>
    <w:rsid w:val="004D48FD"/>
    <w:rsid w:val="004D4CF4"/>
    <w:rsid w:val="004D4E8E"/>
    <w:rsid w:val="004D55D1"/>
    <w:rsid w:val="004D56AB"/>
    <w:rsid w:val="004D6364"/>
    <w:rsid w:val="004D6797"/>
    <w:rsid w:val="004D76E1"/>
    <w:rsid w:val="004E094F"/>
    <w:rsid w:val="004E0B48"/>
    <w:rsid w:val="004E269F"/>
    <w:rsid w:val="004E420A"/>
    <w:rsid w:val="004E4F00"/>
    <w:rsid w:val="004E513E"/>
    <w:rsid w:val="004E55D2"/>
    <w:rsid w:val="004E59E1"/>
    <w:rsid w:val="004E6073"/>
    <w:rsid w:val="004E6719"/>
    <w:rsid w:val="004E6DD8"/>
    <w:rsid w:val="004E7104"/>
    <w:rsid w:val="004E7519"/>
    <w:rsid w:val="004E769A"/>
    <w:rsid w:val="004E7C01"/>
    <w:rsid w:val="004F1BA7"/>
    <w:rsid w:val="004F2847"/>
    <w:rsid w:val="004F2F39"/>
    <w:rsid w:val="004F2F52"/>
    <w:rsid w:val="004F31AE"/>
    <w:rsid w:val="004F383C"/>
    <w:rsid w:val="004F3A8E"/>
    <w:rsid w:val="004F3B60"/>
    <w:rsid w:val="004F491F"/>
    <w:rsid w:val="004F4A13"/>
    <w:rsid w:val="004F4CE8"/>
    <w:rsid w:val="004F53E2"/>
    <w:rsid w:val="004F58D3"/>
    <w:rsid w:val="004F5CEF"/>
    <w:rsid w:val="004F5F48"/>
    <w:rsid w:val="004F6230"/>
    <w:rsid w:val="004F628E"/>
    <w:rsid w:val="004F6794"/>
    <w:rsid w:val="004F7531"/>
    <w:rsid w:val="005007BA"/>
    <w:rsid w:val="00500ACD"/>
    <w:rsid w:val="00500D49"/>
    <w:rsid w:val="00501138"/>
    <w:rsid w:val="00501181"/>
    <w:rsid w:val="005012C0"/>
    <w:rsid w:val="005017F8"/>
    <w:rsid w:val="00501F68"/>
    <w:rsid w:val="00501FFE"/>
    <w:rsid w:val="00503994"/>
    <w:rsid w:val="00503A82"/>
    <w:rsid w:val="00504061"/>
    <w:rsid w:val="0050462E"/>
    <w:rsid w:val="00504E24"/>
    <w:rsid w:val="00505210"/>
    <w:rsid w:val="00505BAE"/>
    <w:rsid w:val="00505E22"/>
    <w:rsid w:val="005061B9"/>
    <w:rsid w:val="005062FE"/>
    <w:rsid w:val="00506956"/>
    <w:rsid w:val="00506973"/>
    <w:rsid w:val="0050707B"/>
    <w:rsid w:val="005074E8"/>
    <w:rsid w:val="00511267"/>
    <w:rsid w:val="00511662"/>
    <w:rsid w:val="00511B8A"/>
    <w:rsid w:val="00511CE8"/>
    <w:rsid w:val="00512025"/>
    <w:rsid w:val="00512CC3"/>
    <w:rsid w:val="0051339F"/>
    <w:rsid w:val="005138B1"/>
    <w:rsid w:val="00513E6D"/>
    <w:rsid w:val="00513F21"/>
    <w:rsid w:val="00514161"/>
    <w:rsid w:val="0051441A"/>
    <w:rsid w:val="00514A33"/>
    <w:rsid w:val="005152E1"/>
    <w:rsid w:val="00515380"/>
    <w:rsid w:val="0051549E"/>
    <w:rsid w:val="00515B60"/>
    <w:rsid w:val="00515EC8"/>
    <w:rsid w:val="0051639F"/>
    <w:rsid w:val="005171F2"/>
    <w:rsid w:val="005176CA"/>
    <w:rsid w:val="0051783F"/>
    <w:rsid w:val="00517B22"/>
    <w:rsid w:val="00520D09"/>
    <w:rsid w:val="0052116B"/>
    <w:rsid w:val="005213EB"/>
    <w:rsid w:val="00521758"/>
    <w:rsid w:val="00522660"/>
    <w:rsid w:val="005236C0"/>
    <w:rsid w:val="00523DCF"/>
    <w:rsid w:val="00524A7D"/>
    <w:rsid w:val="005253CA"/>
    <w:rsid w:val="005259C4"/>
    <w:rsid w:val="005260FD"/>
    <w:rsid w:val="0052680F"/>
    <w:rsid w:val="00526DAB"/>
    <w:rsid w:val="00527084"/>
    <w:rsid w:val="00527486"/>
    <w:rsid w:val="00527DF9"/>
    <w:rsid w:val="00530736"/>
    <w:rsid w:val="005319F7"/>
    <w:rsid w:val="00532CB2"/>
    <w:rsid w:val="00532D10"/>
    <w:rsid w:val="0053371D"/>
    <w:rsid w:val="0053539E"/>
    <w:rsid w:val="00535C83"/>
    <w:rsid w:val="00536010"/>
    <w:rsid w:val="00537146"/>
    <w:rsid w:val="00537904"/>
    <w:rsid w:val="00537A77"/>
    <w:rsid w:val="0054154D"/>
    <w:rsid w:val="00541A14"/>
    <w:rsid w:val="00543462"/>
    <w:rsid w:val="00543F9C"/>
    <w:rsid w:val="00544774"/>
    <w:rsid w:val="00544BF1"/>
    <w:rsid w:val="00545D06"/>
    <w:rsid w:val="00546020"/>
    <w:rsid w:val="005461AA"/>
    <w:rsid w:val="005462D0"/>
    <w:rsid w:val="00546D39"/>
    <w:rsid w:val="00546F85"/>
    <w:rsid w:val="005472F3"/>
    <w:rsid w:val="00547A88"/>
    <w:rsid w:val="00547AED"/>
    <w:rsid w:val="0055047F"/>
    <w:rsid w:val="0055087D"/>
    <w:rsid w:val="00550E84"/>
    <w:rsid w:val="00551368"/>
    <w:rsid w:val="0055141A"/>
    <w:rsid w:val="00552CD2"/>
    <w:rsid w:val="00552F7C"/>
    <w:rsid w:val="00553D16"/>
    <w:rsid w:val="00554894"/>
    <w:rsid w:val="00554F08"/>
    <w:rsid w:val="0055587F"/>
    <w:rsid w:val="00555AE0"/>
    <w:rsid w:val="00555F0D"/>
    <w:rsid w:val="00556028"/>
    <w:rsid w:val="00556039"/>
    <w:rsid w:val="005567E2"/>
    <w:rsid w:val="00557296"/>
    <w:rsid w:val="005577B0"/>
    <w:rsid w:val="00560192"/>
    <w:rsid w:val="00561241"/>
    <w:rsid w:val="00561BDF"/>
    <w:rsid w:val="00562084"/>
    <w:rsid w:val="005632E4"/>
    <w:rsid w:val="00563DF2"/>
    <w:rsid w:val="00564B82"/>
    <w:rsid w:val="00564C58"/>
    <w:rsid w:val="00565DB9"/>
    <w:rsid w:val="005661FA"/>
    <w:rsid w:val="005665B1"/>
    <w:rsid w:val="00567562"/>
    <w:rsid w:val="00567DE1"/>
    <w:rsid w:val="00570EED"/>
    <w:rsid w:val="00570F18"/>
    <w:rsid w:val="005716FC"/>
    <w:rsid w:val="0057198F"/>
    <w:rsid w:val="00571D2A"/>
    <w:rsid w:val="00571FE8"/>
    <w:rsid w:val="005723C9"/>
    <w:rsid w:val="00572EF2"/>
    <w:rsid w:val="00573CF1"/>
    <w:rsid w:val="005754ED"/>
    <w:rsid w:val="00575AE0"/>
    <w:rsid w:val="00575B53"/>
    <w:rsid w:val="00575DEF"/>
    <w:rsid w:val="00577004"/>
    <w:rsid w:val="005771F0"/>
    <w:rsid w:val="005778C8"/>
    <w:rsid w:val="005778EF"/>
    <w:rsid w:val="00577A25"/>
    <w:rsid w:val="00577A7F"/>
    <w:rsid w:val="0058013F"/>
    <w:rsid w:val="0058131B"/>
    <w:rsid w:val="005816FA"/>
    <w:rsid w:val="0058248A"/>
    <w:rsid w:val="005826EA"/>
    <w:rsid w:val="00582DD7"/>
    <w:rsid w:val="00583A33"/>
    <w:rsid w:val="00583DAA"/>
    <w:rsid w:val="00584619"/>
    <w:rsid w:val="005852F7"/>
    <w:rsid w:val="0058546C"/>
    <w:rsid w:val="005854C4"/>
    <w:rsid w:val="005860E3"/>
    <w:rsid w:val="005867D2"/>
    <w:rsid w:val="00587BB1"/>
    <w:rsid w:val="0059013D"/>
    <w:rsid w:val="005909A8"/>
    <w:rsid w:val="00590D4E"/>
    <w:rsid w:val="00591C16"/>
    <w:rsid w:val="00592647"/>
    <w:rsid w:val="00592808"/>
    <w:rsid w:val="00592A8E"/>
    <w:rsid w:val="00592AC2"/>
    <w:rsid w:val="00592B45"/>
    <w:rsid w:val="00593AC3"/>
    <w:rsid w:val="00593FA4"/>
    <w:rsid w:val="00594376"/>
    <w:rsid w:val="00594F6F"/>
    <w:rsid w:val="00595166"/>
    <w:rsid w:val="005956B6"/>
    <w:rsid w:val="00596154"/>
    <w:rsid w:val="005963CC"/>
    <w:rsid w:val="00596C9B"/>
    <w:rsid w:val="00596E19"/>
    <w:rsid w:val="00597820"/>
    <w:rsid w:val="005978AA"/>
    <w:rsid w:val="0059794D"/>
    <w:rsid w:val="00597AA8"/>
    <w:rsid w:val="005A01E0"/>
    <w:rsid w:val="005A0D9F"/>
    <w:rsid w:val="005A0E45"/>
    <w:rsid w:val="005A1C71"/>
    <w:rsid w:val="005A2049"/>
    <w:rsid w:val="005A241E"/>
    <w:rsid w:val="005A27FB"/>
    <w:rsid w:val="005A28B4"/>
    <w:rsid w:val="005A3C9B"/>
    <w:rsid w:val="005A4A43"/>
    <w:rsid w:val="005A61A7"/>
    <w:rsid w:val="005A627D"/>
    <w:rsid w:val="005A6FED"/>
    <w:rsid w:val="005A70E5"/>
    <w:rsid w:val="005A73DC"/>
    <w:rsid w:val="005B05E7"/>
    <w:rsid w:val="005B0AE8"/>
    <w:rsid w:val="005B0D32"/>
    <w:rsid w:val="005B166A"/>
    <w:rsid w:val="005B1A25"/>
    <w:rsid w:val="005B1B3E"/>
    <w:rsid w:val="005B1BC4"/>
    <w:rsid w:val="005B2836"/>
    <w:rsid w:val="005B2DAB"/>
    <w:rsid w:val="005B3C66"/>
    <w:rsid w:val="005B4A73"/>
    <w:rsid w:val="005B63CD"/>
    <w:rsid w:val="005B6661"/>
    <w:rsid w:val="005B668D"/>
    <w:rsid w:val="005B6894"/>
    <w:rsid w:val="005B6ED8"/>
    <w:rsid w:val="005B6FEC"/>
    <w:rsid w:val="005B7121"/>
    <w:rsid w:val="005B779C"/>
    <w:rsid w:val="005B7B47"/>
    <w:rsid w:val="005C01A8"/>
    <w:rsid w:val="005C072C"/>
    <w:rsid w:val="005C0E15"/>
    <w:rsid w:val="005C1384"/>
    <w:rsid w:val="005C13B2"/>
    <w:rsid w:val="005C17A1"/>
    <w:rsid w:val="005C1E4A"/>
    <w:rsid w:val="005C27E3"/>
    <w:rsid w:val="005C33AA"/>
    <w:rsid w:val="005C37CB"/>
    <w:rsid w:val="005C3BE8"/>
    <w:rsid w:val="005C3FE3"/>
    <w:rsid w:val="005C459C"/>
    <w:rsid w:val="005C6847"/>
    <w:rsid w:val="005C6EC3"/>
    <w:rsid w:val="005C71FB"/>
    <w:rsid w:val="005D14B9"/>
    <w:rsid w:val="005D1A9F"/>
    <w:rsid w:val="005D292F"/>
    <w:rsid w:val="005D2A87"/>
    <w:rsid w:val="005D34EA"/>
    <w:rsid w:val="005D3FB1"/>
    <w:rsid w:val="005D40A9"/>
    <w:rsid w:val="005D42BD"/>
    <w:rsid w:val="005D4661"/>
    <w:rsid w:val="005D4FE1"/>
    <w:rsid w:val="005D5075"/>
    <w:rsid w:val="005D50C0"/>
    <w:rsid w:val="005D52FA"/>
    <w:rsid w:val="005D600F"/>
    <w:rsid w:val="005D6612"/>
    <w:rsid w:val="005D66F5"/>
    <w:rsid w:val="005D777B"/>
    <w:rsid w:val="005D7EBF"/>
    <w:rsid w:val="005E05A1"/>
    <w:rsid w:val="005E0BC5"/>
    <w:rsid w:val="005E0D78"/>
    <w:rsid w:val="005E1726"/>
    <w:rsid w:val="005E1789"/>
    <w:rsid w:val="005E1F61"/>
    <w:rsid w:val="005E266F"/>
    <w:rsid w:val="005E38DE"/>
    <w:rsid w:val="005E3F34"/>
    <w:rsid w:val="005E40BA"/>
    <w:rsid w:val="005E41DE"/>
    <w:rsid w:val="005E5734"/>
    <w:rsid w:val="005E5741"/>
    <w:rsid w:val="005E5EC3"/>
    <w:rsid w:val="005E61B6"/>
    <w:rsid w:val="005E654F"/>
    <w:rsid w:val="005E73CE"/>
    <w:rsid w:val="005E77E3"/>
    <w:rsid w:val="005F0616"/>
    <w:rsid w:val="005F07DC"/>
    <w:rsid w:val="005F0C34"/>
    <w:rsid w:val="005F0FA5"/>
    <w:rsid w:val="005F0FB4"/>
    <w:rsid w:val="005F1EAF"/>
    <w:rsid w:val="005F21FB"/>
    <w:rsid w:val="005F257C"/>
    <w:rsid w:val="005F40CD"/>
    <w:rsid w:val="005F4421"/>
    <w:rsid w:val="005F4890"/>
    <w:rsid w:val="005F4927"/>
    <w:rsid w:val="005F49F4"/>
    <w:rsid w:val="005F4D34"/>
    <w:rsid w:val="005F4E65"/>
    <w:rsid w:val="005F59E5"/>
    <w:rsid w:val="005F5A0F"/>
    <w:rsid w:val="005F5DC7"/>
    <w:rsid w:val="005F5EDF"/>
    <w:rsid w:val="005F64FB"/>
    <w:rsid w:val="005F6BBB"/>
    <w:rsid w:val="005F6C45"/>
    <w:rsid w:val="005F71EC"/>
    <w:rsid w:val="005F789F"/>
    <w:rsid w:val="006000CD"/>
    <w:rsid w:val="00600265"/>
    <w:rsid w:val="00600EF4"/>
    <w:rsid w:val="006022D0"/>
    <w:rsid w:val="0060251E"/>
    <w:rsid w:val="00602DDE"/>
    <w:rsid w:val="0060339B"/>
    <w:rsid w:val="00603552"/>
    <w:rsid w:val="006046E4"/>
    <w:rsid w:val="00604BC5"/>
    <w:rsid w:val="00605037"/>
    <w:rsid w:val="00605BDF"/>
    <w:rsid w:val="00605E0D"/>
    <w:rsid w:val="00606B37"/>
    <w:rsid w:val="0060747A"/>
    <w:rsid w:val="0061038C"/>
    <w:rsid w:val="006106C1"/>
    <w:rsid w:val="00610B28"/>
    <w:rsid w:val="0061169D"/>
    <w:rsid w:val="00611737"/>
    <w:rsid w:val="00611C1D"/>
    <w:rsid w:val="00612904"/>
    <w:rsid w:val="00612E32"/>
    <w:rsid w:val="00612FDD"/>
    <w:rsid w:val="006136FB"/>
    <w:rsid w:val="00613ECE"/>
    <w:rsid w:val="006148C3"/>
    <w:rsid w:val="00614B35"/>
    <w:rsid w:val="00614DE8"/>
    <w:rsid w:val="00617108"/>
    <w:rsid w:val="00617211"/>
    <w:rsid w:val="006173B8"/>
    <w:rsid w:val="0061750E"/>
    <w:rsid w:val="0061784D"/>
    <w:rsid w:val="00617B8B"/>
    <w:rsid w:val="00617F79"/>
    <w:rsid w:val="00620231"/>
    <w:rsid w:val="00620447"/>
    <w:rsid w:val="006207B2"/>
    <w:rsid w:val="00620AFF"/>
    <w:rsid w:val="00622388"/>
    <w:rsid w:val="00622669"/>
    <w:rsid w:val="00622B1A"/>
    <w:rsid w:val="00622E0B"/>
    <w:rsid w:val="00622FE1"/>
    <w:rsid w:val="00623438"/>
    <w:rsid w:val="006237DE"/>
    <w:rsid w:val="00623960"/>
    <w:rsid w:val="0062416C"/>
    <w:rsid w:val="006241BC"/>
    <w:rsid w:val="00624F7C"/>
    <w:rsid w:val="006253B7"/>
    <w:rsid w:val="00625C77"/>
    <w:rsid w:val="00625CE5"/>
    <w:rsid w:val="00625EE9"/>
    <w:rsid w:val="00626216"/>
    <w:rsid w:val="006267E9"/>
    <w:rsid w:val="00626F07"/>
    <w:rsid w:val="0062707D"/>
    <w:rsid w:val="00630256"/>
    <w:rsid w:val="00630C5E"/>
    <w:rsid w:val="00630CFB"/>
    <w:rsid w:val="00631873"/>
    <w:rsid w:val="00631BCE"/>
    <w:rsid w:val="00631E00"/>
    <w:rsid w:val="00632459"/>
    <w:rsid w:val="00632E50"/>
    <w:rsid w:val="0063440B"/>
    <w:rsid w:val="00634826"/>
    <w:rsid w:val="00634B42"/>
    <w:rsid w:val="00635027"/>
    <w:rsid w:val="006355C4"/>
    <w:rsid w:val="00636694"/>
    <w:rsid w:val="00637170"/>
    <w:rsid w:val="00637208"/>
    <w:rsid w:val="0063785A"/>
    <w:rsid w:val="00637CBA"/>
    <w:rsid w:val="0064006D"/>
    <w:rsid w:val="00640962"/>
    <w:rsid w:val="00641D96"/>
    <w:rsid w:val="006423AA"/>
    <w:rsid w:val="006424FD"/>
    <w:rsid w:val="0064319B"/>
    <w:rsid w:val="00643AF4"/>
    <w:rsid w:val="00643E35"/>
    <w:rsid w:val="0064422A"/>
    <w:rsid w:val="00644A7B"/>
    <w:rsid w:val="00644D3A"/>
    <w:rsid w:val="00644FC4"/>
    <w:rsid w:val="0064677E"/>
    <w:rsid w:val="006470C4"/>
    <w:rsid w:val="00647163"/>
    <w:rsid w:val="0064722E"/>
    <w:rsid w:val="00647C90"/>
    <w:rsid w:val="00650DAE"/>
    <w:rsid w:val="00650E6D"/>
    <w:rsid w:val="006512D6"/>
    <w:rsid w:val="00652880"/>
    <w:rsid w:val="006528A6"/>
    <w:rsid w:val="00652C3A"/>
    <w:rsid w:val="00652DB7"/>
    <w:rsid w:val="0065394F"/>
    <w:rsid w:val="00653B1B"/>
    <w:rsid w:val="006541F5"/>
    <w:rsid w:val="006543BA"/>
    <w:rsid w:val="006553F3"/>
    <w:rsid w:val="006556D1"/>
    <w:rsid w:val="006556D9"/>
    <w:rsid w:val="006564CB"/>
    <w:rsid w:val="00657123"/>
    <w:rsid w:val="00657189"/>
    <w:rsid w:val="0065724E"/>
    <w:rsid w:val="00657F90"/>
    <w:rsid w:val="006613C0"/>
    <w:rsid w:val="0066194E"/>
    <w:rsid w:val="00661C46"/>
    <w:rsid w:val="0066202F"/>
    <w:rsid w:val="00663DFB"/>
    <w:rsid w:val="006644E1"/>
    <w:rsid w:val="006645EC"/>
    <w:rsid w:val="00664642"/>
    <w:rsid w:val="00664E5C"/>
    <w:rsid w:val="00664E95"/>
    <w:rsid w:val="006652D3"/>
    <w:rsid w:val="00665888"/>
    <w:rsid w:val="0066687E"/>
    <w:rsid w:val="00666CBE"/>
    <w:rsid w:val="00667BC6"/>
    <w:rsid w:val="00667CF3"/>
    <w:rsid w:val="00667F94"/>
    <w:rsid w:val="00670380"/>
    <w:rsid w:val="00670C07"/>
    <w:rsid w:val="00670F81"/>
    <w:rsid w:val="00671047"/>
    <w:rsid w:val="006719B2"/>
    <w:rsid w:val="00672C45"/>
    <w:rsid w:val="00673071"/>
    <w:rsid w:val="0067319C"/>
    <w:rsid w:val="00673DC1"/>
    <w:rsid w:val="00675197"/>
    <w:rsid w:val="006758C9"/>
    <w:rsid w:val="00675A5F"/>
    <w:rsid w:val="006769C4"/>
    <w:rsid w:val="00676C6F"/>
    <w:rsid w:val="00677627"/>
    <w:rsid w:val="00677BD5"/>
    <w:rsid w:val="00677E3C"/>
    <w:rsid w:val="0068025E"/>
    <w:rsid w:val="0068051B"/>
    <w:rsid w:val="0068150F"/>
    <w:rsid w:val="00681E2F"/>
    <w:rsid w:val="00682E55"/>
    <w:rsid w:val="00683722"/>
    <w:rsid w:val="00684044"/>
    <w:rsid w:val="006843F6"/>
    <w:rsid w:val="006851A2"/>
    <w:rsid w:val="00686118"/>
    <w:rsid w:val="006861C0"/>
    <w:rsid w:val="00686596"/>
    <w:rsid w:val="00686CC2"/>
    <w:rsid w:val="00687868"/>
    <w:rsid w:val="00687C97"/>
    <w:rsid w:val="00690324"/>
    <w:rsid w:val="00690E71"/>
    <w:rsid w:val="00691459"/>
    <w:rsid w:val="00691CA0"/>
    <w:rsid w:val="00691CC8"/>
    <w:rsid w:val="0069248E"/>
    <w:rsid w:val="00693C87"/>
    <w:rsid w:val="00693D3E"/>
    <w:rsid w:val="0069457A"/>
    <w:rsid w:val="00694D53"/>
    <w:rsid w:val="00694FD4"/>
    <w:rsid w:val="0069583D"/>
    <w:rsid w:val="00695FCA"/>
    <w:rsid w:val="00696335"/>
    <w:rsid w:val="00697397"/>
    <w:rsid w:val="00697AC9"/>
    <w:rsid w:val="00697D19"/>
    <w:rsid w:val="006A05C7"/>
    <w:rsid w:val="006A08CA"/>
    <w:rsid w:val="006A102D"/>
    <w:rsid w:val="006A11E4"/>
    <w:rsid w:val="006A16F0"/>
    <w:rsid w:val="006A22C3"/>
    <w:rsid w:val="006A2AB9"/>
    <w:rsid w:val="006A2DB4"/>
    <w:rsid w:val="006A4E52"/>
    <w:rsid w:val="006A4FC8"/>
    <w:rsid w:val="006A55E1"/>
    <w:rsid w:val="006A607B"/>
    <w:rsid w:val="006A6E27"/>
    <w:rsid w:val="006A72B0"/>
    <w:rsid w:val="006A74E5"/>
    <w:rsid w:val="006A7B12"/>
    <w:rsid w:val="006B02C4"/>
    <w:rsid w:val="006B075C"/>
    <w:rsid w:val="006B36AE"/>
    <w:rsid w:val="006B3980"/>
    <w:rsid w:val="006B3E38"/>
    <w:rsid w:val="006B3E4D"/>
    <w:rsid w:val="006B4162"/>
    <w:rsid w:val="006B417B"/>
    <w:rsid w:val="006B4886"/>
    <w:rsid w:val="006B5091"/>
    <w:rsid w:val="006B50B8"/>
    <w:rsid w:val="006B5D79"/>
    <w:rsid w:val="006B5FBC"/>
    <w:rsid w:val="006B654C"/>
    <w:rsid w:val="006B6AEF"/>
    <w:rsid w:val="006C07BC"/>
    <w:rsid w:val="006C13A3"/>
    <w:rsid w:val="006C1A73"/>
    <w:rsid w:val="006C2C86"/>
    <w:rsid w:val="006C2D1A"/>
    <w:rsid w:val="006C32F3"/>
    <w:rsid w:val="006C34A1"/>
    <w:rsid w:val="006C4043"/>
    <w:rsid w:val="006C41ED"/>
    <w:rsid w:val="006C4950"/>
    <w:rsid w:val="006C52B9"/>
    <w:rsid w:val="006C559A"/>
    <w:rsid w:val="006C58E3"/>
    <w:rsid w:val="006C5CDD"/>
    <w:rsid w:val="006C5D0C"/>
    <w:rsid w:val="006C7FB8"/>
    <w:rsid w:val="006D1A50"/>
    <w:rsid w:val="006D1DFE"/>
    <w:rsid w:val="006D20A4"/>
    <w:rsid w:val="006D2560"/>
    <w:rsid w:val="006D25F9"/>
    <w:rsid w:val="006D328B"/>
    <w:rsid w:val="006D41CE"/>
    <w:rsid w:val="006D460E"/>
    <w:rsid w:val="006D472A"/>
    <w:rsid w:val="006D5201"/>
    <w:rsid w:val="006D5313"/>
    <w:rsid w:val="006D5510"/>
    <w:rsid w:val="006D55C0"/>
    <w:rsid w:val="006D5886"/>
    <w:rsid w:val="006D6989"/>
    <w:rsid w:val="006D6F24"/>
    <w:rsid w:val="006E058C"/>
    <w:rsid w:val="006E0922"/>
    <w:rsid w:val="006E0F5D"/>
    <w:rsid w:val="006E0FA4"/>
    <w:rsid w:val="006E1629"/>
    <w:rsid w:val="006E2429"/>
    <w:rsid w:val="006E2656"/>
    <w:rsid w:val="006E2BB3"/>
    <w:rsid w:val="006E4021"/>
    <w:rsid w:val="006E4654"/>
    <w:rsid w:val="006E48EE"/>
    <w:rsid w:val="006E50E1"/>
    <w:rsid w:val="006E5147"/>
    <w:rsid w:val="006E5934"/>
    <w:rsid w:val="006E6779"/>
    <w:rsid w:val="006E6BC2"/>
    <w:rsid w:val="006E77A5"/>
    <w:rsid w:val="006E77BB"/>
    <w:rsid w:val="006F061C"/>
    <w:rsid w:val="006F0800"/>
    <w:rsid w:val="006F08FA"/>
    <w:rsid w:val="006F1024"/>
    <w:rsid w:val="006F13E0"/>
    <w:rsid w:val="006F1D50"/>
    <w:rsid w:val="006F2A0D"/>
    <w:rsid w:val="006F34A8"/>
    <w:rsid w:val="006F3ABE"/>
    <w:rsid w:val="006F3C1F"/>
    <w:rsid w:val="006F6303"/>
    <w:rsid w:val="006F6316"/>
    <w:rsid w:val="006F6885"/>
    <w:rsid w:val="006F7DEF"/>
    <w:rsid w:val="0070021D"/>
    <w:rsid w:val="00700881"/>
    <w:rsid w:val="007011CC"/>
    <w:rsid w:val="0070150E"/>
    <w:rsid w:val="007016DD"/>
    <w:rsid w:val="00701CC3"/>
    <w:rsid w:val="00703238"/>
    <w:rsid w:val="0070342C"/>
    <w:rsid w:val="00703F05"/>
    <w:rsid w:val="007043D6"/>
    <w:rsid w:val="00705D81"/>
    <w:rsid w:val="00705DB8"/>
    <w:rsid w:val="0070625C"/>
    <w:rsid w:val="00707FE1"/>
    <w:rsid w:val="007102F0"/>
    <w:rsid w:val="00710349"/>
    <w:rsid w:val="00711412"/>
    <w:rsid w:val="00711738"/>
    <w:rsid w:val="00711B60"/>
    <w:rsid w:val="00711C71"/>
    <w:rsid w:val="00713225"/>
    <w:rsid w:val="00713BB3"/>
    <w:rsid w:val="007140E8"/>
    <w:rsid w:val="00714F97"/>
    <w:rsid w:val="0071717E"/>
    <w:rsid w:val="007205E1"/>
    <w:rsid w:val="007210F5"/>
    <w:rsid w:val="00721826"/>
    <w:rsid w:val="00721C77"/>
    <w:rsid w:val="00722B70"/>
    <w:rsid w:val="00722D6F"/>
    <w:rsid w:val="007236B9"/>
    <w:rsid w:val="00723770"/>
    <w:rsid w:val="00724930"/>
    <w:rsid w:val="0072512A"/>
    <w:rsid w:val="007264B1"/>
    <w:rsid w:val="00726C80"/>
    <w:rsid w:val="00726F11"/>
    <w:rsid w:val="00727529"/>
    <w:rsid w:val="00727930"/>
    <w:rsid w:val="00731EE6"/>
    <w:rsid w:val="00732D7D"/>
    <w:rsid w:val="0073347A"/>
    <w:rsid w:val="0073356D"/>
    <w:rsid w:val="007343D5"/>
    <w:rsid w:val="00734D16"/>
    <w:rsid w:val="00734F40"/>
    <w:rsid w:val="00735025"/>
    <w:rsid w:val="007355A6"/>
    <w:rsid w:val="007368D0"/>
    <w:rsid w:val="00736915"/>
    <w:rsid w:val="007374B7"/>
    <w:rsid w:val="00737E19"/>
    <w:rsid w:val="00737F87"/>
    <w:rsid w:val="00740A71"/>
    <w:rsid w:val="00741167"/>
    <w:rsid w:val="0074146C"/>
    <w:rsid w:val="00742C91"/>
    <w:rsid w:val="00743047"/>
    <w:rsid w:val="00743E88"/>
    <w:rsid w:val="00743F25"/>
    <w:rsid w:val="00744015"/>
    <w:rsid w:val="00744041"/>
    <w:rsid w:val="0074436B"/>
    <w:rsid w:val="007460DA"/>
    <w:rsid w:val="00747126"/>
    <w:rsid w:val="007472B9"/>
    <w:rsid w:val="007477C5"/>
    <w:rsid w:val="0074792C"/>
    <w:rsid w:val="00747938"/>
    <w:rsid w:val="00751551"/>
    <w:rsid w:val="00752DD8"/>
    <w:rsid w:val="007532FA"/>
    <w:rsid w:val="0075377A"/>
    <w:rsid w:val="0075397C"/>
    <w:rsid w:val="00755467"/>
    <w:rsid w:val="00755817"/>
    <w:rsid w:val="00755E5C"/>
    <w:rsid w:val="00757CF3"/>
    <w:rsid w:val="00760768"/>
    <w:rsid w:val="0076106B"/>
    <w:rsid w:val="00761A7B"/>
    <w:rsid w:val="00761B62"/>
    <w:rsid w:val="00762AFB"/>
    <w:rsid w:val="007631F4"/>
    <w:rsid w:val="00763388"/>
    <w:rsid w:val="007637BC"/>
    <w:rsid w:val="007639D9"/>
    <w:rsid w:val="007640AF"/>
    <w:rsid w:val="00764B31"/>
    <w:rsid w:val="00764B5D"/>
    <w:rsid w:val="00764FD5"/>
    <w:rsid w:val="007656CA"/>
    <w:rsid w:val="00765BA8"/>
    <w:rsid w:val="00766007"/>
    <w:rsid w:val="00767768"/>
    <w:rsid w:val="00767FFC"/>
    <w:rsid w:val="0077018F"/>
    <w:rsid w:val="00770A26"/>
    <w:rsid w:val="0077163A"/>
    <w:rsid w:val="00771FB5"/>
    <w:rsid w:val="007726FA"/>
    <w:rsid w:val="00772945"/>
    <w:rsid w:val="00773481"/>
    <w:rsid w:val="00773B07"/>
    <w:rsid w:val="007741E7"/>
    <w:rsid w:val="00775C59"/>
    <w:rsid w:val="00776542"/>
    <w:rsid w:val="00777397"/>
    <w:rsid w:val="00777ADC"/>
    <w:rsid w:val="00781315"/>
    <w:rsid w:val="0078159F"/>
    <w:rsid w:val="00781E7D"/>
    <w:rsid w:val="00782DFC"/>
    <w:rsid w:val="00782EC4"/>
    <w:rsid w:val="00783153"/>
    <w:rsid w:val="00784B98"/>
    <w:rsid w:val="00787807"/>
    <w:rsid w:val="00787A15"/>
    <w:rsid w:val="0079001F"/>
    <w:rsid w:val="007904EA"/>
    <w:rsid w:val="00790767"/>
    <w:rsid w:val="00791EA8"/>
    <w:rsid w:val="00792034"/>
    <w:rsid w:val="00792431"/>
    <w:rsid w:val="00793541"/>
    <w:rsid w:val="00794E6A"/>
    <w:rsid w:val="007954CF"/>
    <w:rsid w:val="00795730"/>
    <w:rsid w:val="00795AB5"/>
    <w:rsid w:val="0079691E"/>
    <w:rsid w:val="00796CD0"/>
    <w:rsid w:val="00796E5B"/>
    <w:rsid w:val="00796E96"/>
    <w:rsid w:val="00797450"/>
    <w:rsid w:val="007A04E1"/>
    <w:rsid w:val="007A06CB"/>
    <w:rsid w:val="007A092C"/>
    <w:rsid w:val="007A1364"/>
    <w:rsid w:val="007A1785"/>
    <w:rsid w:val="007A1889"/>
    <w:rsid w:val="007A1939"/>
    <w:rsid w:val="007A2485"/>
    <w:rsid w:val="007A24A0"/>
    <w:rsid w:val="007A2720"/>
    <w:rsid w:val="007A2938"/>
    <w:rsid w:val="007A2E83"/>
    <w:rsid w:val="007A332C"/>
    <w:rsid w:val="007A35AC"/>
    <w:rsid w:val="007A3FC1"/>
    <w:rsid w:val="007A41A1"/>
    <w:rsid w:val="007A4318"/>
    <w:rsid w:val="007A4377"/>
    <w:rsid w:val="007A4637"/>
    <w:rsid w:val="007A48CA"/>
    <w:rsid w:val="007A4AB2"/>
    <w:rsid w:val="007A4E13"/>
    <w:rsid w:val="007A58DD"/>
    <w:rsid w:val="007A5B34"/>
    <w:rsid w:val="007A5E68"/>
    <w:rsid w:val="007A6E39"/>
    <w:rsid w:val="007A7825"/>
    <w:rsid w:val="007A79E2"/>
    <w:rsid w:val="007A7E8C"/>
    <w:rsid w:val="007B08C9"/>
    <w:rsid w:val="007B0E20"/>
    <w:rsid w:val="007B14FD"/>
    <w:rsid w:val="007B17A1"/>
    <w:rsid w:val="007B18D5"/>
    <w:rsid w:val="007B1BF7"/>
    <w:rsid w:val="007B2892"/>
    <w:rsid w:val="007B33E5"/>
    <w:rsid w:val="007B3C14"/>
    <w:rsid w:val="007B46A6"/>
    <w:rsid w:val="007B4A59"/>
    <w:rsid w:val="007B5B32"/>
    <w:rsid w:val="007B5CC8"/>
    <w:rsid w:val="007B629E"/>
    <w:rsid w:val="007B63CF"/>
    <w:rsid w:val="007B6900"/>
    <w:rsid w:val="007B6AEE"/>
    <w:rsid w:val="007B6D49"/>
    <w:rsid w:val="007B72DF"/>
    <w:rsid w:val="007C06B2"/>
    <w:rsid w:val="007C2FCA"/>
    <w:rsid w:val="007C38B5"/>
    <w:rsid w:val="007C404B"/>
    <w:rsid w:val="007C4187"/>
    <w:rsid w:val="007C41A0"/>
    <w:rsid w:val="007C4BAE"/>
    <w:rsid w:val="007C4D92"/>
    <w:rsid w:val="007C667A"/>
    <w:rsid w:val="007C6F2E"/>
    <w:rsid w:val="007C764E"/>
    <w:rsid w:val="007D044C"/>
    <w:rsid w:val="007D1D3B"/>
    <w:rsid w:val="007D3165"/>
    <w:rsid w:val="007D4068"/>
    <w:rsid w:val="007D5787"/>
    <w:rsid w:val="007D5960"/>
    <w:rsid w:val="007D6002"/>
    <w:rsid w:val="007D6C0C"/>
    <w:rsid w:val="007D7E02"/>
    <w:rsid w:val="007E114E"/>
    <w:rsid w:val="007E3545"/>
    <w:rsid w:val="007E36ED"/>
    <w:rsid w:val="007E42E6"/>
    <w:rsid w:val="007E487F"/>
    <w:rsid w:val="007E4A0D"/>
    <w:rsid w:val="007E4B2D"/>
    <w:rsid w:val="007E5388"/>
    <w:rsid w:val="007E587D"/>
    <w:rsid w:val="007E6447"/>
    <w:rsid w:val="007E6757"/>
    <w:rsid w:val="007E68C0"/>
    <w:rsid w:val="007E6D75"/>
    <w:rsid w:val="007E6E56"/>
    <w:rsid w:val="007E7124"/>
    <w:rsid w:val="007E71E9"/>
    <w:rsid w:val="007E7B1C"/>
    <w:rsid w:val="007E7C5C"/>
    <w:rsid w:val="007E7CB2"/>
    <w:rsid w:val="007E7CF2"/>
    <w:rsid w:val="007F0D30"/>
    <w:rsid w:val="007F10CC"/>
    <w:rsid w:val="007F1873"/>
    <w:rsid w:val="007F1D06"/>
    <w:rsid w:val="007F2C72"/>
    <w:rsid w:val="007F3034"/>
    <w:rsid w:val="007F344C"/>
    <w:rsid w:val="007F4614"/>
    <w:rsid w:val="007F5302"/>
    <w:rsid w:val="007F5799"/>
    <w:rsid w:val="007F5A11"/>
    <w:rsid w:val="007F5BF1"/>
    <w:rsid w:val="007F62F3"/>
    <w:rsid w:val="007F70B9"/>
    <w:rsid w:val="007F7A75"/>
    <w:rsid w:val="007F7C48"/>
    <w:rsid w:val="007F7ECC"/>
    <w:rsid w:val="00800E62"/>
    <w:rsid w:val="00800F35"/>
    <w:rsid w:val="008010D7"/>
    <w:rsid w:val="0080128D"/>
    <w:rsid w:val="0080138D"/>
    <w:rsid w:val="008017B6"/>
    <w:rsid w:val="00801BB9"/>
    <w:rsid w:val="00802195"/>
    <w:rsid w:val="00802A65"/>
    <w:rsid w:val="00802DF1"/>
    <w:rsid w:val="00803443"/>
    <w:rsid w:val="00804144"/>
    <w:rsid w:val="0080450E"/>
    <w:rsid w:val="00804530"/>
    <w:rsid w:val="008048F5"/>
    <w:rsid w:val="00805159"/>
    <w:rsid w:val="0080516A"/>
    <w:rsid w:val="0080680D"/>
    <w:rsid w:val="00806B66"/>
    <w:rsid w:val="00807138"/>
    <w:rsid w:val="0080786A"/>
    <w:rsid w:val="00811D79"/>
    <w:rsid w:val="008127F9"/>
    <w:rsid w:val="00812C05"/>
    <w:rsid w:val="00812DF0"/>
    <w:rsid w:val="0081322A"/>
    <w:rsid w:val="0081367C"/>
    <w:rsid w:val="00813C26"/>
    <w:rsid w:val="00813DC9"/>
    <w:rsid w:val="0081444A"/>
    <w:rsid w:val="00814746"/>
    <w:rsid w:val="008153C9"/>
    <w:rsid w:val="00815617"/>
    <w:rsid w:val="008162AB"/>
    <w:rsid w:val="008169E7"/>
    <w:rsid w:val="00816E7C"/>
    <w:rsid w:val="00820281"/>
    <w:rsid w:val="0082130E"/>
    <w:rsid w:val="00821747"/>
    <w:rsid w:val="00821BF5"/>
    <w:rsid w:val="00821C6A"/>
    <w:rsid w:val="00822048"/>
    <w:rsid w:val="00822D96"/>
    <w:rsid w:val="00823F22"/>
    <w:rsid w:val="008249A1"/>
    <w:rsid w:val="00824E21"/>
    <w:rsid w:val="008253BF"/>
    <w:rsid w:val="00826220"/>
    <w:rsid w:val="008264F4"/>
    <w:rsid w:val="008267B8"/>
    <w:rsid w:val="008273F8"/>
    <w:rsid w:val="00827DC0"/>
    <w:rsid w:val="00827F65"/>
    <w:rsid w:val="008302B7"/>
    <w:rsid w:val="008313A8"/>
    <w:rsid w:val="00832B42"/>
    <w:rsid w:val="008337D2"/>
    <w:rsid w:val="00834183"/>
    <w:rsid w:val="0083438F"/>
    <w:rsid w:val="00834608"/>
    <w:rsid w:val="0083508E"/>
    <w:rsid w:val="0083582D"/>
    <w:rsid w:val="00837AA4"/>
    <w:rsid w:val="0084052B"/>
    <w:rsid w:val="00842E09"/>
    <w:rsid w:val="0084319A"/>
    <w:rsid w:val="00843E6F"/>
    <w:rsid w:val="00843E9B"/>
    <w:rsid w:val="00844270"/>
    <w:rsid w:val="00844890"/>
    <w:rsid w:val="00844F83"/>
    <w:rsid w:val="0084524A"/>
    <w:rsid w:val="00845499"/>
    <w:rsid w:val="008460D6"/>
    <w:rsid w:val="00846C00"/>
    <w:rsid w:val="00846E4A"/>
    <w:rsid w:val="00847C2B"/>
    <w:rsid w:val="00850581"/>
    <w:rsid w:val="00851100"/>
    <w:rsid w:val="0085127C"/>
    <w:rsid w:val="00851371"/>
    <w:rsid w:val="00851AF5"/>
    <w:rsid w:val="00851EA9"/>
    <w:rsid w:val="00851F65"/>
    <w:rsid w:val="00851FB5"/>
    <w:rsid w:val="008523B5"/>
    <w:rsid w:val="0085290A"/>
    <w:rsid w:val="00852DB9"/>
    <w:rsid w:val="00852EC6"/>
    <w:rsid w:val="00854DAA"/>
    <w:rsid w:val="00855513"/>
    <w:rsid w:val="00855B60"/>
    <w:rsid w:val="008560B9"/>
    <w:rsid w:val="008561E8"/>
    <w:rsid w:val="00856F91"/>
    <w:rsid w:val="008603CB"/>
    <w:rsid w:val="0086092E"/>
    <w:rsid w:val="008612B7"/>
    <w:rsid w:val="00862196"/>
    <w:rsid w:val="0086242C"/>
    <w:rsid w:val="00862721"/>
    <w:rsid w:val="0086447F"/>
    <w:rsid w:val="008647DE"/>
    <w:rsid w:val="00864B95"/>
    <w:rsid w:val="008656A2"/>
    <w:rsid w:val="00865737"/>
    <w:rsid w:val="00865B65"/>
    <w:rsid w:val="00866142"/>
    <w:rsid w:val="00866788"/>
    <w:rsid w:val="008668F6"/>
    <w:rsid w:val="00866EFA"/>
    <w:rsid w:val="00867003"/>
    <w:rsid w:val="00867DA2"/>
    <w:rsid w:val="008701E6"/>
    <w:rsid w:val="008705D6"/>
    <w:rsid w:val="00870BFB"/>
    <w:rsid w:val="008712E0"/>
    <w:rsid w:val="00871B1B"/>
    <w:rsid w:val="00873C67"/>
    <w:rsid w:val="00873C75"/>
    <w:rsid w:val="00873EFF"/>
    <w:rsid w:val="00874159"/>
    <w:rsid w:val="00874E64"/>
    <w:rsid w:val="00875A72"/>
    <w:rsid w:val="008764D2"/>
    <w:rsid w:val="00876567"/>
    <w:rsid w:val="008771EA"/>
    <w:rsid w:val="00877E7E"/>
    <w:rsid w:val="00877E9C"/>
    <w:rsid w:val="008800D3"/>
    <w:rsid w:val="0088141F"/>
    <w:rsid w:val="008816A8"/>
    <w:rsid w:val="00881B11"/>
    <w:rsid w:val="00881B16"/>
    <w:rsid w:val="00881C85"/>
    <w:rsid w:val="0088236F"/>
    <w:rsid w:val="00882748"/>
    <w:rsid w:val="00882D12"/>
    <w:rsid w:val="008831D1"/>
    <w:rsid w:val="0088389D"/>
    <w:rsid w:val="00883E8A"/>
    <w:rsid w:val="008841C5"/>
    <w:rsid w:val="00884EA2"/>
    <w:rsid w:val="0088527C"/>
    <w:rsid w:val="00885825"/>
    <w:rsid w:val="00885B9B"/>
    <w:rsid w:val="00886501"/>
    <w:rsid w:val="00886CDD"/>
    <w:rsid w:val="00886F38"/>
    <w:rsid w:val="00887A37"/>
    <w:rsid w:val="008914FB"/>
    <w:rsid w:val="0089214D"/>
    <w:rsid w:val="00892231"/>
    <w:rsid w:val="00893C0D"/>
    <w:rsid w:val="00893D72"/>
    <w:rsid w:val="0089435A"/>
    <w:rsid w:val="00894781"/>
    <w:rsid w:val="0089485F"/>
    <w:rsid w:val="008957DD"/>
    <w:rsid w:val="00895FE7"/>
    <w:rsid w:val="00896449"/>
    <w:rsid w:val="0089724F"/>
    <w:rsid w:val="00897BC6"/>
    <w:rsid w:val="00897E7A"/>
    <w:rsid w:val="008A0E11"/>
    <w:rsid w:val="008A1861"/>
    <w:rsid w:val="008A1B0F"/>
    <w:rsid w:val="008A20DA"/>
    <w:rsid w:val="008A21C0"/>
    <w:rsid w:val="008A2D0B"/>
    <w:rsid w:val="008A3CC4"/>
    <w:rsid w:val="008A4019"/>
    <w:rsid w:val="008A4424"/>
    <w:rsid w:val="008A52D6"/>
    <w:rsid w:val="008A6395"/>
    <w:rsid w:val="008A7878"/>
    <w:rsid w:val="008B0254"/>
    <w:rsid w:val="008B044E"/>
    <w:rsid w:val="008B0526"/>
    <w:rsid w:val="008B0F41"/>
    <w:rsid w:val="008B1F63"/>
    <w:rsid w:val="008B20E3"/>
    <w:rsid w:val="008B261F"/>
    <w:rsid w:val="008B3612"/>
    <w:rsid w:val="008B3745"/>
    <w:rsid w:val="008B406E"/>
    <w:rsid w:val="008B4093"/>
    <w:rsid w:val="008B5C8F"/>
    <w:rsid w:val="008B5F16"/>
    <w:rsid w:val="008B7451"/>
    <w:rsid w:val="008B7722"/>
    <w:rsid w:val="008B786F"/>
    <w:rsid w:val="008B7932"/>
    <w:rsid w:val="008B7F9A"/>
    <w:rsid w:val="008C02BE"/>
    <w:rsid w:val="008C07DA"/>
    <w:rsid w:val="008C0E5C"/>
    <w:rsid w:val="008C0EE5"/>
    <w:rsid w:val="008C1ADE"/>
    <w:rsid w:val="008C1B45"/>
    <w:rsid w:val="008C28D0"/>
    <w:rsid w:val="008C2BB5"/>
    <w:rsid w:val="008C3C63"/>
    <w:rsid w:val="008C436E"/>
    <w:rsid w:val="008C43E2"/>
    <w:rsid w:val="008C4581"/>
    <w:rsid w:val="008C489E"/>
    <w:rsid w:val="008C48A1"/>
    <w:rsid w:val="008C505B"/>
    <w:rsid w:val="008C5D76"/>
    <w:rsid w:val="008C5EE3"/>
    <w:rsid w:val="008C6B32"/>
    <w:rsid w:val="008C6C7B"/>
    <w:rsid w:val="008C6E40"/>
    <w:rsid w:val="008C7C57"/>
    <w:rsid w:val="008C7F72"/>
    <w:rsid w:val="008D2099"/>
    <w:rsid w:val="008D348B"/>
    <w:rsid w:val="008D4269"/>
    <w:rsid w:val="008D46EE"/>
    <w:rsid w:val="008D4E5B"/>
    <w:rsid w:val="008D5380"/>
    <w:rsid w:val="008D5705"/>
    <w:rsid w:val="008D6600"/>
    <w:rsid w:val="008D6782"/>
    <w:rsid w:val="008D6D34"/>
    <w:rsid w:val="008D7CD8"/>
    <w:rsid w:val="008D7FFB"/>
    <w:rsid w:val="008E027A"/>
    <w:rsid w:val="008E0629"/>
    <w:rsid w:val="008E097D"/>
    <w:rsid w:val="008E11F2"/>
    <w:rsid w:val="008E14F9"/>
    <w:rsid w:val="008E1BF5"/>
    <w:rsid w:val="008E1FC2"/>
    <w:rsid w:val="008E2136"/>
    <w:rsid w:val="008E2BE4"/>
    <w:rsid w:val="008E2D39"/>
    <w:rsid w:val="008E3191"/>
    <w:rsid w:val="008E345C"/>
    <w:rsid w:val="008E39E6"/>
    <w:rsid w:val="008E3ED5"/>
    <w:rsid w:val="008E4254"/>
    <w:rsid w:val="008E49F3"/>
    <w:rsid w:val="008E4D98"/>
    <w:rsid w:val="008E5175"/>
    <w:rsid w:val="008E53A2"/>
    <w:rsid w:val="008E5786"/>
    <w:rsid w:val="008E6227"/>
    <w:rsid w:val="008E62D2"/>
    <w:rsid w:val="008E66F6"/>
    <w:rsid w:val="008E6B4E"/>
    <w:rsid w:val="008E6DC0"/>
    <w:rsid w:val="008E73E0"/>
    <w:rsid w:val="008E7455"/>
    <w:rsid w:val="008E7970"/>
    <w:rsid w:val="008E7C34"/>
    <w:rsid w:val="008E7EA1"/>
    <w:rsid w:val="008E7F4A"/>
    <w:rsid w:val="008F0155"/>
    <w:rsid w:val="008F0B57"/>
    <w:rsid w:val="008F0C36"/>
    <w:rsid w:val="008F107F"/>
    <w:rsid w:val="008F10B3"/>
    <w:rsid w:val="008F10D9"/>
    <w:rsid w:val="008F10DD"/>
    <w:rsid w:val="008F18B7"/>
    <w:rsid w:val="008F1959"/>
    <w:rsid w:val="008F1BDA"/>
    <w:rsid w:val="008F1C38"/>
    <w:rsid w:val="008F21B8"/>
    <w:rsid w:val="008F2847"/>
    <w:rsid w:val="008F2F7D"/>
    <w:rsid w:val="008F31A0"/>
    <w:rsid w:val="008F328D"/>
    <w:rsid w:val="008F344E"/>
    <w:rsid w:val="008F36E2"/>
    <w:rsid w:val="008F377B"/>
    <w:rsid w:val="008F43F5"/>
    <w:rsid w:val="008F4823"/>
    <w:rsid w:val="008F4835"/>
    <w:rsid w:val="008F48F6"/>
    <w:rsid w:val="008F4FC9"/>
    <w:rsid w:val="008F56DE"/>
    <w:rsid w:val="008F61A0"/>
    <w:rsid w:val="008F67CC"/>
    <w:rsid w:val="008F6AD6"/>
    <w:rsid w:val="00901012"/>
    <w:rsid w:val="009011CE"/>
    <w:rsid w:val="0090252A"/>
    <w:rsid w:val="0090258C"/>
    <w:rsid w:val="009025AB"/>
    <w:rsid w:val="00902C00"/>
    <w:rsid w:val="00902D4F"/>
    <w:rsid w:val="009034B9"/>
    <w:rsid w:val="00905336"/>
    <w:rsid w:val="00906E22"/>
    <w:rsid w:val="00907441"/>
    <w:rsid w:val="00907D3C"/>
    <w:rsid w:val="009101E1"/>
    <w:rsid w:val="00911F7E"/>
    <w:rsid w:val="009122DB"/>
    <w:rsid w:val="00912A36"/>
    <w:rsid w:val="00912E6B"/>
    <w:rsid w:val="009136D9"/>
    <w:rsid w:val="00914D48"/>
    <w:rsid w:val="00915512"/>
    <w:rsid w:val="009163A0"/>
    <w:rsid w:val="0091696F"/>
    <w:rsid w:val="00916C99"/>
    <w:rsid w:val="00916EE9"/>
    <w:rsid w:val="00917159"/>
    <w:rsid w:val="00917C84"/>
    <w:rsid w:val="00920FCF"/>
    <w:rsid w:val="009218A2"/>
    <w:rsid w:val="00921A88"/>
    <w:rsid w:val="0092261B"/>
    <w:rsid w:val="00922E3B"/>
    <w:rsid w:val="009233CC"/>
    <w:rsid w:val="00923509"/>
    <w:rsid w:val="00923551"/>
    <w:rsid w:val="009240D8"/>
    <w:rsid w:val="009240FF"/>
    <w:rsid w:val="00924EC9"/>
    <w:rsid w:val="0092523D"/>
    <w:rsid w:val="0092571D"/>
    <w:rsid w:val="009259B7"/>
    <w:rsid w:val="00925F7F"/>
    <w:rsid w:val="009264CA"/>
    <w:rsid w:val="00926F34"/>
    <w:rsid w:val="00927038"/>
    <w:rsid w:val="009270AA"/>
    <w:rsid w:val="00927A08"/>
    <w:rsid w:val="00927F26"/>
    <w:rsid w:val="00930948"/>
    <w:rsid w:val="00930A39"/>
    <w:rsid w:val="00930A74"/>
    <w:rsid w:val="00931338"/>
    <w:rsid w:val="009314AD"/>
    <w:rsid w:val="00931B5E"/>
    <w:rsid w:val="00932100"/>
    <w:rsid w:val="00932509"/>
    <w:rsid w:val="00932929"/>
    <w:rsid w:val="009329B0"/>
    <w:rsid w:val="009329B2"/>
    <w:rsid w:val="00933A35"/>
    <w:rsid w:val="00933FE3"/>
    <w:rsid w:val="00934B9B"/>
    <w:rsid w:val="009354E5"/>
    <w:rsid w:val="0093603E"/>
    <w:rsid w:val="009360D7"/>
    <w:rsid w:val="009362C9"/>
    <w:rsid w:val="009369C0"/>
    <w:rsid w:val="00937509"/>
    <w:rsid w:val="00937935"/>
    <w:rsid w:val="00937E54"/>
    <w:rsid w:val="009404D7"/>
    <w:rsid w:val="009407AA"/>
    <w:rsid w:val="00940AD1"/>
    <w:rsid w:val="00942387"/>
    <w:rsid w:val="0094269E"/>
    <w:rsid w:val="0094380C"/>
    <w:rsid w:val="009438FE"/>
    <w:rsid w:val="00944959"/>
    <w:rsid w:val="0094517F"/>
    <w:rsid w:val="009457B0"/>
    <w:rsid w:val="00945D86"/>
    <w:rsid w:val="00945EF3"/>
    <w:rsid w:val="00946019"/>
    <w:rsid w:val="0094626F"/>
    <w:rsid w:val="009462D2"/>
    <w:rsid w:val="00946F42"/>
    <w:rsid w:val="009476AB"/>
    <w:rsid w:val="009479A6"/>
    <w:rsid w:val="00950A20"/>
    <w:rsid w:val="00950D16"/>
    <w:rsid w:val="0095118D"/>
    <w:rsid w:val="0095144C"/>
    <w:rsid w:val="0095165B"/>
    <w:rsid w:val="00951BD0"/>
    <w:rsid w:val="00952548"/>
    <w:rsid w:val="00953D79"/>
    <w:rsid w:val="00953D91"/>
    <w:rsid w:val="00954148"/>
    <w:rsid w:val="009542ED"/>
    <w:rsid w:val="00955DB7"/>
    <w:rsid w:val="00955DF3"/>
    <w:rsid w:val="0095654C"/>
    <w:rsid w:val="0095686C"/>
    <w:rsid w:val="00956C4E"/>
    <w:rsid w:val="00956E15"/>
    <w:rsid w:val="0095751D"/>
    <w:rsid w:val="00957D5D"/>
    <w:rsid w:val="009619B3"/>
    <w:rsid w:val="009626AC"/>
    <w:rsid w:val="00963B85"/>
    <w:rsid w:val="00964A1C"/>
    <w:rsid w:val="00964C14"/>
    <w:rsid w:val="00964CF1"/>
    <w:rsid w:val="009652D5"/>
    <w:rsid w:val="009667B6"/>
    <w:rsid w:val="00967749"/>
    <w:rsid w:val="009677F8"/>
    <w:rsid w:val="00967EE2"/>
    <w:rsid w:val="00970C46"/>
    <w:rsid w:val="00970EF1"/>
    <w:rsid w:val="00971146"/>
    <w:rsid w:val="009717F0"/>
    <w:rsid w:val="00971AA1"/>
    <w:rsid w:val="00971DC0"/>
    <w:rsid w:val="00972278"/>
    <w:rsid w:val="009723EC"/>
    <w:rsid w:val="00972916"/>
    <w:rsid w:val="00972A9A"/>
    <w:rsid w:val="00972B99"/>
    <w:rsid w:val="00973C85"/>
    <w:rsid w:val="009751E1"/>
    <w:rsid w:val="00975B8C"/>
    <w:rsid w:val="0097600B"/>
    <w:rsid w:val="0097691F"/>
    <w:rsid w:val="009769C3"/>
    <w:rsid w:val="009809DC"/>
    <w:rsid w:val="0098193C"/>
    <w:rsid w:val="00981E75"/>
    <w:rsid w:val="009826D0"/>
    <w:rsid w:val="00982719"/>
    <w:rsid w:val="009831CA"/>
    <w:rsid w:val="0098338D"/>
    <w:rsid w:val="0098401C"/>
    <w:rsid w:val="009841C1"/>
    <w:rsid w:val="00984A1E"/>
    <w:rsid w:val="00984E8C"/>
    <w:rsid w:val="00985121"/>
    <w:rsid w:val="00985E04"/>
    <w:rsid w:val="00986F5D"/>
    <w:rsid w:val="0098765E"/>
    <w:rsid w:val="00987C50"/>
    <w:rsid w:val="00987F26"/>
    <w:rsid w:val="00990169"/>
    <w:rsid w:val="00991675"/>
    <w:rsid w:val="00992008"/>
    <w:rsid w:val="009928FE"/>
    <w:rsid w:val="00992B05"/>
    <w:rsid w:val="0099499F"/>
    <w:rsid w:val="0099513F"/>
    <w:rsid w:val="0099566F"/>
    <w:rsid w:val="00995819"/>
    <w:rsid w:val="0099606C"/>
    <w:rsid w:val="00996409"/>
    <w:rsid w:val="00996750"/>
    <w:rsid w:val="00996ACD"/>
    <w:rsid w:val="00996BB0"/>
    <w:rsid w:val="00996D00"/>
    <w:rsid w:val="0099752F"/>
    <w:rsid w:val="009A03DC"/>
    <w:rsid w:val="009A058D"/>
    <w:rsid w:val="009A16C3"/>
    <w:rsid w:val="009A2217"/>
    <w:rsid w:val="009A228E"/>
    <w:rsid w:val="009A35F7"/>
    <w:rsid w:val="009A41A1"/>
    <w:rsid w:val="009A567A"/>
    <w:rsid w:val="009A6CF3"/>
    <w:rsid w:val="009A7082"/>
    <w:rsid w:val="009B0134"/>
    <w:rsid w:val="009B0655"/>
    <w:rsid w:val="009B1A42"/>
    <w:rsid w:val="009B1A57"/>
    <w:rsid w:val="009B2B18"/>
    <w:rsid w:val="009B2DBA"/>
    <w:rsid w:val="009B366F"/>
    <w:rsid w:val="009B38BC"/>
    <w:rsid w:val="009B43BF"/>
    <w:rsid w:val="009B449D"/>
    <w:rsid w:val="009B4693"/>
    <w:rsid w:val="009B4A2D"/>
    <w:rsid w:val="009B5279"/>
    <w:rsid w:val="009B54E0"/>
    <w:rsid w:val="009B56F9"/>
    <w:rsid w:val="009B5A07"/>
    <w:rsid w:val="009B64D1"/>
    <w:rsid w:val="009B673F"/>
    <w:rsid w:val="009C09C4"/>
    <w:rsid w:val="009C0D78"/>
    <w:rsid w:val="009C14A4"/>
    <w:rsid w:val="009C18B8"/>
    <w:rsid w:val="009C1B3C"/>
    <w:rsid w:val="009C1E0B"/>
    <w:rsid w:val="009C2871"/>
    <w:rsid w:val="009C2EC7"/>
    <w:rsid w:val="009C4851"/>
    <w:rsid w:val="009C52A7"/>
    <w:rsid w:val="009C544B"/>
    <w:rsid w:val="009C5AFF"/>
    <w:rsid w:val="009C601F"/>
    <w:rsid w:val="009C7126"/>
    <w:rsid w:val="009C73CB"/>
    <w:rsid w:val="009C7951"/>
    <w:rsid w:val="009D03E1"/>
    <w:rsid w:val="009D07C3"/>
    <w:rsid w:val="009D0946"/>
    <w:rsid w:val="009D0D3A"/>
    <w:rsid w:val="009D15C6"/>
    <w:rsid w:val="009D1F69"/>
    <w:rsid w:val="009D38F7"/>
    <w:rsid w:val="009D406F"/>
    <w:rsid w:val="009D545A"/>
    <w:rsid w:val="009D5BCD"/>
    <w:rsid w:val="009D5BF0"/>
    <w:rsid w:val="009D64C7"/>
    <w:rsid w:val="009D669A"/>
    <w:rsid w:val="009D6D44"/>
    <w:rsid w:val="009D7225"/>
    <w:rsid w:val="009E02E3"/>
    <w:rsid w:val="009E0593"/>
    <w:rsid w:val="009E0F4D"/>
    <w:rsid w:val="009E11F6"/>
    <w:rsid w:val="009E165F"/>
    <w:rsid w:val="009E1CCF"/>
    <w:rsid w:val="009E1F4C"/>
    <w:rsid w:val="009E22FA"/>
    <w:rsid w:val="009E2E6B"/>
    <w:rsid w:val="009E3F46"/>
    <w:rsid w:val="009E3FA9"/>
    <w:rsid w:val="009E44DA"/>
    <w:rsid w:val="009E4744"/>
    <w:rsid w:val="009E47E0"/>
    <w:rsid w:val="009E4CBA"/>
    <w:rsid w:val="009E4EC9"/>
    <w:rsid w:val="009E4FA3"/>
    <w:rsid w:val="009E58B0"/>
    <w:rsid w:val="009E5D00"/>
    <w:rsid w:val="009E5D5A"/>
    <w:rsid w:val="009E60E9"/>
    <w:rsid w:val="009E67F6"/>
    <w:rsid w:val="009E6D30"/>
    <w:rsid w:val="009F0630"/>
    <w:rsid w:val="009F0984"/>
    <w:rsid w:val="009F1180"/>
    <w:rsid w:val="009F1758"/>
    <w:rsid w:val="009F1C84"/>
    <w:rsid w:val="009F1FAC"/>
    <w:rsid w:val="009F2262"/>
    <w:rsid w:val="009F251D"/>
    <w:rsid w:val="009F299F"/>
    <w:rsid w:val="009F3377"/>
    <w:rsid w:val="009F4171"/>
    <w:rsid w:val="009F441E"/>
    <w:rsid w:val="009F4ADA"/>
    <w:rsid w:val="009F56C8"/>
    <w:rsid w:val="009F605E"/>
    <w:rsid w:val="009F6A0D"/>
    <w:rsid w:val="009F6C05"/>
    <w:rsid w:val="009F746A"/>
    <w:rsid w:val="00A01AAD"/>
    <w:rsid w:val="00A01BA3"/>
    <w:rsid w:val="00A01EAA"/>
    <w:rsid w:val="00A02FD1"/>
    <w:rsid w:val="00A03D76"/>
    <w:rsid w:val="00A03F67"/>
    <w:rsid w:val="00A05069"/>
    <w:rsid w:val="00A050D7"/>
    <w:rsid w:val="00A0638A"/>
    <w:rsid w:val="00A06B98"/>
    <w:rsid w:val="00A074B7"/>
    <w:rsid w:val="00A07991"/>
    <w:rsid w:val="00A079A5"/>
    <w:rsid w:val="00A106AC"/>
    <w:rsid w:val="00A1092B"/>
    <w:rsid w:val="00A10CDE"/>
    <w:rsid w:val="00A11545"/>
    <w:rsid w:val="00A11EAA"/>
    <w:rsid w:val="00A13062"/>
    <w:rsid w:val="00A13E76"/>
    <w:rsid w:val="00A143E1"/>
    <w:rsid w:val="00A143F0"/>
    <w:rsid w:val="00A14598"/>
    <w:rsid w:val="00A15F04"/>
    <w:rsid w:val="00A15F6E"/>
    <w:rsid w:val="00A1680D"/>
    <w:rsid w:val="00A168D9"/>
    <w:rsid w:val="00A16CA1"/>
    <w:rsid w:val="00A16EA7"/>
    <w:rsid w:val="00A17CC1"/>
    <w:rsid w:val="00A20EBA"/>
    <w:rsid w:val="00A21962"/>
    <w:rsid w:val="00A21A60"/>
    <w:rsid w:val="00A21B20"/>
    <w:rsid w:val="00A21DA9"/>
    <w:rsid w:val="00A222CC"/>
    <w:rsid w:val="00A223FF"/>
    <w:rsid w:val="00A22594"/>
    <w:rsid w:val="00A22BA1"/>
    <w:rsid w:val="00A23AB0"/>
    <w:rsid w:val="00A241A2"/>
    <w:rsid w:val="00A25D3B"/>
    <w:rsid w:val="00A266C5"/>
    <w:rsid w:val="00A26B02"/>
    <w:rsid w:val="00A26E70"/>
    <w:rsid w:val="00A2712F"/>
    <w:rsid w:val="00A278DB"/>
    <w:rsid w:val="00A3052D"/>
    <w:rsid w:val="00A309C6"/>
    <w:rsid w:val="00A30BC0"/>
    <w:rsid w:val="00A3115A"/>
    <w:rsid w:val="00A31734"/>
    <w:rsid w:val="00A317A3"/>
    <w:rsid w:val="00A32E4E"/>
    <w:rsid w:val="00A33019"/>
    <w:rsid w:val="00A3430F"/>
    <w:rsid w:val="00A3443F"/>
    <w:rsid w:val="00A34D12"/>
    <w:rsid w:val="00A3553E"/>
    <w:rsid w:val="00A35ACA"/>
    <w:rsid w:val="00A36400"/>
    <w:rsid w:val="00A3647F"/>
    <w:rsid w:val="00A36842"/>
    <w:rsid w:val="00A4089E"/>
    <w:rsid w:val="00A4103C"/>
    <w:rsid w:val="00A4109C"/>
    <w:rsid w:val="00A41D03"/>
    <w:rsid w:val="00A427D6"/>
    <w:rsid w:val="00A4327B"/>
    <w:rsid w:val="00A44C91"/>
    <w:rsid w:val="00A44EA7"/>
    <w:rsid w:val="00A451A0"/>
    <w:rsid w:val="00A4542B"/>
    <w:rsid w:val="00A45FF3"/>
    <w:rsid w:val="00A47D63"/>
    <w:rsid w:val="00A47ECE"/>
    <w:rsid w:val="00A5031A"/>
    <w:rsid w:val="00A505DE"/>
    <w:rsid w:val="00A50823"/>
    <w:rsid w:val="00A50D3F"/>
    <w:rsid w:val="00A50D81"/>
    <w:rsid w:val="00A50DBB"/>
    <w:rsid w:val="00A51164"/>
    <w:rsid w:val="00A513C6"/>
    <w:rsid w:val="00A51818"/>
    <w:rsid w:val="00A525F4"/>
    <w:rsid w:val="00A529E8"/>
    <w:rsid w:val="00A531BB"/>
    <w:rsid w:val="00A5327C"/>
    <w:rsid w:val="00A53A7F"/>
    <w:rsid w:val="00A54439"/>
    <w:rsid w:val="00A55377"/>
    <w:rsid w:val="00A558F9"/>
    <w:rsid w:val="00A56C71"/>
    <w:rsid w:val="00A5721C"/>
    <w:rsid w:val="00A60BB9"/>
    <w:rsid w:val="00A6146C"/>
    <w:rsid w:val="00A614EB"/>
    <w:rsid w:val="00A61E72"/>
    <w:rsid w:val="00A61F47"/>
    <w:rsid w:val="00A63D22"/>
    <w:rsid w:val="00A63F85"/>
    <w:rsid w:val="00A65106"/>
    <w:rsid w:val="00A6608F"/>
    <w:rsid w:val="00A66D34"/>
    <w:rsid w:val="00A66DE4"/>
    <w:rsid w:val="00A67107"/>
    <w:rsid w:val="00A67913"/>
    <w:rsid w:val="00A67969"/>
    <w:rsid w:val="00A67B22"/>
    <w:rsid w:val="00A7038B"/>
    <w:rsid w:val="00A7113E"/>
    <w:rsid w:val="00A72432"/>
    <w:rsid w:val="00A74064"/>
    <w:rsid w:val="00A7406A"/>
    <w:rsid w:val="00A74599"/>
    <w:rsid w:val="00A7483E"/>
    <w:rsid w:val="00A74934"/>
    <w:rsid w:val="00A750EE"/>
    <w:rsid w:val="00A81A94"/>
    <w:rsid w:val="00A81D45"/>
    <w:rsid w:val="00A82534"/>
    <w:rsid w:val="00A82BA1"/>
    <w:rsid w:val="00A82C5B"/>
    <w:rsid w:val="00A8364E"/>
    <w:rsid w:val="00A8388C"/>
    <w:rsid w:val="00A843C4"/>
    <w:rsid w:val="00A84E12"/>
    <w:rsid w:val="00A85D0F"/>
    <w:rsid w:val="00A85EDA"/>
    <w:rsid w:val="00A860BF"/>
    <w:rsid w:val="00A86E2E"/>
    <w:rsid w:val="00A87017"/>
    <w:rsid w:val="00A87332"/>
    <w:rsid w:val="00A87FF6"/>
    <w:rsid w:val="00A90190"/>
    <w:rsid w:val="00A90B83"/>
    <w:rsid w:val="00A9119A"/>
    <w:rsid w:val="00A9289F"/>
    <w:rsid w:val="00A92A30"/>
    <w:rsid w:val="00A92EA2"/>
    <w:rsid w:val="00A93636"/>
    <w:rsid w:val="00A94AD1"/>
    <w:rsid w:val="00A94F3E"/>
    <w:rsid w:val="00A9501B"/>
    <w:rsid w:val="00A9522D"/>
    <w:rsid w:val="00A956B1"/>
    <w:rsid w:val="00A95A19"/>
    <w:rsid w:val="00A96227"/>
    <w:rsid w:val="00A9681E"/>
    <w:rsid w:val="00A96A38"/>
    <w:rsid w:val="00A97948"/>
    <w:rsid w:val="00AA007A"/>
    <w:rsid w:val="00AA0D6A"/>
    <w:rsid w:val="00AA0E8A"/>
    <w:rsid w:val="00AA12B3"/>
    <w:rsid w:val="00AA255D"/>
    <w:rsid w:val="00AA31E9"/>
    <w:rsid w:val="00AA353F"/>
    <w:rsid w:val="00AA35B4"/>
    <w:rsid w:val="00AA3B49"/>
    <w:rsid w:val="00AA3B57"/>
    <w:rsid w:val="00AA4DB7"/>
    <w:rsid w:val="00AA4DD2"/>
    <w:rsid w:val="00AA5069"/>
    <w:rsid w:val="00AA5CF6"/>
    <w:rsid w:val="00AA6586"/>
    <w:rsid w:val="00AA756E"/>
    <w:rsid w:val="00AA75F7"/>
    <w:rsid w:val="00AA7DB5"/>
    <w:rsid w:val="00AB073E"/>
    <w:rsid w:val="00AB0989"/>
    <w:rsid w:val="00AB14AE"/>
    <w:rsid w:val="00AB164D"/>
    <w:rsid w:val="00AB1A13"/>
    <w:rsid w:val="00AB24C5"/>
    <w:rsid w:val="00AB25BF"/>
    <w:rsid w:val="00AB315B"/>
    <w:rsid w:val="00AB31BC"/>
    <w:rsid w:val="00AB3266"/>
    <w:rsid w:val="00AB32F6"/>
    <w:rsid w:val="00AB36B2"/>
    <w:rsid w:val="00AB3D0D"/>
    <w:rsid w:val="00AB3D7C"/>
    <w:rsid w:val="00AB4E79"/>
    <w:rsid w:val="00AB4E9F"/>
    <w:rsid w:val="00AB506E"/>
    <w:rsid w:val="00AB5666"/>
    <w:rsid w:val="00AB60E2"/>
    <w:rsid w:val="00AB63B3"/>
    <w:rsid w:val="00AB7A2F"/>
    <w:rsid w:val="00AC07DD"/>
    <w:rsid w:val="00AC0B0B"/>
    <w:rsid w:val="00AC1C55"/>
    <w:rsid w:val="00AC1D2B"/>
    <w:rsid w:val="00AC210F"/>
    <w:rsid w:val="00AC27FF"/>
    <w:rsid w:val="00AC2AD1"/>
    <w:rsid w:val="00AC3010"/>
    <w:rsid w:val="00AC319E"/>
    <w:rsid w:val="00AC35FD"/>
    <w:rsid w:val="00AC42ED"/>
    <w:rsid w:val="00AC48B7"/>
    <w:rsid w:val="00AC624F"/>
    <w:rsid w:val="00AC6BCD"/>
    <w:rsid w:val="00AC6F7A"/>
    <w:rsid w:val="00AC7812"/>
    <w:rsid w:val="00AC79CC"/>
    <w:rsid w:val="00AC7D5E"/>
    <w:rsid w:val="00AC7D89"/>
    <w:rsid w:val="00AD0121"/>
    <w:rsid w:val="00AD06BC"/>
    <w:rsid w:val="00AD09B3"/>
    <w:rsid w:val="00AD0CF7"/>
    <w:rsid w:val="00AD129A"/>
    <w:rsid w:val="00AD15AC"/>
    <w:rsid w:val="00AD21A1"/>
    <w:rsid w:val="00AD386C"/>
    <w:rsid w:val="00AD3F5E"/>
    <w:rsid w:val="00AD47E3"/>
    <w:rsid w:val="00AD494E"/>
    <w:rsid w:val="00AD5F24"/>
    <w:rsid w:val="00AD5FE2"/>
    <w:rsid w:val="00AD66BE"/>
    <w:rsid w:val="00AD6AD3"/>
    <w:rsid w:val="00AE01BB"/>
    <w:rsid w:val="00AE0356"/>
    <w:rsid w:val="00AE0922"/>
    <w:rsid w:val="00AE0B90"/>
    <w:rsid w:val="00AE1529"/>
    <w:rsid w:val="00AE28E4"/>
    <w:rsid w:val="00AE2B5B"/>
    <w:rsid w:val="00AE3A1E"/>
    <w:rsid w:val="00AE3AA3"/>
    <w:rsid w:val="00AE3D37"/>
    <w:rsid w:val="00AE43B9"/>
    <w:rsid w:val="00AE4AC3"/>
    <w:rsid w:val="00AE578C"/>
    <w:rsid w:val="00AE59D9"/>
    <w:rsid w:val="00AE5F32"/>
    <w:rsid w:val="00AE6CD0"/>
    <w:rsid w:val="00AE734F"/>
    <w:rsid w:val="00AF0308"/>
    <w:rsid w:val="00AF067A"/>
    <w:rsid w:val="00AF18AB"/>
    <w:rsid w:val="00AF2656"/>
    <w:rsid w:val="00AF294A"/>
    <w:rsid w:val="00AF2DBC"/>
    <w:rsid w:val="00AF3288"/>
    <w:rsid w:val="00AF36E5"/>
    <w:rsid w:val="00AF3E8F"/>
    <w:rsid w:val="00AF4170"/>
    <w:rsid w:val="00AF4A97"/>
    <w:rsid w:val="00AF4E21"/>
    <w:rsid w:val="00AF4FD5"/>
    <w:rsid w:val="00AF5ACD"/>
    <w:rsid w:val="00AF6110"/>
    <w:rsid w:val="00AF63E9"/>
    <w:rsid w:val="00AF6425"/>
    <w:rsid w:val="00AF685D"/>
    <w:rsid w:val="00AF6AC6"/>
    <w:rsid w:val="00AF70D8"/>
    <w:rsid w:val="00AF7D99"/>
    <w:rsid w:val="00B00611"/>
    <w:rsid w:val="00B013E3"/>
    <w:rsid w:val="00B02141"/>
    <w:rsid w:val="00B03037"/>
    <w:rsid w:val="00B03484"/>
    <w:rsid w:val="00B03719"/>
    <w:rsid w:val="00B04354"/>
    <w:rsid w:val="00B0461C"/>
    <w:rsid w:val="00B04663"/>
    <w:rsid w:val="00B04FD7"/>
    <w:rsid w:val="00B05686"/>
    <w:rsid w:val="00B065B9"/>
    <w:rsid w:val="00B0684A"/>
    <w:rsid w:val="00B06BDC"/>
    <w:rsid w:val="00B07DB8"/>
    <w:rsid w:val="00B101C7"/>
    <w:rsid w:val="00B101E6"/>
    <w:rsid w:val="00B101F8"/>
    <w:rsid w:val="00B11706"/>
    <w:rsid w:val="00B1232A"/>
    <w:rsid w:val="00B13013"/>
    <w:rsid w:val="00B130FC"/>
    <w:rsid w:val="00B14807"/>
    <w:rsid w:val="00B14BB1"/>
    <w:rsid w:val="00B1516E"/>
    <w:rsid w:val="00B154F0"/>
    <w:rsid w:val="00B157A5"/>
    <w:rsid w:val="00B157B6"/>
    <w:rsid w:val="00B15BAF"/>
    <w:rsid w:val="00B15DFC"/>
    <w:rsid w:val="00B16D7F"/>
    <w:rsid w:val="00B17936"/>
    <w:rsid w:val="00B20CCB"/>
    <w:rsid w:val="00B22173"/>
    <w:rsid w:val="00B2234B"/>
    <w:rsid w:val="00B2283A"/>
    <w:rsid w:val="00B235FD"/>
    <w:rsid w:val="00B238E4"/>
    <w:rsid w:val="00B23A6B"/>
    <w:rsid w:val="00B23C92"/>
    <w:rsid w:val="00B243B0"/>
    <w:rsid w:val="00B2462E"/>
    <w:rsid w:val="00B249FC"/>
    <w:rsid w:val="00B24CE9"/>
    <w:rsid w:val="00B25018"/>
    <w:rsid w:val="00B259DE"/>
    <w:rsid w:val="00B25C8C"/>
    <w:rsid w:val="00B268A9"/>
    <w:rsid w:val="00B26F2D"/>
    <w:rsid w:val="00B2729D"/>
    <w:rsid w:val="00B31035"/>
    <w:rsid w:val="00B31552"/>
    <w:rsid w:val="00B317E7"/>
    <w:rsid w:val="00B31A96"/>
    <w:rsid w:val="00B31C0F"/>
    <w:rsid w:val="00B31D12"/>
    <w:rsid w:val="00B32FB1"/>
    <w:rsid w:val="00B338FB"/>
    <w:rsid w:val="00B33A0F"/>
    <w:rsid w:val="00B33A57"/>
    <w:rsid w:val="00B33D28"/>
    <w:rsid w:val="00B34083"/>
    <w:rsid w:val="00B34744"/>
    <w:rsid w:val="00B34C57"/>
    <w:rsid w:val="00B34F90"/>
    <w:rsid w:val="00B34FFF"/>
    <w:rsid w:val="00B35392"/>
    <w:rsid w:val="00B3588F"/>
    <w:rsid w:val="00B36704"/>
    <w:rsid w:val="00B3678D"/>
    <w:rsid w:val="00B3693B"/>
    <w:rsid w:val="00B37728"/>
    <w:rsid w:val="00B4020A"/>
    <w:rsid w:val="00B40949"/>
    <w:rsid w:val="00B41B52"/>
    <w:rsid w:val="00B42563"/>
    <w:rsid w:val="00B432C6"/>
    <w:rsid w:val="00B43C7F"/>
    <w:rsid w:val="00B44781"/>
    <w:rsid w:val="00B44F50"/>
    <w:rsid w:val="00B44F9C"/>
    <w:rsid w:val="00B4541C"/>
    <w:rsid w:val="00B45C64"/>
    <w:rsid w:val="00B46A32"/>
    <w:rsid w:val="00B46B29"/>
    <w:rsid w:val="00B46FE3"/>
    <w:rsid w:val="00B47954"/>
    <w:rsid w:val="00B47C01"/>
    <w:rsid w:val="00B50369"/>
    <w:rsid w:val="00B50765"/>
    <w:rsid w:val="00B50A40"/>
    <w:rsid w:val="00B51B18"/>
    <w:rsid w:val="00B51D59"/>
    <w:rsid w:val="00B52BE4"/>
    <w:rsid w:val="00B52E18"/>
    <w:rsid w:val="00B53547"/>
    <w:rsid w:val="00B53597"/>
    <w:rsid w:val="00B5494B"/>
    <w:rsid w:val="00B54A2D"/>
    <w:rsid w:val="00B550D8"/>
    <w:rsid w:val="00B5524F"/>
    <w:rsid w:val="00B55D3E"/>
    <w:rsid w:val="00B567DA"/>
    <w:rsid w:val="00B610F4"/>
    <w:rsid w:val="00B61A01"/>
    <w:rsid w:val="00B61F4E"/>
    <w:rsid w:val="00B62590"/>
    <w:rsid w:val="00B62B49"/>
    <w:rsid w:val="00B62F20"/>
    <w:rsid w:val="00B637D9"/>
    <w:rsid w:val="00B63EF8"/>
    <w:rsid w:val="00B644A0"/>
    <w:rsid w:val="00B646A9"/>
    <w:rsid w:val="00B65AF3"/>
    <w:rsid w:val="00B6634B"/>
    <w:rsid w:val="00B6729F"/>
    <w:rsid w:val="00B676E1"/>
    <w:rsid w:val="00B706E2"/>
    <w:rsid w:val="00B70A8C"/>
    <w:rsid w:val="00B71DCF"/>
    <w:rsid w:val="00B720D4"/>
    <w:rsid w:val="00B721B4"/>
    <w:rsid w:val="00B7222D"/>
    <w:rsid w:val="00B7267A"/>
    <w:rsid w:val="00B73788"/>
    <w:rsid w:val="00B742DF"/>
    <w:rsid w:val="00B754A4"/>
    <w:rsid w:val="00B755ED"/>
    <w:rsid w:val="00B7563F"/>
    <w:rsid w:val="00B75682"/>
    <w:rsid w:val="00B757F1"/>
    <w:rsid w:val="00B75DB8"/>
    <w:rsid w:val="00B768C2"/>
    <w:rsid w:val="00B77BBF"/>
    <w:rsid w:val="00B77D2C"/>
    <w:rsid w:val="00B80772"/>
    <w:rsid w:val="00B81389"/>
    <w:rsid w:val="00B81AA6"/>
    <w:rsid w:val="00B82627"/>
    <w:rsid w:val="00B82FA7"/>
    <w:rsid w:val="00B83298"/>
    <w:rsid w:val="00B8358F"/>
    <w:rsid w:val="00B83E7F"/>
    <w:rsid w:val="00B84331"/>
    <w:rsid w:val="00B84B6C"/>
    <w:rsid w:val="00B85271"/>
    <w:rsid w:val="00B8624B"/>
    <w:rsid w:val="00B86804"/>
    <w:rsid w:val="00B8693B"/>
    <w:rsid w:val="00B86978"/>
    <w:rsid w:val="00B86AF9"/>
    <w:rsid w:val="00B8751C"/>
    <w:rsid w:val="00B875C7"/>
    <w:rsid w:val="00B878BC"/>
    <w:rsid w:val="00B90A0B"/>
    <w:rsid w:val="00B90AA7"/>
    <w:rsid w:val="00B90D03"/>
    <w:rsid w:val="00B9137B"/>
    <w:rsid w:val="00B91453"/>
    <w:rsid w:val="00B9230F"/>
    <w:rsid w:val="00B93311"/>
    <w:rsid w:val="00B93809"/>
    <w:rsid w:val="00B938DC"/>
    <w:rsid w:val="00B94335"/>
    <w:rsid w:val="00B94879"/>
    <w:rsid w:val="00B94887"/>
    <w:rsid w:val="00B95273"/>
    <w:rsid w:val="00B9655A"/>
    <w:rsid w:val="00B96777"/>
    <w:rsid w:val="00B97DB3"/>
    <w:rsid w:val="00BA0002"/>
    <w:rsid w:val="00BA0033"/>
    <w:rsid w:val="00BA012A"/>
    <w:rsid w:val="00BA0B59"/>
    <w:rsid w:val="00BA0FC7"/>
    <w:rsid w:val="00BA17DE"/>
    <w:rsid w:val="00BA23CC"/>
    <w:rsid w:val="00BA24E0"/>
    <w:rsid w:val="00BA24EC"/>
    <w:rsid w:val="00BA3359"/>
    <w:rsid w:val="00BA35C7"/>
    <w:rsid w:val="00BA3717"/>
    <w:rsid w:val="00BA38F6"/>
    <w:rsid w:val="00BA40EA"/>
    <w:rsid w:val="00BA5268"/>
    <w:rsid w:val="00BA56C3"/>
    <w:rsid w:val="00BA659D"/>
    <w:rsid w:val="00BA65E5"/>
    <w:rsid w:val="00BA7903"/>
    <w:rsid w:val="00BA7DB3"/>
    <w:rsid w:val="00BB095B"/>
    <w:rsid w:val="00BB09DF"/>
    <w:rsid w:val="00BB0D58"/>
    <w:rsid w:val="00BB0F75"/>
    <w:rsid w:val="00BB13D3"/>
    <w:rsid w:val="00BB2BBC"/>
    <w:rsid w:val="00BB3FC5"/>
    <w:rsid w:val="00BB48D2"/>
    <w:rsid w:val="00BB4BCA"/>
    <w:rsid w:val="00BB551D"/>
    <w:rsid w:val="00BB60A2"/>
    <w:rsid w:val="00BB64D6"/>
    <w:rsid w:val="00BB6B54"/>
    <w:rsid w:val="00BB702E"/>
    <w:rsid w:val="00BB7619"/>
    <w:rsid w:val="00BB7751"/>
    <w:rsid w:val="00BC01A9"/>
    <w:rsid w:val="00BC0A2C"/>
    <w:rsid w:val="00BC12F9"/>
    <w:rsid w:val="00BC1E27"/>
    <w:rsid w:val="00BC24D8"/>
    <w:rsid w:val="00BC2605"/>
    <w:rsid w:val="00BC2790"/>
    <w:rsid w:val="00BC2B3B"/>
    <w:rsid w:val="00BC4008"/>
    <w:rsid w:val="00BC4198"/>
    <w:rsid w:val="00BC4579"/>
    <w:rsid w:val="00BC49B1"/>
    <w:rsid w:val="00BC4ACA"/>
    <w:rsid w:val="00BC4F8B"/>
    <w:rsid w:val="00BC695E"/>
    <w:rsid w:val="00BC6E8B"/>
    <w:rsid w:val="00BC6EBC"/>
    <w:rsid w:val="00BC7606"/>
    <w:rsid w:val="00BC7D96"/>
    <w:rsid w:val="00BD0BB6"/>
    <w:rsid w:val="00BD11D4"/>
    <w:rsid w:val="00BD13E7"/>
    <w:rsid w:val="00BD165F"/>
    <w:rsid w:val="00BD1940"/>
    <w:rsid w:val="00BD2853"/>
    <w:rsid w:val="00BD3D24"/>
    <w:rsid w:val="00BD49FD"/>
    <w:rsid w:val="00BD67FF"/>
    <w:rsid w:val="00BD7C26"/>
    <w:rsid w:val="00BE0854"/>
    <w:rsid w:val="00BE1650"/>
    <w:rsid w:val="00BE19CE"/>
    <w:rsid w:val="00BE24E5"/>
    <w:rsid w:val="00BE27F2"/>
    <w:rsid w:val="00BE2ACF"/>
    <w:rsid w:val="00BE2FE9"/>
    <w:rsid w:val="00BE36E0"/>
    <w:rsid w:val="00BE3CCE"/>
    <w:rsid w:val="00BE3E58"/>
    <w:rsid w:val="00BE48AD"/>
    <w:rsid w:val="00BE491C"/>
    <w:rsid w:val="00BE4D48"/>
    <w:rsid w:val="00BE55AE"/>
    <w:rsid w:val="00BE59A1"/>
    <w:rsid w:val="00BE6047"/>
    <w:rsid w:val="00BE64E4"/>
    <w:rsid w:val="00BE6EC8"/>
    <w:rsid w:val="00BE6FA7"/>
    <w:rsid w:val="00BE71AE"/>
    <w:rsid w:val="00BE7465"/>
    <w:rsid w:val="00BE794C"/>
    <w:rsid w:val="00BE7A1C"/>
    <w:rsid w:val="00BF02A3"/>
    <w:rsid w:val="00BF0BA7"/>
    <w:rsid w:val="00BF0BD7"/>
    <w:rsid w:val="00BF0C46"/>
    <w:rsid w:val="00BF1C3C"/>
    <w:rsid w:val="00BF1CBD"/>
    <w:rsid w:val="00BF20E8"/>
    <w:rsid w:val="00BF38CD"/>
    <w:rsid w:val="00BF38DC"/>
    <w:rsid w:val="00BF5BDD"/>
    <w:rsid w:val="00BF5C35"/>
    <w:rsid w:val="00BF5C7E"/>
    <w:rsid w:val="00BF68FF"/>
    <w:rsid w:val="00BF71A3"/>
    <w:rsid w:val="00BF7A2E"/>
    <w:rsid w:val="00BF7A78"/>
    <w:rsid w:val="00BF7E8C"/>
    <w:rsid w:val="00C0018A"/>
    <w:rsid w:val="00C0037D"/>
    <w:rsid w:val="00C003B9"/>
    <w:rsid w:val="00C00905"/>
    <w:rsid w:val="00C01892"/>
    <w:rsid w:val="00C01BBB"/>
    <w:rsid w:val="00C01FD1"/>
    <w:rsid w:val="00C02F75"/>
    <w:rsid w:val="00C0331F"/>
    <w:rsid w:val="00C035B5"/>
    <w:rsid w:val="00C03865"/>
    <w:rsid w:val="00C05276"/>
    <w:rsid w:val="00C05622"/>
    <w:rsid w:val="00C05930"/>
    <w:rsid w:val="00C06DED"/>
    <w:rsid w:val="00C07AB6"/>
    <w:rsid w:val="00C07ACB"/>
    <w:rsid w:val="00C106B8"/>
    <w:rsid w:val="00C10C52"/>
    <w:rsid w:val="00C10D45"/>
    <w:rsid w:val="00C1172F"/>
    <w:rsid w:val="00C119A0"/>
    <w:rsid w:val="00C11A92"/>
    <w:rsid w:val="00C11ABD"/>
    <w:rsid w:val="00C13089"/>
    <w:rsid w:val="00C13C90"/>
    <w:rsid w:val="00C148C9"/>
    <w:rsid w:val="00C14BA7"/>
    <w:rsid w:val="00C14FB2"/>
    <w:rsid w:val="00C15E54"/>
    <w:rsid w:val="00C16912"/>
    <w:rsid w:val="00C17007"/>
    <w:rsid w:val="00C17304"/>
    <w:rsid w:val="00C176AC"/>
    <w:rsid w:val="00C2058B"/>
    <w:rsid w:val="00C20668"/>
    <w:rsid w:val="00C208B8"/>
    <w:rsid w:val="00C2103A"/>
    <w:rsid w:val="00C2164B"/>
    <w:rsid w:val="00C21EF9"/>
    <w:rsid w:val="00C221C0"/>
    <w:rsid w:val="00C222A1"/>
    <w:rsid w:val="00C222F7"/>
    <w:rsid w:val="00C22397"/>
    <w:rsid w:val="00C23015"/>
    <w:rsid w:val="00C24707"/>
    <w:rsid w:val="00C24792"/>
    <w:rsid w:val="00C24839"/>
    <w:rsid w:val="00C25F77"/>
    <w:rsid w:val="00C2629C"/>
    <w:rsid w:val="00C26968"/>
    <w:rsid w:val="00C27C23"/>
    <w:rsid w:val="00C30B6D"/>
    <w:rsid w:val="00C31439"/>
    <w:rsid w:val="00C316DC"/>
    <w:rsid w:val="00C31808"/>
    <w:rsid w:val="00C31ACA"/>
    <w:rsid w:val="00C31D03"/>
    <w:rsid w:val="00C3223A"/>
    <w:rsid w:val="00C32E58"/>
    <w:rsid w:val="00C33706"/>
    <w:rsid w:val="00C33A05"/>
    <w:rsid w:val="00C33B39"/>
    <w:rsid w:val="00C33F14"/>
    <w:rsid w:val="00C34D0A"/>
    <w:rsid w:val="00C34F4F"/>
    <w:rsid w:val="00C357EA"/>
    <w:rsid w:val="00C366C6"/>
    <w:rsid w:val="00C36A9F"/>
    <w:rsid w:val="00C36EB8"/>
    <w:rsid w:val="00C37666"/>
    <w:rsid w:val="00C37B9E"/>
    <w:rsid w:val="00C37CF3"/>
    <w:rsid w:val="00C4081B"/>
    <w:rsid w:val="00C411E9"/>
    <w:rsid w:val="00C417CC"/>
    <w:rsid w:val="00C417F5"/>
    <w:rsid w:val="00C41C84"/>
    <w:rsid w:val="00C41E33"/>
    <w:rsid w:val="00C424DF"/>
    <w:rsid w:val="00C42FAA"/>
    <w:rsid w:val="00C43051"/>
    <w:rsid w:val="00C44D46"/>
    <w:rsid w:val="00C44DED"/>
    <w:rsid w:val="00C45289"/>
    <w:rsid w:val="00C45537"/>
    <w:rsid w:val="00C45AE8"/>
    <w:rsid w:val="00C4684C"/>
    <w:rsid w:val="00C469F2"/>
    <w:rsid w:val="00C46D29"/>
    <w:rsid w:val="00C46E19"/>
    <w:rsid w:val="00C47DF2"/>
    <w:rsid w:val="00C51591"/>
    <w:rsid w:val="00C515B0"/>
    <w:rsid w:val="00C51702"/>
    <w:rsid w:val="00C517ED"/>
    <w:rsid w:val="00C51C23"/>
    <w:rsid w:val="00C51C57"/>
    <w:rsid w:val="00C51DB8"/>
    <w:rsid w:val="00C5398E"/>
    <w:rsid w:val="00C53E49"/>
    <w:rsid w:val="00C54411"/>
    <w:rsid w:val="00C54D6E"/>
    <w:rsid w:val="00C54EE3"/>
    <w:rsid w:val="00C552F9"/>
    <w:rsid w:val="00C554D4"/>
    <w:rsid w:val="00C56D39"/>
    <w:rsid w:val="00C57155"/>
    <w:rsid w:val="00C607D1"/>
    <w:rsid w:val="00C60A86"/>
    <w:rsid w:val="00C60FBF"/>
    <w:rsid w:val="00C61324"/>
    <w:rsid w:val="00C61B02"/>
    <w:rsid w:val="00C61F1C"/>
    <w:rsid w:val="00C62AB4"/>
    <w:rsid w:val="00C644C4"/>
    <w:rsid w:val="00C65D6D"/>
    <w:rsid w:val="00C66494"/>
    <w:rsid w:val="00C70370"/>
    <w:rsid w:val="00C70585"/>
    <w:rsid w:val="00C719A2"/>
    <w:rsid w:val="00C71A2E"/>
    <w:rsid w:val="00C71DC7"/>
    <w:rsid w:val="00C72046"/>
    <w:rsid w:val="00C72165"/>
    <w:rsid w:val="00C72B8E"/>
    <w:rsid w:val="00C73424"/>
    <w:rsid w:val="00C73831"/>
    <w:rsid w:val="00C73AB0"/>
    <w:rsid w:val="00C74167"/>
    <w:rsid w:val="00C741D2"/>
    <w:rsid w:val="00C7486E"/>
    <w:rsid w:val="00C75357"/>
    <w:rsid w:val="00C76466"/>
    <w:rsid w:val="00C76624"/>
    <w:rsid w:val="00C774A1"/>
    <w:rsid w:val="00C775A0"/>
    <w:rsid w:val="00C80C41"/>
    <w:rsid w:val="00C80CEF"/>
    <w:rsid w:val="00C828B8"/>
    <w:rsid w:val="00C83041"/>
    <w:rsid w:val="00C8452A"/>
    <w:rsid w:val="00C858FF"/>
    <w:rsid w:val="00C85AE0"/>
    <w:rsid w:val="00C85E30"/>
    <w:rsid w:val="00C86E8E"/>
    <w:rsid w:val="00C8712F"/>
    <w:rsid w:val="00C87AF2"/>
    <w:rsid w:val="00C908C6"/>
    <w:rsid w:val="00C90B42"/>
    <w:rsid w:val="00C91074"/>
    <w:rsid w:val="00C9182B"/>
    <w:rsid w:val="00C9296C"/>
    <w:rsid w:val="00C93384"/>
    <w:rsid w:val="00C93FD8"/>
    <w:rsid w:val="00C945C2"/>
    <w:rsid w:val="00C946B2"/>
    <w:rsid w:val="00C9475D"/>
    <w:rsid w:val="00C94B1E"/>
    <w:rsid w:val="00C95056"/>
    <w:rsid w:val="00C951FD"/>
    <w:rsid w:val="00C970A1"/>
    <w:rsid w:val="00C973E9"/>
    <w:rsid w:val="00C975E6"/>
    <w:rsid w:val="00C97D48"/>
    <w:rsid w:val="00CA1333"/>
    <w:rsid w:val="00CA19A9"/>
    <w:rsid w:val="00CA1E51"/>
    <w:rsid w:val="00CA21A9"/>
    <w:rsid w:val="00CA43F9"/>
    <w:rsid w:val="00CA487E"/>
    <w:rsid w:val="00CA516C"/>
    <w:rsid w:val="00CA56C5"/>
    <w:rsid w:val="00CA5C47"/>
    <w:rsid w:val="00CA5C82"/>
    <w:rsid w:val="00CA62EE"/>
    <w:rsid w:val="00CA679A"/>
    <w:rsid w:val="00CA7414"/>
    <w:rsid w:val="00CA7682"/>
    <w:rsid w:val="00CA7A75"/>
    <w:rsid w:val="00CA7F28"/>
    <w:rsid w:val="00CA7F39"/>
    <w:rsid w:val="00CB00EA"/>
    <w:rsid w:val="00CB0125"/>
    <w:rsid w:val="00CB029E"/>
    <w:rsid w:val="00CB0768"/>
    <w:rsid w:val="00CB0A1F"/>
    <w:rsid w:val="00CB131F"/>
    <w:rsid w:val="00CB2121"/>
    <w:rsid w:val="00CB21AF"/>
    <w:rsid w:val="00CB2476"/>
    <w:rsid w:val="00CB33D0"/>
    <w:rsid w:val="00CB3693"/>
    <w:rsid w:val="00CB372C"/>
    <w:rsid w:val="00CB372E"/>
    <w:rsid w:val="00CB3BB5"/>
    <w:rsid w:val="00CB434C"/>
    <w:rsid w:val="00CB452B"/>
    <w:rsid w:val="00CB4DC2"/>
    <w:rsid w:val="00CB4DCD"/>
    <w:rsid w:val="00CB4E4B"/>
    <w:rsid w:val="00CB4F2D"/>
    <w:rsid w:val="00CB53F8"/>
    <w:rsid w:val="00CB544A"/>
    <w:rsid w:val="00CB5E59"/>
    <w:rsid w:val="00CB5FF4"/>
    <w:rsid w:val="00CB6112"/>
    <w:rsid w:val="00CB6272"/>
    <w:rsid w:val="00CB7418"/>
    <w:rsid w:val="00CC047C"/>
    <w:rsid w:val="00CC0670"/>
    <w:rsid w:val="00CC07E8"/>
    <w:rsid w:val="00CC1563"/>
    <w:rsid w:val="00CC1690"/>
    <w:rsid w:val="00CC1D23"/>
    <w:rsid w:val="00CC27FE"/>
    <w:rsid w:val="00CC4210"/>
    <w:rsid w:val="00CC44FE"/>
    <w:rsid w:val="00CC644D"/>
    <w:rsid w:val="00CC665A"/>
    <w:rsid w:val="00CC6FB8"/>
    <w:rsid w:val="00CC74A2"/>
    <w:rsid w:val="00CD0492"/>
    <w:rsid w:val="00CD0593"/>
    <w:rsid w:val="00CD07DE"/>
    <w:rsid w:val="00CD1184"/>
    <w:rsid w:val="00CD1258"/>
    <w:rsid w:val="00CD146B"/>
    <w:rsid w:val="00CD20D4"/>
    <w:rsid w:val="00CD2C94"/>
    <w:rsid w:val="00CD2CDC"/>
    <w:rsid w:val="00CD354A"/>
    <w:rsid w:val="00CD3E79"/>
    <w:rsid w:val="00CD44DE"/>
    <w:rsid w:val="00CD4F23"/>
    <w:rsid w:val="00CD5A05"/>
    <w:rsid w:val="00CD5B7D"/>
    <w:rsid w:val="00CD5D9A"/>
    <w:rsid w:val="00CD5F3B"/>
    <w:rsid w:val="00CD750A"/>
    <w:rsid w:val="00CD7E16"/>
    <w:rsid w:val="00CE04A0"/>
    <w:rsid w:val="00CE04BA"/>
    <w:rsid w:val="00CE07A2"/>
    <w:rsid w:val="00CE30A7"/>
    <w:rsid w:val="00CE30B0"/>
    <w:rsid w:val="00CE30E6"/>
    <w:rsid w:val="00CE341F"/>
    <w:rsid w:val="00CE345F"/>
    <w:rsid w:val="00CE34DC"/>
    <w:rsid w:val="00CE36DD"/>
    <w:rsid w:val="00CE3F11"/>
    <w:rsid w:val="00CE4BBB"/>
    <w:rsid w:val="00CE4D3C"/>
    <w:rsid w:val="00CE5619"/>
    <w:rsid w:val="00CE5899"/>
    <w:rsid w:val="00CE5E98"/>
    <w:rsid w:val="00CE5F30"/>
    <w:rsid w:val="00CE6CC6"/>
    <w:rsid w:val="00CE7239"/>
    <w:rsid w:val="00CF04B4"/>
    <w:rsid w:val="00CF0B33"/>
    <w:rsid w:val="00CF1089"/>
    <w:rsid w:val="00CF1D89"/>
    <w:rsid w:val="00CF2708"/>
    <w:rsid w:val="00CF2C08"/>
    <w:rsid w:val="00CF2F64"/>
    <w:rsid w:val="00CF311A"/>
    <w:rsid w:val="00CF3EB5"/>
    <w:rsid w:val="00CF42DF"/>
    <w:rsid w:val="00CF4307"/>
    <w:rsid w:val="00CF5E5B"/>
    <w:rsid w:val="00CF6BC2"/>
    <w:rsid w:val="00CF7FAF"/>
    <w:rsid w:val="00D001E5"/>
    <w:rsid w:val="00D00EEC"/>
    <w:rsid w:val="00D01453"/>
    <w:rsid w:val="00D01954"/>
    <w:rsid w:val="00D02C47"/>
    <w:rsid w:val="00D0325C"/>
    <w:rsid w:val="00D05015"/>
    <w:rsid w:val="00D051E5"/>
    <w:rsid w:val="00D05245"/>
    <w:rsid w:val="00D05669"/>
    <w:rsid w:val="00D06878"/>
    <w:rsid w:val="00D07FB4"/>
    <w:rsid w:val="00D1036E"/>
    <w:rsid w:val="00D10E7B"/>
    <w:rsid w:val="00D1137B"/>
    <w:rsid w:val="00D12700"/>
    <w:rsid w:val="00D12876"/>
    <w:rsid w:val="00D12AF9"/>
    <w:rsid w:val="00D132D5"/>
    <w:rsid w:val="00D13621"/>
    <w:rsid w:val="00D13E53"/>
    <w:rsid w:val="00D1527C"/>
    <w:rsid w:val="00D16051"/>
    <w:rsid w:val="00D16297"/>
    <w:rsid w:val="00D16EF2"/>
    <w:rsid w:val="00D20039"/>
    <w:rsid w:val="00D20461"/>
    <w:rsid w:val="00D20B75"/>
    <w:rsid w:val="00D21305"/>
    <w:rsid w:val="00D2148E"/>
    <w:rsid w:val="00D218BB"/>
    <w:rsid w:val="00D21A6E"/>
    <w:rsid w:val="00D21FA8"/>
    <w:rsid w:val="00D220EF"/>
    <w:rsid w:val="00D22B80"/>
    <w:rsid w:val="00D236B7"/>
    <w:rsid w:val="00D23E48"/>
    <w:rsid w:val="00D241E2"/>
    <w:rsid w:val="00D244BE"/>
    <w:rsid w:val="00D24537"/>
    <w:rsid w:val="00D24B50"/>
    <w:rsid w:val="00D24F78"/>
    <w:rsid w:val="00D25352"/>
    <w:rsid w:val="00D25410"/>
    <w:rsid w:val="00D263FE"/>
    <w:rsid w:val="00D2692A"/>
    <w:rsid w:val="00D278F4"/>
    <w:rsid w:val="00D27F2D"/>
    <w:rsid w:val="00D300E9"/>
    <w:rsid w:val="00D30118"/>
    <w:rsid w:val="00D305C2"/>
    <w:rsid w:val="00D3090A"/>
    <w:rsid w:val="00D310F3"/>
    <w:rsid w:val="00D323F9"/>
    <w:rsid w:val="00D32D36"/>
    <w:rsid w:val="00D3300B"/>
    <w:rsid w:val="00D33C32"/>
    <w:rsid w:val="00D34615"/>
    <w:rsid w:val="00D34E31"/>
    <w:rsid w:val="00D373FF"/>
    <w:rsid w:val="00D379AF"/>
    <w:rsid w:val="00D4049E"/>
    <w:rsid w:val="00D40508"/>
    <w:rsid w:val="00D406B2"/>
    <w:rsid w:val="00D41E77"/>
    <w:rsid w:val="00D4281E"/>
    <w:rsid w:val="00D43096"/>
    <w:rsid w:val="00D43BC4"/>
    <w:rsid w:val="00D43C30"/>
    <w:rsid w:val="00D43D89"/>
    <w:rsid w:val="00D43F83"/>
    <w:rsid w:val="00D44715"/>
    <w:rsid w:val="00D45662"/>
    <w:rsid w:val="00D45DA9"/>
    <w:rsid w:val="00D4610D"/>
    <w:rsid w:val="00D463A2"/>
    <w:rsid w:val="00D46593"/>
    <w:rsid w:val="00D469D9"/>
    <w:rsid w:val="00D46AB2"/>
    <w:rsid w:val="00D46C90"/>
    <w:rsid w:val="00D46D50"/>
    <w:rsid w:val="00D47815"/>
    <w:rsid w:val="00D501AA"/>
    <w:rsid w:val="00D501FA"/>
    <w:rsid w:val="00D5050B"/>
    <w:rsid w:val="00D51647"/>
    <w:rsid w:val="00D516BD"/>
    <w:rsid w:val="00D518A7"/>
    <w:rsid w:val="00D51F0F"/>
    <w:rsid w:val="00D52283"/>
    <w:rsid w:val="00D526F8"/>
    <w:rsid w:val="00D5276E"/>
    <w:rsid w:val="00D527C8"/>
    <w:rsid w:val="00D53509"/>
    <w:rsid w:val="00D53637"/>
    <w:rsid w:val="00D5395C"/>
    <w:rsid w:val="00D5396D"/>
    <w:rsid w:val="00D53CE6"/>
    <w:rsid w:val="00D54840"/>
    <w:rsid w:val="00D54FB2"/>
    <w:rsid w:val="00D552EE"/>
    <w:rsid w:val="00D55652"/>
    <w:rsid w:val="00D557F0"/>
    <w:rsid w:val="00D55F0F"/>
    <w:rsid w:val="00D5648E"/>
    <w:rsid w:val="00D56B70"/>
    <w:rsid w:val="00D57180"/>
    <w:rsid w:val="00D573EC"/>
    <w:rsid w:val="00D577B7"/>
    <w:rsid w:val="00D57B11"/>
    <w:rsid w:val="00D57C0C"/>
    <w:rsid w:val="00D60805"/>
    <w:rsid w:val="00D61981"/>
    <w:rsid w:val="00D62A5E"/>
    <w:rsid w:val="00D62DB6"/>
    <w:rsid w:val="00D636D3"/>
    <w:rsid w:val="00D644C2"/>
    <w:rsid w:val="00D64575"/>
    <w:rsid w:val="00D656EB"/>
    <w:rsid w:val="00D65F20"/>
    <w:rsid w:val="00D66BA4"/>
    <w:rsid w:val="00D679FD"/>
    <w:rsid w:val="00D701E8"/>
    <w:rsid w:val="00D71026"/>
    <w:rsid w:val="00D7149A"/>
    <w:rsid w:val="00D720DF"/>
    <w:rsid w:val="00D7250F"/>
    <w:rsid w:val="00D72A83"/>
    <w:rsid w:val="00D72BF1"/>
    <w:rsid w:val="00D73385"/>
    <w:rsid w:val="00D749C1"/>
    <w:rsid w:val="00D74D67"/>
    <w:rsid w:val="00D7506D"/>
    <w:rsid w:val="00D771FD"/>
    <w:rsid w:val="00D7796D"/>
    <w:rsid w:val="00D800F7"/>
    <w:rsid w:val="00D80B1A"/>
    <w:rsid w:val="00D8111F"/>
    <w:rsid w:val="00D81B18"/>
    <w:rsid w:val="00D82474"/>
    <w:rsid w:val="00D83541"/>
    <w:rsid w:val="00D8435E"/>
    <w:rsid w:val="00D844E9"/>
    <w:rsid w:val="00D8466B"/>
    <w:rsid w:val="00D8487E"/>
    <w:rsid w:val="00D84C18"/>
    <w:rsid w:val="00D84D05"/>
    <w:rsid w:val="00D856AF"/>
    <w:rsid w:val="00D85867"/>
    <w:rsid w:val="00D866A4"/>
    <w:rsid w:val="00D86757"/>
    <w:rsid w:val="00D87453"/>
    <w:rsid w:val="00D87518"/>
    <w:rsid w:val="00D87C14"/>
    <w:rsid w:val="00D91390"/>
    <w:rsid w:val="00D91F6E"/>
    <w:rsid w:val="00D92148"/>
    <w:rsid w:val="00D92A3A"/>
    <w:rsid w:val="00D93A16"/>
    <w:rsid w:val="00D93B28"/>
    <w:rsid w:val="00D93C1B"/>
    <w:rsid w:val="00D945AB"/>
    <w:rsid w:val="00D9496D"/>
    <w:rsid w:val="00D9500A"/>
    <w:rsid w:val="00D95072"/>
    <w:rsid w:val="00D95B35"/>
    <w:rsid w:val="00D96DBC"/>
    <w:rsid w:val="00D96E5F"/>
    <w:rsid w:val="00D96ED8"/>
    <w:rsid w:val="00D97252"/>
    <w:rsid w:val="00D97CAF"/>
    <w:rsid w:val="00D97F9A"/>
    <w:rsid w:val="00DA004C"/>
    <w:rsid w:val="00DA0185"/>
    <w:rsid w:val="00DA0768"/>
    <w:rsid w:val="00DA076C"/>
    <w:rsid w:val="00DA0E91"/>
    <w:rsid w:val="00DA13EA"/>
    <w:rsid w:val="00DA161A"/>
    <w:rsid w:val="00DA1CD0"/>
    <w:rsid w:val="00DA32A5"/>
    <w:rsid w:val="00DA3E2F"/>
    <w:rsid w:val="00DA4258"/>
    <w:rsid w:val="00DA43A0"/>
    <w:rsid w:val="00DA4850"/>
    <w:rsid w:val="00DA4968"/>
    <w:rsid w:val="00DA5925"/>
    <w:rsid w:val="00DA5A94"/>
    <w:rsid w:val="00DA5DB6"/>
    <w:rsid w:val="00DA659A"/>
    <w:rsid w:val="00DA6A04"/>
    <w:rsid w:val="00DA6C16"/>
    <w:rsid w:val="00DA7727"/>
    <w:rsid w:val="00DA7A46"/>
    <w:rsid w:val="00DA7A60"/>
    <w:rsid w:val="00DA7EFD"/>
    <w:rsid w:val="00DB031B"/>
    <w:rsid w:val="00DB0324"/>
    <w:rsid w:val="00DB061A"/>
    <w:rsid w:val="00DB0867"/>
    <w:rsid w:val="00DB14EB"/>
    <w:rsid w:val="00DB2355"/>
    <w:rsid w:val="00DB38DC"/>
    <w:rsid w:val="00DB3BB4"/>
    <w:rsid w:val="00DB40E4"/>
    <w:rsid w:val="00DB4403"/>
    <w:rsid w:val="00DB45AB"/>
    <w:rsid w:val="00DB4717"/>
    <w:rsid w:val="00DB5F6C"/>
    <w:rsid w:val="00DB6699"/>
    <w:rsid w:val="00DB7FDD"/>
    <w:rsid w:val="00DC0BFE"/>
    <w:rsid w:val="00DC0DB1"/>
    <w:rsid w:val="00DC0F02"/>
    <w:rsid w:val="00DC0F8D"/>
    <w:rsid w:val="00DC1325"/>
    <w:rsid w:val="00DC1F29"/>
    <w:rsid w:val="00DC1FBF"/>
    <w:rsid w:val="00DC2132"/>
    <w:rsid w:val="00DC2284"/>
    <w:rsid w:val="00DC2D04"/>
    <w:rsid w:val="00DC2EB4"/>
    <w:rsid w:val="00DC38AC"/>
    <w:rsid w:val="00DC3CA4"/>
    <w:rsid w:val="00DC3E76"/>
    <w:rsid w:val="00DC5B96"/>
    <w:rsid w:val="00DC5C0D"/>
    <w:rsid w:val="00DC6158"/>
    <w:rsid w:val="00DC746E"/>
    <w:rsid w:val="00DD01CA"/>
    <w:rsid w:val="00DD02F4"/>
    <w:rsid w:val="00DD043A"/>
    <w:rsid w:val="00DD18D9"/>
    <w:rsid w:val="00DD245C"/>
    <w:rsid w:val="00DD295D"/>
    <w:rsid w:val="00DD2E0D"/>
    <w:rsid w:val="00DD3A13"/>
    <w:rsid w:val="00DD3CA5"/>
    <w:rsid w:val="00DD4D92"/>
    <w:rsid w:val="00DD552F"/>
    <w:rsid w:val="00DD5A48"/>
    <w:rsid w:val="00DD5A72"/>
    <w:rsid w:val="00DD5BF3"/>
    <w:rsid w:val="00DD6621"/>
    <w:rsid w:val="00DD742C"/>
    <w:rsid w:val="00DE03A0"/>
    <w:rsid w:val="00DE077F"/>
    <w:rsid w:val="00DE1BE7"/>
    <w:rsid w:val="00DE1C0E"/>
    <w:rsid w:val="00DE1FB8"/>
    <w:rsid w:val="00DE2293"/>
    <w:rsid w:val="00DE2953"/>
    <w:rsid w:val="00DE2D56"/>
    <w:rsid w:val="00DE2DB1"/>
    <w:rsid w:val="00DE4210"/>
    <w:rsid w:val="00DE4578"/>
    <w:rsid w:val="00DE46D2"/>
    <w:rsid w:val="00DE4812"/>
    <w:rsid w:val="00DE4DA8"/>
    <w:rsid w:val="00DE51B4"/>
    <w:rsid w:val="00DE57C5"/>
    <w:rsid w:val="00DE5E6A"/>
    <w:rsid w:val="00DF0155"/>
    <w:rsid w:val="00DF04EE"/>
    <w:rsid w:val="00DF08AE"/>
    <w:rsid w:val="00DF1E48"/>
    <w:rsid w:val="00DF1EF1"/>
    <w:rsid w:val="00DF1F1E"/>
    <w:rsid w:val="00DF2BD1"/>
    <w:rsid w:val="00DF34EF"/>
    <w:rsid w:val="00DF3743"/>
    <w:rsid w:val="00DF3E35"/>
    <w:rsid w:val="00DF42E0"/>
    <w:rsid w:val="00DF5B56"/>
    <w:rsid w:val="00DF6076"/>
    <w:rsid w:val="00DF6326"/>
    <w:rsid w:val="00DF6B6F"/>
    <w:rsid w:val="00DF718E"/>
    <w:rsid w:val="00DF7D84"/>
    <w:rsid w:val="00E004BA"/>
    <w:rsid w:val="00E00C71"/>
    <w:rsid w:val="00E00EAA"/>
    <w:rsid w:val="00E0103C"/>
    <w:rsid w:val="00E01934"/>
    <w:rsid w:val="00E01ECD"/>
    <w:rsid w:val="00E0235E"/>
    <w:rsid w:val="00E0240A"/>
    <w:rsid w:val="00E0274F"/>
    <w:rsid w:val="00E02814"/>
    <w:rsid w:val="00E02D97"/>
    <w:rsid w:val="00E02FD4"/>
    <w:rsid w:val="00E0339C"/>
    <w:rsid w:val="00E03ED5"/>
    <w:rsid w:val="00E04491"/>
    <w:rsid w:val="00E044AB"/>
    <w:rsid w:val="00E05508"/>
    <w:rsid w:val="00E05A10"/>
    <w:rsid w:val="00E06243"/>
    <w:rsid w:val="00E06853"/>
    <w:rsid w:val="00E068D6"/>
    <w:rsid w:val="00E07169"/>
    <w:rsid w:val="00E071D5"/>
    <w:rsid w:val="00E07358"/>
    <w:rsid w:val="00E07828"/>
    <w:rsid w:val="00E0783F"/>
    <w:rsid w:val="00E109C1"/>
    <w:rsid w:val="00E11282"/>
    <w:rsid w:val="00E11807"/>
    <w:rsid w:val="00E11863"/>
    <w:rsid w:val="00E11BA4"/>
    <w:rsid w:val="00E11D0F"/>
    <w:rsid w:val="00E11DF4"/>
    <w:rsid w:val="00E129B0"/>
    <w:rsid w:val="00E12F0C"/>
    <w:rsid w:val="00E136BF"/>
    <w:rsid w:val="00E13C52"/>
    <w:rsid w:val="00E14E5F"/>
    <w:rsid w:val="00E15026"/>
    <w:rsid w:val="00E157D3"/>
    <w:rsid w:val="00E15A4F"/>
    <w:rsid w:val="00E162A4"/>
    <w:rsid w:val="00E162D7"/>
    <w:rsid w:val="00E16569"/>
    <w:rsid w:val="00E1688C"/>
    <w:rsid w:val="00E172C5"/>
    <w:rsid w:val="00E17E8E"/>
    <w:rsid w:val="00E20955"/>
    <w:rsid w:val="00E20995"/>
    <w:rsid w:val="00E20DCA"/>
    <w:rsid w:val="00E20E33"/>
    <w:rsid w:val="00E21877"/>
    <w:rsid w:val="00E220C6"/>
    <w:rsid w:val="00E22665"/>
    <w:rsid w:val="00E233E7"/>
    <w:rsid w:val="00E242CA"/>
    <w:rsid w:val="00E24799"/>
    <w:rsid w:val="00E2486C"/>
    <w:rsid w:val="00E24906"/>
    <w:rsid w:val="00E24B95"/>
    <w:rsid w:val="00E24FB5"/>
    <w:rsid w:val="00E25E05"/>
    <w:rsid w:val="00E26810"/>
    <w:rsid w:val="00E276A9"/>
    <w:rsid w:val="00E30029"/>
    <w:rsid w:val="00E30499"/>
    <w:rsid w:val="00E30B51"/>
    <w:rsid w:val="00E30B8E"/>
    <w:rsid w:val="00E31290"/>
    <w:rsid w:val="00E324BB"/>
    <w:rsid w:val="00E339F0"/>
    <w:rsid w:val="00E344CB"/>
    <w:rsid w:val="00E34796"/>
    <w:rsid w:val="00E34B1D"/>
    <w:rsid w:val="00E34D8C"/>
    <w:rsid w:val="00E35E8B"/>
    <w:rsid w:val="00E36CA7"/>
    <w:rsid w:val="00E37424"/>
    <w:rsid w:val="00E375C1"/>
    <w:rsid w:val="00E377E8"/>
    <w:rsid w:val="00E37821"/>
    <w:rsid w:val="00E37B7F"/>
    <w:rsid w:val="00E40444"/>
    <w:rsid w:val="00E415B1"/>
    <w:rsid w:val="00E416FC"/>
    <w:rsid w:val="00E41E0A"/>
    <w:rsid w:val="00E427F0"/>
    <w:rsid w:val="00E431E9"/>
    <w:rsid w:val="00E43464"/>
    <w:rsid w:val="00E43A9B"/>
    <w:rsid w:val="00E43BB0"/>
    <w:rsid w:val="00E43C11"/>
    <w:rsid w:val="00E44270"/>
    <w:rsid w:val="00E44472"/>
    <w:rsid w:val="00E456E4"/>
    <w:rsid w:val="00E45B40"/>
    <w:rsid w:val="00E45EF9"/>
    <w:rsid w:val="00E477EE"/>
    <w:rsid w:val="00E47A69"/>
    <w:rsid w:val="00E50B87"/>
    <w:rsid w:val="00E50C35"/>
    <w:rsid w:val="00E51919"/>
    <w:rsid w:val="00E521A6"/>
    <w:rsid w:val="00E52CF0"/>
    <w:rsid w:val="00E532C7"/>
    <w:rsid w:val="00E55696"/>
    <w:rsid w:val="00E556F7"/>
    <w:rsid w:val="00E56282"/>
    <w:rsid w:val="00E56347"/>
    <w:rsid w:val="00E56410"/>
    <w:rsid w:val="00E571BB"/>
    <w:rsid w:val="00E60147"/>
    <w:rsid w:val="00E603B9"/>
    <w:rsid w:val="00E60430"/>
    <w:rsid w:val="00E60774"/>
    <w:rsid w:val="00E6086D"/>
    <w:rsid w:val="00E6092E"/>
    <w:rsid w:val="00E62740"/>
    <w:rsid w:val="00E631AB"/>
    <w:rsid w:val="00E63760"/>
    <w:rsid w:val="00E6383D"/>
    <w:rsid w:val="00E638A3"/>
    <w:rsid w:val="00E63E86"/>
    <w:rsid w:val="00E64A99"/>
    <w:rsid w:val="00E64B24"/>
    <w:rsid w:val="00E652D3"/>
    <w:rsid w:val="00E655E8"/>
    <w:rsid w:val="00E6626F"/>
    <w:rsid w:val="00E666B9"/>
    <w:rsid w:val="00E6697E"/>
    <w:rsid w:val="00E66F79"/>
    <w:rsid w:val="00E67128"/>
    <w:rsid w:val="00E72A82"/>
    <w:rsid w:val="00E73C0F"/>
    <w:rsid w:val="00E74435"/>
    <w:rsid w:val="00E74F46"/>
    <w:rsid w:val="00E75236"/>
    <w:rsid w:val="00E758AD"/>
    <w:rsid w:val="00E76430"/>
    <w:rsid w:val="00E76E17"/>
    <w:rsid w:val="00E77D4E"/>
    <w:rsid w:val="00E80898"/>
    <w:rsid w:val="00E80AF8"/>
    <w:rsid w:val="00E81119"/>
    <w:rsid w:val="00E81B1A"/>
    <w:rsid w:val="00E829CA"/>
    <w:rsid w:val="00E82B73"/>
    <w:rsid w:val="00E837F1"/>
    <w:rsid w:val="00E83B66"/>
    <w:rsid w:val="00E8509A"/>
    <w:rsid w:val="00E8529E"/>
    <w:rsid w:val="00E85EF5"/>
    <w:rsid w:val="00E860BF"/>
    <w:rsid w:val="00E864A7"/>
    <w:rsid w:val="00E86FB0"/>
    <w:rsid w:val="00E87275"/>
    <w:rsid w:val="00E874B0"/>
    <w:rsid w:val="00E90685"/>
    <w:rsid w:val="00E90B49"/>
    <w:rsid w:val="00E91860"/>
    <w:rsid w:val="00E91C12"/>
    <w:rsid w:val="00E91E5B"/>
    <w:rsid w:val="00E92CDF"/>
    <w:rsid w:val="00E9460B"/>
    <w:rsid w:val="00E94B9C"/>
    <w:rsid w:val="00E954B7"/>
    <w:rsid w:val="00E95CEB"/>
    <w:rsid w:val="00E96CCA"/>
    <w:rsid w:val="00E96E58"/>
    <w:rsid w:val="00E96FDB"/>
    <w:rsid w:val="00E976AC"/>
    <w:rsid w:val="00E97C3D"/>
    <w:rsid w:val="00E97CF8"/>
    <w:rsid w:val="00EA0075"/>
    <w:rsid w:val="00EA059C"/>
    <w:rsid w:val="00EA107B"/>
    <w:rsid w:val="00EA2328"/>
    <w:rsid w:val="00EA23F6"/>
    <w:rsid w:val="00EA2A96"/>
    <w:rsid w:val="00EA40A6"/>
    <w:rsid w:val="00EA4232"/>
    <w:rsid w:val="00EA43AA"/>
    <w:rsid w:val="00EA43EE"/>
    <w:rsid w:val="00EA478E"/>
    <w:rsid w:val="00EA4D40"/>
    <w:rsid w:val="00EA61DD"/>
    <w:rsid w:val="00EA63C3"/>
    <w:rsid w:val="00EA6BA8"/>
    <w:rsid w:val="00EB0BE2"/>
    <w:rsid w:val="00EB0E5A"/>
    <w:rsid w:val="00EB10AC"/>
    <w:rsid w:val="00EB196F"/>
    <w:rsid w:val="00EB3CE5"/>
    <w:rsid w:val="00EB47C0"/>
    <w:rsid w:val="00EB4A21"/>
    <w:rsid w:val="00EB4C99"/>
    <w:rsid w:val="00EB506B"/>
    <w:rsid w:val="00EB50A1"/>
    <w:rsid w:val="00EB553F"/>
    <w:rsid w:val="00EB5A97"/>
    <w:rsid w:val="00EB67A9"/>
    <w:rsid w:val="00EB69A1"/>
    <w:rsid w:val="00EB69CD"/>
    <w:rsid w:val="00EB6D31"/>
    <w:rsid w:val="00EB74BB"/>
    <w:rsid w:val="00EB7A93"/>
    <w:rsid w:val="00EB7B70"/>
    <w:rsid w:val="00EC06CC"/>
    <w:rsid w:val="00EC1273"/>
    <w:rsid w:val="00EC16F1"/>
    <w:rsid w:val="00EC2694"/>
    <w:rsid w:val="00EC282D"/>
    <w:rsid w:val="00EC3573"/>
    <w:rsid w:val="00EC419F"/>
    <w:rsid w:val="00EC518D"/>
    <w:rsid w:val="00EC54F8"/>
    <w:rsid w:val="00EC5791"/>
    <w:rsid w:val="00EC57C6"/>
    <w:rsid w:val="00EC6C28"/>
    <w:rsid w:val="00EC6D0E"/>
    <w:rsid w:val="00EC76F3"/>
    <w:rsid w:val="00ED05D6"/>
    <w:rsid w:val="00ED060E"/>
    <w:rsid w:val="00ED0C6F"/>
    <w:rsid w:val="00ED0D88"/>
    <w:rsid w:val="00ED13D1"/>
    <w:rsid w:val="00ED14BC"/>
    <w:rsid w:val="00ED2244"/>
    <w:rsid w:val="00ED233E"/>
    <w:rsid w:val="00ED29F2"/>
    <w:rsid w:val="00ED2D3B"/>
    <w:rsid w:val="00ED2FCC"/>
    <w:rsid w:val="00ED3F32"/>
    <w:rsid w:val="00ED4C12"/>
    <w:rsid w:val="00ED4E12"/>
    <w:rsid w:val="00ED5646"/>
    <w:rsid w:val="00ED7A84"/>
    <w:rsid w:val="00EE01BE"/>
    <w:rsid w:val="00EE1046"/>
    <w:rsid w:val="00EE16B1"/>
    <w:rsid w:val="00EE2011"/>
    <w:rsid w:val="00EE2371"/>
    <w:rsid w:val="00EE2D19"/>
    <w:rsid w:val="00EE4493"/>
    <w:rsid w:val="00EE4B3E"/>
    <w:rsid w:val="00EE5B3C"/>
    <w:rsid w:val="00EE5F75"/>
    <w:rsid w:val="00EE63BE"/>
    <w:rsid w:val="00EE74B9"/>
    <w:rsid w:val="00EE79AF"/>
    <w:rsid w:val="00EF0799"/>
    <w:rsid w:val="00EF09CD"/>
    <w:rsid w:val="00EF1A01"/>
    <w:rsid w:val="00EF1C75"/>
    <w:rsid w:val="00EF1EB2"/>
    <w:rsid w:val="00EF2006"/>
    <w:rsid w:val="00EF2722"/>
    <w:rsid w:val="00EF2B93"/>
    <w:rsid w:val="00EF40BE"/>
    <w:rsid w:val="00EF5107"/>
    <w:rsid w:val="00EF5CE4"/>
    <w:rsid w:val="00EF5EEA"/>
    <w:rsid w:val="00EF6128"/>
    <w:rsid w:val="00EF6294"/>
    <w:rsid w:val="00EF6328"/>
    <w:rsid w:val="00EF6762"/>
    <w:rsid w:val="00EF6805"/>
    <w:rsid w:val="00EF6D9B"/>
    <w:rsid w:val="00EF6EAE"/>
    <w:rsid w:val="00EF711F"/>
    <w:rsid w:val="00EF7CF2"/>
    <w:rsid w:val="00EF7F31"/>
    <w:rsid w:val="00F000BD"/>
    <w:rsid w:val="00F00508"/>
    <w:rsid w:val="00F00B2E"/>
    <w:rsid w:val="00F016BD"/>
    <w:rsid w:val="00F01820"/>
    <w:rsid w:val="00F01C5B"/>
    <w:rsid w:val="00F01E52"/>
    <w:rsid w:val="00F0319D"/>
    <w:rsid w:val="00F0389E"/>
    <w:rsid w:val="00F03C81"/>
    <w:rsid w:val="00F042DC"/>
    <w:rsid w:val="00F04309"/>
    <w:rsid w:val="00F046BD"/>
    <w:rsid w:val="00F04D63"/>
    <w:rsid w:val="00F04E40"/>
    <w:rsid w:val="00F0576E"/>
    <w:rsid w:val="00F057C2"/>
    <w:rsid w:val="00F0584D"/>
    <w:rsid w:val="00F05B05"/>
    <w:rsid w:val="00F06906"/>
    <w:rsid w:val="00F06C35"/>
    <w:rsid w:val="00F06DDD"/>
    <w:rsid w:val="00F07099"/>
    <w:rsid w:val="00F07A90"/>
    <w:rsid w:val="00F105EA"/>
    <w:rsid w:val="00F1109A"/>
    <w:rsid w:val="00F11117"/>
    <w:rsid w:val="00F11145"/>
    <w:rsid w:val="00F111B8"/>
    <w:rsid w:val="00F112B0"/>
    <w:rsid w:val="00F11768"/>
    <w:rsid w:val="00F11D55"/>
    <w:rsid w:val="00F11DC7"/>
    <w:rsid w:val="00F11FA7"/>
    <w:rsid w:val="00F12541"/>
    <w:rsid w:val="00F13580"/>
    <w:rsid w:val="00F13586"/>
    <w:rsid w:val="00F143EE"/>
    <w:rsid w:val="00F14435"/>
    <w:rsid w:val="00F14C45"/>
    <w:rsid w:val="00F15233"/>
    <w:rsid w:val="00F15477"/>
    <w:rsid w:val="00F155DE"/>
    <w:rsid w:val="00F15E91"/>
    <w:rsid w:val="00F164D2"/>
    <w:rsid w:val="00F16E72"/>
    <w:rsid w:val="00F16F98"/>
    <w:rsid w:val="00F1792A"/>
    <w:rsid w:val="00F179A8"/>
    <w:rsid w:val="00F17C97"/>
    <w:rsid w:val="00F17F93"/>
    <w:rsid w:val="00F2024A"/>
    <w:rsid w:val="00F2064C"/>
    <w:rsid w:val="00F20B53"/>
    <w:rsid w:val="00F21961"/>
    <w:rsid w:val="00F21A42"/>
    <w:rsid w:val="00F21BA6"/>
    <w:rsid w:val="00F22035"/>
    <w:rsid w:val="00F22A18"/>
    <w:rsid w:val="00F22D18"/>
    <w:rsid w:val="00F22FD6"/>
    <w:rsid w:val="00F23350"/>
    <w:rsid w:val="00F235FB"/>
    <w:rsid w:val="00F23880"/>
    <w:rsid w:val="00F23F3C"/>
    <w:rsid w:val="00F25D28"/>
    <w:rsid w:val="00F26137"/>
    <w:rsid w:val="00F26270"/>
    <w:rsid w:val="00F26385"/>
    <w:rsid w:val="00F2678A"/>
    <w:rsid w:val="00F26ECF"/>
    <w:rsid w:val="00F27D48"/>
    <w:rsid w:val="00F3026A"/>
    <w:rsid w:val="00F307B3"/>
    <w:rsid w:val="00F30A58"/>
    <w:rsid w:val="00F3174C"/>
    <w:rsid w:val="00F31EC4"/>
    <w:rsid w:val="00F34042"/>
    <w:rsid w:val="00F34D94"/>
    <w:rsid w:val="00F357BC"/>
    <w:rsid w:val="00F361D0"/>
    <w:rsid w:val="00F36C87"/>
    <w:rsid w:val="00F36D62"/>
    <w:rsid w:val="00F36E5C"/>
    <w:rsid w:val="00F376F4"/>
    <w:rsid w:val="00F41869"/>
    <w:rsid w:val="00F4256F"/>
    <w:rsid w:val="00F44A07"/>
    <w:rsid w:val="00F44EC9"/>
    <w:rsid w:val="00F468D3"/>
    <w:rsid w:val="00F46927"/>
    <w:rsid w:val="00F47062"/>
    <w:rsid w:val="00F51302"/>
    <w:rsid w:val="00F51396"/>
    <w:rsid w:val="00F519B6"/>
    <w:rsid w:val="00F51C95"/>
    <w:rsid w:val="00F52406"/>
    <w:rsid w:val="00F53CA3"/>
    <w:rsid w:val="00F54498"/>
    <w:rsid w:val="00F5493B"/>
    <w:rsid w:val="00F54A5F"/>
    <w:rsid w:val="00F55854"/>
    <w:rsid w:val="00F55A50"/>
    <w:rsid w:val="00F55A97"/>
    <w:rsid w:val="00F5609A"/>
    <w:rsid w:val="00F56813"/>
    <w:rsid w:val="00F5686F"/>
    <w:rsid w:val="00F57034"/>
    <w:rsid w:val="00F575FD"/>
    <w:rsid w:val="00F60CA1"/>
    <w:rsid w:val="00F60F15"/>
    <w:rsid w:val="00F6180A"/>
    <w:rsid w:val="00F62057"/>
    <w:rsid w:val="00F62DDB"/>
    <w:rsid w:val="00F63565"/>
    <w:rsid w:val="00F64584"/>
    <w:rsid w:val="00F64A79"/>
    <w:rsid w:val="00F64FA9"/>
    <w:rsid w:val="00F6534F"/>
    <w:rsid w:val="00F66298"/>
    <w:rsid w:val="00F67053"/>
    <w:rsid w:val="00F70110"/>
    <w:rsid w:val="00F7011F"/>
    <w:rsid w:val="00F711DA"/>
    <w:rsid w:val="00F718A1"/>
    <w:rsid w:val="00F71B9E"/>
    <w:rsid w:val="00F71E9A"/>
    <w:rsid w:val="00F721A0"/>
    <w:rsid w:val="00F72C93"/>
    <w:rsid w:val="00F736F7"/>
    <w:rsid w:val="00F73AAB"/>
    <w:rsid w:val="00F74A58"/>
    <w:rsid w:val="00F74B4B"/>
    <w:rsid w:val="00F74C80"/>
    <w:rsid w:val="00F754C2"/>
    <w:rsid w:val="00F75843"/>
    <w:rsid w:val="00F75B9B"/>
    <w:rsid w:val="00F76883"/>
    <w:rsid w:val="00F77498"/>
    <w:rsid w:val="00F80866"/>
    <w:rsid w:val="00F80A88"/>
    <w:rsid w:val="00F80F6B"/>
    <w:rsid w:val="00F81858"/>
    <w:rsid w:val="00F823F5"/>
    <w:rsid w:val="00F824BE"/>
    <w:rsid w:val="00F837A3"/>
    <w:rsid w:val="00F8386F"/>
    <w:rsid w:val="00F83D29"/>
    <w:rsid w:val="00F848F9"/>
    <w:rsid w:val="00F84FEB"/>
    <w:rsid w:val="00F85EB7"/>
    <w:rsid w:val="00F85F71"/>
    <w:rsid w:val="00F86028"/>
    <w:rsid w:val="00F86799"/>
    <w:rsid w:val="00F86F10"/>
    <w:rsid w:val="00F86F78"/>
    <w:rsid w:val="00F877FF"/>
    <w:rsid w:val="00F87CCC"/>
    <w:rsid w:val="00F87D2E"/>
    <w:rsid w:val="00F902DB"/>
    <w:rsid w:val="00F9170D"/>
    <w:rsid w:val="00F917B0"/>
    <w:rsid w:val="00F920C9"/>
    <w:rsid w:val="00F92734"/>
    <w:rsid w:val="00F935A7"/>
    <w:rsid w:val="00F93732"/>
    <w:rsid w:val="00F93824"/>
    <w:rsid w:val="00F93B52"/>
    <w:rsid w:val="00F93D18"/>
    <w:rsid w:val="00F93D8D"/>
    <w:rsid w:val="00F93F47"/>
    <w:rsid w:val="00F94368"/>
    <w:rsid w:val="00F945EB"/>
    <w:rsid w:val="00F9494C"/>
    <w:rsid w:val="00F94EC4"/>
    <w:rsid w:val="00F958D7"/>
    <w:rsid w:val="00F962C0"/>
    <w:rsid w:val="00F965D3"/>
    <w:rsid w:val="00F97A46"/>
    <w:rsid w:val="00F97A61"/>
    <w:rsid w:val="00FA014F"/>
    <w:rsid w:val="00FA0840"/>
    <w:rsid w:val="00FA15C8"/>
    <w:rsid w:val="00FA2D86"/>
    <w:rsid w:val="00FA348C"/>
    <w:rsid w:val="00FA39D5"/>
    <w:rsid w:val="00FA4F25"/>
    <w:rsid w:val="00FA6792"/>
    <w:rsid w:val="00FB045F"/>
    <w:rsid w:val="00FB061C"/>
    <w:rsid w:val="00FB0A85"/>
    <w:rsid w:val="00FB0AD8"/>
    <w:rsid w:val="00FB0C38"/>
    <w:rsid w:val="00FB12DE"/>
    <w:rsid w:val="00FB16A9"/>
    <w:rsid w:val="00FB20E7"/>
    <w:rsid w:val="00FB283A"/>
    <w:rsid w:val="00FB2AC3"/>
    <w:rsid w:val="00FB2E17"/>
    <w:rsid w:val="00FB2E47"/>
    <w:rsid w:val="00FB3802"/>
    <w:rsid w:val="00FB3842"/>
    <w:rsid w:val="00FB4C1F"/>
    <w:rsid w:val="00FB4D6C"/>
    <w:rsid w:val="00FB4DBB"/>
    <w:rsid w:val="00FB50C4"/>
    <w:rsid w:val="00FB5E1E"/>
    <w:rsid w:val="00FB5F97"/>
    <w:rsid w:val="00FB63BF"/>
    <w:rsid w:val="00FB64FC"/>
    <w:rsid w:val="00FB6975"/>
    <w:rsid w:val="00FB6C5B"/>
    <w:rsid w:val="00FB7155"/>
    <w:rsid w:val="00FB7337"/>
    <w:rsid w:val="00FB7622"/>
    <w:rsid w:val="00FC0290"/>
    <w:rsid w:val="00FC0BFA"/>
    <w:rsid w:val="00FC1D33"/>
    <w:rsid w:val="00FC1FFE"/>
    <w:rsid w:val="00FC2007"/>
    <w:rsid w:val="00FC244B"/>
    <w:rsid w:val="00FC28B1"/>
    <w:rsid w:val="00FC3557"/>
    <w:rsid w:val="00FC3A39"/>
    <w:rsid w:val="00FC3BED"/>
    <w:rsid w:val="00FC4157"/>
    <w:rsid w:val="00FC43D1"/>
    <w:rsid w:val="00FC45A5"/>
    <w:rsid w:val="00FC5374"/>
    <w:rsid w:val="00FC55D7"/>
    <w:rsid w:val="00FC59A2"/>
    <w:rsid w:val="00FC5E87"/>
    <w:rsid w:val="00FC5F69"/>
    <w:rsid w:val="00FC7740"/>
    <w:rsid w:val="00FD00AA"/>
    <w:rsid w:val="00FD0423"/>
    <w:rsid w:val="00FD05BA"/>
    <w:rsid w:val="00FD0C68"/>
    <w:rsid w:val="00FD2393"/>
    <w:rsid w:val="00FD73D4"/>
    <w:rsid w:val="00FD795A"/>
    <w:rsid w:val="00FD7DAB"/>
    <w:rsid w:val="00FE030E"/>
    <w:rsid w:val="00FE0C45"/>
    <w:rsid w:val="00FE0C87"/>
    <w:rsid w:val="00FE1326"/>
    <w:rsid w:val="00FE1AC3"/>
    <w:rsid w:val="00FE1EC3"/>
    <w:rsid w:val="00FE21B4"/>
    <w:rsid w:val="00FE24FF"/>
    <w:rsid w:val="00FE2C17"/>
    <w:rsid w:val="00FE3496"/>
    <w:rsid w:val="00FE3E6C"/>
    <w:rsid w:val="00FE3F7D"/>
    <w:rsid w:val="00FE434D"/>
    <w:rsid w:val="00FE47AE"/>
    <w:rsid w:val="00FE4B98"/>
    <w:rsid w:val="00FE4D0B"/>
    <w:rsid w:val="00FE5131"/>
    <w:rsid w:val="00FE522E"/>
    <w:rsid w:val="00FE5C60"/>
    <w:rsid w:val="00FE69B9"/>
    <w:rsid w:val="00FE6DFE"/>
    <w:rsid w:val="00FE71D5"/>
    <w:rsid w:val="00FE736A"/>
    <w:rsid w:val="00FE7FAF"/>
    <w:rsid w:val="00FF01D7"/>
    <w:rsid w:val="00FF0406"/>
    <w:rsid w:val="00FF050E"/>
    <w:rsid w:val="00FF072F"/>
    <w:rsid w:val="00FF0DA3"/>
    <w:rsid w:val="00FF1589"/>
    <w:rsid w:val="00FF1A4E"/>
    <w:rsid w:val="00FF1CBE"/>
    <w:rsid w:val="00FF2417"/>
    <w:rsid w:val="00FF35B8"/>
    <w:rsid w:val="00FF3733"/>
    <w:rsid w:val="00FF3FF2"/>
    <w:rsid w:val="00FF5373"/>
    <w:rsid w:val="00FF5442"/>
    <w:rsid w:val="00FF55B1"/>
    <w:rsid w:val="00FF6658"/>
    <w:rsid w:val="00FF6AC8"/>
    <w:rsid w:val="00FF7707"/>
    <w:rsid w:val="015DCBDE"/>
    <w:rsid w:val="0492E1D0"/>
    <w:rsid w:val="04D94670"/>
    <w:rsid w:val="06D6263F"/>
    <w:rsid w:val="07A5D257"/>
    <w:rsid w:val="08FCE932"/>
    <w:rsid w:val="09B8C5CE"/>
    <w:rsid w:val="0A10B95B"/>
    <w:rsid w:val="0CA3AE72"/>
    <w:rsid w:val="0EF0C227"/>
    <w:rsid w:val="12C73D44"/>
    <w:rsid w:val="14B5B397"/>
    <w:rsid w:val="151C2EAD"/>
    <w:rsid w:val="167753A5"/>
    <w:rsid w:val="17D12B19"/>
    <w:rsid w:val="185E73E9"/>
    <w:rsid w:val="192BC51F"/>
    <w:rsid w:val="19A9DF93"/>
    <w:rsid w:val="1A10DA79"/>
    <w:rsid w:val="1C573F00"/>
    <w:rsid w:val="1D9A49C1"/>
    <w:rsid w:val="1E726F59"/>
    <w:rsid w:val="1F780E8B"/>
    <w:rsid w:val="24F50054"/>
    <w:rsid w:val="2CFC9453"/>
    <w:rsid w:val="2E5F6E33"/>
    <w:rsid w:val="31AB8959"/>
    <w:rsid w:val="31BA9522"/>
    <w:rsid w:val="3278B2DC"/>
    <w:rsid w:val="36139C68"/>
    <w:rsid w:val="38C1A95B"/>
    <w:rsid w:val="3B394342"/>
    <w:rsid w:val="3EEEC718"/>
    <w:rsid w:val="4039A0DA"/>
    <w:rsid w:val="444D5A1E"/>
    <w:rsid w:val="459ADA8A"/>
    <w:rsid w:val="460D8C84"/>
    <w:rsid w:val="4917E216"/>
    <w:rsid w:val="49BC46E6"/>
    <w:rsid w:val="4A5A25DD"/>
    <w:rsid w:val="4E940D90"/>
    <w:rsid w:val="50274945"/>
    <w:rsid w:val="51082DF0"/>
    <w:rsid w:val="512A003F"/>
    <w:rsid w:val="5280316E"/>
    <w:rsid w:val="52EEDE6F"/>
    <w:rsid w:val="5526A0D3"/>
    <w:rsid w:val="56063397"/>
    <w:rsid w:val="56C27134"/>
    <w:rsid w:val="5990DEF1"/>
    <w:rsid w:val="5B17E92C"/>
    <w:rsid w:val="5B5760B0"/>
    <w:rsid w:val="5B788B4C"/>
    <w:rsid w:val="5BD05C0A"/>
    <w:rsid w:val="5CAB625C"/>
    <w:rsid w:val="5ED441AF"/>
    <w:rsid w:val="61D02D02"/>
    <w:rsid w:val="63365415"/>
    <w:rsid w:val="64D3380F"/>
    <w:rsid w:val="66AFCFA2"/>
    <w:rsid w:val="686B1713"/>
    <w:rsid w:val="6D757224"/>
    <w:rsid w:val="75D948AC"/>
    <w:rsid w:val="78394C23"/>
    <w:rsid w:val="7A707729"/>
    <w:rsid w:val="7CECBC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6EE95"/>
  <w15:docId w15:val="{F2EA768D-B637-4043-9F09-4EAA4C62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32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096325"/>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096325"/>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096325"/>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096325"/>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096325"/>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096325"/>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0963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096325"/>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096325"/>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096325"/>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096325"/>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096325"/>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096325"/>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096325"/>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096325"/>
    <w:pPr>
      <w:shd w:val="clear" w:color="auto" w:fill="000080"/>
    </w:pPr>
    <w:rPr>
      <w:rFonts w:ascii="Tahoma" w:hAnsi="Tahoma" w:cs="Tahoma"/>
      <w:szCs w:val="20"/>
    </w:rPr>
  </w:style>
  <w:style w:type="paragraph" w:styleId="Footer">
    <w:name w:val="footer"/>
    <w:basedOn w:val="Normal"/>
    <w:link w:val="FooterChar"/>
    <w:uiPriority w:val="99"/>
    <w:unhideWhenUsed/>
    <w:rsid w:val="0009632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096325"/>
    <w:rPr>
      <w:rFonts w:ascii="Work Sans" w:hAnsi="Work Sans"/>
      <w:sz w:val="20"/>
      <w:szCs w:val="20"/>
      <w:vertAlign w:val="superscript"/>
    </w:rPr>
  </w:style>
  <w:style w:type="paragraph" w:styleId="FootnoteText">
    <w:name w:val="footnote text"/>
    <w:basedOn w:val="Normal"/>
    <w:link w:val="FootnoteTextChar"/>
    <w:autoRedefine/>
    <w:qFormat/>
    <w:rsid w:val="00AE0922"/>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096325"/>
  </w:style>
  <w:style w:type="character" w:styleId="Hyperlink">
    <w:name w:val="Hyperlink"/>
    <w:basedOn w:val="DefaultParagraphFont"/>
    <w:uiPriority w:val="99"/>
    <w:unhideWhenUsed/>
    <w:qFormat/>
    <w:rsid w:val="00096325"/>
    <w:rPr>
      <w:color w:val="006991"/>
      <w:u w:val="single"/>
    </w:rPr>
  </w:style>
  <w:style w:type="character" w:styleId="PageNumber">
    <w:name w:val="page number"/>
    <w:basedOn w:val="DefaultParagraphFont"/>
    <w:rsid w:val="00096325"/>
  </w:style>
  <w:style w:type="paragraph" w:customStyle="1" w:styleId="Single">
    <w:name w:val="Single"/>
    <w:basedOn w:val="Normal"/>
    <w:next w:val="Normal"/>
    <w:rsid w:val="00096325"/>
    <w:pPr>
      <w:spacing w:line="240" w:lineRule="auto"/>
    </w:pPr>
  </w:style>
  <w:style w:type="table" w:styleId="TableGrid">
    <w:name w:val="Table Grid"/>
    <w:basedOn w:val="TableNormal"/>
    <w:uiPriority w:val="39"/>
    <w:rsid w:val="0009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096325"/>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096325"/>
    <w:pPr>
      <w:spacing w:before="120"/>
    </w:pPr>
    <w:rPr>
      <w:rFonts w:ascii="Work Sans" w:hAnsi="Work Sans"/>
      <w:b w:val="0"/>
    </w:rPr>
  </w:style>
  <w:style w:type="paragraph" w:styleId="TOC3">
    <w:name w:val="toc 3"/>
    <w:basedOn w:val="TOC2"/>
    <w:next w:val="Normal"/>
    <w:uiPriority w:val="39"/>
    <w:rsid w:val="00096325"/>
    <w:pPr>
      <w:ind w:left="397"/>
    </w:pPr>
    <w:rPr>
      <w:rFonts w:ascii="Open Sans Light" w:hAnsi="Open Sans Light"/>
      <w:iCs/>
    </w:rPr>
  </w:style>
  <w:style w:type="paragraph" w:styleId="TOC4">
    <w:name w:val="toc 4"/>
    <w:basedOn w:val="TOC3"/>
    <w:next w:val="Normal"/>
    <w:uiPriority w:val="39"/>
    <w:rsid w:val="00096325"/>
    <w:pPr>
      <w:ind w:left="680"/>
    </w:pPr>
    <w:rPr>
      <w:i/>
    </w:rPr>
  </w:style>
  <w:style w:type="paragraph" w:styleId="TOC5">
    <w:name w:val="toc 5"/>
    <w:basedOn w:val="TOC3"/>
    <w:next w:val="Normal"/>
    <w:uiPriority w:val="39"/>
    <w:rsid w:val="00096325"/>
    <w:pPr>
      <w:spacing w:before="0"/>
      <w:ind w:left="964"/>
    </w:pPr>
    <w:rPr>
      <w:szCs w:val="18"/>
    </w:rPr>
  </w:style>
  <w:style w:type="paragraph" w:styleId="TOC6">
    <w:name w:val="toc 6"/>
    <w:basedOn w:val="TOC5"/>
    <w:next w:val="Normal"/>
    <w:uiPriority w:val="39"/>
    <w:rsid w:val="00096325"/>
    <w:rPr>
      <w:i/>
    </w:rPr>
  </w:style>
  <w:style w:type="paragraph" w:styleId="TOC7">
    <w:name w:val="toc 7"/>
    <w:basedOn w:val="Normal"/>
    <w:next w:val="Normal"/>
    <w:rsid w:val="00096325"/>
    <w:pPr>
      <w:tabs>
        <w:tab w:val="clear" w:pos="567"/>
      </w:tabs>
      <w:ind w:left="1320"/>
    </w:pPr>
    <w:rPr>
      <w:sz w:val="18"/>
      <w:szCs w:val="18"/>
    </w:rPr>
  </w:style>
  <w:style w:type="paragraph" w:styleId="TOC8">
    <w:name w:val="toc 8"/>
    <w:basedOn w:val="Normal"/>
    <w:next w:val="Normal"/>
    <w:rsid w:val="00096325"/>
    <w:pPr>
      <w:tabs>
        <w:tab w:val="clear" w:pos="567"/>
      </w:tabs>
      <w:ind w:left="1540"/>
    </w:pPr>
    <w:rPr>
      <w:sz w:val="18"/>
      <w:szCs w:val="18"/>
    </w:rPr>
  </w:style>
  <w:style w:type="paragraph" w:styleId="TOC9">
    <w:name w:val="toc 9"/>
    <w:basedOn w:val="Normal"/>
    <w:next w:val="Normal"/>
    <w:rsid w:val="00096325"/>
    <w:pPr>
      <w:tabs>
        <w:tab w:val="clear" w:pos="567"/>
      </w:tabs>
      <w:ind w:left="1760"/>
    </w:pPr>
    <w:rPr>
      <w:sz w:val="18"/>
      <w:szCs w:val="18"/>
    </w:rPr>
  </w:style>
  <w:style w:type="character" w:customStyle="1" w:styleId="Heading1Char">
    <w:name w:val="Heading 1 Char"/>
    <w:basedOn w:val="DefaultParagraphFont"/>
    <w:link w:val="Heading1"/>
    <w:uiPriority w:val="9"/>
    <w:rsid w:val="00096325"/>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096325"/>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096325"/>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096325"/>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096325"/>
    <w:rPr>
      <w:rFonts w:ascii="Montserrat Semi Bold" w:eastAsiaTheme="majorEastAsia" w:hAnsi="Montserrat Semi Bold" w:cstheme="majorBidi"/>
      <w:color w:val="636466"/>
      <w:sz w:val="20"/>
    </w:rPr>
  </w:style>
  <w:style w:type="paragraph" w:styleId="NoSpacing">
    <w:name w:val="No Spacing"/>
    <w:link w:val="NoSpacingChar"/>
    <w:uiPriority w:val="1"/>
    <w:qFormat/>
    <w:rsid w:val="00096325"/>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096325"/>
    <w:rPr>
      <w:sz w:val="24"/>
    </w:rPr>
  </w:style>
  <w:style w:type="paragraph" w:styleId="ListParagraph">
    <w:name w:val="List Paragraph"/>
    <w:basedOn w:val="Normal"/>
    <w:link w:val="ListParagraphChar"/>
    <w:uiPriority w:val="34"/>
    <w:qFormat/>
    <w:rsid w:val="00096325"/>
    <w:pPr>
      <w:ind w:left="720"/>
      <w:contextualSpacing/>
    </w:pPr>
  </w:style>
  <w:style w:type="paragraph" w:styleId="TOCHeading">
    <w:name w:val="TOC Heading"/>
    <w:aliases w:val="CGC 2025 TOC Heading"/>
    <w:basedOn w:val="Heading1"/>
    <w:next w:val="Normal"/>
    <w:uiPriority w:val="39"/>
    <w:unhideWhenUsed/>
    <w:qFormat/>
    <w:rsid w:val="00096325"/>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096325"/>
    <w:rPr>
      <w:rFonts w:ascii="Montserrat Ultra Light" w:hAnsi="Montserrat Ultra Light"/>
      <w:b/>
      <w:color w:val="004563"/>
      <w:sz w:val="20"/>
    </w:rPr>
  </w:style>
  <w:style w:type="character" w:customStyle="1" w:styleId="HeaderChar">
    <w:name w:val="Header Char"/>
    <w:basedOn w:val="DefaultParagraphFont"/>
    <w:link w:val="Header"/>
    <w:uiPriority w:val="99"/>
    <w:rsid w:val="0009632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096325"/>
  </w:style>
  <w:style w:type="character" w:customStyle="1" w:styleId="CaptionChar">
    <w:name w:val="Caption Char"/>
    <w:basedOn w:val="DefaultParagraphFont"/>
    <w:link w:val="Caption"/>
    <w:rsid w:val="00096325"/>
    <w:rPr>
      <w:rFonts w:ascii="Montserrat Ultra Light" w:hAnsi="Montserrat Ultra Light"/>
      <w:b/>
      <w:bCs/>
      <w:sz w:val="20"/>
      <w:szCs w:val="20"/>
    </w:rPr>
  </w:style>
  <w:style w:type="character" w:customStyle="1" w:styleId="DataCaptionChar">
    <w:name w:val="Data Caption Char"/>
    <w:basedOn w:val="DefaultParagraphFont"/>
    <w:link w:val="CGCDataCaption"/>
    <w:rsid w:val="00096325"/>
    <w:rPr>
      <w:rFonts w:ascii="Open Sans Light" w:hAnsi="Open Sans Light"/>
      <w:sz w:val="20"/>
      <w:szCs w:val="24"/>
    </w:rPr>
  </w:style>
  <w:style w:type="character" w:customStyle="1" w:styleId="FootnoteTextChar">
    <w:name w:val="Footnote Text Char"/>
    <w:basedOn w:val="DefaultParagraphFont"/>
    <w:link w:val="FootnoteText"/>
    <w:rsid w:val="00AE0922"/>
    <w:rPr>
      <w:rFonts w:ascii="Work Sans" w:hAnsi="Work Sans"/>
      <w:sz w:val="14"/>
      <w:szCs w:val="16"/>
    </w:rPr>
  </w:style>
  <w:style w:type="character" w:customStyle="1" w:styleId="Heading6Char">
    <w:name w:val="Heading 6 Char"/>
    <w:basedOn w:val="DefaultParagraphFont"/>
    <w:link w:val="Heading6"/>
    <w:uiPriority w:val="9"/>
    <w:rsid w:val="00096325"/>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096325"/>
    <w:rPr>
      <w:rFonts w:asciiTheme="majorHAnsi" w:eastAsiaTheme="majorEastAsia" w:hAnsiTheme="majorHAnsi" w:cstheme="majorBidi"/>
      <w:i/>
      <w:iCs/>
      <w:color w:val="404040" w:themeColor="text1" w:themeTint="BF"/>
      <w:sz w:val="20"/>
    </w:rPr>
  </w:style>
  <w:style w:type="paragraph" w:customStyle="1" w:styleId="CGCParaNumber">
    <w:name w:val="CGC Para Number"/>
    <w:basedOn w:val="Normal"/>
    <w:qFormat/>
    <w:rsid w:val="00844270"/>
    <w:pPr>
      <w:numPr>
        <w:numId w:val="36"/>
      </w:numPr>
    </w:pPr>
    <w:rPr>
      <w:rFonts w:ascii="Work Sans" w:hAnsi="Work Sans"/>
      <w:szCs w:val="20"/>
    </w:rPr>
  </w:style>
  <w:style w:type="paragraph" w:customStyle="1" w:styleId="CGCBullet1">
    <w:name w:val="CGC Bullet 1"/>
    <w:basedOn w:val="Normal"/>
    <w:qFormat/>
    <w:rsid w:val="00D95072"/>
    <w:pPr>
      <w:ind w:left="927" w:hanging="360"/>
    </w:pPr>
    <w:rPr>
      <w:rFonts w:ascii="Work Sans" w:hAnsi="Work Sans"/>
      <w:szCs w:val="20"/>
    </w:rPr>
  </w:style>
  <w:style w:type="paragraph" w:customStyle="1" w:styleId="CGCBullet2">
    <w:name w:val="CGC Bullet 2"/>
    <w:basedOn w:val="Normal"/>
    <w:qFormat/>
    <w:rsid w:val="00096325"/>
    <w:pPr>
      <w:numPr>
        <w:numId w:val="5"/>
      </w:numPr>
    </w:pPr>
  </w:style>
  <w:style w:type="paragraph" w:customStyle="1" w:styleId="CGCBullet3">
    <w:name w:val="CGC Bullet 3"/>
    <w:basedOn w:val="Normal"/>
    <w:qFormat/>
    <w:rsid w:val="00096325"/>
    <w:pPr>
      <w:numPr>
        <w:numId w:val="7"/>
      </w:numPr>
      <w:ind w:left="1491" w:hanging="357"/>
    </w:pPr>
  </w:style>
  <w:style w:type="paragraph" w:customStyle="1" w:styleId="CGCQuoteText">
    <w:name w:val="CGC Quote Text"/>
    <w:basedOn w:val="Normal"/>
    <w:next w:val="Normal"/>
    <w:rsid w:val="00096325"/>
    <w:pPr>
      <w:spacing w:after="120"/>
      <w:ind w:left="1418" w:right="1134"/>
    </w:pPr>
  </w:style>
  <w:style w:type="paragraph" w:customStyle="1" w:styleId="CGCQuoteBullet">
    <w:name w:val="CGC Quote Bullet"/>
    <w:basedOn w:val="CGCQuoteText"/>
    <w:next w:val="Normal"/>
    <w:rsid w:val="00096325"/>
    <w:pPr>
      <w:numPr>
        <w:numId w:val="6"/>
      </w:numPr>
      <w:ind w:right="1418"/>
    </w:pPr>
  </w:style>
  <w:style w:type="paragraph" w:customStyle="1" w:styleId="CGCTablerow">
    <w:name w:val="CGC Table row"/>
    <w:basedOn w:val="Normal"/>
    <w:qFormat/>
    <w:rsid w:val="00096325"/>
    <w:pPr>
      <w:spacing w:before="0" w:line="240" w:lineRule="auto"/>
    </w:pPr>
    <w:rPr>
      <w:sz w:val="16"/>
    </w:rPr>
  </w:style>
  <w:style w:type="paragraph" w:customStyle="1" w:styleId="CGCTablenote">
    <w:name w:val="CGC Table note"/>
    <w:basedOn w:val="Normal"/>
    <w:next w:val="Normal"/>
    <w:link w:val="CGCTablenoteChar"/>
    <w:qFormat/>
    <w:rsid w:val="00096325"/>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096325"/>
    <w:rPr>
      <w:rFonts w:ascii="Montserrat Ultra Light" w:hAnsi="Montserrat Ultra Light"/>
      <w:b/>
      <w:sz w:val="20"/>
      <w:szCs w:val="20"/>
    </w:rPr>
  </w:style>
  <w:style w:type="paragraph" w:customStyle="1" w:styleId="TOCtitle">
    <w:name w:val="TOC title"/>
    <w:basedOn w:val="Normal"/>
    <w:next w:val="Normal"/>
    <w:rsid w:val="00096325"/>
    <w:rPr>
      <w:rFonts w:ascii="Montserrat Semi Bold" w:hAnsi="Montserrat Semi Bold"/>
      <w:color w:val="004563"/>
      <w:sz w:val="36"/>
      <w:lang w:val="en-US"/>
    </w:rPr>
  </w:style>
  <w:style w:type="character" w:styleId="CommentReference">
    <w:name w:val="annotation reference"/>
    <w:basedOn w:val="DefaultParagraphFont"/>
    <w:semiHidden/>
    <w:unhideWhenUsed/>
    <w:rsid w:val="00096325"/>
    <w:rPr>
      <w:sz w:val="16"/>
      <w:szCs w:val="16"/>
    </w:rPr>
  </w:style>
  <w:style w:type="paragraph" w:styleId="CommentText">
    <w:name w:val="annotation text"/>
    <w:basedOn w:val="Normal"/>
    <w:link w:val="CommentTextChar"/>
    <w:unhideWhenUsed/>
    <w:rsid w:val="00096325"/>
    <w:pPr>
      <w:spacing w:line="240" w:lineRule="auto"/>
    </w:pPr>
    <w:rPr>
      <w:szCs w:val="20"/>
    </w:rPr>
  </w:style>
  <w:style w:type="character" w:customStyle="1" w:styleId="CommentTextChar">
    <w:name w:val="Comment Text Char"/>
    <w:basedOn w:val="DefaultParagraphFont"/>
    <w:link w:val="CommentText"/>
    <w:rsid w:val="0009632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096325"/>
    <w:rPr>
      <w:b/>
      <w:bCs/>
    </w:rPr>
  </w:style>
  <w:style w:type="character" w:customStyle="1" w:styleId="CommentSubjectChar">
    <w:name w:val="Comment Subject Char"/>
    <w:basedOn w:val="CommentTextChar"/>
    <w:link w:val="CommentSubject"/>
    <w:semiHidden/>
    <w:rsid w:val="00096325"/>
    <w:rPr>
      <w:rFonts w:ascii="Open Sans Light" w:hAnsi="Open Sans Light"/>
      <w:b/>
      <w:bCs/>
      <w:sz w:val="20"/>
      <w:szCs w:val="20"/>
    </w:rPr>
  </w:style>
  <w:style w:type="paragraph" w:customStyle="1" w:styleId="CGCTablesubhead1">
    <w:name w:val="CGC Table subhead1"/>
    <w:basedOn w:val="Normal"/>
    <w:rsid w:val="00096325"/>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096325"/>
    <w:rPr>
      <w:color w:val="605E5C"/>
      <w:shd w:val="clear" w:color="auto" w:fill="E1DFDD"/>
    </w:rPr>
  </w:style>
  <w:style w:type="character" w:styleId="Mention">
    <w:name w:val="Mention"/>
    <w:basedOn w:val="DefaultParagraphFont"/>
    <w:uiPriority w:val="99"/>
    <w:unhideWhenUsed/>
    <w:rsid w:val="00096325"/>
    <w:rPr>
      <w:color w:val="2B579A"/>
      <w:shd w:val="clear" w:color="auto" w:fill="E1DFDD"/>
    </w:rPr>
  </w:style>
  <w:style w:type="paragraph" w:customStyle="1" w:styleId="CGCBodyPara">
    <w:name w:val="CGC Body Para"/>
    <w:basedOn w:val="CGCParaNumber"/>
    <w:rsid w:val="00FC59A2"/>
    <w:pPr>
      <w:numPr>
        <w:numId w:val="0"/>
      </w:numPr>
      <w:tabs>
        <w:tab w:val="clear" w:pos="567"/>
        <w:tab w:val="num" w:pos="927"/>
      </w:tabs>
      <w:ind w:left="567" w:right="-121" w:hanging="425"/>
    </w:pPr>
  </w:style>
  <w:style w:type="paragraph" w:styleId="Revision">
    <w:name w:val="Revision"/>
    <w:hidden/>
    <w:uiPriority w:val="99"/>
    <w:semiHidden/>
    <w:rsid w:val="00096325"/>
    <w:pPr>
      <w:spacing w:after="0" w:line="240" w:lineRule="auto"/>
    </w:pPr>
    <w:rPr>
      <w:rFonts w:ascii="Open Sans Light" w:hAnsi="Open Sans Light"/>
      <w:sz w:val="20"/>
    </w:rPr>
  </w:style>
  <w:style w:type="paragraph" w:styleId="BodyText">
    <w:name w:val="Body Text"/>
    <w:link w:val="BodyTextChar"/>
    <w:qFormat/>
    <w:rsid w:val="00FC59A2"/>
    <w:pPr>
      <w:spacing w:before="240" w:after="0" w:line="300" w:lineRule="atLeast"/>
      <w:jc w:val="both"/>
    </w:pPr>
    <w:rPr>
      <w:rFonts w:ascii="Open Sans Light" w:eastAsia="Times New Roman" w:hAnsi="Open Sans Light" w:cs="Times New Roman"/>
      <w:sz w:val="24"/>
      <w:szCs w:val="20"/>
      <w:lang w:eastAsia="en-AU"/>
    </w:rPr>
  </w:style>
  <w:style w:type="character" w:customStyle="1" w:styleId="BodyTextChar">
    <w:name w:val="Body Text Char"/>
    <w:basedOn w:val="DefaultParagraphFont"/>
    <w:link w:val="BodyText"/>
    <w:rsid w:val="00FC59A2"/>
    <w:rPr>
      <w:rFonts w:ascii="Open Sans Light" w:eastAsia="Times New Roman" w:hAnsi="Open Sans Light" w:cs="Times New Roman"/>
      <w:sz w:val="24"/>
      <w:szCs w:val="20"/>
      <w:lang w:eastAsia="en-AU"/>
    </w:rPr>
  </w:style>
  <w:style w:type="paragraph" w:styleId="Bibliography">
    <w:name w:val="Bibliography"/>
    <w:basedOn w:val="Normal"/>
    <w:next w:val="Normal"/>
    <w:uiPriority w:val="37"/>
    <w:unhideWhenUsed/>
    <w:rsid w:val="00FB50C4"/>
  </w:style>
  <w:style w:type="paragraph" w:customStyle="1" w:styleId="CGC2025Bullet1">
    <w:name w:val="CGC 2025 Bullet 1"/>
    <w:basedOn w:val="Normal"/>
    <w:qFormat/>
    <w:rsid w:val="00096325"/>
    <w:pPr>
      <w:numPr>
        <w:numId w:val="4"/>
      </w:numPr>
    </w:pPr>
    <w:rPr>
      <w:rFonts w:ascii="Work Sans" w:hAnsi="Work Sans"/>
      <w:szCs w:val="20"/>
    </w:rPr>
  </w:style>
  <w:style w:type="paragraph" w:customStyle="1" w:styleId="Bulletpoint">
    <w:name w:val="Bullet point"/>
    <w:basedOn w:val="ListParagraph"/>
    <w:link w:val="BulletpointChar"/>
    <w:qFormat/>
    <w:rsid w:val="00096325"/>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096325"/>
    <w:rPr>
      <w:rFonts w:ascii="Open Sans Light" w:hAnsi="Open Sans Light"/>
      <w:sz w:val="20"/>
    </w:rPr>
  </w:style>
  <w:style w:type="character" w:customStyle="1" w:styleId="BulletpointChar">
    <w:name w:val="Bullet point Char"/>
    <w:basedOn w:val="ListParagraphChar"/>
    <w:link w:val="Bulletpoint"/>
    <w:rsid w:val="00096325"/>
    <w:rPr>
      <w:rFonts w:ascii="Open Sans Light" w:hAnsi="Open Sans Light"/>
      <w:sz w:val="20"/>
    </w:rPr>
  </w:style>
  <w:style w:type="paragraph" w:customStyle="1" w:styleId="CGCBulletlist">
    <w:name w:val="CGC Bullet list"/>
    <w:aliases w:val="CGC List 1"/>
    <w:basedOn w:val="Normal"/>
    <w:link w:val="CGCBulletlistChar"/>
    <w:qFormat/>
    <w:rsid w:val="00096325"/>
    <w:pPr>
      <w:numPr>
        <w:numId w:val="10"/>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096325"/>
    <w:pPr>
      <w:numPr>
        <w:ilvl w:val="1"/>
        <w:numId w:val="11"/>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096325"/>
    <w:rPr>
      <w:sz w:val="24"/>
      <w:szCs w:val="20"/>
    </w:rPr>
  </w:style>
  <w:style w:type="character" w:customStyle="1" w:styleId="cf01">
    <w:name w:val="cf01"/>
    <w:basedOn w:val="DefaultParagraphFont"/>
    <w:rsid w:val="00096325"/>
    <w:rPr>
      <w:rFonts w:ascii="Segoe UI" w:hAnsi="Segoe UI" w:cs="Segoe UI" w:hint="default"/>
      <w:sz w:val="18"/>
      <w:szCs w:val="18"/>
    </w:rPr>
  </w:style>
  <w:style w:type="table" w:customStyle="1" w:styleId="TableGrid1">
    <w:name w:val="Table Grid1"/>
    <w:basedOn w:val="TableNormal"/>
    <w:next w:val="TableGrid"/>
    <w:uiPriority w:val="39"/>
    <w:rsid w:val="000963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96325"/>
    <w:rPr>
      <w:color w:val="800080" w:themeColor="followedHyperlink"/>
      <w:u w:val="single"/>
    </w:rPr>
  </w:style>
  <w:style w:type="paragraph" w:customStyle="1" w:styleId="CGC2025QuestionNumbers">
    <w:name w:val="CGC 2025 Question Numbers"/>
    <w:basedOn w:val="Normal"/>
    <w:qFormat/>
    <w:rsid w:val="00096325"/>
    <w:pPr>
      <w:numPr>
        <w:numId w:val="13"/>
      </w:numPr>
      <w:spacing w:after="120"/>
    </w:pPr>
    <w:rPr>
      <w:rFonts w:ascii="Work Sans" w:hAnsi="Work Sans" w:cs="Open Sans Light"/>
      <w:szCs w:val="20"/>
    </w:rPr>
  </w:style>
  <w:style w:type="numbering" w:customStyle="1" w:styleId="CGCConsultQuestion">
    <w:name w:val="CGC Consult Question"/>
    <w:basedOn w:val="NoList"/>
    <w:uiPriority w:val="99"/>
    <w:rsid w:val="00844270"/>
    <w:pPr>
      <w:numPr>
        <w:numId w:val="12"/>
      </w:numPr>
    </w:pPr>
  </w:style>
  <w:style w:type="paragraph" w:customStyle="1" w:styleId="CGC2025ParaNumbers">
    <w:name w:val="CGC 2025 Para Numbers"/>
    <w:basedOn w:val="CGCNumberedPara"/>
    <w:rsid w:val="00096325"/>
    <w:rPr>
      <w:rFonts w:ascii="Work Sans" w:hAnsi="Work Sans"/>
      <w:sz w:val="20"/>
    </w:rPr>
  </w:style>
  <w:style w:type="paragraph" w:customStyle="1" w:styleId="CGC2025Bullet2">
    <w:name w:val="CGC 2025 Bullet 2"/>
    <w:basedOn w:val="CGCBullet2"/>
    <w:rsid w:val="00096325"/>
    <w:rPr>
      <w:rFonts w:ascii="Work Sans" w:hAnsi="Work Sans"/>
    </w:rPr>
  </w:style>
  <w:style w:type="paragraph" w:customStyle="1" w:styleId="CGC2025Heading2AttachmentFollower">
    <w:name w:val="CGC 2025 Heading 2 Attachment Follower"/>
    <w:basedOn w:val="Heading2"/>
    <w:rsid w:val="00096325"/>
    <w:rPr>
      <w:b w:val="0"/>
      <w:bCs w:val="0"/>
    </w:rPr>
  </w:style>
  <w:style w:type="paragraph" w:customStyle="1" w:styleId="CGC2025Caption">
    <w:name w:val="CGC 2025 Caption"/>
    <w:basedOn w:val="Normal"/>
    <w:qFormat/>
    <w:rsid w:val="00096325"/>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096325"/>
    <w:pPr>
      <w:numPr>
        <w:numId w:val="14"/>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096325"/>
    <w:rPr>
      <w:rFonts w:ascii="Work Sans" w:hAnsi="Work Sans"/>
    </w:rPr>
  </w:style>
  <w:style w:type="character" w:customStyle="1" w:styleId="CGCTablenoteChar">
    <w:name w:val="CGC Table note Char"/>
    <w:basedOn w:val="DefaultParagraphFont"/>
    <w:link w:val="CGCTablenote"/>
    <w:rsid w:val="00096325"/>
    <w:rPr>
      <w:rFonts w:ascii="Open Sans Light" w:hAnsi="Open Sans Light"/>
      <w:sz w:val="14"/>
    </w:rPr>
  </w:style>
  <w:style w:type="character" w:customStyle="1" w:styleId="CGC2025TableNoteChar">
    <w:name w:val="CGC 2025 Table Note Char"/>
    <w:basedOn w:val="CGCTablenoteChar"/>
    <w:link w:val="CGC2025TableNote"/>
    <w:rsid w:val="00096325"/>
    <w:rPr>
      <w:rFonts w:ascii="Work Sans" w:hAnsi="Work San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5508187">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2699001">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1.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Carlton\Commonwealth%20Grants%20Commission\Communications%20-%20Office%20Templates\CGC%20Word%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AIH23</b:Tag>
    <b:SourceType>Report</b:SourceType>
    <b:Guid>{CE2FF386-3054-4B7B-844C-3864D7279C6D}</b:Guid>
    <b:Title>Diabetes: Australian Facts</b:Title>
    <b:Year>2023</b:Year>
    <b:City>Canberra</b:City>
    <b:Publisher>AIHW</b:Publisher>
    <b:Author>
      <b:Author>
        <b:Corporate>AIHW</b:Corporate>
      </b:Author>
    </b:Autho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Deborah Fleming</DisplayName>
        <AccountId>25</AccountId>
        <AccountType/>
      </UserInfo>
      <UserInfo>
        <DisplayName>Nigel Hartas</DisplayName>
        <AccountId>23</AccountId>
        <AccountType/>
      </UserInfo>
      <UserInfo>
        <DisplayName>Katrina Baldock</DisplayName>
        <AccountId>209</AccountId>
        <AccountType/>
      </UserInfo>
      <UserInfo>
        <DisplayName>Tim Carlton</DisplayName>
        <AccountId>16</AccountId>
        <AccountType/>
      </UserInfo>
    </SharedWithUsers>
    <lcf76f155ced4ddcb4097134ff3c332f xmlns="b947e97b-0e0d-4a37-b7a7-c36958e104ca">
      <Terms xmlns="http://schemas.microsoft.com/office/infopath/2007/PartnerControls"/>
    </lcf76f155ced4ddcb4097134ff3c332f>
    <TaxCatchAll xmlns="cde6150a-2887-4330-9d33-41179dba62e9" xsi:nil="true"/>
  </documentManagement>
</p:properties>
</file>

<file path=customXml/itemProps1.xml><?xml version="1.0" encoding="utf-8"?>
<ds:datastoreItem xmlns:ds="http://schemas.openxmlformats.org/officeDocument/2006/customXml" ds:itemID="{C6905482-A0B0-4C70-84EC-A97820CC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569FA730-6EA2-4491-B436-C48EA397F61A}">
  <ds:schemaRefs>
    <ds:schemaRef ds:uri="http://schemas.openxmlformats.org/officeDocument/2006/bibliography"/>
  </ds:schemaRefs>
</ds:datastoreItem>
</file>

<file path=customXml/itemProps4.xml><?xml version="1.0" encoding="utf-8"?>
<ds:datastoreItem xmlns:ds="http://schemas.openxmlformats.org/officeDocument/2006/customXml" ds:itemID="{ED2A4F8F-140F-4856-8B9E-31DCD427886D}">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b947e97b-0e0d-4a37-b7a7-c36958e104ca"/>
    <ds:schemaRef ds:uri="http://schemas.microsoft.com/office/2006/metadata/properties"/>
    <ds:schemaRef ds:uri="http://schemas.microsoft.com/office/infopath/2007/PartnerControls"/>
    <ds:schemaRef ds:uri="cde6150a-2887-4330-9d33-41179dba62e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Template>
  <TotalTime>367</TotalTime>
  <Pages>16</Pages>
  <Words>3480</Words>
  <Characters>20483</Characters>
  <Application>Microsoft Office Word</Application>
  <DocSecurity>0</DocSecurity>
  <Lines>170</Lines>
  <Paragraphs>47</Paragraphs>
  <ScaleCrop>false</ScaleCrop>
  <Company>Hewlett-Packard Company</Company>
  <LinksUpToDate>false</LinksUpToDate>
  <CharactersWithSpaces>23916</CharactersWithSpaces>
  <SharedDoc>false</SharedDoc>
  <HLinks>
    <vt:vector size="96" baseType="variant">
      <vt:variant>
        <vt:i4>1310780</vt:i4>
      </vt:variant>
      <vt:variant>
        <vt:i4>92</vt:i4>
      </vt:variant>
      <vt:variant>
        <vt:i4>0</vt:i4>
      </vt:variant>
      <vt:variant>
        <vt:i4>5</vt:i4>
      </vt:variant>
      <vt:variant>
        <vt:lpwstr/>
      </vt:variant>
      <vt:variant>
        <vt:lpwstr>_Toc138072229</vt:lpwstr>
      </vt:variant>
      <vt:variant>
        <vt:i4>1310780</vt:i4>
      </vt:variant>
      <vt:variant>
        <vt:i4>86</vt:i4>
      </vt:variant>
      <vt:variant>
        <vt:i4>0</vt:i4>
      </vt:variant>
      <vt:variant>
        <vt:i4>5</vt:i4>
      </vt:variant>
      <vt:variant>
        <vt:lpwstr/>
      </vt:variant>
      <vt:variant>
        <vt:lpwstr>_Toc138072228</vt:lpwstr>
      </vt:variant>
      <vt:variant>
        <vt:i4>1310780</vt:i4>
      </vt:variant>
      <vt:variant>
        <vt:i4>80</vt:i4>
      </vt:variant>
      <vt:variant>
        <vt:i4>0</vt:i4>
      </vt:variant>
      <vt:variant>
        <vt:i4>5</vt:i4>
      </vt:variant>
      <vt:variant>
        <vt:lpwstr/>
      </vt:variant>
      <vt:variant>
        <vt:lpwstr>_Toc138072227</vt:lpwstr>
      </vt:variant>
      <vt:variant>
        <vt:i4>1310780</vt:i4>
      </vt:variant>
      <vt:variant>
        <vt:i4>74</vt:i4>
      </vt:variant>
      <vt:variant>
        <vt:i4>0</vt:i4>
      </vt:variant>
      <vt:variant>
        <vt:i4>5</vt:i4>
      </vt:variant>
      <vt:variant>
        <vt:lpwstr/>
      </vt:variant>
      <vt:variant>
        <vt:lpwstr>_Toc138072226</vt:lpwstr>
      </vt:variant>
      <vt:variant>
        <vt:i4>1310780</vt:i4>
      </vt:variant>
      <vt:variant>
        <vt:i4>68</vt:i4>
      </vt:variant>
      <vt:variant>
        <vt:i4>0</vt:i4>
      </vt:variant>
      <vt:variant>
        <vt:i4>5</vt:i4>
      </vt:variant>
      <vt:variant>
        <vt:lpwstr/>
      </vt:variant>
      <vt:variant>
        <vt:lpwstr>_Toc138072225</vt:lpwstr>
      </vt:variant>
      <vt:variant>
        <vt:i4>1310780</vt:i4>
      </vt:variant>
      <vt:variant>
        <vt:i4>62</vt:i4>
      </vt:variant>
      <vt:variant>
        <vt:i4>0</vt:i4>
      </vt:variant>
      <vt:variant>
        <vt:i4>5</vt:i4>
      </vt:variant>
      <vt:variant>
        <vt:lpwstr/>
      </vt:variant>
      <vt:variant>
        <vt:lpwstr>_Toc138072224</vt:lpwstr>
      </vt:variant>
      <vt:variant>
        <vt:i4>1310780</vt:i4>
      </vt:variant>
      <vt:variant>
        <vt:i4>56</vt:i4>
      </vt:variant>
      <vt:variant>
        <vt:i4>0</vt:i4>
      </vt:variant>
      <vt:variant>
        <vt:i4>5</vt:i4>
      </vt:variant>
      <vt:variant>
        <vt:lpwstr/>
      </vt:variant>
      <vt:variant>
        <vt:lpwstr>_Toc138072223</vt:lpwstr>
      </vt:variant>
      <vt:variant>
        <vt:i4>1310780</vt:i4>
      </vt:variant>
      <vt:variant>
        <vt:i4>50</vt:i4>
      </vt:variant>
      <vt:variant>
        <vt:i4>0</vt:i4>
      </vt:variant>
      <vt:variant>
        <vt:i4>5</vt:i4>
      </vt:variant>
      <vt:variant>
        <vt:lpwstr/>
      </vt:variant>
      <vt:variant>
        <vt:lpwstr>_Toc138072222</vt:lpwstr>
      </vt:variant>
      <vt:variant>
        <vt:i4>1310780</vt:i4>
      </vt:variant>
      <vt:variant>
        <vt:i4>44</vt:i4>
      </vt:variant>
      <vt:variant>
        <vt:i4>0</vt:i4>
      </vt:variant>
      <vt:variant>
        <vt:i4>5</vt:i4>
      </vt:variant>
      <vt:variant>
        <vt:lpwstr/>
      </vt:variant>
      <vt:variant>
        <vt:lpwstr>_Toc138072221</vt:lpwstr>
      </vt:variant>
      <vt:variant>
        <vt:i4>1310780</vt:i4>
      </vt:variant>
      <vt:variant>
        <vt:i4>38</vt:i4>
      </vt:variant>
      <vt:variant>
        <vt:i4>0</vt:i4>
      </vt:variant>
      <vt:variant>
        <vt:i4>5</vt:i4>
      </vt:variant>
      <vt:variant>
        <vt:lpwstr/>
      </vt:variant>
      <vt:variant>
        <vt:lpwstr>_Toc138072220</vt:lpwstr>
      </vt:variant>
      <vt:variant>
        <vt:i4>1507388</vt:i4>
      </vt:variant>
      <vt:variant>
        <vt:i4>32</vt:i4>
      </vt:variant>
      <vt:variant>
        <vt:i4>0</vt:i4>
      </vt:variant>
      <vt:variant>
        <vt:i4>5</vt:i4>
      </vt:variant>
      <vt:variant>
        <vt:lpwstr/>
      </vt:variant>
      <vt:variant>
        <vt:lpwstr>_Toc138072219</vt:lpwstr>
      </vt:variant>
      <vt:variant>
        <vt:i4>1507388</vt:i4>
      </vt:variant>
      <vt:variant>
        <vt:i4>26</vt:i4>
      </vt:variant>
      <vt:variant>
        <vt:i4>0</vt:i4>
      </vt:variant>
      <vt:variant>
        <vt:i4>5</vt:i4>
      </vt:variant>
      <vt:variant>
        <vt:lpwstr/>
      </vt:variant>
      <vt:variant>
        <vt:lpwstr>_Toc138072218</vt:lpwstr>
      </vt:variant>
      <vt:variant>
        <vt:i4>1507388</vt:i4>
      </vt:variant>
      <vt:variant>
        <vt:i4>20</vt:i4>
      </vt:variant>
      <vt:variant>
        <vt:i4>0</vt:i4>
      </vt:variant>
      <vt:variant>
        <vt:i4>5</vt:i4>
      </vt:variant>
      <vt:variant>
        <vt:lpwstr/>
      </vt:variant>
      <vt:variant>
        <vt:lpwstr>_Toc138072217</vt:lpwstr>
      </vt:variant>
      <vt:variant>
        <vt:i4>1507388</vt:i4>
      </vt:variant>
      <vt:variant>
        <vt:i4>14</vt:i4>
      </vt:variant>
      <vt:variant>
        <vt:i4>0</vt:i4>
      </vt:variant>
      <vt:variant>
        <vt:i4>5</vt:i4>
      </vt:variant>
      <vt:variant>
        <vt:lpwstr/>
      </vt:variant>
      <vt:variant>
        <vt:lpwstr>_Toc138072216</vt:lpwstr>
      </vt:variant>
      <vt:variant>
        <vt:i4>1507388</vt:i4>
      </vt:variant>
      <vt:variant>
        <vt:i4>8</vt:i4>
      </vt:variant>
      <vt:variant>
        <vt:i4>0</vt:i4>
      </vt:variant>
      <vt:variant>
        <vt:i4>5</vt:i4>
      </vt:variant>
      <vt:variant>
        <vt:lpwstr/>
      </vt:variant>
      <vt:variant>
        <vt:lpwstr>_Toc138072215</vt:lpwstr>
      </vt:variant>
      <vt:variant>
        <vt:i4>1507388</vt:i4>
      </vt:variant>
      <vt:variant>
        <vt:i4>2</vt:i4>
      </vt:variant>
      <vt:variant>
        <vt:i4>0</vt:i4>
      </vt:variant>
      <vt:variant>
        <vt:i4>5</vt:i4>
      </vt:variant>
      <vt:variant>
        <vt:lpwstr/>
      </vt:variant>
      <vt:variant>
        <vt:lpwstr>_Toc138072214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Tim Carlton</dc:creator>
  <cp:keywords/>
  <cp:lastModifiedBy>Katrina Baldock</cp:lastModifiedBy>
  <cp:revision>341</cp:revision>
  <cp:lastPrinted>2021-08-11T10:01:00Z</cp:lastPrinted>
  <dcterms:created xsi:type="dcterms:W3CDTF">2023-05-19T10:33:00Z</dcterms:created>
  <dcterms:modified xsi:type="dcterms:W3CDTF">2023-06-20T02:10:00Z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86225500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