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76660" w14:textId="6A4F35D8" w:rsidR="00A5102B" w:rsidRPr="0040294B" w:rsidRDefault="00C76AAF" w:rsidP="00A5102B">
      <w:pPr>
        <w:rPr>
          <w:rFonts w:ascii="Work Sans" w:hAnsi="Work Sans"/>
          <w:sz w:val="24"/>
          <w:szCs w:val="24"/>
        </w:rPr>
      </w:pPr>
      <w:r>
        <w:rPr>
          <w:noProof/>
        </w:rPr>
        <w:drawing>
          <wp:anchor distT="0" distB="0" distL="114300" distR="114300" simplePos="0" relativeHeight="251658240" behindDoc="1" locked="0" layoutInCell="1" allowOverlap="1" wp14:anchorId="2326957D" wp14:editId="5368CBC6">
            <wp:simplePos x="0" y="0"/>
            <wp:positionH relativeFrom="margin">
              <wp:align>center</wp:align>
            </wp:positionH>
            <wp:positionV relativeFrom="paragraph">
              <wp:posOffset>-908698</wp:posOffset>
            </wp:positionV>
            <wp:extent cx="7725600" cy="10922400"/>
            <wp:effectExtent l="0" t="0" r="8890" b="0"/>
            <wp:wrapNone/>
            <wp:docPr id="9" name="Picture 9"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is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5600" cy="10922400"/>
                    </a:xfrm>
                    <a:prstGeom prst="rect">
                      <a:avLst/>
                    </a:prstGeom>
                  </pic:spPr>
                </pic:pic>
              </a:graphicData>
            </a:graphic>
            <wp14:sizeRelH relativeFrom="margin">
              <wp14:pctWidth>0</wp14:pctWidth>
            </wp14:sizeRelH>
            <wp14:sizeRelV relativeFrom="margin">
              <wp14:pctHeight>0</wp14:pctHeight>
            </wp14:sizeRelV>
          </wp:anchor>
        </w:drawing>
      </w:r>
      <w:r w:rsidR="00A5102B">
        <w:rPr>
          <w:noProof/>
        </w:rPr>
        <w:drawing>
          <wp:inline distT="0" distB="0" distL="0" distR="0" wp14:anchorId="778710B9" wp14:editId="583FA244">
            <wp:extent cx="2441749" cy="460926"/>
            <wp:effectExtent l="0" t="0" r="444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1749" cy="460926"/>
                    </a:xfrm>
                    <a:prstGeom prst="rect">
                      <a:avLst/>
                    </a:prstGeom>
                  </pic:spPr>
                </pic:pic>
              </a:graphicData>
            </a:graphic>
          </wp:inline>
        </w:drawing>
      </w:r>
    </w:p>
    <w:p w14:paraId="235F573B" w14:textId="18549160" w:rsidR="00A5102B" w:rsidRPr="00F0686F" w:rsidRDefault="00A5102B" w:rsidP="00A5102B">
      <w:pPr>
        <w:rPr>
          <w:rFonts w:ascii="Work Sans" w:hAnsi="Work Sans"/>
          <w:sz w:val="24"/>
          <w:szCs w:val="24"/>
        </w:rPr>
      </w:pPr>
    </w:p>
    <w:p w14:paraId="1BA22AB5" w14:textId="0851CD77" w:rsidR="00A5102B" w:rsidRPr="00F0686F" w:rsidRDefault="00A5102B" w:rsidP="00A5102B">
      <w:pPr>
        <w:rPr>
          <w:rFonts w:ascii="Work Sans" w:hAnsi="Work Sans"/>
          <w:sz w:val="24"/>
          <w:szCs w:val="24"/>
        </w:rPr>
      </w:pPr>
    </w:p>
    <w:p w14:paraId="374D250A" w14:textId="653C00DC" w:rsidR="00A5102B" w:rsidRDefault="00A5102B" w:rsidP="004477FF">
      <w:pPr>
        <w:pStyle w:val="CGCNumberedPara"/>
        <w:numPr>
          <w:ilvl w:val="0"/>
          <w:numId w:val="0"/>
        </w:numPr>
        <w:ind w:left="567" w:hanging="567"/>
      </w:pPr>
    </w:p>
    <w:p w14:paraId="269F61E6" w14:textId="1710E8D3" w:rsidR="00246686" w:rsidRDefault="00246686" w:rsidP="00AB13AF">
      <w:pPr>
        <w:tabs>
          <w:tab w:val="clear" w:pos="567"/>
          <w:tab w:val="left" w:pos="2515"/>
        </w:tabs>
        <w:rPr>
          <w:rFonts w:ascii="Work Sans" w:hAnsi="Work Sans"/>
          <w:sz w:val="24"/>
          <w:szCs w:val="24"/>
        </w:rPr>
      </w:pPr>
    </w:p>
    <w:p w14:paraId="064369F7" w14:textId="2CD50AD4" w:rsidR="00F2521E" w:rsidRPr="00F2521E" w:rsidRDefault="000D01AA" w:rsidP="004E10E4">
      <w:pPr>
        <w:rPr>
          <w:rFonts w:ascii="Work Sans" w:hAnsi="Work Sans"/>
          <w:sz w:val="24"/>
          <w:szCs w:val="24"/>
        </w:rPr>
      </w:pPr>
      <w:r w:rsidRPr="00962EFF">
        <w:rPr>
          <w:noProof/>
        </w:rPr>
        <mc:AlternateContent>
          <mc:Choice Requires="wps">
            <w:drawing>
              <wp:anchor distT="0" distB="0" distL="114300" distR="114300" simplePos="0" relativeHeight="251658242" behindDoc="0" locked="0" layoutInCell="1" allowOverlap="1" wp14:anchorId="2A12564A" wp14:editId="19A38971">
                <wp:simplePos x="0" y="0"/>
                <wp:positionH relativeFrom="margin">
                  <wp:posOffset>0</wp:posOffset>
                </wp:positionH>
                <wp:positionV relativeFrom="page">
                  <wp:posOffset>2618513</wp:posOffset>
                </wp:positionV>
                <wp:extent cx="6000750" cy="776975"/>
                <wp:effectExtent l="0" t="0" r="0" b="4445"/>
                <wp:wrapNone/>
                <wp:docPr id="31" name="Text Box 31"/>
                <wp:cNvGraphicFramePr/>
                <a:graphic xmlns:a="http://schemas.openxmlformats.org/drawingml/2006/main">
                  <a:graphicData uri="http://schemas.microsoft.com/office/word/2010/wordprocessingShape">
                    <wps:wsp>
                      <wps:cNvSpPr txBox="1"/>
                      <wps:spPr>
                        <a:xfrm>
                          <a:off x="0" y="0"/>
                          <a:ext cx="6000750" cy="776975"/>
                        </a:xfrm>
                        <a:prstGeom prst="rect">
                          <a:avLst/>
                        </a:prstGeom>
                        <a:noFill/>
                        <a:ln w="6350">
                          <a:noFill/>
                        </a:ln>
                      </wps:spPr>
                      <wps:txbx>
                        <w:txbxContent>
                          <w:p w14:paraId="41C4D45C" w14:textId="77777777" w:rsidR="00F8399B" w:rsidRPr="00F656E3" w:rsidRDefault="00F8399B" w:rsidP="000D01AA">
                            <w:pPr>
                              <w:jc w:val="center"/>
                              <w:rPr>
                                <w:rFonts w:ascii="Work Sans" w:hAnsi="Work Sans" w:cs="Open Sans"/>
                                <w:b/>
                                <w:color w:val="FFFFFF"/>
                                <w:sz w:val="56"/>
                                <w:szCs w:val="56"/>
                              </w:rPr>
                            </w:pPr>
                            <w:r w:rsidRPr="00F656E3">
                              <w:rPr>
                                <w:rFonts w:ascii="Work Sans" w:hAnsi="Work Sans" w:cs="Open Sans"/>
                                <w:b/>
                                <w:color w:val="FFFFFF"/>
                                <w:sz w:val="56"/>
                                <w:szCs w:val="56"/>
                              </w:rPr>
                              <w:t xml:space="preserve">2025 </w:t>
                            </w:r>
                            <w:r w:rsidRPr="00F656E3">
                              <w:rPr>
                                <w:rFonts w:ascii="Work Sans" w:hAnsi="Work Sans" w:cs="Open Sans"/>
                                <w:b/>
                                <w:bCs/>
                                <w:color w:val="FFFFFF"/>
                                <w:sz w:val="56"/>
                                <w:szCs w:val="56"/>
                              </w:rPr>
                              <w:t xml:space="preserve">Methodology </w:t>
                            </w:r>
                            <w:r w:rsidRPr="00F656E3">
                              <w:rPr>
                                <w:rFonts w:ascii="Work Sans" w:hAnsi="Work Sans" w:cs="Open Sans"/>
                                <w:b/>
                                <w:color w:val="FFFFFF"/>
                                <w:sz w:val="56"/>
                                <w:szCs w:val="56"/>
                              </w:rPr>
                              <w:t>Review</w:t>
                            </w:r>
                          </w:p>
                          <w:p w14:paraId="3713A6AA" w14:textId="77777777" w:rsidR="00F8399B" w:rsidRPr="00EB24B1" w:rsidRDefault="00F8399B" w:rsidP="000D01AA">
                            <w:pPr>
                              <w:jc w:val="center"/>
                              <w:rPr>
                                <w:rFonts w:cs="Open Sans"/>
                                <w:color w:val="FFFFFF"/>
                                <w:sz w:val="48"/>
                                <w:szCs w:val="48"/>
                              </w:rPr>
                            </w:pPr>
                            <w:r>
                              <w:rPr>
                                <w:rFonts w:cs="Open Sans"/>
                                <w:color w:val="FFFFFF"/>
                                <w:sz w:val="48"/>
                                <w:szCs w:val="4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2564A" id="_x0000_t202" coordsize="21600,21600" o:spt="202" path="m,l,21600r21600,l21600,xe">
                <v:stroke joinstyle="miter"/>
                <v:path gradientshapeok="t" o:connecttype="rect"/>
              </v:shapetype>
              <v:shape id="Text Box 31" o:spid="_x0000_s1026" type="#_x0000_t202" style="position:absolute;margin-left:0;margin-top:206.2pt;width:472.5pt;height:61.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" filled="f" stroked="f" strokeweight=".5pt">
                <v:textbox>
                  <w:txbxContent>
                    <w:p w14:paraId="41C4D45C" w14:textId="77777777" w:rsidR="00F8399B" w:rsidRPr="00F656E3" w:rsidRDefault="00F8399B" w:rsidP="000D01AA">
                      <w:pPr>
                        <w:jc w:val="center"/>
                        <w:rPr>
                          <w:rFonts w:ascii="Work Sans" w:hAnsi="Work Sans" w:cs="Open Sans"/>
                          <w:b/>
                          <w:color w:val="FFFFFF"/>
                          <w:sz w:val="56"/>
                          <w:szCs w:val="56"/>
                        </w:rPr>
                      </w:pPr>
                      <w:r w:rsidRPr="00F656E3">
                        <w:rPr>
                          <w:rFonts w:ascii="Work Sans" w:hAnsi="Work Sans" w:cs="Open Sans"/>
                          <w:b/>
                          <w:color w:val="FFFFFF"/>
                          <w:sz w:val="56"/>
                          <w:szCs w:val="56"/>
                        </w:rPr>
                        <w:t xml:space="preserve">2025 </w:t>
                      </w:r>
                      <w:r w:rsidRPr="00F656E3">
                        <w:rPr>
                          <w:rFonts w:ascii="Work Sans" w:hAnsi="Work Sans" w:cs="Open Sans"/>
                          <w:b/>
                          <w:bCs/>
                          <w:color w:val="FFFFFF"/>
                          <w:sz w:val="56"/>
                          <w:szCs w:val="56"/>
                        </w:rPr>
                        <w:t xml:space="preserve">Methodology </w:t>
                      </w:r>
                      <w:r w:rsidRPr="00F656E3">
                        <w:rPr>
                          <w:rFonts w:ascii="Work Sans" w:hAnsi="Work Sans" w:cs="Open Sans"/>
                          <w:b/>
                          <w:color w:val="FFFFFF"/>
                          <w:sz w:val="56"/>
                          <w:szCs w:val="56"/>
                        </w:rPr>
                        <w:t>Review</w:t>
                      </w:r>
                    </w:p>
                    <w:p w14:paraId="3713A6AA" w14:textId="77777777" w:rsidR="00F8399B" w:rsidRPr="00EB24B1" w:rsidRDefault="00F8399B" w:rsidP="000D01AA">
                      <w:pPr>
                        <w:jc w:val="center"/>
                        <w:rPr>
                          <w:rFonts w:cs="Open Sans"/>
                          <w:color w:val="FFFFFF"/>
                          <w:sz w:val="48"/>
                          <w:szCs w:val="48"/>
                        </w:rPr>
                      </w:pPr>
                      <w:r>
                        <w:rPr>
                          <w:rFonts w:cs="Open Sans"/>
                          <w:color w:val="FFFFFF"/>
                          <w:sz w:val="48"/>
                          <w:szCs w:val="48"/>
                        </w:rPr>
                        <w:br/>
                      </w:r>
                    </w:p>
                  </w:txbxContent>
                </v:textbox>
                <w10:wrap anchorx="margin" anchory="page"/>
              </v:shape>
            </w:pict>
          </mc:Fallback>
        </mc:AlternateContent>
      </w:r>
    </w:p>
    <w:p w14:paraId="1ECBD88A" w14:textId="0E6D6E7B" w:rsidR="00A5102B" w:rsidRPr="00F0686F" w:rsidRDefault="00A5102B" w:rsidP="00545F2D">
      <w:pPr>
        <w:rPr>
          <w:rFonts w:ascii="Work Sans" w:hAnsi="Work Sans"/>
          <w:sz w:val="24"/>
          <w:szCs w:val="24"/>
        </w:rPr>
      </w:pPr>
    </w:p>
    <w:p w14:paraId="0D3EE3BA" w14:textId="07CDAAA3" w:rsidR="00A5102B" w:rsidRDefault="00A5102B" w:rsidP="00A5102B">
      <w:pPr>
        <w:rPr>
          <w:rFonts w:ascii="Work Sans" w:hAnsi="Work Sans"/>
          <w:sz w:val="24"/>
          <w:szCs w:val="24"/>
        </w:rPr>
      </w:pPr>
    </w:p>
    <w:p w14:paraId="40B315E3" w14:textId="4E4D0A70" w:rsidR="00A5102B" w:rsidRDefault="00A5102B" w:rsidP="00A5102B">
      <w:pPr>
        <w:rPr>
          <w:rFonts w:ascii="Work Sans" w:hAnsi="Work Sans"/>
          <w:sz w:val="24"/>
          <w:szCs w:val="24"/>
        </w:rPr>
      </w:pPr>
    </w:p>
    <w:p w14:paraId="315B6B99" w14:textId="5526D785" w:rsidR="00A5102B" w:rsidRDefault="00A5102B" w:rsidP="00A5102B">
      <w:pPr>
        <w:rPr>
          <w:rFonts w:ascii="Work Sans" w:hAnsi="Work Sans"/>
          <w:sz w:val="24"/>
          <w:szCs w:val="24"/>
        </w:rPr>
      </w:pPr>
    </w:p>
    <w:p w14:paraId="5A834DDF" w14:textId="104375ED" w:rsidR="00A5102B" w:rsidRDefault="00A5102B" w:rsidP="00A5102B">
      <w:pPr>
        <w:rPr>
          <w:rFonts w:ascii="Work Sans" w:hAnsi="Work Sans"/>
          <w:sz w:val="24"/>
          <w:szCs w:val="24"/>
        </w:rPr>
      </w:pPr>
    </w:p>
    <w:p w14:paraId="7A4F42CB" w14:textId="007B85F7" w:rsidR="00A5102B" w:rsidRDefault="00E062B6" w:rsidP="00A5102B">
      <w:pPr>
        <w:rPr>
          <w:rFonts w:ascii="Work Sans" w:hAnsi="Work Sans"/>
          <w:sz w:val="24"/>
          <w:szCs w:val="24"/>
        </w:rPr>
      </w:pPr>
      <w:r w:rsidRPr="00962EFF">
        <w:rPr>
          <w:noProof/>
        </w:rPr>
        <mc:AlternateContent>
          <mc:Choice Requires="wps">
            <w:drawing>
              <wp:anchor distT="0" distB="0" distL="114300" distR="114300" simplePos="0" relativeHeight="251658241" behindDoc="0" locked="0" layoutInCell="1" allowOverlap="1" wp14:anchorId="7AFE5877" wp14:editId="28304550">
                <wp:simplePos x="0" y="0"/>
                <wp:positionH relativeFrom="margin">
                  <wp:posOffset>0</wp:posOffset>
                </wp:positionH>
                <wp:positionV relativeFrom="page">
                  <wp:posOffset>4203043</wp:posOffset>
                </wp:positionV>
                <wp:extent cx="6000750" cy="1971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000750" cy="1971040"/>
                        </a:xfrm>
                        <a:prstGeom prst="rect">
                          <a:avLst/>
                        </a:prstGeom>
                        <a:noFill/>
                        <a:ln w="6350">
                          <a:noFill/>
                        </a:ln>
                      </wps:spPr>
                      <wps:txbx>
                        <w:txbxContent>
                          <w:p w14:paraId="22E476B0" w14:textId="7D3E50FE" w:rsidR="0036633A" w:rsidRPr="0036633A" w:rsidRDefault="00C530D5" w:rsidP="0036633A">
                            <w:pPr>
                              <w:jc w:val="center"/>
                              <w:rPr>
                                <w:rFonts w:ascii="Work Sans" w:hAnsi="Work Sans" w:cs="Open Sans"/>
                                <w:color w:val="FFFFFF"/>
                                <w:sz w:val="52"/>
                                <w:szCs w:val="56"/>
                              </w:rPr>
                            </w:pPr>
                            <w:r>
                              <w:rPr>
                                <w:rFonts w:ascii="Work Sans" w:hAnsi="Work Sans" w:cs="Open Sans"/>
                                <w:color w:val="FFFFFF"/>
                                <w:sz w:val="52"/>
                                <w:szCs w:val="56"/>
                              </w:rPr>
                              <w:t>Wage costs</w:t>
                            </w:r>
                            <w:r w:rsidR="00097D78" w:rsidRPr="00545F2D">
                              <w:rPr>
                                <w:rFonts w:ascii="Work Sans" w:hAnsi="Work Sans" w:cs="Open Sans"/>
                                <w:color w:val="FFFFFF"/>
                                <w:sz w:val="52"/>
                                <w:szCs w:val="56"/>
                              </w:rPr>
                              <w:t xml:space="preserve"> consultation</w:t>
                            </w:r>
                            <w:r w:rsidR="00A358C4">
                              <w:rPr>
                                <w:rFonts w:ascii="Work Sans" w:hAnsi="Work Sans" w:cs="Open Sans"/>
                                <w:color w:val="FFFFFF"/>
                                <w:sz w:val="52"/>
                                <w:szCs w:val="56"/>
                              </w:rPr>
                              <w:t xml:space="preserve"> </w:t>
                            </w:r>
                            <w:r w:rsidR="00097D78" w:rsidRPr="00545F2D">
                              <w:rPr>
                                <w:rFonts w:ascii="Work Sans" w:hAnsi="Work Sans" w:cs="Open Sans"/>
                                <w:color w:val="FFFFFF"/>
                                <w:sz w:val="52"/>
                                <w:szCs w:val="56"/>
                              </w:rPr>
                              <w:t>pape</w:t>
                            </w:r>
                            <w:r w:rsidR="00B30E90">
                              <w:rPr>
                                <w:rFonts w:ascii="Work Sans" w:hAnsi="Work Sans" w:cs="Open Sans"/>
                                <w:color w:val="FFFFFF"/>
                                <w:sz w:val="52"/>
                                <w:szCs w:val="56"/>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E5877" id="Text Box 29" o:spid="_x0000_s1027" type="#_x0000_t202" style="position:absolute;margin-left:0;margin-top:330.95pt;width:472.5pt;height:155.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" filled="f" stroked="f" strokeweight=".5pt">
                <v:textbox>
                  <w:txbxContent>
                    <w:p w14:paraId="22E476B0" w14:textId="7D3E50FE" w:rsidR="0036633A" w:rsidRPr="0036633A" w:rsidRDefault="00C530D5" w:rsidP="0036633A">
                      <w:pPr>
                        <w:jc w:val="center"/>
                        <w:rPr>
                          <w:rFonts w:ascii="Work Sans" w:hAnsi="Work Sans" w:cs="Open Sans"/>
                          <w:color w:val="FFFFFF"/>
                          <w:sz w:val="52"/>
                          <w:szCs w:val="56"/>
                        </w:rPr>
                      </w:pPr>
                      <w:r>
                        <w:rPr>
                          <w:rFonts w:ascii="Work Sans" w:hAnsi="Work Sans" w:cs="Open Sans"/>
                          <w:color w:val="FFFFFF"/>
                          <w:sz w:val="52"/>
                          <w:szCs w:val="56"/>
                        </w:rPr>
                        <w:t>Wage costs</w:t>
                      </w:r>
                      <w:r w:rsidR="00097D78" w:rsidRPr="00545F2D">
                        <w:rPr>
                          <w:rFonts w:ascii="Work Sans" w:hAnsi="Work Sans" w:cs="Open Sans"/>
                          <w:color w:val="FFFFFF"/>
                          <w:sz w:val="52"/>
                          <w:szCs w:val="56"/>
                        </w:rPr>
                        <w:t xml:space="preserve"> consultation</w:t>
                      </w:r>
                      <w:r w:rsidR="00A358C4">
                        <w:rPr>
                          <w:rFonts w:ascii="Work Sans" w:hAnsi="Work Sans" w:cs="Open Sans"/>
                          <w:color w:val="FFFFFF"/>
                          <w:sz w:val="52"/>
                          <w:szCs w:val="56"/>
                        </w:rPr>
                        <w:t xml:space="preserve"> </w:t>
                      </w:r>
                      <w:r w:rsidR="00097D78" w:rsidRPr="00545F2D">
                        <w:rPr>
                          <w:rFonts w:ascii="Work Sans" w:hAnsi="Work Sans" w:cs="Open Sans"/>
                          <w:color w:val="FFFFFF"/>
                          <w:sz w:val="52"/>
                          <w:szCs w:val="56"/>
                        </w:rPr>
                        <w:t>pape</w:t>
                      </w:r>
                      <w:r w:rsidR="00B30E90">
                        <w:rPr>
                          <w:rFonts w:ascii="Work Sans" w:hAnsi="Work Sans" w:cs="Open Sans"/>
                          <w:color w:val="FFFFFF"/>
                          <w:sz w:val="52"/>
                          <w:szCs w:val="56"/>
                        </w:rPr>
                        <w:t>r</w:t>
                      </w:r>
                    </w:p>
                  </w:txbxContent>
                </v:textbox>
                <w10:wrap anchorx="margin" anchory="page"/>
              </v:shape>
            </w:pict>
          </mc:Fallback>
        </mc:AlternateContent>
      </w:r>
    </w:p>
    <w:p w14:paraId="4DC25D55" w14:textId="7189B55F" w:rsidR="00A5102B" w:rsidRDefault="00A5102B" w:rsidP="002A45B1">
      <w:pPr>
        <w:jc w:val="center"/>
        <w:rPr>
          <w:rFonts w:ascii="Work Sans" w:hAnsi="Work Sans"/>
          <w:sz w:val="24"/>
          <w:szCs w:val="24"/>
        </w:rPr>
      </w:pPr>
    </w:p>
    <w:p w14:paraId="64CDD92E" w14:textId="12B56322" w:rsidR="00A5102B" w:rsidRDefault="00A5102B" w:rsidP="00704788">
      <w:pPr>
        <w:rPr>
          <w:rFonts w:ascii="Work Sans" w:hAnsi="Work Sans" w:cs="Open Sans"/>
          <w:color w:val="FFFFFF"/>
          <w:sz w:val="28"/>
          <w:szCs w:val="28"/>
        </w:rPr>
      </w:pPr>
    </w:p>
    <w:p w14:paraId="7E59A079" w14:textId="7903B41B" w:rsidR="00704788" w:rsidRDefault="00704788" w:rsidP="00704788">
      <w:pPr>
        <w:rPr>
          <w:rFonts w:ascii="Work Sans" w:hAnsi="Work Sans" w:cs="Open Sans"/>
          <w:color w:val="FFFFFF"/>
          <w:sz w:val="28"/>
          <w:szCs w:val="28"/>
        </w:rPr>
      </w:pPr>
    </w:p>
    <w:p w14:paraId="55A4BCC7" w14:textId="107DB04E" w:rsidR="00704788" w:rsidRDefault="00704788" w:rsidP="00704788">
      <w:pPr>
        <w:rPr>
          <w:rFonts w:ascii="Work Sans" w:hAnsi="Work Sans" w:cs="Open Sans"/>
          <w:color w:val="FFFFFF"/>
          <w:sz w:val="28"/>
          <w:szCs w:val="28"/>
        </w:rPr>
      </w:pPr>
    </w:p>
    <w:p w14:paraId="736B7D6C" w14:textId="77777777" w:rsidR="00704788" w:rsidRDefault="00704788" w:rsidP="00704788">
      <w:pPr>
        <w:rPr>
          <w:rFonts w:ascii="Work Sans" w:hAnsi="Work Sans" w:cs="Open Sans"/>
          <w:color w:val="FFFFFF"/>
          <w:sz w:val="28"/>
          <w:szCs w:val="28"/>
        </w:rPr>
      </w:pPr>
    </w:p>
    <w:p w14:paraId="05014DA7" w14:textId="406BB4F7" w:rsidR="00704788" w:rsidRDefault="00704788" w:rsidP="00704788">
      <w:pPr>
        <w:rPr>
          <w:rFonts w:ascii="Work Sans" w:hAnsi="Work Sans" w:cs="Open Sans"/>
          <w:color w:val="FFFFFF"/>
          <w:sz w:val="28"/>
          <w:szCs w:val="28"/>
        </w:rPr>
      </w:pPr>
    </w:p>
    <w:p w14:paraId="66477ADF" w14:textId="25FF837F" w:rsidR="00704788" w:rsidRDefault="00704788" w:rsidP="00704788">
      <w:pPr>
        <w:rPr>
          <w:rFonts w:ascii="Work Sans" w:hAnsi="Work Sans" w:cs="Open Sans"/>
          <w:color w:val="FFFFFF"/>
          <w:sz w:val="28"/>
          <w:szCs w:val="28"/>
        </w:rPr>
      </w:pPr>
    </w:p>
    <w:p w14:paraId="77697FA2" w14:textId="7BD18D29" w:rsidR="00704788" w:rsidRDefault="00BA4C59" w:rsidP="00E062B6">
      <w:pPr>
        <w:jc w:val="center"/>
        <w:rPr>
          <w:rFonts w:ascii="Work Sans" w:hAnsi="Work Sans" w:cs="Open Sans"/>
          <w:color w:val="FFFFFF"/>
          <w:sz w:val="28"/>
          <w:szCs w:val="28"/>
        </w:rPr>
      </w:pPr>
      <w:r w:rsidRPr="00962EFF">
        <w:rPr>
          <w:noProof/>
        </w:rPr>
        <mc:AlternateContent>
          <mc:Choice Requires="wps">
            <w:drawing>
              <wp:anchor distT="0" distB="0" distL="114300" distR="114300" simplePos="0" relativeHeight="251658243" behindDoc="0" locked="0" layoutInCell="1" allowOverlap="1" wp14:anchorId="17E2D963" wp14:editId="31215B1A">
                <wp:simplePos x="0" y="0"/>
                <wp:positionH relativeFrom="margin">
                  <wp:align>center</wp:align>
                </wp:positionH>
                <wp:positionV relativeFrom="page">
                  <wp:posOffset>6528021</wp:posOffset>
                </wp:positionV>
                <wp:extent cx="1704975" cy="43878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704975" cy="438785"/>
                        </a:xfrm>
                        <a:prstGeom prst="rect">
                          <a:avLst/>
                        </a:prstGeom>
                        <a:noFill/>
                        <a:ln w="6350">
                          <a:noFill/>
                        </a:ln>
                      </wps:spPr>
                      <wps:txbx>
                        <w:txbxContent>
                          <w:p w14:paraId="548B99E5" w14:textId="547CC518" w:rsidR="00BA4C59" w:rsidRPr="00BA4C59" w:rsidRDefault="00C530D5" w:rsidP="00BA4C59">
                            <w:pPr>
                              <w:jc w:val="center"/>
                              <w:rPr>
                                <w:rFonts w:ascii="Work Sans" w:hAnsi="Work Sans" w:cs="Open Sans"/>
                                <w:color w:val="FFFFFF"/>
                                <w:sz w:val="28"/>
                                <w:szCs w:val="28"/>
                              </w:rPr>
                            </w:pPr>
                            <w:r>
                              <w:rPr>
                                <w:rFonts w:ascii="Work Sans" w:hAnsi="Work Sans" w:cs="Open Sans"/>
                                <w:color w:val="FFFFFF"/>
                                <w:sz w:val="28"/>
                                <w:szCs w:val="28"/>
                              </w:rPr>
                              <w:t xml:space="preserve">June </w:t>
                            </w:r>
                            <w:r w:rsidR="00BA4C59" w:rsidRPr="00BA4C59">
                              <w:rPr>
                                <w:rFonts w:ascii="Work Sans" w:hAnsi="Work Sans" w:cs="Open Sans"/>
                                <w:color w:val="FFFFFF"/>
                                <w:sz w:val="28"/>
                                <w:szCs w:val="28"/>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2D963" id="Text Box 30" o:spid="_x0000_s1028" type="#_x0000_t202" style="position:absolute;left:0;text-align:left;margin-left:0;margin-top:514pt;width:134.25pt;height:34.5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" filled="f" stroked="f" strokeweight=".5pt">
                <v:textbox>
                  <w:txbxContent>
                    <w:p w14:paraId="548B99E5" w14:textId="547CC518" w:rsidR="00BA4C59" w:rsidRPr="00BA4C59" w:rsidRDefault="00C530D5" w:rsidP="00BA4C59">
                      <w:pPr>
                        <w:jc w:val="center"/>
                        <w:rPr>
                          <w:rFonts w:ascii="Work Sans" w:hAnsi="Work Sans" w:cs="Open Sans"/>
                          <w:color w:val="FFFFFF"/>
                          <w:sz w:val="28"/>
                          <w:szCs w:val="28"/>
                        </w:rPr>
                      </w:pPr>
                      <w:r>
                        <w:rPr>
                          <w:rFonts w:ascii="Work Sans" w:hAnsi="Work Sans" w:cs="Open Sans"/>
                          <w:color w:val="FFFFFF"/>
                          <w:sz w:val="28"/>
                          <w:szCs w:val="28"/>
                        </w:rPr>
                        <w:t xml:space="preserve">June </w:t>
                      </w:r>
                      <w:r w:rsidR="00BA4C59" w:rsidRPr="00BA4C59">
                        <w:rPr>
                          <w:rFonts w:ascii="Work Sans" w:hAnsi="Work Sans" w:cs="Open Sans"/>
                          <w:color w:val="FFFFFF"/>
                          <w:sz w:val="28"/>
                          <w:szCs w:val="28"/>
                        </w:rPr>
                        <w:t>2023</w:t>
                      </w:r>
                    </w:p>
                  </w:txbxContent>
                </v:textbox>
                <w10:wrap anchorx="margin" anchory="page"/>
              </v:shape>
            </w:pict>
          </mc:Fallback>
        </mc:AlternateContent>
      </w:r>
    </w:p>
    <w:p w14:paraId="6484FACC" w14:textId="43661E3A" w:rsidR="00704788" w:rsidRDefault="00704788" w:rsidP="00DB5889">
      <w:pPr>
        <w:rPr>
          <w:rFonts w:ascii="Work Sans" w:hAnsi="Work Sans" w:cs="Open Sans"/>
          <w:color w:val="FFFFFF"/>
          <w:sz w:val="28"/>
          <w:szCs w:val="28"/>
        </w:rPr>
      </w:pPr>
    </w:p>
    <w:p w14:paraId="7D74C04A" w14:textId="46F132F8" w:rsidR="00DB5889" w:rsidRPr="00704788" w:rsidRDefault="00DB5889" w:rsidP="00DB5889">
      <w:pPr>
        <w:rPr>
          <w:rFonts w:ascii="Work Sans" w:hAnsi="Work Sans" w:cs="Open Sans"/>
          <w:color w:val="FFFFFF"/>
          <w:sz w:val="28"/>
          <w:szCs w:val="28"/>
        </w:rPr>
      </w:pPr>
    </w:p>
    <w:p w14:paraId="4811AF7F" w14:textId="57E305C6" w:rsidR="00A5102B" w:rsidRDefault="00A5102B" w:rsidP="00210D9C">
      <w:pPr>
        <w:pStyle w:val="Heading1"/>
        <w:jc w:val="center"/>
        <w:sectPr w:rsidR="00A5102B" w:rsidSect="003A0403">
          <w:footerReference w:type="default" r:id="rId13"/>
          <w:pgSz w:w="11906" w:h="16838"/>
          <w:pgMar w:top="1440" w:right="1440" w:bottom="1440" w:left="1440" w:header="708" w:footer="708" w:gutter="0"/>
          <w:cols w:space="708"/>
          <w:docGrid w:linePitch="360"/>
        </w:sectPr>
      </w:pPr>
    </w:p>
    <w:p w14:paraId="698689A7" w14:textId="7ACBF807" w:rsidR="00A5102B" w:rsidRPr="005B6B61" w:rsidRDefault="00A5102B" w:rsidP="005B6B61"/>
    <w:p w14:paraId="695BC8CC" w14:textId="77777777" w:rsidR="00A5102B" w:rsidRPr="005B6B61" w:rsidRDefault="00A5102B" w:rsidP="005B6B61"/>
    <w:p w14:paraId="013320FD" w14:textId="77777777" w:rsidR="00A5102B" w:rsidRPr="005B6B61" w:rsidRDefault="00A5102B" w:rsidP="005B6B61"/>
    <w:p w14:paraId="21854C73" w14:textId="77777777" w:rsidR="00A5102B" w:rsidRPr="005B6B61" w:rsidRDefault="00A5102B" w:rsidP="005B6B61"/>
    <w:p w14:paraId="11D296A6" w14:textId="77777777" w:rsidR="00A5102B" w:rsidRPr="005B6B61" w:rsidRDefault="00A5102B" w:rsidP="005B6B61"/>
    <w:p w14:paraId="56EA0621" w14:textId="77777777" w:rsidR="00A5102B" w:rsidRPr="005B6B61" w:rsidRDefault="00A5102B" w:rsidP="005B6B61"/>
    <w:p w14:paraId="6AF9FB70" w14:textId="77777777" w:rsidR="00A5102B" w:rsidRPr="005B6B61" w:rsidRDefault="00A5102B" w:rsidP="005B6B61"/>
    <w:p w14:paraId="308B9AFA" w14:textId="42485454" w:rsidR="003119A7" w:rsidRDefault="003119A7" w:rsidP="005B6B61"/>
    <w:p w14:paraId="6BD7ED02" w14:textId="10166582" w:rsidR="004F0684" w:rsidRDefault="004F0684" w:rsidP="005B6B61"/>
    <w:p w14:paraId="4640F7D4" w14:textId="4570646B" w:rsidR="004F0684" w:rsidRDefault="004F0684" w:rsidP="005B6B61"/>
    <w:p w14:paraId="03C94600" w14:textId="5B8F1B68" w:rsidR="004F0684" w:rsidRDefault="004F0684" w:rsidP="005B6B61"/>
    <w:p w14:paraId="1C1B4178" w14:textId="5CAB6685" w:rsidR="004F0684" w:rsidRDefault="004F0684" w:rsidP="005B6B61"/>
    <w:p w14:paraId="10045F88" w14:textId="0F0CDBA5" w:rsidR="004F0684" w:rsidRPr="005B6B61" w:rsidRDefault="004F0684" w:rsidP="005B6B61"/>
    <w:p w14:paraId="07C94883" w14:textId="4FEF769F" w:rsidR="003119A7" w:rsidRPr="005B6B61" w:rsidRDefault="003119A7" w:rsidP="005B6B61"/>
    <w:p w14:paraId="30A691F9" w14:textId="77777777" w:rsidR="003119A7" w:rsidRPr="005B6B61" w:rsidRDefault="003119A7" w:rsidP="005B6B61"/>
    <w:p w14:paraId="2DA28D10" w14:textId="51E92A66" w:rsidR="00A5102B" w:rsidRPr="005B6B61" w:rsidRDefault="00A5102B" w:rsidP="005B6B61"/>
    <w:p w14:paraId="3B22A318" w14:textId="77777777" w:rsidR="00A5102B" w:rsidRPr="005B6B61" w:rsidRDefault="00A5102B" w:rsidP="005B6B61"/>
    <w:tbl>
      <w:tblPr>
        <w:tblStyle w:val="TableGrid"/>
        <w:tblW w:w="0" w:type="auto"/>
        <w:tblLook w:val="04A0" w:firstRow="1" w:lastRow="0" w:firstColumn="1" w:lastColumn="0" w:noHBand="0" w:noVBand="1"/>
      </w:tblPr>
      <w:tblGrid>
        <w:gridCol w:w="2972"/>
        <w:gridCol w:w="6044"/>
      </w:tblGrid>
      <w:tr w:rsidR="00A5102B" w14:paraId="7EB20388" w14:textId="77777777" w:rsidTr="003A0403">
        <w:tc>
          <w:tcPr>
            <w:tcW w:w="2972" w:type="dxa"/>
          </w:tcPr>
          <w:p w14:paraId="3AD798D9" w14:textId="77777777" w:rsidR="00A5102B" w:rsidRPr="003119A7" w:rsidRDefault="00A5102B" w:rsidP="003A0403">
            <w:pPr>
              <w:rPr>
                <w:rFonts w:ascii="Work Sans" w:hAnsi="Work Sans"/>
                <w:szCs w:val="20"/>
              </w:rPr>
            </w:pPr>
            <w:r w:rsidRPr="003119A7">
              <w:rPr>
                <w:rFonts w:ascii="Work Sans" w:hAnsi="Work Sans"/>
                <w:szCs w:val="20"/>
              </w:rPr>
              <w:t>Paper issued</w:t>
            </w:r>
          </w:p>
        </w:tc>
        <w:tc>
          <w:tcPr>
            <w:tcW w:w="6044" w:type="dxa"/>
          </w:tcPr>
          <w:p w14:paraId="7C0FA175" w14:textId="14165D94" w:rsidR="00A5102B" w:rsidRPr="003119A7" w:rsidRDefault="00B30E90" w:rsidP="003A0403">
            <w:pPr>
              <w:rPr>
                <w:rFonts w:ascii="Work Sans" w:hAnsi="Work Sans"/>
                <w:szCs w:val="20"/>
              </w:rPr>
            </w:pPr>
            <w:r>
              <w:rPr>
                <w:rFonts w:ascii="Work Sans" w:hAnsi="Work Sans"/>
                <w:szCs w:val="20"/>
              </w:rPr>
              <w:t>20 June 2023</w:t>
            </w:r>
          </w:p>
        </w:tc>
      </w:tr>
      <w:tr w:rsidR="00A5102B" w14:paraId="11365DE9" w14:textId="77777777" w:rsidTr="003A0403">
        <w:tc>
          <w:tcPr>
            <w:tcW w:w="2972" w:type="dxa"/>
          </w:tcPr>
          <w:p w14:paraId="0E3E6654" w14:textId="77777777" w:rsidR="00A5102B" w:rsidRPr="003119A7" w:rsidRDefault="00A5102B" w:rsidP="003A0403">
            <w:pPr>
              <w:rPr>
                <w:rFonts w:ascii="Work Sans" w:hAnsi="Work Sans"/>
                <w:szCs w:val="20"/>
              </w:rPr>
            </w:pPr>
            <w:r w:rsidRPr="003119A7">
              <w:rPr>
                <w:rFonts w:ascii="Work Sans" w:hAnsi="Work Sans"/>
                <w:szCs w:val="20"/>
              </w:rPr>
              <w:t>Commission contact officer</w:t>
            </w:r>
          </w:p>
        </w:tc>
        <w:tc>
          <w:tcPr>
            <w:tcW w:w="6044" w:type="dxa"/>
          </w:tcPr>
          <w:p w14:paraId="0AE869FA" w14:textId="41745E8B" w:rsidR="00A5102B" w:rsidRPr="007B5122" w:rsidRDefault="007B5122" w:rsidP="003A0403">
            <w:pPr>
              <w:rPr>
                <w:rFonts w:ascii="Work Sans" w:hAnsi="Work Sans"/>
                <w:szCs w:val="20"/>
              </w:rPr>
            </w:pPr>
            <w:r>
              <w:rPr>
                <w:rFonts w:ascii="Work Sans" w:hAnsi="Work Sans"/>
              </w:rPr>
              <w:t>Philip Harber</w:t>
            </w:r>
            <w:r w:rsidRPr="00840581">
              <w:rPr>
                <w:rFonts w:ascii="Work Sans" w:eastAsia="Calibri" w:hAnsi="Work Sans" w:cs="Arial"/>
              </w:rPr>
              <w:t>, 02 6218 57</w:t>
            </w:r>
            <w:r>
              <w:rPr>
                <w:rFonts w:ascii="Work Sans" w:eastAsia="Calibri" w:hAnsi="Work Sans" w:cs="Arial"/>
              </w:rPr>
              <w:t>26</w:t>
            </w:r>
            <w:r w:rsidRPr="00526A90">
              <w:rPr>
                <w:rFonts w:ascii="Work Sans" w:eastAsia="Calibri" w:hAnsi="Work Sans" w:cs="Arial"/>
              </w:rPr>
              <w:t xml:space="preserve">, </w:t>
            </w:r>
            <w:r w:rsidR="00526A90" w:rsidRPr="00526A90">
              <w:rPr>
                <w:rFonts w:ascii="Work Sans" w:eastAsia="Calibri" w:hAnsi="Work Sans" w:cs="Arial"/>
              </w:rPr>
              <w:t>Philip.Harber@cgc.gov.au</w:t>
            </w:r>
          </w:p>
        </w:tc>
      </w:tr>
      <w:tr w:rsidR="00A5102B" w14:paraId="066C2520" w14:textId="77777777" w:rsidTr="003A0403">
        <w:tc>
          <w:tcPr>
            <w:tcW w:w="2972" w:type="dxa"/>
          </w:tcPr>
          <w:p w14:paraId="6DBD6F0F" w14:textId="77777777" w:rsidR="00A5102B" w:rsidRPr="003119A7" w:rsidRDefault="00A5102B" w:rsidP="003A0403">
            <w:pPr>
              <w:rPr>
                <w:rFonts w:ascii="Work Sans" w:hAnsi="Work Sans"/>
                <w:szCs w:val="20"/>
              </w:rPr>
            </w:pPr>
            <w:r w:rsidRPr="003119A7">
              <w:rPr>
                <w:rFonts w:ascii="Work Sans" w:hAnsi="Work Sans"/>
                <w:szCs w:val="20"/>
              </w:rPr>
              <w:t>Submissions sought by</w:t>
            </w:r>
          </w:p>
        </w:tc>
        <w:tc>
          <w:tcPr>
            <w:tcW w:w="6044" w:type="dxa"/>
          </w:tcPr>
          <w:p w14:paraId="0E76D454" w14:textId="343658B6" w:rsidR="00D76AB5" w:rsidRDefault="00ED22F7" w:rsidP="003A0403">
            <w:pPr>
              <w:rPr>
                <w:rFonts w:ascii="Work Sans" w:hAnsi="Work Sans"/>
                <w:szCs w:val="20"/>
              </w:rPr>
            </w:pPr>
            <w:r>
              <w:rPr>
                <w:rFonts w:ascii="Work Sans" w:hAnsi="Work Sans"/>
                <w:szCs w:val="20"/>
              </w:rPr>
              <w:t>13 November 2023</w:t>
            </w:r>
          </w:p>
          <w:p w14:paraId="08F53FA1" w14:textId="1A37B6A2" w:rsidR="00A5102B" w:rsidRPr="003119A7" w:rsidRDefault="00A5102B" w:rsidP="003A0403">
            <w:pPr>
              <w:rPr>
                <w:rFonts w:ascii="Work Sans" w:hAnsi="Work Sans"/>
                <w:szCs w:val="20"/>
              </w:rPr>
            </w:pPr>
            <w:r w:rsidRPr="003119A7">
              <w:rPr>
                <w:rFonts w:ascii="Work Sans" w:hAnsi="Work Sans"/>
                <w:szCs w:val="20"/>
              </w:rPr>
              <w:t xml:space="preserve">Submissions should be placed in your private state channel in CGC Engagement Teams, with a post notifying </w:t>
            </w:r>
            <w:r w:rsidR="00B30E90">
              <w:rPr>
                <w:rFonts w:ascii="Work Sans" w:hAnsi="Work Sans"/>
                <w:szCs w:val="20"/>
              </w:rPr>
              <w:t>Katrina Baldock</w:t>
            </w:r>
            <w:r w:rsidR="000C53E9" w:rsidRPr="003119A7">
              <w:rPr>
                <w:rFonts w:ascii="Work Sans" w:hAnsi="Work Sans"/>
                <w:szCs w:val="20"/>
              </w:rPr>
              <w:t>.</w:t>
            </w:r>
          </w:p>
          <w:p w14:paraId="4396ACB3" w14:textId="3853E1B4" w:rsidR="00A5102B" w:rsidRPr="003119A7" w:rsidRDefault="00A5102B" w:rsidP="003A0403">
            <w:pPr>
              <w:rPr>
                <w:rFonts w:ascii="Work Sans" w:hAnsi="Work Sans"/>
                <w:szCs w:val="20"/>
              </w:rPr>
            </w:pPr>
            <w:r w:rsidRPr="003119A7">
              <w:rPr>
                <w:rFonts w:ascii="Work Sans" w:hAnsi="Work Sans"/>
                <w:szCs w:val="20"/>
              </w:rPr>
              <w:t xml:space="preserve">Submissions </w:t>
            </w:r>
            <w:r w:rsidR="005869CB">
              <w:rPr>
                <w:rFonts w:ascii="Work Sans" w:hAnsi="Work Sans"/>
                <w:szCs w:val="20"/>
              </w:rPr>
              <w:t>should be in Word format and posted in the relevant state channel of the CGC engagement Team.</w:t>
            </w:r>
            <w:r w:rsidR="005E421C">
              <w:rPr>
                <w:rFonts w:ascii="Work Sans" w:hAnsi="Work Sans"/>
                <w:szCs w:val="20"/>
              </w:rPr>
              <w:t xml:space="preserve"> Submissions </w:t>
            </w:r>
            <w:r w:rsidRPr="003119A7">
              <w:rPr>
                <w:rFonts w:ascii="Work Sans" w:hAnsi="Work Sans"/>
                <w:szCs w:val="20"/>
              </w:rPr>
              <w:t>more than 10 pages in length should include a summary section.</w:t>
            </w:r>
          </w:p>
        </w:tc>
      </w:tr>
      <w:tr w:rsidR="00A5102B" w14:paraId="4A2C2E7B" w14:textId="77777777" w:rsidTr="003A0403">
        <w:tc>
          <w:tcPr>
            <w:tcW w:w="2972" w:type="dxa"/>
          </w:tcPr>
          <w:p w14:paraId="7DD8E4C8" w14:textId="77777777" w:rsidR="00A5102B" w:rsidRPr="003119A7" w:rsidRDefault="00A5102B" w:rsidP="003A0403">
            <w:pPr>
              <w:rPr>
                <w:rFonts w:ascii="Work Sans" w:hAnsi="Work Sans"/>
                <w:szCs w:val="20"/>
              </w:rPr>
            </w:pPr>
            <w:r w:rsidRPr="003119A7">
              <w:rPr>
                <w:rFonts w:ascii="Work Sans" w:hAnsi="Work Sans"/>
                <w:szCs w:val="20"/>
              </w:rPr>
              <w:t>Confidential material</w:t>
            </w:r>
          </w:p>
        </w:tc>
        <w:tc>
          <w:tcPr>
            <w:tcW w:w="6044" w:type="dxa"/>
          </w:tcPr>
          <w:p w14:paraId="04CDDAA6" w14:textId="463DA92D" w:rsidR="00A5102B" w:rsidRPr="003119A7" w:rsidRDefault="00A5102B" w:rsidP="003A0403">
            <w:pPr>
              <w:rPr>
                <w:rFonts w:ascii="Work Sans" w:hAnsi="Work Sans"/>
                <w:szCs w:val="20"/>
              </w:rPr>
            </w:pPr>
            <w:r w:rsidRPr="003119A7">
              <w:rPr>
                <w:rFonts w:ascii="Work Sans" w:hAnsi="Work Sans"/>
                <w:szCs w:val="20"/>
              </w:rPr>
              <w:t xml:space="preserve">It is the </w:t>
            </w:r>
            <w:r w:rsidR="00D15303">
              <w:rPr>
                <w:rFonts w:ascii="Work Sans" w:hAnsi="Work Sans"/>
                <w:szCs w:val="20"/>
              </w:rPr>
              <w:t>C</w:t>
            </w:r>
            <w:r w:rsidR="00D15303" w:rsidRPr="003119A7">
              <w:rPr>
                <w:rFonts w:ascii="Work Sans" w:hAnsi="Work Sans"/>
                <w:szCs w:val="20"/>
              </w:rPr>
              <w:t xml:space="preserve">ommission’s </w:t>
            </w:r>
            <w:r w:rsidRPr="003119A7">
              <w:rPr>
                <w:rFonts w:ascii="Work Sans" w:hAnsi="Work Sans"/>
                <w:szCs w:val="20"/>
              </w:rPr>
              <w:t xml:space="preserve">normal practice to make state submissions available on its website under the CC BY licence, allowing free use of content by third parties. </w:t>
            </w:r>
          </w:p>
          <w:p w14:paraId="6849CDDF" w14:textId="77777777" w:rsidR="00A5102B" w:rsidRPr="003119A7" w:rsidRDefault="00A5102B" w:rsidP="003A0403">
            <w:pPr>
              <w:rPr>
                <w:rFonts w:ascii="Work Sans" w:hAnsi="Work Sans"/>
                <w:szCs w:val="20"/>
              </w:rPr>
            </w:pPr>
            <w:r w:rsidRPr="003119A7">
              <w:rPr>
                <w:noProof/>
                <w:szCs w:val="20"/>
                <w:lang w:eastAsia="en-AU"/>
              </w:rPr>
              <w:drawing>
                <wp:inline distT="0" distB="0" distL="0" distR="0" wp14:anchorId="007C1E09" wp14:editId="3498F777">
                  <wp:extent cx="828675" cy="295275"/>
                  <wp:effectExtent l="19050" t="0" r="9525" b="0"/>
                  <wp:docPr id="3" name="Picture 3" descr="Creative Commons - CC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4"/>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726BCD5C" w14:textId="77777777" w:rsidR="00A5102B" w:rsidRPr="003119A7" w:rsidRDefault="00A5102B" w:rsidP="003A0403">
            <w:pPr>
              <w:rPr>
                <w:rFonts w:ascii="Work Sans" w:hAnsi="Work Sans"/>
                <w:szCs w:val="20"/>
              </w:rPr>
            </w:pPr>
            <w:r w:rsidRPr="003119A7">
              <w:rPr>
                <w:rFonts w:ascii="Work Sans" w:hAnsi="Work Sans"/>
                <w:szCs w:val="20"/>
              </w:rPr>
              <w:t xml:space="preserve">Further information on the CC BY licence can be found on the Creative Commons website (http://creativecommons.org). </w:t>
            </w:r>
          </w:p>
          <w:p w14:paraId="2CB22B19" w14:textId="13515C32" w:rsidR="00A5102B" w:rsidRPr="003119A7" w:rsidRDefault="00A5102B" w:rsidP="003A0403">
            <w:pPr>
              <w:rPr>
                <w:rFonts w:ascii="Work Sans" w:hAnsi="Work Sans"/>
                <w:szCs w:val="20"/>
              </w:rPr>
            </w:pPr>
            <w:r w:rsidRPr="003119A7">
              <w:rPr>
                <w:rFonts w:ascii="Work Sans" w:hAnsi="Work Sans"/>
                <w:szCs w:val="20"/>
              </w:rPr>
              <w:t xml:space="preserve">Confidential material contained in submissions must be clearly identified or included in separate attachment/s, and details provided in the covering email. Identified confidential material will not be published on the </w:t>
            </w:r>
            <w:r w:rsidR="00D15303">
              <w:rPr>
                <w:rFonts w:ascii="Work Sans" w:hAnsi="Work Sans"/>
                <w:szCs w:val="20"/>
              </w:rPr>
              <w:t>C</w:t>
            </w:r>
            <w:r w:rsidR="00D15303" w:rsidRPr="003119A7">
              <w:rPr>
                <w:rFonts w:ascii="Work Sans" w:hAnsi="Work Sans"/>
                <w:szCs w:val="20"/>
              </w:rPr>
              <w:t xml:space="preserve">ommission’s </w:t>
            </w:r>
            <w:r w:rsidRPr="003119A7">
              <w:rPr>
                <w:rFonts w:ascii="Work Sans" w:hAnsi="Work Sans"/>
                <w:szCs w:val="20"/>
              </w:rPr>
              <w:t>website.</w:t>
            </w:r>
          </w:p>
        </w:tc>
      </w:tr>
    </w:tbl>
    <w:p w14:paraId="5B36DCBD" w14:textId="77777777" w:rsidR="005B6B61" w:rsidRDefault="005B6B61" w:rsidP="00DF1879">
      <w:pPr>
        <w:sectPr w:rsidR="005B6B61" w:rsidSect="004F0684">
          <w:headerReference w:type="default" r:id="rId15"/>
          <w:footerReference w:type="first" r:id="rId16"/>
          <w:pgSz w:w="11906" w:h="16838" w:code="9"/>
          <w:pgMar w:top="1440" w:right="1440" w:bottom="1440" w:left="1440" w:header="720" w:footer="720" w:gutter="0"/>
          <w:cols w:space="720"/>
          <w:docGrid w:linePitch="272"/>
        </w:sectPr>
      </w:pPr>
    </w:p>
    <w:sdt>
      <w:sdtPr>
        <w:rPr>
          <w:rFonts w:ascii="Open Sans Light" w:eastAsiaTheme="minorHAnsi" w:hAnsi="Open Sans Light" w:cstheme="minorBidi"/>
          <w:b w:val="0"/>
          <w:bCs w:val="0"/>
          <w:caps w:val="0"/>
          <w:color w:val="auto"/>
          <w:sz w:val="20"/>
          <w:szCs w:val="22"/>
        </w:rPr>
        <w:id w:val="2028664566"/>
        <w:docPartObj>
          <w:docPartGallery w:val="Table of Contents"/>
          <w:docPartUnique/>
        </w:docPartObj>
      </w:sdtPr>
      <w:sdtEndPr>
        <w:rPr>
          <w:noProof/>
        </w:rPr>
      </w:sdtEndPr>
      <w:sdtContent>
        <w:p w14:paraId="62BF2D2D" w14:textId="74E6270F" w:rsidR="005B6B61" w:rsidRDefault="005B6B61">
          <w:pPr>
            <w:pStyle w:val="TOCHeading"/>
          </w:pPr>
          <w:r>
            <w:t>Contents</w:t>
          </w:r>
        </w:p>
        <w:p w14:paraId="76B2AD80" w14:textId="552F309E" w:rsidR="00EB76D5" w:rsidRDefault="005B6B61">
          <w:pPr>
            <w:pStyle w:val="TOC2"/>
            <w:rPr>
              <w:rFonts w:asciiTheme="minorHAnsi" w:eastAsiaTheme="minorEastAsia" w:hAnsiTheme="minorHAnsi"/>
              <w:bCs w:val="0"/>
              <w:noProof/>
              <w:color w:val="auto"/>
              <w:kern w:val="2"/>
              <w:sz w:val="22"/>
              <w:szCs w:val="22"/>
              <w:lang w:eastAsia="en-AU"/>
              <w14:ligatures w14:val="standardContextual"/>
            </w:rPr>
          </w:pPr>
          <w:r>
            <w:fldChar w:fldCharType="begin"/>
          </w:r>
          <w:r>
            <w:instrText xml:space="preserve"> TOC \o "1-3" \h \z \u </w:instrText>
          </w:r>
          <w:r>
            <w:fldChar w:fldCharType="separate"/>
          </w:r>
          <w:hyperlink w:anchor="_Toc138158955" w:history="1">
            <w:r w:rsidR="00EB76D5" w:rsidRPr="00B3545C">
              <w:rPr>
                <w:rStyle w:val="Hyperlink"/>
                <w:noProof/>
              </w:rPr>
              <w:t>Overview of category</w:t>
            </w:r>
            <w:r w:rsidR="00EB76D5">
              <w:rPr>
                <w:noProof/>
                <w:webHidden/>
              </w:rPr>
              <w:tab/>
            </w:r>
            <w:r w:rsidR="00EB76D5">
              <w:rPr>
                <w:noProof/>
                <w:webHidden/>
              </w:rPr>
              <w:fldChar w:fldCharType="begin"/>
            </w:r>
            <w:r w:rsidR="00EB76D5">
              <w:rPr>
                <w:noProof/>
                <w:webHidden/>
              </w:rPr>
              <w:instrText xml:space="preserve"> PAGEREF _Toc138158955 \h </w:instrText>
            </w:r>
            <w:r w:rsidR="00EB76D5">
              <w:rPr>
                <w:noProof/>
                <w:webHidden/>
              </w:rPr>
            </w:r>
            <w:r w:rsidR="00EB76D5">
              <w:rPr>
                <w:noProof/>
                <w:webHidden/>
              </w:rPr>
              <w:fldChar w:fldCharType="separate"/>
            </w:r>
            <w:r w:rsidR="00EB76D5">
              <w:rPr>
                <w:noProof/>
                <w:webHidden/>
              </w:rPr>
              <w:t>4</w:t>
            </w:r>
            <w:r w:rsidR="00EB76D5">
              <w:rPr>
                <w:noProof/>
                <w:webHidden/>
              </w:rPr>
              <w:fldChar w:fldCharType="end"/>
            </w:r>
          </w:hyperlink>
        </w:p>
        <w:p w14:paraId="3FB6F2B9" w14:textId="32973716" w:rsidR="00EB76D5" w:rsidRDefault="0027694B">
          <w:pPr>
            <w:pStyle w:val="TOC2"/>
            <w:rPr>
              <w:rFonts w:asciiTheme="minorHAnsi" w:eastAsiaTheme="minorEastAsia" w:hAnsiTheme="minorHAnsi"/>
              <w:bCs w:val="0"/>
              <w:noProof/>
              <w:color w:val="auto"/>
              <w:kern w:val="2"/>
              <w:sz w:val="22"/>
              <w:szCs w:val="22"/>
              <w:lang w:eastAsia="en-AU"/>
              <w14:ligatures w14:val="standardContextual"/>
            </w:rPr>
          </w:pPr>
          <w:hyperlink w:anchor="_Toc138158956" w:history="1">
            <w:r w:rsidR="00EB76D5" w:rsidRPr="00B3545C">
              <w:rPr>
                <w:rStyle w:val="Hyperlink"/>
                <w:noProof/>
              </w:rPr>
              <w:t>Current assessment method – 2020 Review</w:t>
            </w:r>
            <w:r w:rsidR="00EB76D5">
              <w:rPr>
                <w:noProof/>
                <w:webHidden/>
              </w:rPr>
              <w:tab/>
            </w:r>
            <w:r w:rsidR="00EB76D5">
              <w:rPr>
                <w:noProof/>
                <w:webHidden/>
              </w:rPr>
              <w:fldChar w:fldCharType="begin"/>
            </w:r>
            <w:r w:rsidR="00EB76D5">
              <w:rPr>
                <w:noProof/>
                <w:webHidden/>
              </w:rPr>
              <w:instrText xml:space="preserve"> PAGEREF _Toc138158956 \h </w:instrText>
            </w:r>
            <w:r w:rsidR="00EB76D5">
              <w:rPr>
                <w:noProof/>
                <w:webHidden/>
              </w:rPr>
            </w:r>
            <w:r w:rsidR="00EB76D5">
              <w:rPr>
                <w:noProof/>
                <w:webHidden/>
              </w:rPr>
              <w:fldChar w:fldCharType="separate"/>
            </w:r>
            <w:r w:rsidR="00EB76D5">
              <w:rPr>
                <w:noProof/>
                <w:webHidden/>
              </w:rPr>
              <w:t>5</w:t>
            </w:r>
            <w:r w:rsidR="00EB76D5">
              <w:rPr>
                <w:noProof/>
                <w:webHidden/>
              </w:rPr>
              <w:fldChar w:fldCharType="end"/>
            </w:r>
          </w:hyperlink>
        </w:p>
        <w:p w14:paraId="688A7A59" w14:textId="759BA580" w:rsidR="00EB76D5" w:rsidRDefault="0027694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8957" w:history="1">
            <w:r w:rsidR="00EB76D5" w:rsidRPr="00B3545C">
              <w:rPr>
                <w:rStyle w:val="Hyperlink"/>
                <w:noProof/>
              </w:rPr>
              <w:t>Data used in the assessment</w:t>
            </w:r>
            <w:r w:rsidR="00EB76D5">
              <w:rPr>
                <w:noProof/>
                <w:webHidden/>
              </w:rPr>
              <w:tab/>
            </w:r>
            <w:r w:rsidR="00EB76D5">
              <w:rPr>
                <w:noProof/>
                <w:webHidden/>
              </w:rPr>
              <w:fldChar w:fldCharType="begin"/>
            </w:r>
            <w:r w:rsidR="00EB76D5">
              <w:rPr>
                <w:noProof/>
                <w:webHidden/>
              </w:rPr>
              <w:instrText xml:space="preserve"> PAGEREF _Toc138158957 \h </w:instrText>
            </w:r>
            <w:r w:rsidR="00EB76D5">
              <w:rPr>
                <w:noProof/>
                <w:webHidden/>
              </w:rPr>
            </w:r>
            <w:r w:rsidR="00EB76D5">
              <w:rPr>
                <w:noProof/>
                <w:webHidden/>
              </w:rPr>
              <w:fldChar w:fldCharType="separate"/>
            </w:r>
            <w:r w:rsidR="00EB76D5">
              <w:rPr>
                <w:noProof/>
                <w:webHidden/>
              </w:rPr>
              <w:t>6</w:t>
            </w:r>
            <w:r w:rsidR="00EB76D5">
              <w:rPr>
                <w:noProof/>
                <w:webHidden/>
              </w:rPr>
              <w:fldChar w:fldCharType="end"/>
            </w:r>
          </w:hyperlink>
        </w:p>
        <w:p w14:paraId="23848BB0" w14:textId="21296A00" w:rsidR="00EB76D5" w:rsidRDefault="0027694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8958" w:history="1">
            <w:r w:rsidR="00EB76D5" w:rsidRPr="00B3545C">
              <w:rPr>
                <w:rStyle w:val="Hyperlink"/>
                <w:noProof/>
              </w:rPr>
              <w:t>Applying wage costs to expenses</w:t>
            </w:r>
            <w:r w:rsidR="00EB76D5">
              <w:rPr>
                <w:noProof/>
                <w:webHidden/>
              </w:rPr>
              <w:tab/>
            </w:r>
            <w:r w:rsidR="00EB76D5">
              <w:rPr>
                <w:noProof/>
                <w:webHidden/>
              </w:rPr>
              <w:fldChar w:fldCharType="begin"/>
            </w:r>
            <w:r w:rsidR="00EB76D5">
              <w:rPr>
                <w:noProof/>
                <w:webHidden/>
              </w:rPr>
              <w:instrText xml:space="preserve"> PAGEREF _Toc138158958 \h </w:instrText>
            </w:r>
            <w:r w:rsidR="00EB76D5">
              <w:rPr>
                <w:noProof/>
                <w:webHidden/>
              </w:rPr>
            </w:r>
            <w:r w:rsidR="00EB76D5">
              <w:rPr>
                <w:noProof/>
                <w:webHidden/>
              </w:rPr>
              <w:fldChar w:fldCharType="separate"/>
            </w:r>
            <w:r w:rsidR="00EB76D5">
              <w:rPr>
                <w:noProof/>
                <w:webHidden/>
              </w:rPr>
              <w:t>6</w:t>
            </w:r>
            <w:r w:rsidR="00EB76D5">
              <w:rPr>
                <w:noProof/>
                <w:webHidden/>
              </w:rPr>
              <w:fldChar w:fldCharType="end"/>
            </w:r>
          </w:hyperlink>
        </w:p>
        <w:p w14:paraId="2EEFB33C" w14:textId="0BE2AF68" w:rsidR="00EB76D5" w:rsidRDefault="0027694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8959" w:history="1">
            <w:r w:rsidR="00EB76D5" w:rsidRPr="00B3545C">
              <w:rPr>
                <w:rStyle w:val="Hyperlink"/>
                <w:noProof/>
              </w:rPr>
              <w:t>COVID-19 adjustments</w:t>
            </w:r>
            <w:r w:rsidR="00EB76D5">
              <w:rPr>
                <w:noProof/>
                <w:webHidden/>
              </w:rPr>
              <w:tab/>
            </w:r>
            <w:r w:rsidR="00EB76D5">
              <w:rPr>
                <w:noProof/>
                <w:webHidden/>
              </w:rPr>
              <w:fldChar w:fldCharType="begin"/>
            </w:r>
            <w:r w:rsidR="00EB76D5">
              <w:rPr>
                <w:noProof/>
                <w:webHidden/>
              </w:rPr>
              <w:instrText xml:space="preserve"> PAGEREF _Toc138158959 \h </w:instrText>
            </w:r>
            <w:r w:rsidR="00EB76D5">
              <w:rPr>
                <w:noProof/>
                <w:webHidden/>
              </w:rPr>
            </w:r>
            <w:r w:rsidR="00EB76D5">
              <w:rPr>
                <w:noProof/>
                <w:webHidden/>
              </w:rPr>
              <w:fldChar w:fldCharType="separate"/>
            </w:r>
            <w:r w:rsidR="00EB76D5">
              <w:rPr>
                <w:noProof/>
                <w:webHidden/>
              </w:rPr>
              <w:t>8</w:t>
            </w:r>
            <w:r w:rsidR="00EB76D5">
              <w:rPr>
                <w:noProof/>
                <w:webHidden/>
              </w:rPr>
              <w:fldChar w:fldCharType="end"/>
            </w:r>
          </w:hyperlink>
        </w:p>
        <w:p w14:paraId="3CBBC589" w14:textId="62B8B453" w:rsidR="00EB76D5" w:rsidRDefault="0027694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8960" w:history="1">
            <w:r w:rsidR="00EB76D5" w:rsidRPr="00B3545C">
              <w:rPr>
                <w:rStyle w:val="Hyperlink"/>
                <w:noProof/>
              </w:rPr>
              <w:t>GST Distribution in the 2023 Update</w:t>
            </w:r>
            <w:r w:rsidR="00EB76D5">
              <w:rPr>
                <w:noProof/>
                <w:webHidden/>
              </w:rPr>
              <w:tab/>
            </w:r>
            <w:r w:rsidR="00EB76D5">
              <w:rPr>
                <w:noProof/>
                <w:webHidden/>
              </w:rPr>
              <w:fldChar w:fldCharType="begin"/>
            </w:r>
            <w:r w:rsidR="00EB76D5">
              <w:rPr>
                <w:noProof/>
                <w:webHidden/>
              </w:rPr>
              <w:instrText xml:space="preserve"> PAGEREF _Toc138158960 \h </w:instrText>
            </w:r>
            <w:r w:rsidR="00EB76D5">
              <w:rPr>
                <w:noProof/>
                <w:webHidden/>
              </w:rPr>
            </w:r>
            <w:r w:rsidR="00EB76D5">
              <w:rPr>
                <w:noProof/>
                <w:webHidden/>
              </w:rPr>
              <w:fldChar w:fldCharType="separate"/>
            </w:r>
            <w:r w:rsidR="00EB76D5">
              <w:rPr>
                <w:noProof/>
                <w:webHidden/>
              </w:rPr>
              <w:t>8</w:t>
            </w:r>
            <w:r w:rsidR="00EB76D5">
              <w:rPr>
                <w:noProof/>
                <w:webHidden/>
              </w:rPr>
              <w:fldChar w:fldCharType="end"/>
            </w:r>
          </w:hyperlink>
        </w:p>
        <w:p w14:paraId="0A95F037" w14:textId="0EA33E64" w:rsidR="00EB76D5" w:rsidRDefault="0027694B">
          <w:pPr>
            <w:pStyle w:val="TOC2"/>
            <w:rPr>
              <w:rFonts w:asciiTheme="minorHAnsi" w:eastAsiaTheme="minorEastAsia" w:hAnsiTheme="minorHAnsi"/>
              <w:bCs w:val="0"/>
              <w:noProof/>
              <w:color w:val="auto"/>
              <w:kern w:val="2"/>
              <w:sz w:val="22"/>
              <w:szCs w:val="22"/>
              <w:lang w:eastAsia="en-AU"/>
              <w14:ligatures w14:val="standardContextual"/>
            </w:rPr>
          </w:pPr>
          <w:hyperlink w:anchor="_Toc138158961" w:history="1">
            <w:r w:rsidR="00EB76D5" w:rsidRPr="00B3545C">
              <w:rPr>
                <w:rStyle w:val="Hyperlink"/>
                <w:noProof/>
              </w:rPr>
              <w:t>What has changed since the 2020 Review?</w:t>
            </w:r>
            <w:r w:rsidR="00EB76D5">
              <w:rPr>
                <w:noProof/>
                <w:webHidden/>
              </w:rPr>
              <w:tab/>
            </w:r>
            <w:r w:rsidR="00EB76D5">
              <w:rPr>
                <w:noProof/>
                <w:webHidden/>
              </w:rPr>
              <w:fldChar w:fldCharType="begin"/>
            </w:r>
            <w:r w:rsidR="00EB76D5">
              <w:rPr>
                <w:noProof/>
                <w:webHidden/>
              </w:rPr>
              <w:instrText xml:space="preserve"> PAGEREF _Toc138158961 \h </w:instrText>
            </w:r>
            <w:r w:rsidR="00EB76D5">
              <w:rPr>
                <w:noProof/>
                <w:webHidden/>
              </w:rPr>
            </w:r>
            <w:r w:rsidR="00EB76D5">
              <w:rPr>
                <w:noProof/>
                <w:webHidden/>
              </w:rPr>
              <w:fldChar w:fldCharType="separate"/>
            </w:r>
            <w:r w:rsidR="00EB76D5">
              <w:rPr>
                <w:noProof/>
                <w:webHidden/>
              </w:rPr>
              <w:t>8</w:t>
            </w:r>
            <w:r w:rsidR="00EB76D5">
              <w:rPr>
                <w:noProof/>
                <w:webHidden/>
              </w:rPr>
              <w:fldChar w:fldCharType="end"/>
            </w:r>
          </w:hyperlink>
        </w:p>
        <w:p w14:paraId="352D207C" w14:textId="7624C7F7" w:rsidR="00EB76D5" w:rsidRDefault="0027694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8962" w:history="1">
            <w:r w:rsidR="00EB76D5" w:rsidRPr="00B3545C">
              <w:rPr>
                <w:rStyle w:val="Hyperlink"/>
                <w:noProof/>
              </w:rPr>
              <w:t>The labour market has continued to change</w:t>
            </w:r>
            <w:r w:rsidR="00EB76D5">
              <w:rPr>
                <w:noProof/>
                <w:webHidden/>
              </w:rPr>
              <w:tab/>
            </w:r>
            <w:r w:rsidR="00EB76D5">
              <w:rPr>
                <w:noProof/>
                <w:webHidden/>
              </w:rPr>
              <w:fldChar w:fldCharType="begin"/>
            </w:r>
            <w:r w:rsidR="00EB76D5">
              <w:rPr>
                <w:noProof/>
                <w:webHidden/>
              </w:rPr>
              <w:instrText xml:space="preserve"> PAGEREF _Toc138158962 \h </w:instrText>
            </w:r>
            <w:r w:rsidR="00EB76D5">
              <w:rPr>
                <w:noProof/>
                <w:webHidden/>
              </w:rPr>
            </w:r>
            <w:r w:rsidR="00EB76D5">
              <w:rPr>
                <w:noProof/>
                <w:webHidden/>
              </w:rPr>
              <w:fldChar w:fldCharType="separate"/>
            </w:r>
            <w:r w:rsidR="00EB76D5">
              <w:rPr>
                <w:noProof/>
                <w:webHidden/>
              </w:rPr>
              <w:t>8</w:t>
            </w:r>
            <w:r w:rsidR="00EB76D5">
              <w:rPr>
                <w:noProof/>
                <w:webHidden/>
              </w:rPr>
              <w:fldChar w:fldCharType="end"/>
            </w:r>
          </w:hyperlink>
        </w:p>
        <w:p w14:paraId="1F43F8DC" w14:textId="5C8B8C01" w:rsidR="00EB76D5" w:rsidRDefault="0027694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8963" w:history="1">
            <w:r w:rsidR="00EB76D5" w:rsidRPr="00B3545C">
              <w:rPr>
                <w:rStyle w:val="Hyperlink"/>
                <w:noProof/>
              </w:rPr>
              <w:t>Increased volatility in the wage cost assessment</w:t>
            </w:r>
            <w:r w:rsidR="00EB76D5">
              <w:rPr>
                <w:noProof/>
                <w:webHidden/>
              </w:rPr>
              <w:tab/>
            </w:r>
            <w:r w:rsidR="00EB76D5">
              <w:rPr>
                <w:noProof/>
                <w:webHidden/>
              </w:rPr>
              <w:fldChar w:fldCharType="begin"/>
            </w:r>
            <w:r w:rsidR="00EB76D5">
              <w:rPr>
                <w:noProof/>
                <w:webHidden/>
              </w:rPr>
              <w:instrText xml:space="preserve"> PAGEREF _Toc138158963 \h </w:instrText>
            </w:r>
            <w:r w:rsidR="00EB76D5">
              <w:rPr>
                <w:noProof/>
                <w:webHidden/>
              </w:rPr>
            </w:r>
            <w:r w:rsidR="00EB76D5">
              <w:rPr>
                <w:noProof/>
                <w:webHidden/>
              </w:rPr>
              <w:fldChar w:fldCharType="separate"/>
            </w:r>
            <w:r w:rsidR="00EB76D5">
              <w:rPr>
                <w:noProof/>
                <w:webHidden/>
              </w:rPr>
              <w:t>9</w:t>
            </w:r>
            <w:r w:rsidR="00EB76D5">
              <w:rPr>
                <w:noProof/>
                <w:webHidden/>
              </w:rPr>
              <w:fldChar w:fldCharType="end"/>
            </w:r>
          </w:hyperlink>
        </w:p>
        <w:p w14:paraId="0DAED229" w14:textId="0C5525F8" w:rsidR="00EB76D5" w:rsidRDefault="0027694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8964" w:history="1">
            <w:r w:rsidR="00EB76D5" w:rsidRPr="00B3545C">
              <w:rPr>
                <w:rStyle w:val="Hyperlink"/>
                <w:noProof/>
              </w:rPr>
              <w:t>The data environment has improved</w:t>
            </w:r>
            <w:r w:rsidR="00EB76D5">
              <w:rPr>
                <w:noProof/>
                <w:webHidden/>
              </w:rPr>
              <w:tab/>
            </w:r>
            <w:r w:rsidR="00EB76D5">
              <w:rPr>
                <w:noProof/>
                <w:webHidden/>
              </w:rPr>
              <w:fldChar w:fldCharType="begin"/>
            </w:r>
            <w:r w:rsidR="00EB76D5">
              <w:rPr>
                <w:noProof/>
                <w:webHidden/>
              </w:rPr>
              <w:instrText xml:space="preserve"> PAGEREF _Toc138158964 \h </w:instrText>
            </w:r>
            <w:r w:rsidR="00EB76D5">
              <w:rPr>
                <w:noProof/>
                <w:webHidden/>
              </w:rPr>
            </w:r>
            <w:r w:rsidR="00EB76D5">
              <w:rPr>
                <w:noProof/>
                <w:webHidden/>
              </w:rPr>
              <w:fldChar w:fldCharType="separate"/>
            </w:r>
            <w:r w:rsidR="00EB76D5">
              <w:rPr>
                <w:noProof/>
                <w:webHidden/>
              </w:rPr>
              <w:t>10</w:t>
            </w:r>
            <w:r w:rsidR="00EB76D5">
              <w:rPr>
                <w:noProof/>
                <w:webHidden/>
              </w:rPr>
              <w:fldChar w:fldCharType="end"/>
            </w:r>
          </w:hyperlink>
        </w:p>
        <w:p w14:paraId="06C13841" w14:textId="75EFD325" w:rsidR="00EB76D5" w:rsidRDefault="0027694B">
          <w:pPr>
            <w:pStyle w:val="TOC2"/>
            <w:rPr>
              <w:rFonts w:asciiTheme="minorHAnsi" w:eastAsiaTheme="minorEastAsia" w:hAnsiTheme="minorHAnsi"/>
              <w:bCs w:val="0"/>
              <w:noProof/>
              <w:color w:val="auto"/>
              <w:kern w:val="2"/>
              <w:sz w:val="22"/>
              <w:szCs w:val="22"/>
              <w:lang w:eastAsia="en-AU"/>
              <w14:ligatures w14:val="standardContextual"/>
            </w:rPr>
          </w:pPr>
          <w:hyperlink w:anchor="_Toc138158965" w:history="1">
            <w:r w:rsidR="00EB76D5" w:rsidRPr="00B3545C">
              <w:rPr>
                <w:rStyle w:val="Hyperlink"/>
                <w:noProof/>
              </w:rPr>
              <w:t>Implications for assessment</w:t>
            </w:r>
            <w:r w:rsidR="00EB76D5">
              <w:rPr>
                <w:noProof/>
                <w:webHidden/>
              </w:rPr>
              <w:tab/>
            </w:r>
            <w:r w:rsidR="00EB76D5">
              <w:rPr>
                <w:noProof/>
                <w:webHidden/>
              </w:rPr>
              <w:fldChar w:fldCharType="begin"/>
            </w:r>
            <w:r w:rsidR="00EB76D5">
              <w:rPr>
                <w:noProof/>
                <w:webHidden/>
              </w:rPr>
              <w:instrText xml:space="preserve"> PAGEREF _Toc138158965 \h </w:instrText>
            </w:r>
            <w:r w:rsidR="00EB76D5">
              <w:rPr>
                <w:noProof/>
                <w:webHidden/>
              </w:rPr>
            </w:r>
            <w:r w:rsidR="00EB76D5">
              <w:rPr>
                <w:noProof/>
                <w:webHidden/>
              </w:rPr>
              <w:fldChar w:fldCharType="separate"/>
            </w:r>
            <w:r w:rsidR="00EB76D5">
              <w:rPr>
                <w:noProof/>
                <w:webHidden/>
              </w:rPr>
              <w:t>10</w:t>
            </w:r>
            <w:r w:rsidR="00EB76D5">
              <w:rPr>
                <w:noProof/>
                <w:webHidden/>
              </w:rPr>
              <w:fldChar w:fldCharType="end"/>
            </w:r>
          </w:hyperlink>
        </w:p>
        <w:p w14:paraId="3D97C26C" w14:textId="31DEDE72" w:rsidR="00EB76D5" w:rsidRDefault="0027694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8966" w:history="1">
            <w:r w:rsidR="00EB76D5" w:rsidRPr="00B3545C">
              <w:rPr>
                <w:rStyle w:val="Hyperlink"/>
                <w:noProof/>
              </w:rPr>
              <w:t>Changes in the labour market and the conceptual basis for the wage costs assessment</w:t>
            </w:r>
            <w:r w:rsidR="00EB76D5">
              <w:rPr>
                <w:noProof/>
                <w:webHidden/>
              </w:rPr>
              <w:tab/>
            </w:r>
            <w:r w:rsidR="00EB76D5">
              <w:rPr>
                <w:noProof/>
                <w:webHidden/>
              </w:rPr>
              <w:fldChar w:fldCharType="begin"/>
            </w:r>
            <w:r w:rsidR="00EB76D5">
              <w:rPr>
                <w:noProof/>
                <w:webHidden/>
              </w:rPr>
              <w:instrText xml:space="preserve"> PAGEREF _Toc138158966 \h </w:instrText>
            </w:r>
            <w:r w:rsidR="00EB76D5">
              <w:rPr>
                <w:noProof/>
                <w:webHidden/>
              </w:rPr>
            </w:r>
            <w:r w:rsidR="00EB76D5">
              <w:rPr>
                <w:noProof/>
                <w:webHidden/>
              </w:rPr>
              <w:fldChar w:fldCharType="separate"/>
            </w:r>
            <w:r w:rsidR="00EB76D5">
              <w:rPr>
                <w:noProof/>
                <w:webHidden/>
              </w:rPr>
              <w:t>11</w:t>
            </w:r>
            <w:r w:rsidR="00EB76D5">
              <w:rPr>
                <w:noProof/>
                <w:webHidden/>
              </w:rPr>
              <w:fldChar w:fldCharType="end"/>
            </w:r>
          </w:hyperlink>
        </w:p>
        <w:p w14:paraId="020A748B" w14:textId="54D6BEA5" w:rsidR="00EB76D5" w:rsidRDefault="0027694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8967" w:history="1">
            <w:r w:rsidR="00EB76D5" w:rsidRPr="00B3545C">
              <w:rPr>
                <w:rStyle w:val="Hyperlink"/>
                <w:noProof/>
              </w:rPr>
              <w:t>Improving accuracy and reducing volatility</w:t>
            </w:r>
            <w:r w:rsidR="00EB76D5">
              <w:rPr>
                <w:noProof/>
                <w:webHidden/>
              </w:rPr>
              <w:tab/>
            </w:r>
            <w:r w:rsidR="00EB76D5">
              <w:rPr>
                <w:noProof/>
                <w:webHidden/>
              </w:rPr>
              <w:fldChar w:fldCharType="begin"/>
            </w:r>
            <w:r w:rsidR="00EB76D5">
              <w:rPr>
                <w:noProof/>
                <w:webHidden/>
              </w:rPr>
              <w:instrText xml:space="preserve"> PAGEREF _Toc138158967 \h </w:instrText>
            </w:r>
            <w:r w:rsidR="00EB76D5">
              <w:rPr>
                <w:noProof/>
                <w:webHidden/>
              </w:rPr>
            </w:r>
            <w:r w:rsidR="00EB76D5">
              <w:rPr>
                <w:noProof/>
                <w:webHidden/>
              </w:rPr>
              <w:fldChar w:fldCharType="separate"/>
            </w:r>
            <w:r w:rsidR="00EB76D5">
              <w:rPr>
                <w:noProof/>
                <w:webHidden/>
              </w:rPr>
              <w:t>11</w:t>
            </w:r>
            <w:r w:rsidR="00EB76D5">
              <w:rPr>
                <w:noProof/>
                <w:webHidden/>
              </w:rPr>
              <w:fldChar w:fldCharType="end"/>
            </w:r>
          </w:hyperlink>
        </w:p>
        <w:p w14:paraId="66259AA9" w14:textId="55E00D9E" w:rsidR="00EB76D5" w:rsidRDefault="0027694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8968" w:history="1">
            <w:r w:rsidR="00EB76D5" w:rsidRPr="00B3545C">
              <w:rPr>
                <w:rStyle w:val="Hyperlink"/>
                <w:noProof/>
              </w:rPr>
              <w:t>Increasing the resilience of the wage costs assessment to shocks and other method improvements</w:t>
            </w:r>
            <w:r w:rsidR="00EB76D5">
              <w:rPr>
                <w:noProof/>
                <w:webHidden/>
              </w:rPr>
              <w:tab/>
            </w:r>
            <w:r w:rsidR="00EB76D5">
              <w:rPr>
                <w:noProof/>
                <w:webHidden/>
              </w:rPr>
              <w:fldChar w:fldCharType="begin"/>
            </w:r>
            <w:r w:rsidR="00EB76D5">
              <w:rPr>
                <w:noProof/>
                <w:webHidden/>
              </w:rPr>
              <w:instrText xml:space="preserve"> PAGEREF _Toc138158968 \h </w:instrText>
            </w:r>
            <w:r w:rsidR="00EB76D5">
              <w:rPr>
                <w:noProof/>
                <w:webHidden/>
              </w:rPr>
            </w:r>
            <w:r w:rsidR="00EB76D5">
              <w:rPr>
                <w:noProof/>
                <w:webHidden/>
              </w:rPr>
              <w:fldChar w:fldCharType="separate"/>
            </w:r>
            <w:r w:rsidR="00EB76D5">
              <w:rPr>
                <w:noProof/>
                <w:webHidden/>
              </w:rPr>
              <w:t>14</w:t>
            </w:r>
            <w:r w:rsidR="00EB76D5">
              <w:rPr>
                <w:noProof/>
                <w:webHidden/>
              </w:rPr>
              <w:fldChar w:fldCharType="end"/>
            </w:r>
          </w:hyperlink>
        </w:p>
        <w:p w14:paraId="4BAB3F01" w14:textId="6497B203" w:rsidR="00EB76D5" w:rsidRDefault="0027694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8969" w:history="1">
            <w:r w:rsidR="00EB76D5" w:rsidRPr="00B3545C">
              <w:rPr>
                <w:rStyle w:val="Hyperlink"/>
                <w:noProof/>
              </w:rPr>
              <w:t>Discounting of the wage costs assessment</w:t>
            </w:r>
            <w:r w:rsidR="00EB76D5">
              <w:rPr>
                <w:noProof/>
                <w:webHidden/>
              </w:rPr>
              <w:tab/>
            </w:r>
            <w:r w:rsidR="00EB76D5">
              <w:rPr>
                <w:noProof/>
                <w:webHidden/>
              </w:rPr>
              <w:fldChar w:fldCharType="begin"/>
            </w:r>
            <w:r w:rsidR="00EB76D5">
              <w:rPr>
                <w:noProof/>
                <w:webHidden/>
              </w:rPr>
              <w:instrText xml:space="preserve"> PAGEREF _Toc138158969 \h </w:instrText>
            </w:r>
            <w:r w:rsidR="00EB76D5">
              <w:rPr>
                <w:noProof/>
                <w:webHidden/>
              </w:rPr>
            </w:r>
            <w:r w:rsidR="00EB76D5">
              <w:rPr>
                <w:noProof/>
                <w:webHidden/>
              </w:rPr>
              <w:fldChar w:fldCharType="separate"/>
            </w:r>
            <w:r w:rsidR="00EB76D5">
              <w:rPr>
                <w:noProof/>
                <w:webHidden/>
              </w:rPr>
              <w:t>17</w:t>
            </w:r>
            <w:r w:rsidR="00EB76D5">
              <w:rPr>
                <w:noProof/>
                <w:webHidden/>
              </w:rPr>
              <w:fldChar w:fldCharType="end"/>
            </w:r>
          </w:hyperlink>
        </w:p>
        <w:p w14:paraId="039CF2A4" w14:textId="29EE5DD9" w:rsidR="00EB76D5" w:rsidRDefault="0027694B">
          <w:pPr>
            <w:pStyle w:val="TOC2"/>
            <w:rPr>
              <w:rFonts w:asciiTheme="minorHAnsi" w:eastAsiaTheme="minorEastAsia" w:hAnsiTheme="minorHAnsi"/>
              <w:bCs w:val="0"/>
              <w:noProof/>
              <w:color w:val="auto"/>
              <w:kern w:val="2"/>
              <w:sz w:val="22"/>
              <w:szCs w:val="22"/>
              <w:lang w:eastAsia="en-AU"/>
              <w14:ligatures w14:val="standardContextual"/>
            </w:rPr>
          </w:pPr>
          <w:hyperlink w:anchor="_Toc138158970" w:history="1">
            <w:r w:rsidR="00EB76D5" w:rsidRPr="00B3545C">
              <w:rPr>
                <w:rStyle w:val="Hyperlink"/>
                <w:noProof/>
              </w:rPr>
              <w:t>Proposed assessment</w:t>
            </w:r>
            <w:r w:rsidR="00EB76D5">
              <w:rPr>
                <w:noProof/>
                <w:webHidden/>
              </w:rPr>
              <w:tab/>
            </w:r>
            <w:r w:rsidR="00EB76D5">
              <w:rPr>
                <w:noProof/>
                <w:webHidden/>
              </w:rPr>
              <w:fldChar w:fldCharType="begin"/>
            </w:r>
            <w:r w:rsidR="00EB76D5">
              <w:rPr>
                <w:noProof/>
                <w:webHidden/>
              </w:rPr>
              <w:instrText xml:space="preserve"> PAGEREF _Toc138158970 \h </w:instrText>
            </w:r>
            <w:r w:rsidR="00EB76D5">
              <w:rPr>
                <w:noProof/>
                <w:webHidden/>
              </w:rPr>
            </w:r>
            <w:r w:rsidR="00EB76D5">
              <w:rPr>
                <w:noProof/>
                <w:webHidden/>
              </w:rPr>
              <w:fldChar w:fldCharType="separate"/>
            </w:r>
            <w:r w:rsidR="00EB76D5">
              <w:rPr>
                <w:noProof/>
                <w:webHidden/>
              </w:rPr>
              <w:t>18</w:t>
            </w:r>
            <w:r w:rsidR="00EB76D5">
              <w:rPr>
                <w:noProof/>
                <w:webHidden/>
              </w:rPr>
              <w:fldChar w:fldCharType="end"/>
            </w:r>
          </w:hyperlink>
        </w:p>
        <w:p w14:paraId="371538EC" w14:textId="1E345C57" w:rsidR="00EB76D5" w:rsidRDefault="0027694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8971" w:history="1">
            <w:r w:rsidR="00EB76D5" w:rsidRPr="00B3545C">
              <w:rPr>
                <w:rStyle w:val="Hyperlink"/>
                <w:noProof/>
              </w:rPr>
              <w:t>Differences from the 2020 Review approach</w:t>
            </w:r>
            <w:r w:rsidR="00EB76D5">
              <w:rPr>
                <w:noProof/>
                <w:webHidden/>
              </w:rPr>
              <w:tab/>
            </w:r>
            <w:r w:rsidR="00EB76D5">
              <w:rPr>
                <w:noProof/>
                <w:webHidden/>
              </w:rPr>
              <w:fldChar w:fldCharType="begin"/>
            </w:r>
            <w:r w:rsidR="00EB76D5">
              <w:rPr>
                <w:noProof/>
                <w:webHidden/>
              </w:rPr>
              <w:instrText xml:space="preserve"> PAGEREF _Toc138158971 \h </w:instrText>
            </w:r>
            <w:r w:rsidR="00EB76D5">
              <w:rPr>
                <w:noProof/>
                <w:webHidden/>
              </w:rPr>
            </w:r>
            <w:r w:rsidR="00EB76D5">
              <w:rPr>
                <w:noProof/>
                <w:webHidden/>
              </w:rPr>
              <w:fldChar w:fldCharType="separate"/>
            </w:r>
            <w:r w:rsidR="00EB76D5">
              <w:rPr>
                <w:noProof/>
                <w:webHidden/>
              </w:rPr>
              <w:t>18</w:t>
            </w:r>
            <w:r w:rsidR="00EB76D5">
              <w:rPr>
                <w:noProof/>
                <w:webHidden/>
              </w:rPr>
              <w:fldChar w:fldCharType="end"/>
            </w:r>
          </w:hyperlink>
        </w:p>
        <w:p w14:paraId="44358A2E" w14:textId="114F256F" w:rsidR="00EB76D5" w:rsidRDefault="0027694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8972" w:history="1">
            <w:r w:rsidR="00EB76D5" w:rsidRPr="00B3545C">
              <w:rPr>
                <w:rStyle w:val="Hyperlink"/>
                <w:noProof/>
              </w:rPr>
              <w:t>New data requirements</w:t>
            </w:r>
            <w:r w:rsidR="00EB76D5">
              <w:rPr>
                <w:noProof/>
                <w:webHidden/>
              </w:rPr>
              <w:tab/>
            </w:r>
            <w:r w:rsidR="00EB76D5">
              <w:rPr>
                <w:noProof/>
                <w:webHidden/>
              </w:rPr>
              <w:fldChar w:fldCharType="begin"/>
            </w:r>
            <w:r w:rsidR="00EB76D5">
              <w:rPr>
                <w:noProof/>
                <w:webHidden/>
              </w:rPr>
              <w:instrText xml:space="preserve"> PAGEREF _Toc138158972 \h </w:instrText>
            </w:r>
            <w:r w:rsidR="00EB76D5">
              <w:rPr>
                <w:noProof/>
                <w:webHidden/>
              </w:rPr>
            </w:r>
            <w:r w:rsidR="00EB76D5">
              <w:rPr>
                <w:noProof/>
                <w:webHidden/>
              </w:rPr>
              <w:fldChar w:fldCharType="separate"/>
            </w:r>
            <w:r w:rsidR="00EB76D5">
              <w:rPr>
                <w:noProof/>
                <w:webHidden/>
              </w:rPr>
              <w:t>18</w:t>
            </w:r>
            <w:r w:rsidR="00EB76D5">
              <w:rPr>
                <w:noProof/>
                <w:webHidden/>
              </w:rPr>
              <w:fldChar w:fldCharType="end"/>
            </w:r>
          </w:hyperlink>
        </w:p>
        <w:p w14:paraId="5502D562" w14:textId="5FB1461A" w:rsidR="00EB76D5" w:rsidRDefault="0027694B">
          <w:pPr>
            <w:pStyle w:val="TOC2"/>
            <w:rPr>
              <w:rFonts w:asciiTheme="minorHAnsi" w:eastAsiaTheme="minorEastAsia" w:hAnsiTheme="minorHAnsi"/>
              <w:bCs w:val="0"/>
              <w:noProof/>
              <w:color w:val="auto"/>
              <w:kern w:val="2"/>
              <w:sz w:val="22"/>
              <w:szCs w:val="22"/>
              <w:lang w:eastAsia="en-AU"/>
              <w14:ligatures w14:val="standardContextual"/>
            </w:rPr>
          </w:pPr>
          <w:hyperlink w:anchor="_Toc138158973" w:history="1">
            <w:r w:rsidR="00EB76D5" w:rsidRPr="00B3545C">
              <w:rPr>
                <w:rStyle w:val="Hyperlink"/>
                <w:noProof/>
              </w:rPr>
              <w:t>Consultation</w:t>
            </w:r>
            <w:r w:rsidR="00EB76D5">
              <w:rPr>
                <w:noProof/>
                <w:webHidden/>
              </w:rPr>
              <w:tab/>
            </w:r>
            <w:r w:rsidR="00EB76D5">
              <w:rPr>
                <w:noProof/>
                <w:webHidden/>
              </w:rPr>
              <w:fldChar w:fldCharType="begin"/>
            </w:r>
            <w:r w:rsidR="00EB76D5">
              <w:rPr>
                <w:noProof/>
                <w:webHidden/>
              </w:rPr>
              <w:instrText xml:space="preserve"> PAGEREF _Toc138158973 \h </w:instrText>
            </w:r>
            <w:r w:rsidR="00EB76D5">
              <w:rPr>
                <w:noProof/>
                <w:webHidden/>
              </w:rPr>
            </w:r>
            <w:r w:rsidR="00EB76D5">
              <w:rPr>
                <w:noProof/>
                <w:webHidden/>
              </w:rPr>
              <w:fldChar w:fldCharType="separate"/>
            </w:r>
            <w:r w:rsidR="00EB76D5">
              <w:rPr>
                <w:noProof/>
                <w:webHidden/>
              </w:rPr>
              <w:t>18</w:t>
            </w:r>
            <w:r w:rsidR="00EB76D5">
              <w:rPr>
                <w:noProof/>
                <w:webHidden/>
              </w:rPr>
              <w:fldChar w:fldCharType="end"/>
            </w:r>
          </w:hyperlink>
        </w:p>
        <w:p w14:paraId="68C10629" w14:textId="3A525D42" w:rsidR="00EB76D5" w:rsidRDefault="0027694B">
          <w:pPr>
            <w:pStyle w:val="TOC1"/>
            <w:rPr>
              <w:rFonts w:asciiTheme="minorHAnsi" w:eastAsiaTheme="minorEastAsia" w:hAnsiTheme="minorHAnsi"/>
              <w:b w:val="0"/>
              <w:bCs w:val="0"/>
              <w:noProof/>
              <w:color w:val="auto"/>
              <w:kern w:val="2"/>
              <w:sz w:val="22"/>
              <w:szCs w:val="22"/>
              <w:lang w:eastAsia="en-AU"/>
              <w14:ligatures w14:val="standardContextual"/>
            </w:rPr>
          </w:pPr>
          <w:hyperlink w:anchor="_Toc138158974" w:history="1">
            <w:r w:rsidR="00EB76D5" w:rsidRPr="00B3545C">
              <w:rPr>
                <w:rStyle w:val="Hyperlink"/>
                <w:noProof/>
              </w:rPr>
              <w:t>References</w:t>
            </w:r>
            <w:r w:rsidR="00EB76D5">
              <w:rPr>
                <w:noProof/>
                <w:webHidden/>
              </w:rPr>
              <w:tab/>
            </w:r>
            <w:r w:rsidR="00EB76D5">
              <w:rPr>
                <w:noProof/>
                <w:webHidden/>
              </w:rPr>
              <w:fldChar w:fldCharType="begin"/>
            </w:r>
            <w:r w:rsidR="00EB76D5">
              <w:rPr>
                <w:noProof/>
                <w:webHidden/>
              </w:rPr>
              <w:instrText xml:space="preserve"> PAGEREF _Toc138158974 \h </w:instrText>
            </w:r>
            <w:r w:rsidR="00EB76D5">
              <w:rPr>
                <w:noProof/>
                <w:webHidden/>
              </w:rPr>
            </w:r>
            <w:r w:rsidR="00EB76D5">
              <w:rPr>
                <w:noProof/>
                <w:webHidden/>
              </w:rPr>
              <w:fldChar w:fldCharType="separate"/>
            </w:r>
            <w:r w:rsidR="00EB76D5">
              <w:rPr>
                <w:noProof/>
                <w:webHidden/>
              </w:rPr>
              <w:t>20</w:t>
            </w:r>
            <w:r w:rsidR="00EB76D5">
              <w:rPr>
                <w:noProof/>
                <w:webHidden/>
              </w:rPr>
              <w:fldChar w:fldCharType="end"/>
            </w:r>
          </w:hyperlink>
        </w:p>
        <w:p w14:paraId="501652DF" w14:textId="4C16A03B" w:rsidR="00EB76D5" w:rsidRDefault="0027694B">
          <w:pPr>
            <w:pStyle w:val="TOC2"/>
            <w:rPr>
              <w:rFonts w:asciiTheme="minorHAnsi" w:eastAsiaTheme="minorEastAsia" w:hAnsiTheme="minorHAnsi"/>
              <w:bCs w:val="0"/>
              <w:noProof/>
              <w:color w:val="auto"/>
              <w:kern w:val="2"/>
              <w:sz w:val="22"/>
              <w:szCs w:val="22"/>
              <w:lang w:eastAsia="en-AU"/>
              <w14:ligatures w14:val="standardContextual"/>
            </w:rPr>
          </w:pPr>
          <w:hyperlink w:anchor="_Toc138158975" w:history="1">
            <w:r w:rsidR="00EB76D5" w:rsidRPr="00B3545C">
              <w:rPr>
                <w:rStyle w:val="Hyperlink"/>
                <w:b/>
                <w:noProof/>
              </w:rPr>
              <w:t>Attachment A:</w:t>
            </w:r>
            <w:r w:rsidR="00EB76D5" w:rsidRPr="00B3545C">
              <w:rPr>
                <w:rStyle w:val="Hyperlink"/>
                <w:noProof/>
              </w:rPr>
              <w:t xml:space="preserve"> Model validation</w:t>
            </w:r>
            <w:r w:rsidR="00EB76D5">
              <w:rPr>
                <w:noProof/>
                <w:webHidden/>
              </w:rPr>
              <w:tab/>
            </w:r>
            <w:r w:rsidR="00EB76D5">
              <w:rPr>
                <w:noProof/>
                <w:webHidden/>
              </w:rPr>
              <w:fldChar w:fldCharType="begin"/>
            </w:r>
            <w:r w:rsidR="00EB76D5">
              <w:rPr>
                <w:noProof/>
                <w:webHidden/>
              </w:rPr>
              <w:instrText xml:space="preserve"> PAGEREF _Toc138158975 \h </w:instrText>
            </w:r>
            <w:r w:rsidR="00EB76D5">
              <w:rPr>
                <w:noProof/>
                <w:webHidden/>
              </w:rPr>
            </w:r>
            <w:r w:rsidR="00EB76D5">
              <w:rPr>
                <w:noProof/>
                <w:webHidden/>
              </w:rPr>
              <w:fldChar w:fldCharType="separate"/>
            </w:r>
            <w:r w:rsidR="00EB76D5">
              <w:rPr>
                <w:noProof/>
                <w:webHidden/>
              </w:rPr>
              <w:t>21</w:t>
            </w:r>
            <w:r w:rsidR="00EB76D5">
              <w:rPr>
                <w:noProof/>
                <w:webHidden/>
              </w:rPr>
              <w:fldChar w:fldCharType="end"/>
            </w:r>
          </w:hyperlink>
        </w:p>
        <w:p w14:paraId="03761825" w14:textId="6DC29B1D" w:rsidR="00EB76D5" w:rsidRDefault="0027694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8976" w:history="1">
            <w:r w:rsidR="00EB76D5" w:rsidRPr="00B3545C">
              <w:rPr>
                <w:rStyle w:val="Hyperlink"/>
                <w:noProof/>
              </w:rPr>
              <w:t>Significance</w:t>
            </w:r>
            <w:r w:rsidR="00EB76D5">
              <w:rPr>
                <w:noProof/>
                <w:webHidden/>
              </w:rPr>
              <w:tab/>
            </w:r>
            <w:r w:rsidR="00EB76D5">
              <w:rPr>
                <w:noProof/>
                <w:webHidden/>
              </w:rPr>
              <w:fldChar w:fldCharType="begin"/>
            </w:r>
            <w:r w:rsidR="00EB76D5">
              <w:rPr>
                <w:noProof/>
                <w:webHidden/>
              </w:rPr>
              <w:instrText xml:space="preserve"> PAGEREF _Toc138158976 \h </w:instrText>
            </w:r>
            <w:r w:rsidR="00EB76D5">
              <w:rPr>
                <w:noProof/>
                <w:webHidden/>
              </w:rPr>
            </w:r>
            <w:r w:rsidR="00EB76D5">
              <w:rPr>
                <w:noProof/>
                <w:webHidden/>
              </w:rPr>
              <w:fldChar w:fldCharType="separate"/>
            </w:r>
            <w:r w:rsidR="00EB76D5">
              <w:rPr>
                <w:noProof/>
                <w:webHidden/>
              </w:rPr>
              <w:t>21</w:t>
            </w:r>
            <w:r w:rsidR="00EB76D5">
              <w:rPr>
                <w:noProof/>
                <w:webHidden/>
              </w:rPr>
              <w:fldChar w:fldCharType="end"/>
            </w:r>
          </w:hyperlink>
        </w:p>
        <w:p w14:paraId="648902D4" w14:textId="1E484764" w:rsidR="00EB76D5" w:rsidRDefault="0027694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8977" w:history="1">
            <w:r w:rsidR="00EB76D5" w:rsidRPr="00B3545C">
              <w:rPr>
                <w:rStyle w:val="Hyperlink"/>
                <w:noProof/>
              </w:rPr>
              <w:t>Multicollinearity</w:t>
            </w:r>
            <w:r w:rsidR="00EB76D5">
              <w:rPr>
                <w:noProof/>
                <w:webHidden/>
              </w:rPr>
              <w:tab/>
            </w:r>
            <w:r w:rsidR="00EB76D5">
              <w:rPr>
                <w:noProof/>
                <w:webHidden/>
              </w:rPr>
              <w:fldChar w:fldCharType="begin"/>
            </w:r>
            <w:r w:rsidR="00EB76D5">
              <w:rPr>
                <w:noProof/>
                <w:webHidden/>
              </w:rPr>
              <w:instrText xml:space="preserve"> PAGEREF _Toc138158977 \h </w:instrText>
            </w:r>
            <w:r w:rsidR="00EB76D5">
              <w:rPr>
                <w:noProof/>
                <w:webHidden/>
              </w:rPr>
            </w:r>
            <w:r w:rsidR="00EB76D5">
              <w:rPr>
                <w:noProof/>
                <w:webHidden/>
              </w:rPr>
              <w:fldChar w:fldCharType="separate"/>
            </w:r>
            <w:r w:rsidR="00EB76D5">
              <w:rPr>
                <w:noProof/>
                <w:webHidden/>
              </w:rPr>
              <w:t>22</w:t>
            </w:r>
            <w:r w:rsidR="00EB76D5">
              <w:rPr>
                <w:noProof/>
                <w:webHidden/>
              </w:rPr>
              <w:fldChar w:fldCharType="end"/>
            </w:r>
          </w:hyperlink>
        </w:p>
        <w:p w14:paraId="773E727A" w14:textId="64748925" w:rsidR="00EB76D5" w:rsidRDefault="0027694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8978" w:history="1">
            <w:r w:rsidR="00EB76D5" w:rsidRPr="00B3545C">
              <w:rPr>
                <w:rStyle w:val="Hyperlink"/>
                <w:noProof/>
              </w:rPr>
              <w:t>Overfitting</w:t>
            </w:r>
            <w:r w:rsidR="00EB76D5">
              <w:rPr>
                <w:noProof/>
                <w:webHidden/>
              </w:rPr>
              <w:tab/>
            </w:r>
            <w:r w:rsidR="00EB76D5">
              <w:rPr>
                <w:noProof/>
                <w:webHidden/>
              </w:rPr>
              <w:fldChar w:fldCharType="begin"/>
            </w:r>
            <w:r w:rsidR="00EB76D5">
              <w:rPr>
                <w:noProof/>
                <w:webHidden/>
              </w:rPr>
              <w:instrText xml:space="preserve"> PAGEREF _Toc138158978 \h </w:instrText>
            </w:r>
            <w:r w:rsidR="00EB76D5">
              <w:rPr>
                <w:noProof/>
                <w:webHidden/>
              </w:rPr>
            </w:r>
            <w:r w:rsidR="00EB76D5">
              <w:rPr>
                <w:noProof/>
                <w:webHidden/>
              </w:rPr>
              <w:fldChar w:fldCharType="separate"/>
            </w:r>
            <w:r w:rsidR="00EB76D5">
              <w:rPr>
                <w:noProof/>
                <w:webHidden/>
              </w:rPr>
              <w:t>23</w:t>
            </w:r>
            <w:r w:rsidR="00EB76D5">
              <w:rPr>
                <w:noProof/>
                <w:webHidden/>
              </w:rPr>
              <w:fldChar w:fldCharType="end"/>
            </w:r>
          </w:hyperlink>
        </w:p>
        <w:p w14:paraId="31BAAF01" w14:textId="24560A42" w:rsidR="00EB76D5" w:rsidRDefault="0027694B">
          <w:pPr>
            <w:pStyle w:val="TOC2"/>
            <w:rPr>
              <w:rFonts w:asciiTheme="minorHAnsi" w:eastAsiaTheme="minorEastAsia" w:hAnsiTheme="minorHAnsi"/>
              <w:bCs w:val="0"/>
              <w:noProof/>
              <w:color w:val="auto"/>
              <w:kern w:val="2"/>
              <w:sz w:val="22"/>
              <w:szCs w:val="22"/>
              <w:lang w:eastAsia="en-AU"/>
              <w14:ligatures w14:val="standardContextual"/>
            </w:rPr>
          </w:pPr>
          <w:hyperlink w:anchor="_Toc138158979" w:history="1">
            <w:r w:rsidR="00EB76D5" w:rsidRPr="00B3545C">
              <w:rPr>
                <w:rStyle w:val="Hyperlink"/>
                <w:b/>
                <w:noProof/>
              </w:rPr>
              <w:t>Attachment B:</w:t>
            </w:r>
            <w:r w:rsidR="00EB76D5" w:rsidRPr="00B3545C">
              <w:rPr>
                <w:rStyle w:val="Hyperlink"/>
                <w:noProof/>
              </w:rPr>
              <w:t xml:space="preserve"> Combining estimates</w:t>
            </w:r>
            <w:r w:rsidR="00EB76D5">
              <w:rPr>
                <w:noProof/>
                <w:webHidden/>
              </w:rPr>
              <w:tab/>
            </w:r>
            <w:r w:rsidR="00EB76D5">
              <w:rPr>
                <w:noProof/>
                <w:webHidden/>
              </w:rPr>
              <w:fldChar w:fldCharType="begin"/>
            </w:r>
            <w:r w:rsidR="00EB76D5">
              <w:rPr>
                <w:noProof/>
                <w:webHidden/>
              </w:rPr>
              <w:instrText xml:space="preserve"> PAGEREF _Toc138158979 \h </w:instrText>
            </w:r>
            <w:r w:rsidR="00EB76D5">
              <w:rPr>
                <w:noProof/>
                <w:webHidden/>
              </w:rPr>
            </w:r>
            <w:r w:rsidR="00EB76D5">
              <w:rPr>
                <w:noProof/>
                <w:webHidden/>
              </w:rPr>
              <w:fldChar w:fldCharType="separate"/>
            </w:r>
            <w:r w:rsidR="00EB76D5">
              <w:rPr>
                <w:noProof/>
                <w:webHidden/>
              </w:rPr>
              <w:t>25</w:t>
            </w:r>
            <w:r w:rsidR="00EB76D5">
              <w:rPr>
                <w:noProof/>
                <w:webHidden/>
              </w:rPr>
              <w:fldChar w:fldCharType="end"/>
            </w:r>
          </w:hyperlink>
        </w:p>
        <w:p w14:paraId="61D8766E" w14:textId="46461624" w:rsidR="00EB76D5" w:rsidRDefault="0027694B">
          <w:pPr>
            <w:pStyle w:val="TOC2"/>
            <w:rPr>
              <w:rFonts w:asciiTheme="minorHAnsi" w:eastAsiaTheme="minorEastAsia" w:hAnsiTheme="minorHAnsi"/>
              <w:bCs w:val="0"/>
              <w:noProof/>
              <w:color w:val="auto"/>
              <w:kern w:val="2"/>
              <w:sz w:val="22"/>
              <w:szCs w:val="22"/>
              <w:lang w:eastAsia="en-AU"/>
              <w14:ligatures w14:val="standardContextual"/>
            </w:rPr>
          </w:pPr>
          <w:hyperlink w:anchor="_Toc138158980" w:history="1">
            <w:r w:rsidR="00EB76D5" w:rsidRPr="00B3545C">
              <w:rPr>
                <w:rStyle w:val="Hyperlink"/>
                <w:b/>
                <w:noProof/>
              </w:rPr>
              <w:t>Attachment C:</w:t>
            </w:r>
            <w:r w:rsidR="00EB76D5" w:rsidRPr="00B3545C">
              <w:rPr>
                <w:rStyle w:val="Hyperlink"/>
                <w:noProof/>
              </w:rPr>
              <w:t xml:space="preserve"> Comparing model specifications</w:t>
            </w:r>
            <w:r w:rsidR="00EB76D5">
              <w:rPr>
                <w:noProof/>
                <w:webHidden/>
              </w:rPr>
              <w:tab/>
            </w:r>
            <w:r w:rsidR="00EB76D5">
              <w:rPr>
                <w:noProof/>
                <w:webHidden/>
              </w:rPr>
              <w:fldChar w:fldCharType="begin"/>
            </w:r>
            <w:r w:rsidR="00EB76D5">
              <w:rPr>
                <w:noProof/>
                <w:webHidden/>
              </w:rPr>
              <w:instrText xml:space="preserve"> PAGEREF _Toc138158980 \h </w:instrText>
            </w:r>
            <w:r w:rsidR="00EB76D5">
              <w:rPr>
                <w:noProof/>
                <w:webHidden/>
              </w:rPr>
            </w:r>
            <w:r w:rsidR="00EB76D5">
              <w:rPr>
                <w:noProof/>
                <w:webHidden/>
              </w:rPr>
              <w:fldChar w:fldCharType="separate"/>
            </w:r>
            <w:r w:rsidR="00EB76D5">
              <w:rPr>
                <w:noProof/>
                <w:webHidden/>
              </w:rPr>
              <w:t>27</w:t>
            </w:r>
            <w:r w:rsidR="00EB76D5">
              <w:rPr>
                <w:noProof/>
                <w:webHidden/>
              </w:rPr>
              <w:fldChar w:fldCharType="end"/>
            </w:r>
          </w:hyperlink>
        </w:p>
        <w:p w14:paraId="48443539" w14:textId="2CCE9135" w:rsidR="00EB76D5" w:rsidRDefault="0027694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8981" w:history="1">
            <w:r w:rsidR="00EB76D5" w:rsidRPr="00B3545C">
              <w:rPr>
                <w:rStyle w:val="Hyperlink"/>
                <w:noProof/>
              </w:rPr>
              <w:t>Measuring goodness of fit</w:t>
            </w:r>
            <w:r w:rsidR="00EB76D5">
              <w:rPr>
                <w:noProof/>
                <w:webHidden/>
              </w:rPr>
              <w:tab/>
            </w:r>
            <w:r w:rsidR="00EB76D5">
              <w:rPr>
                <w:noProof/>
                <w:webHidden/>
              </w:rPr>
              <w:fldChar w:fldCharType="begin"/>
            </w:r>
            <w:r w:rsidR="00EB76D5">
              <w:rPr>
                <w:noProof/>
                <w:webHidden/>
              </w:rPr>
              <w:instrText xml:space="preserve"> PAGEREF _Toc138158981 \h </w:instrText>
            </w:r>
            <w:r w:rsidR="00EB76D5">
              <w:rPr>
                <w:noProof/>
                <w:webHidden/>
              </w:rPr>
            </w:r>
            <w:r w:rsidR="00EB76D5">
              <w:rPr>
                <w:noProof/>
                <w:webHidden/>
              </w:rPr>
              <w:fldChar w:fldCharType="separate"/>
            </w:r>
            <w:r w:rsidR="00EB76D5">
              <w:rPr>
                <w:noProof/>
                <w:webHidden/>
              </w:rPr>
              <w:t>27</w:t>
            </w:r>
            <w:r w:rsidR="00EB76D5">
              <w:rPr>
                <w:noProof/>
                <w:webHidden/>
              </w:rPr>
              <w:fldChar w:fldCharType="end"/>
            </w:r>
          </w:hyperlink>
        </w:p>
        <w:p w14:paraId="7BBAAEAF" w14:textId="61DCC09E" w:rsidR="00EB76D5" w:rsidRDefault="0027694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8982" w:history="1">
            <w:r w:rsidR="00EB76D5" w:rsidRPr="00B3545C">
              <w:rPr>
                <w:rStyle w:val="Hyperlink"/>
                <w:noProof/>
              </w:rPr>
              <w:t>Comparing the different specifications</w:t>
            </w:r>
            <w:r w:rsidR="00EB76D5">
              <w:rPr>
                <w:noProof/>
                <w:webHidden/>
              </w:rPr>
              <w:tab/>
            </w:r>
            <w:r w:rsidR="00EB76D5">
              <w:rPr>
                <w:noProof/>
                <w:webHidden/>
              </w:rPr>
              <w:fldChar w:fldCharType="begin"/>
            </w:r>
            <w:r w:rsidR="00EB76D5">
              <w:rPr>
                <w:noProof/>
                <w:webHidden/>
              </w:rPr>
              <w:instrText xml:space="preserve"> PAGEREF _Toc138158982 \h </w:instrText>
            </w:r>
            <w:r w:rsidR="00EB76D5">
              <w:rPr>
                <w:noProof/>
                <w:webHidden/>
              </w:rPr>
            </w:r>
            <w:r w:rsidR="00EB76D5">
              <w:rPr>
                <w:noProof/>
                <w:webHidden/>
              </w:rPr>
              <w:fldChar w:fldCharType="separate"/>
            </w:r>
            <w:r w:rsidR="00EB76D5">
              <w:rPr>
                <w:noProof/>
                <w:webHidden/>
              </w:rPr>
              <w:t>27</w:t>
            </w:r>
            <w:r w:rsidR="00EB76D5">
              <w:rPr>
                <w:noProof/>
                <w:webHidden/>
              </w:rPr>
              <w:fldChar w:fldCharType="end"/>
            </w:r>
          </w:hyperlink>
        </w:p>
        <w:p w14:paraId="43CC6DC1" w14:textId="02EAEC58" w:rsidR="00EB76D5" w:rsidRDefault="0027694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8983" w:history="1">
            <w:r w:rsidR="00EB76D5" w:rsidRPr="00B3545C">
              <w:rPr>
                <w:rStyle w:val="Hyperlink"/>
                <w:noProof/>
              </w:rPr>
              <w:t>Hourly wages specification and R-squared</w:t>
            </w:r>
            <w:r w:rsidR="00EB76D5">
              <w:rPr>
                <w:noProof/>
                <w:webHidden/>
              </w:rPr>
              <w:tab/>
            </w:r>
            <w:r w:rsidR="00EB76D5">
              <w:rPr>
                <w:noProof/>
                <w:webHidden/>
              </w:rPr>
              <w:fldChar w:fldCharType="begin"/>
            </w:r>
            <w:r w:rsidR="00EB76D5">
              <w:rPr>
                <w:noProof/>
                <w:webHidden/>
              </w:rPr>
              <w:instrText xml:space="preserve"> PAGEREF _Toc138158983 \h </w:instrText>
            </w:r>
            <w:r w:rsidR="00EB76D5">
              <w:rPr>
                <w:noProof/>
                <w:webHidden/>
              </w:rPr>
            </w:r>
            <w:r w:rsidR="00EB76D5">
              <w:rPr>
                <w:noProof/>
                <w:webHidden/>
              </w:rPr>
              <w:fldChar w:fldCharType="separate"/>
            </w:r>
            <w:r w:rsidR="00EB76D5">
              <w:rPr>
                <w:noProof/>
                <w:webHidden/>
              </w:rPr>
              <w:t>29</w:t>
            </w:r>
            <w:r w:rsidR="00EB76D5">
              <w:rPr>
                <w:noProof/>
                <w:webHidden/>
              </w:rPr>
              <w:fldChar w:fldCharType="end"/>
            </w:r>
          </w:hyperlink>
        </w:p>
        <w:p w14:paraId="149B5A76" w14:textId="3D887076" w:rsidR="00EB76D5" w:rsidRDefault="0027694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8984" w:history="1">
            <w:r w:rsidR="00EB76D5" w:rsidRPr="00B3545C">
              <w:rPr>
                <w:rStyle w:val="Hyperlink"/>
                <w:noProof/>
              </w:rPr>
              <w:t>Improved hours specifications</w:t>
            </w:r>
            <w:r w:rsidR="00EB76D5">
              <w:rPr>
                <w:noProof/>
                <w:webHidden/>
              </w:rPr>
              <w:tab/>
            </w:r>
            <w:r w:rsidR="00EB76D5">
              <w:rPr>
                <w:noProof/>
                <w:webHidden/>
              </w:rPr>
              <w:fldChar w:fldCharType="begin"/>
            </w:r>
            <w:r w:rsidR="00EB76D5">
              <w:rPr>
                <w:noProof/>
                <w:webHidden/>
              </w:rPr>
              <w:instrText xml:space="preserve"> PAGEREF _Toc138158984 \h </w:instrText>
            </w:r>
            <w:r w:rsidR="00EB76D5">
              <w:rPr>
                <w:noProof/>
                <w:webHidden/>
              </w:rPr>
            </w:r>
            <w:r w:rsidR="00EB76D5">
              <w:rPr>
                <w:noProof/>
                <w:webHidden/>
              </w:rPr>
              <w:fldChar w:fldCharType="separate"/>
            </w:r>
            <w:r w:rsidR="00EB76D5">
              <w:rPr>
                <w:noProof/>
                <w:webHidden/>
              </w:rPr>
              <w:t>29</w:t>
            </w:r>
            <w:r w:rsidR="00EB76D5">
              <w:rPr>
                <w:noProof/>
                <w:webHidden/>
              </w:rPr>
              <w:fldChar w:fldCharType="end"/>
            </w:r>
          </w:hyperlink>
        </w:p>
        <w:p w14:paraId="26EA1013" w14:textId="56B97FF7" w:rsidR="00EB76D5" w:rsidRDefault="0027694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58985" w:history="1">
            <w:r w:rsidR="00EB76D5" w:rsidRPr="00B3545C">
              <w:rPr>
                <w:rStyle w:val="Hyperlink"/>
                <w:noProof/>
              </w:rPr>
              <w:t>Other regressors</w:t>
            </w:r>
            <w:r w:rsidR="00EB76D5">
              <w:rPr>
                <w:noProof/>
                <w:webHidden/>
              </w:rPr>
              <w:tab/>
            </w:r>
            <w:r w:rsidR="00EB76D5">
              <w:rPr>
                <w:noProof/>
                <w:webHidden/>
              </w:rPr>
              <w:fldChar w:fldCharType="begin"/>
            </w:r>
            <w:r w:rsidR="00EB76D5">
              <w:rPr>
                <w:noProof/>
                <w:webHidden/>
              </w:rPr>
              <w:instrText xml:space="preserve"> PAGEREF _Toc138158985 \h </w:instrText>
            </w:r>
            <w:r w:rsidR="00EB76D5">
              <w:rPr>
                <w:noProof/>
                <w:webHidden/>
              </w:rPr>
            </w:r>
            <w:r w:rsidR="00EB76D5">
              <w:rPr>
                <w:noProof/>
                <w:webHidden/>
              </w:rPr>
              <w:fldChar w:fldCharType="separate"/>
            </w:r>
            <w:r w:rsidR="00EB76D5">
              <w:rPr>
                <w:noProof/>
                <w:webHidden/>
              </w:rPr>
              <w:t>31</w:t>
            </w:r>
            <w:r w:rsidR="00EB76D5">
              <w:rPr>
                <w:noProof/>
                <w:webHidden/>
              </w:rPr>
              <w:fldChar w:fldCharType="end"/>
            </w:r>
          </w:hyperlink>
        </w:p>
        <w:p w14:paraId="5B35147A" w14:textId="7C776D02" w:rsidR="005B6B61" w:rsidRDefault="005B6B61">
          <w:r>
            <w:rPr>
              <w:b/>
              <w:bCs/>
              <w:noProof/>
            </w:rPr>
            <w:fldChar w:fldCharType="end"/>
          </w:r>
        </w:p>
      </w:sdtContent>
    </w:sdt>
    <w:p w14:paraId="4943E9E0" w14:textId="012EAD79" w:rsidR="00A5102B" w:rsidRPr="007C4D64" w:rsidRDefault="00C53513" w:rsidP="007C4D64">
      <w:pPr>
        <w:pStyle w:val="Heading2"/>
      </w:pPr>
      <w:bookmarkStart w:id="0" w:name="_Toc133236145"/>
      <w:bookmarkStart w:id="1" w:name="_Toc133236171"/>
      <w:bookmarkStart w:id="2" w:name="_Toc138158955"/>
      <w:r>
        <w:lastRenderedPageBreak/>
        <w:t>Overview of category</w:t>
      </w:r>
      <w:bookmarkEnd w:id="0"/>
      <w:bookmarkEnd w:id="1"/>
      <w:bookmarkEnd w:id="2"/>
    </w:p>
    <w:p w14:paraId="0C6ED415" w14:textId="596254A2" w:rsidR="00A11A9E" w:rsidRPr="008C2EF6" w:rsidRDefault="00A11A9E" w:rsidP="00A11A9E">
      <w:pPr>
        <w:pStyle w:val="CGC2025ParaNumbers"/>
      </w:pPr>
      <w:bookmarkStart w:id="3" w:name="_Toc116563445"/>
      <w:bookmarkStart w:id="4" w:name="_Toc117241705"/>
      <w:bookmarkStart w:id="5" w:name="_Toc133236146"/>
      <w:bookmarkStart w:id="6" w:name="_Toc133236172"/>
      <w:r w:rsidRPr="008C2EF6">
        <w:t xml:space="preserve">State governments employ about </w:t>
      </w:r>
      <w:r w:rsidR="00956139">
        <w:t>1</w:t>
      </w:r>
      <w:r w:rsidRPr="008C2EF6">
        <w:t xml:space="preserve"> in 10 Australian workers. Wages and salaries represent the largest component of recurrent </w:t>
      </w:r>
      <w:r>
        <w:t>s</w:t>
      </w:r>
      <w:r w:rsidRPr="008C2EF6">
        <w:t xml:space="preserve">tate expenditure and account for a significant share of expenses in every expense category. The </w:t>
      </w:r>
      <w:r>
        <w:t>w</w:t>
      </w:r>
      <w:r w:rsidRPr="008C2EF6">
        <w:t xml:space="preserve">age costs assessment addresses a </w:t>
      </w:r>
      <w:r>
        <w:t>cross-cutting</w:t>
      </w:r>
      <w:r w:rsidRPr="008C2EF6">
        <w:t xml:space="preserve"> </w:t>
      </w:r>
      <w:r>
        <w:t>driver of interstate difference in cost pressures</w:t>
      </w:r>
      <w:r w:rsidRPr="008C2EF6">
        <w:t xml:space="preserve">, rather than the expenses associated with an individual category of service delivery (such as schools or health spending). </w:t>
      </w:r>
    </w:p>
    <w:p w14:paraId="12CAF084" w14:textId="77777777" w:rsidR="00A11A9E" w:rsidRPr="00214125" w:rsidRDefault="00A11A9E" w:rsidP="00A11A9E">
      <w:pPr>
        <w:pStyle w:val="CGC2025ParaNumbers"/>
      </w:pPr>
      <w:r w:rsidRPr="00214125">
        <w:rPr>
          <w:rFonts w:eastAsia="Calibri" w:cs="Arial"/>
          <w:szCs w:val="20"/>
        </w:rPr>
        <w:t>The</w:t>
      </w:r>
      <w:r w:rsidRPr="00214125" w:rsidDel="00D10286">
        <w:rPr>
          <w:rFonts w:eastAsia="Calibri" w:cs="Arial"/>
          <w:szCs w:val="20"/>
        </w:rPr>
        <w:t xml:space="preserve"> </w:t>
      </w:r>
      <w:r>
        <w:rPr>
          <w:rFonts w:eastAsia="Calibri" w:cs="Arial"/>
          <w:szCs w:val="20"/>
        </w:rPr>
        <w:t>w</w:t>
      </w:r>
      <w:r w:rsidRPr="00214125">
        <w:rPr>
          <w:rFonts w:eastAsia="Calibri" w:cs="Arial"/>
          <w:szCs w:val="20"/>
        </w:rPr>
        <w:t xml:space="preserve">age costs assessment recognises that comparable public sector employees in different </w:t>
      </w:r>
      <w:r>
        <w:rPr>
          <w:rFonts w:eastAsia="Calibri" w:cs="Arial"/>
          <w:szCs w:val="20"/>
        </w:rPr>
        <w:t>s</w:t>
      </w:r>
      <w:r w:rsidRPr="00214125">
        <w:rPr>
          <w:rFonts w:eastAsia="Calibri" w:cs="Arial"/>
          <w:szCs w:val="20"/>
        </w:rPr>
        <w:t xml:space="preserve">tates are paid different wages, partly due to differences in labour markets beyond the control of </w:t>
      </w:r>
      <w:r>
        <w:rPr>
          <w:rFonts w:eastAsia="Calibri" w:cs="Arial"/>
          <w:szCs w:val="20"/>
        </w:rPr>
        <w:t>s</w:t>
      </w:r>
      <w:r w:rsidRPr="00214125">
        <w:rPr>
          <w:rFonts w:eastAsia="Calibri" w:cs="Arial"/>
          <w:szCs w:val="20"/>
        </w:rPr>
        <w:t>tate governments.</w:t>
      </w:r>
    </w:p>
    <w:p w14:paraId="0E79A4FD" w14:textId="5CFDC522" w:rsidR="00A11A9E" w:rsidRDefault="00A11A9E" w:rsidP="00A11A9E">
      <w:pPr>
        <w:pStyle w:val="CGC2025ParaNumbers"/>
        <w:rPr>
          <w:rFonts w:eastAsia="Calibri" w:cs="Arial"/>
          <w:szCs w:val="20"/>
        </w:rPr>
      </w:pPr>
      <w:r w:rsidRPr="00B1747A">
        <w:rPr>
          <w:rFonts w:eastAsia="Calibri" w:cs="Arial"/>
          <w:szCs w:val="20"/>
        </w:rPr>
        <w:t xml:space="preserve">The Commission estimates differences between state wage costs </w:t>
      </w:r>
      <w:r>
        <w:rPr>
          <w:rFonts w:eastAsia="Calibri" w:cs="Arial"/>
          <w:szCs w:val="20"/>
        </w:rPr>
        <w:t>using an econometric model of wages of private sector employees</w:t>
      </w:r>
      <w:r w:rsidR="009F60FA">
        <w:rPr>
          <w:rFonts w:eastAsia="Calibri" w:cs="Arial"/>
          <w:szCs w:val="20"/>
        </w:rPr>
        <w:t>,</w:t>
      </w:r>
      <w:r>
        <w:rPr>
          <w:rFonts w:eastAsia="Calibri" w:cs="Arial"/>
          <w:szCs w:val="20"/>
        </w:rPr>
        <w:t xml:space="preserve"> which uses data from the ABS’s Characteristics of Employment survey. Private sector wages are used to estimate a policy neutral measure of public sector wage differences across states. The ABS survey is conducted annually and a new estimate of relative differences in state wages is calculated for each assessment year.</w:t>
      </w:r>
    </w:p>
    <w:p w14:paraId="6BBB37C1" w14:textId="77777777" w:rsidR="00A11A9E" w:rsidRDefault="00A11A9E" w:rsidP="00A11A9E">
      <w:pPr>
        <w:pStyle w:val="CGC2025ParaNumbers"/>
        <w:rPr>
          <w:rFonts w:eastAsia="Calibri" w:cs="Arial"/>
        </w:rPr>
      </w:pPr>
      <w:r w:rsidRPr="1646B7FD">
        <w:rPr>
          <w:rFonts w:eastAsia="Calibri" w:cs="Arial"/>
        </w:rPr>
        <w:t>The assessment is designed to identify the difference in cost for states to employ similar workers. Non-geographic factors</w:t>
      </w:r>
      <w:r>
        <w:rPr>
          <w:rFonts w:eastAsia="Calibri" w:cs="Arial"/>
        </w:rPr>
        <w:t xml:space="preserve"> </w:t>
      </w:r>
      <w:r w:rsidRPr="1646B7FD">
        <w:rPr>
          <w:rFonts w:eastAsia="Calibri" w:cs="Arial"/>
        </w:rPr>
        <w:t>(such as education, skills mix and years of experience) that influence individual wages are controlled for</w:t>
      </w:r>
      <w:r>
        <w:rPr>
          <w:rFonts w:eastAsia="Calibri" w:cs="Arial"/>
        </w:rPr>
        <w:t xml:space="preserve"> in the model. This </w:t>
      </w:r>
      <w:r w:rsidRPr="1646B7FD">
        <w:rPr>
          <w:rFonts w:eastAsia="Calibri" w:cs="Arial"/>
        </w:rPr>
        <w:t>leav</w:t>
      </w:r>
      <w:r>
        <w:rPr>
          <w:rFonts w:eastAsia="Calibri" w:cs="Arial"/>
        </w:rPr>
        <w:t>es</w:t>
      </w:r>
      <w:r w:rsidRPr="1646B7FD">
        <w:rPr>
          <w:rFonts w:eastAsia="Calibri" w:cs="Arial"/>
        </w:rPr>
        <w:t xml:space="preserve"> only the geographic effects (such as local amenities, climate, attachment to a state, cost of migration).</w:t>
      </w:r>
      <w:r>
        <w:rPr>
          <w:rFonts w:eastAsia="Calibri" w:cs="Arial"/>
        </w:rPr>
        <w:t xml:space="preserve"> </w:t>
      </w:r>
    </w:p>
    <w:p w14:paraId="0856C9A6" w14:textId="07E08C0E" w:rsidR="00A11A9E" w:rsidRPr="00140CE8" w:rsidRDefault="00A11A9E" w:rsidP="00A11A9E">
      <w:pPr>
        <w:pStyle w:val="CGC2025ParaNumbers"/>
        <w:rPr>
          <w:rFonts w:eastAsia="Calibri" w:cs="Arial"/>
        </w:rPr>
      </w:pPr>
      <w:r w:rsidRPr="00140CE8">
        <w:rPr>
          <w:rFonts w:eastAsia="Calibri" w:cs="Arial"/>
        </w:rPr>
        <w:t>In the 2025 Review, the Commission</w:t>
      </w:r>
      <w:r>
        <w:rPr>
          <w:rFonts w:eastAsia="Calibri" w:cs="Arial"/>
        </w:rPr>
        <w:t>’s</w:t>
      </w:r>
      <w:r w:rsidRPr="00140CE8">
        <w:rPr>
          <w:rFonts w:eastAsia="Calibri" w:cs="Arial"/>
        </w:rPr>
        <w:t xml:space="preserve"> review framework </w:t>
      </w:r>
      <w:r>
        <w:rPr>
          <w:rFonts w:eastAsia="Calibri" w:cs="Arial"/>
        </w:rPr>
        <w:t xml:space="preserve">focuses on </w:t>
      </w:r>
      <w:r w:rsidRPr="00140CE8">
        <w:rPr>
          <w:rFonts w:eastAsia="Calibri" w:cs="Arial"/>
        </w:rPr>
        <w:t xml:space="preserve">what has changed since </w:t>
      </w:r>
      <w:r>
        <w:rPr>
          <w:rFonts w:eastAsia="Calibri" w:cs="Arial"/>
        </w:rPr>
        <w:t>the 2020</w:t>
      </w:r>
      <w:r w:rsidRPr="00140CE8">
        <w:rPr>
          <w:rFonts w:eastAsia="Calibri" w:cs="Arial"/>
        </w:rPr>
        <w:t xml:space="preserve"> </w:t>
      </w:r>
      <w:r>
        <w:rPr>
          <w:rFonts w:eastAsia="Calibri" w:cs="Arial"/>
        </w:rPr>
        <w:t>R</w:t>
      </w:r>
      <w:r w:rsidRPr="00140CE8">
        <w:rPr>
          <w:rFonts w:eastAsia="Calibri" w:cs="Arial"/>
        </w:rPr>
        <w:t>eview and whether these changes</w:t>
      </w:r>
      <w:r>
        <w:rPr>
          <w:rFonts w:eastAsia="Calibri" w:cs="Arial"/>
        </w:rPr>
        <w:t xml:space="preserve"> have implications for the assessment </w:t>
      </w:r>
      <w:r w:rsidRPr="009330DC">
        <w:rPr>
          <w:rFonts w:eastAsia="Calibri" w:cs="Arial"/>
        </w:rPr>
        <w:t xml:space="preserve">method. </w:t>
      </w:r>
      <w:proofErr w:type="gramStart"/>
      <w:r w:rsidR="00D06DE4">
        <w:rPr>
          <w:rFonts w:eastAsia="Calibri" w:cs="Arial"/>
        </w:rPr>
        <w:t>With regard to</w:t>
      </w:r>
      <w:proofErr w:type="gramEnd"/>
      <w:r w:rsidRPr="009330DC">
        <w:rPr>
          <w:rFonts w:eastAsia="Calibri" w:cs="Arial"/>
        </w:rPr>
        <w:t xml:space="preserve"> the wage</w:t>
      </w:r>
      <w:r w:rsidR="00BC0C95">
        <w:rPr>
          <w:rFonts w:eastAsia="Calibri" w:cs="Arial"/>
        </w:rPr>
        <w:t xml:space="preserve"> cost</w:t>
      </w:r>
      <w:r w:rsidRPr="009330DC">
        <w:rPr>
          <w:rFonts w:eastAsia="Calibri" w:cs="Arial"/>
        </w:rPr>
        <w:t>s</w:t>
      </w:r>
      <w:r w:rsidRPr="00140CE8">
        <w:rPr>
          <w:rFonts w:eastAsia="Calibri" w:cs="Arial"/>
        </w:rPr>
        <w:t xml:space="preserve"> assessment, the </w:t>
      </w:r>
      <w:r>
        <w:rPr>
          <w:rFonts w:eastAsia="Calibri" w:cs="Arial"/>
        </w:rPr>
        <w:t>labour market has continued to evolve, including because of the impact of COVID</w:t>
      </w:r>
      <w:r w:rsidR="00FE4472">
        <w:rPr>
          <w:rFonts w:eastAsia="Calibri" w:cs="Arial"/>
        </w:rPr>
        <w:noBreakHyphen/>
        <w:t>19</w:t>
      </w:r>
      <w:r>
        <w:rPr>
          <w:rFonts w:eastAsia="Calibri" w:cs="Arial"/>
        </w:rPr>
        <w:t xml:space="preserve">, and new data have become </w:t>
      </w:r>
      <w:r w:rsidRPr="00140CE8">
        <w:rPr>
          <w:rFonts w:eastAsia="Calibri" w:cs="Arial"/>
        </w:rPr>
        <w:t xml:space="preserve">available. </w:t>
      </w:r>
    </w:p>
    <w:p w14:paraId="04829364" w14:textId="453BBF30" w:rsidR="00A11A9E" w:rsidRPr="005214BE" w:rsidRDefault="00A11A9E" w:rsidP="00A11A9E">
      <w:pPr>
        <w:pStyle w:val="CGC2025ParaNumbers"/>
        <w:rPr>
          <w:rFonts w:eastAsia="Calibri" w:cs="Arial"/>
        </w:rPr>
      </w:pPr>
      <w:r w:rsidRPr="677DDCD4">
        <w:rPr>
          <w:rFonts w:eastAsia="Calibri" w:cs="Arial"/>
        </w:rPr>
        <w:t>Noting the importance and complexity of this assessment, the Commission has engaged</w:t>
      </w:r>
      <w:r w:rsidR="001763EB">
        <w:rPr>
          <w:rFonts w:eastAsia="Calibri" w:cs="Arial"/>
        </w:rPr>
        <w:t xml:space="preserve"> </w:t>
      </w:r>
      <w:r w:rsidR="001763EB">
        <w:t>Professor Alison Preston of the University of Western Australia Business School</w:t>
      </w:r>
      <w:r w:rsidRPr="677DDCD4">
        <w:t>, a labour market econometrician, to review the wage</w:t>
      </w:r>
      <w:r w:rsidR="00BC0C95">
        <w:t xml:space="preserve"> cost</w:t>
      </w:r>
      <w:r w:rsidRPr="677DDCD4">
        <w:t>s assessment method, including the specification of the econometric model used by the Commission. States will be invited to provide specific questions for the consultant to consider. States will be provided the resulting report in August 2023 so that it can inform their submissions</w:t>
      </w:r>
      <w:r w:rsidR="00D821B3">
        <w:t xml:space="preserve"> </w:t>
      </w:r>
      <w:r w:rsidR="00B5299E">
        <w:t>on this consultation paper</w:t>
      </w:r>
      <w:r w:rsidRPr="677DDCD4">
        <w:t>. Given that the states will receive the external consultant’s report on the wage</w:t>
      </w:r>
      <w:r w:rsidR="00BC0C95">
        <w:t xml:space="preserve"> cost</w:t>
      </w:r>
      <w:r w:rsidRPr="677DDCD4">
        <w:t xml:space="preserve">s assessment in August 2023, the timing for states providing submissions on wage costs has been extended to </w:t>
      </w:r>
      <w:r w:rsidRPr="00EB76D5">
        <w:rPr>
          <w:b/>
        </w:rPr>
        <w:t xml:space="preserve">13 </w:t>
      </w:r>
      <w:r w:rsidR="0077526E" w:rsidRPr="00EB76D5">
        <w:rPr>
          <w:b/>
        </w:rPr>
        <w:t>November</w:t>
      </w:r>
      <w:r w:rsidRPr="00EB76D5">
        <w:rPr>
          <w:b/>
        </w:rPr>
        <w:t xml:space="preserve"> 2023</w:t>
      </w:r>
      <w:r w:rsidRPr="677DDCD4">
        <w:t>.</w:t>
      </w:r>
    </w:p>
    <w:p w14:paraId="7CD41C7D" w14:textId="7B4FD0DF" w:rsidR="001D33AD" w:rsidRPr="001D33AD" w:rsidRDefault="001D33AD" w:rsidP="00DB66C5">
      <w:pPr>
        <w:pStyle w:val="Heading2"/>
        <w:keepNext/>
      </w:pPr>
      <w:bookmarkStart w:id="7" w:name="_Toc138158956"/>
      <w:bookmarkEnd w:id="3"/>
      <w:bookmarkEnd w:id="4"/>
      <w:r>
        <w:lastRenderedPageBreak/>
        <w:t xml:space="preserve">Current </w:t>
      </w:r>
      <w:r w:rsidR="0093066B">
        <w:t>assessment method – 2020 Review</w:t>
      </w:r>
      <w:bookmarkEnd w:id="5"/>
      <w:bookmarkEnd w:id="6"/>
      <w:bookmarkEnd w:id="7"/>
    </w:p>
    <w:p w14:paraId="44B46E56" w14:textId="71999332" w:rsidR="00A11A9E" w:rsidRPr="00551B05" w:rsidRDefault="00A11A9E" w:rsidP="00A11A9E">
      <w:pPr>
        <w:pStyle w:val="CGC2025ParaNumbers"/>
      </w:pPr>
      <w:bookmarkStart w:id="8" w:name="_Toc133236147"/>
      <w:bookmarkStart w:id="9" w:name="_Toc133236173"/>
      <w:r>
        <w:t>Public sector wage levels vary between states. There are many factors influencing these differences. The Commission’s task is to identify differences resulting from factors outside a state’s control. It does this by measuring the differences in private sector wages across states and using them as a proxy for the non-policy driven differences across states in public sector wages. The model assumes that geographic effects will have the same impact on public sector wages as on private sector wages.</w:t>
      </w:r>
    </w:p>
    <w:p w14:paraId="58F9B241" w14:textId="4CD3A0BD" w:rsidR="00A11A9E" w:rsidRDefault="00A11A9E" w:rsidP="00A11A9E">
      <w:pPr>
        <w:pStyle w:val="CGC2025ParaNumbers"/>
      </w:pPr>
      <w:r>
        <w:t xml:space="preserve">The Commission uses a regression to estimate the differences in wages between individuals attributed to a wide range of characteristics. A state dummy variable is included to estimate the wage difference attributed to state level geographic effects. The model uses extensive controls to account for differences in industry, occupation, education, </w:t>
      </w:r>
      <w:proofErr w:type="gramStart"/>
      <w:r>
        <w:t>experience</w:t>
      </w:r>
      <w:proofErr w:type="gramEnd"/>
      <w:r>
        <w:t xml:space="preserve"> and other, non-geographic factors that influence individual wages. The model excludes all public sector employees to eliminate any direct effects of state government policy on wages</w:t>
      </w:r>
      <w:r w:rsidR="00467E4C">
        <w:t>,</w:t>
      </w:r>
      <w:r>
        <w:t xml:space="preserve"> </w:t>
      </w:r>
      <w:r w:rsidR="00467E4C">
        <w:t>however</w:t>
      </w:r>
      <w:r>
        <w:t xml:space="preserve"> there is still potential for high public sector wages to drive up private sector wages in a state.</w:t>
      </w:r>
    </w:p>
    <w:p w14:paraId="7E385FB8" w14:textId="6DCA49E0" w:rsidR="00A11A9E" w:rsidRDefault="00A11A9E" w:rsidP="00A11A9E">
      <w:pPr>
        <w:pStyle w:val="CGC2025ParaNumbers"/>
      </w:pPr>
      <w:r>
        <w:t xml:space="preserve">The Commission uses </w:t>
      </w:r>
      <w:r w:rsidR="005E083A">
        <w:t>a</w:t>
      </w:r>
      <w:r>
        <w:t xml:space="preserve"> regression to calculate coefficients. It converts these to provide a wage cost factor for each state. A state’s wage cost factor reflects the percentage difference from the national average wage level that is driven by geographic cost pressures.</w:t>
      </w:r>
    </w:p>
    <w:p w14:paraId="53BD1C90" w14:textId="4CE5CBF1" w:rsidR="00A11A9E" w:rsidRDefault="00A11A9E" w:rsidP="00A11A9E">
      <w:pPr>
        <w:pStyle w:val="CGC2025ParaNumbers"/>
      </w:pPr>
      <w:bookmarkStart w:id="10" w:name="_Ref135653585"/>
      <w:r>
        <w:t xml:space="preserve">In the 2020 Review a ‘low’ discount of 12.5% was applied to the wage cost factors. This reflected some uncertainty around the reliability of the survey-based coefficient estimates, the precision of the econometric model and the strength of the correlation between private sector and public sector wages. Discounted wage cost factors are shown in </w:t>
      </w:r>
      <w:r>
        <w:fldChar w:fldCharType="begin"/>
      </w:r>
      <w:r>
        <w:instrText xml:space="preserve"> REF _Ref130806844 \h  \* MERGEFORMAT </w:instrText>
      </w:r>
      <w:r>
        <w:fldChar w:fldCharType="separate"/>
      </w:r>
      <w:r w:rsidR="00BC30E2">
        <w:t xml:space="preserve">Figure </w:t>
      </w:r>
      <w:r w:rsidR="00BC30E2">
        <w:rPr>
          <w:noProof/>
        </w:rPr>
        <w:t>1</w:t>
      </w:r>
      <w:r>
        <w:fldChar w:fldCharType="end"/>
      </w:r>
      <w:bookmarkEnd w:id="10"/>
      <w:r>
        <w:t>.</w:t>
      </w:r>
    </w:p>
    <w:p w14:paraId="7A2A8C9E" w14:textId="55E36654" w:rsidR="008D60AF" w:rsidRDefault="008D60AF" w:rsidP="00D90161">
      <w:pPr>
        <w:pStyle w:val="CGC2025Caption"/>
        <w:keepNext/>
        <w:keepLines/>
        <w:tabs>
          <w:tab w:val="left" w:pos="1134"/>
        </w:tabs>
      </w:pPr>
      <w:bookmarkStart w:id="11" w:name="_Ref130806844"/>
      <w:r>
        <w:lastRenderedPageBreak/>
        <w:t xml:space="preserve">Figure </w:t>
      </w:r>
      <w:r>
        <w:fldChar w:fldCharType="begin"/>
      </w:r>
      <w:r>
        <w:instrText>SEQ Figure \* ARABIC</w:instrText>
      </w:r>
      <w:r>
        <w:fldChar w:fldCharType="separate"/>
      </w:r>
      <w:r w:rsidR="00BC30E2">
        <w:rPr>
          <w:noProof/>
        </w:rPr>
        <w:t>1</w:t>
      </w:r>
      <w:r>
        <w:fldChar w:fldCharType="end"/>
      </w:r>
      <w:bookmarkEnd w:id="11"/>
      <w:r>
        <w:t xml:space="preserve"> </w:t>
      </w:r>
      <w:r>
        <w:tab/>
        <w:t>Wage cost factors for states, 2016-17 to 2021-22</w:t>
      </w:r>
    </w:p>
    <w:p w14:paraId="4D6189C0" w14:textId="77777777" w:rsidR="008D60AF" w:rsidRDefault="008D60AF" w:rsidP="008D60AF">
      <w:pPr>
        <w:keepNext/>
        <w:keepLines/>
      </w:pPr>
      <w:r w:rsidRPr="00791EAF">
        <w:rPr>
          <w:noProof/>
        </w:rPr>
        <w:drawing>
          <wp:inline distT="0" distB="0" distL="0" distR="0" wp14:anchorId="236245E8" wp14:editId="0C209A5E">
            <wp:extent cx="5688000" cy="34164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8000" cy="3416400"/>
                    </a:xfrm>
                    <a:prstGeom prst="rect">
                      <a:avLst/>
                    </a:prstGeom>
                    <a:noFill/>
                    <a:ln>
                      <a:noFill/>
                    </a:ln>
                  </pic:spPr>
                </pic:pic>
              </a:graphicData>
            </a:graphic>
          </wp:inline>
        </w:drawing>
      </w:r>
    </w:p>
    <w:p w14:paraId="31EE6A6F" w14:textId="77777777" w:rsidR="008D60AF" w:rsidRPr="008C2EF6" w:rsidRDefault="008D60AF" w:rsidP="008D60AF">
      <w:pPr>
        <w:pStyle w:val="CGC2025TableNote"/>
        <w:keepNext/>
        <w:keepLines/>
      </w:pPr>
      <w:r w:rsidRPr="008C2EF6">
        <w:t>Note:</w:t>
      </w:r>
      <w:r w:rsidRPr="008C2EF6">
        <w:tab/>
      </w:r>
      <w:r>
        <w:tab/>
      </w:r>
      <w:r w:rsidRPr="008C2EF6">
        <w:t>A 12.5% discount has been applied.</w:t>
      </w:r>
    </w:p>
    <w:p w14:paraId="2275FC71" w14:textId="3BD6EFB6" w:rsidR="008D60AF" w:rsidRDefault="008D60AF" w:rsidP="008D60AF">
      <w:pPr>
        <w:pStyle w:val="CGC2025TableNote"/>
        <w:keepNext/>
        <w:keepLines/>
      </w:pPr>
      <w:r w:rsidRPr="008C2EF6">
        <w:t>Source:</w:t>
      </w:r>
      <w:r w:rsidRPr="008C2EF6">
        <w:tab/>
        <w:t xml:space="preserve">Commission modelling based on </w:t>
      </w:r>
      <w:r>
        <w:t>the Characteristics of Employment survey</w:t>
      </w:r>
      <w:r w:rsidR="00D90161">
        <w:t>.</w:t>
      </w:r>
    </w:p>
    <w:p w14:paraId="6B787ADD" w14:textId="5DDD94AC" w:rsidR="007A0F3F" w:rsidRDefault="00D71528" w:rsidP="00E3102A">
      <w:pPr>
        <w:pStyle w:val="Heading3"/>
      </w:pPr>
      <w:bookmarkStart w:id="12" w:name="_Toc138158957"/>
      <w:r>
        <w:t xml:space="preserve">Data used in the </w:t>
      </w:r>
      <w:proofErr w:type="gramStart"/>
      <w:r>
        <w:t>assessment</w:t>
      </w:r>
      <w:bookmarkEnd w:id="8"/>
      <w:bookmarkEnd w:id="9"/>
      <w:bookmarkEnd w:id="12"/>
      <w:proofErr w:type="gramEnd"/>
    </w:p>
    <w:p w14:paraId="29C2C2DE" w14:textId="77777777" w:rsidR="00A11A9E" w:rsidRDefault="00A11A9E" w:rsidP="00A11A9E">
      <w:pPr>
        <w:pStyle w:val="CGC2025ParaNumbers"/>
      </w:pPr>
      <w:bookmarkStart w:id="13" w:name="_Toc132729100"/>
      <w:bookmarkStart w:id="14" w:name="_Toc133236148"/>
      <w:bookmarkStart w:id="15" w:name="_Toc133236174"/>
      <w:r>
        <w:t xml:space="preserve">The assessment uses data from the ABS Characteristics of Employment survey, which is conducted each year in August as a supplement to the monthly Labour Force Survey. </w:t>
      </w:r>
    </w:p>
    <w:p w14:paraId="2FBA956B" w14:textId="2C195797" w:rsidR="00A11A9E" w:rsidRDefault="00A11A9E" w:rsidP="00A11A9E">
      <w:pPr>
        <w:pStyle w:val="CGC2025ParaNumbers"/>
      </w:pPr>
      <w:r>
        <w:t xml:space="preserve">These data provide individual wage income linked to personal characteristics and job characteristics </w:t>
      </w:r>
      <w:r w:rsidR="009C0286">
        <w:t>including</w:t>
      </w:r>
      <w:r>
        <w:t xml:space="preserve"> education level, age, sex, marital status, number of dependent children, migrant status, permanent/casual status, hours worked, tenure in current job, and</w:t>
      </w:r>
      <w:r w:rsidRPr="00376D04">
        <w:t xml:space="preserve"> </w:t>
      </w:r>
      <w:r>
        <w:t>industry and occupation of employment. This allows for the effects on wages of all those other attributes to be controlled for when measuring the state level geographic effect.</w:t>
      </w:r>
    </w:p>
    <w:p w14:paraId="2402EA63" w14:textId="0A0DB5AA" w:rsidR="00A11A9E" w:rsidRDefault="00A11A9E" w:rsidP="00A11A9E">
      <w:pPr>
        <w:pStyle w:val="CGC2025ParaNumbers"/>
      </w:pPr>
      <w:r>
        <w:t>Only some of the data are used in the model</w:t>
      </w:r>
      <w:r w:rsidR="004E73D2">
        <w:t>.</w:t>
      </w:r>
      <w:r>
        <w:t xml:space="preserve"> </w:t>
      </w:r>
      <w:r w:rsidR="004E73D2">
        <w:t>T</w:t>
      </w:r>
      <w:r>
        <w:t xml:space="preserve">he sample is restricted to only include private sector, wage earning employees with valid responses to questions on the key explanatory variables outlined above. The survey includes approximately 50,000 respondents, including 15,359 in scope of the regression model. </w:t>
      </w:r>
    </w:p>
    <w:p w14:paraId="541A3048" w14:textId="5D3AA653" w:rsidR="00361D06" w:rsidRDefault="00A11A9E" w:rsidP="00554A84">
      <w:pPr>
        <w:pStyle w:val="Heading3"/>
      </w:pPr>
      <w:bookmarkStart w:id="16" w:name="_Toc138158958"/>
      <w:bookmarkEnd w:id="13"/>
      <w:bookmarkEnd w:id="14"/>
      <w:bookmarkEnd w:id="15"/>
      <w:r>
        <w:t>Applying wage costs to expenses</w:t>
      </w:r>
      <w:bookmarkEnd w:id="16"/>
    </w:p>
    <w:p w14:paraId="34FCFAC3" w14:textId="217EA792" w:rsidR="00A11A9E" w:rsidRDefault="00A11A9E" w:rsidP="00A11A9E">
      <w:pPr>
        <w:pStyle w:val="CGC2025ParaNumbers"/>
      </w:pPr>
      <w:r>
        <w:t>For the 2020 Review, the proportion of expenses attributed to wage costs for each expense category was estimated as the proportion of direct costs that were wage related. This includes wages, bonuses, superannuation costs, fringe benefits and workers compensation. This proportion was calculated as an average over 2015</w:t>
      </w:r>
      <w:r w:rsidR="00077095">
        <w:t>–</w:t>
      </w:r>
      <w:r>
        <w:t xml:space="preserve">16 to </w:t>
      </w:r>
      <w:r>
        <w:lastRenderedPageBreak/>
        <w:t>2017</w:t>
      </w:r>
      <w:r w:rsidR="00077095">
        <w:t>–</w:t>
      </w:r>
      <w:r>
        <w:t>18 and fixed for the entire 2020 Review period. The discounted wage factors are applied to the relevant proportion of expenses in each category.</w:t>
      </w:r>
    </w:p>
    <w:p w14:paraId="682CEC52" w14:textId="38330B4A" w:rsidR="00A11A9E" w:rsidRDefault="00A11A9E" w:rsidP="00A11A9E">
      <w:pPr>
        <w:pStyle w:val="CGC2025ParaNumbers"/>
      </w:pPr>
      <w:r>
        <w:t xml:space="preserve">In </w:t>
      </w:r>
      <w:r w:rsidR="00347BAE">
        <w:t>h</w:t>
      </w:r>
      <w:r>
        <w:t xml:space="preserve">ousing, </w:t>
      </w:r>
      <w:proofErr w:type="gramStart"/>
      <w:r w:rsidR="00347BAE">
        <w:t>t</w:t>
      </w:r>
      <w:r>
        <w:t>ransport</w:t>
      </w:r>
      <w:proofErr w:type="gramEnd"/>
      <w:r>
        <w:t xml:space="preserve"> and </w:t>
      </w:r>
      <w:r w:rsidR="00347BAE">
        <w:t>r</w:t>
      </w:r>
      <w:r>
        <w:t xml:space="preserve">oads a significant amount of labour costs </w:t>
      </w:r>
      <w:r w:rsidR="00B8048B">
        <w:t>is</w:t>
      </w:r>
      <w:r>
        <w:t xml:space="preserve"> classified as other expenses, such as payments to contractors. </w:t>
      </w:r>
      <w:r w:rsidR="00CA06E0">
        <w:t xml:space="preserve">The </w:t>
      </w:r>
      <w:r w:rsidR="00E625F7">
        <w:t>proportion</w:t>
      </w:r>
      <w:r w:rsidR="00CA06E0">
        <w:t xml:space="preserve"> of labour costs </w:t>
      </w:r>
      <w:r w:rsidR="00020532">
        <w:t xml:space="preserve">in these assessments </w:t>
      </w:r>
      <w:r w:rsidR="00EF4590">
        <w:t>is unclear</w:t>
      </w:r>
      <w:r>
        <w:t xml:space="preserve">, so the wages proportion for these categories was estimated as the average proportion for all other categories. </w:t>
      </w:r>
      <w:r>
        <w:fldChar w:fldCharType="begin"/>
      </w:r>
      <w:r>
        <w:instrText xml:space="preserve"> REF _Ref133226919 \h  \* MERGEFORMAT </w:instrText>
      </w:r>
      <w:r>
        <w:fldChar w:fldCharType="separate"/>
      </w:r>
      <w:r w:rsidR="00BC30E2">
        <w:t xml:space="preserve">Table </w:t>
      </w:r>
      <w:r w:rsidR="00BC30E2">
        <w:rPr>
          <w:noProof/>
        </w:rPr>
        <w:t>1</w:t>
      </w:r>
      <w:r>
        <w:fldChar w:fldCharType="end"/>
      </w:r>
      <w:r>
        <w:t xml:space="preserve"> shows the proportion of direct expenses related to wages in each category, as well as the proportion of total expense in each category that is assessed to be wage related.</w:t>
      </w:r>
    </w:p>
    <w:p w14:paraId="1917EC1A" w14:textId="7A76A71E" w:rsidR="000327E8" w:rsidRDefault="000327E8" w:rsidP="00D90161">
      <w:pPr>
        <w:pStyle w:val="CGC2025Caption"/>
        <w:tabs>
          <w:tab w:val="left" w:pos="1134"/>
        </w:tabs>
      </w:pPr>
      <w:bookmarkStart w:id="17" w:name="_Ref133226919"/>
      <w:r>
        <w:t xml:space="preserve">Table </w:t>
      </w:r>
      <w:r>
        <w:fldChar w:fldCharType="begin"/>
      </w:r>
      <w:r>
        <w:instrText>SEQ Table \* ARABIC</w:instrText>
      </w:r>
      <w:r>
        <w:fldChar w:fldCharType="separate"/>
      </w:r>
      <w:r w:rsidR="00BC30E2">
        <w:rPr>
          <w:noProof/>
        </w:rPr>
        <w:t>1</w:t>
      </w:r>
      <w:r>
        <w:fldChar w:fldCharType="end"/>
      </w:r>
      <w:bookmarkEnd w:id="17"/>
      <w:r>
        <w:t xml:space="preserve"> </w:t>
      </w:r>
      <w:r>
        <w:tab/>
        <w:t>Wage cost proportions of assessment categories</w:t>
      </w:r>
    </w:p>
    <w:tbl>
      <w:tblPr>
        <w:tblW w:w="9015" w:type="dxa"/>
        <w:tblLook w:val="04A0" w:firstRow="1" w:lastRow="0" w:firstColumn="1" w:lastColumn="0" w:noHBand="0" w:noVBand="1"/>
      </w:tblPr>
      <w:tblGrid>
        <w:gridCol w:w="2601"/>
        <w:gridCol w:w="4182"/>
        <w:gridCol w:w="2232"/>
      </w:tblGrid>
      <w:tr w:rsidR="000327E8" w:rsidRPr="009026C7" w14:paraId="5708084D" w14:textId="77777777" w:rsidTr="002B38EB">
        <w:trPr>
          <w:trHeight w:val="315"/>
        </w:trPr>
        <w:tc>
          <w:tcPr>
            <w:tcW w:w="2400" w:type="dxa"/>
            <w:tcBorders>
              <w:top w:val="nil"/>
              <w:left w:val="nil"/>
              <w:bottom w:val="nil"/>
              <w:right w:val="nil"/>
            </w:tcBorders>
            <w:shd w:val="clear" w:color="000000" w:fill="006991"/>
            <w:vAlign w:val="center"/>
            <w:hideMark/>
          </w:tcPr>
          <w:p w14:paraId="45C96242" w14:textId="77777777" w:rsidR="000327E8" w:rsidRPr="009026C7" w:rsidRDefault="000327E8" w:rsidP="002B38EB">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bookmarkStart w:id="18" w:name="RANGE!A47:C58"/>
            <w:r w:rsidRPr="009026C7">
              <w:rPr>
                <w:rFonts w:ascii="Open Sans Semibold" w:eastAsia="Times New Roman" w:hAnsi="Open Sans Semibold" w:cs="Open Sans Semibold"/>
                <w:color w:val="FFFFFF"/>
                <w:sz w:val="16"/>
                <w:szCs w:val="16"/>
                <w:lang w:eastAsia="en-AU"/>
              </w:rPr>
              <w:t>Category</w:t>
            </w:r>
            <w:bookmarkEnd w:id="18"/>
          </w:p>
        </w:tc>
        <w:tc>
          <w:tcPr>
            <w:tcW w:w="3860" w:type="dxa"/>
            <w:tcBorders>
              <w:top w:val="nil"/>
              <w:left w:val="nil"/>
              <w:bottom w:val="nil"/>
              <w:right w:val="nil"/>
            </w:tcBorders>
            <w:shd w:val="clear" w:color="000000" w:fill="006991"/>
            <w:vAlign w:val="center"/>
            <w:hideMark/>
          </w:tcPr>
          <w:p w14:paraId="59CB5C63" w14:textId="77777777" w:rsidR="000327E8" w:rsidRPr="009026C7" w:rsidRDefault="000327E8" w:rsidP="002B38E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026C7">
              <w:rPr>
                <w:rFonts w:ascii="Open Sans Semibold" w:eastAsia="Times New Roman" w:hAnsi="Open Sans Semibold" w:cs="Open Sans Semibold"/>
                <w:color w:val="FFFFFF"/>
                <w:sz w:val="16"/>
                <w:szCs w:val="16"/>
                <w:lang w:eastAsia="en-AU"/>
              </w:rPr>
              <w:t>Proportion of expenses related to wage costs</w:t>
            </w:r>
          </w:p>
        </w:tc>
        <w:tc>
          <w:tcPr>
            <w:tcW w:w="2060" w:type="dxa"/>
            <w:tcBorders>
              <w:top w:val="nil"/>
              <w:left w:val="nil"/>
              <w:bottom w:val="nil"/>
              <w:right w:val="nil"/>
            </w:tcBorders>
            <w:shd w:val="clear" w:color="000000" w:fill="006991"/>
            <w:vAlign w:val="center"/>
            <w:hideMark/>
          </w:tcPr>
          <w:p w14:paraId="69A416B5" w14:textId="77777777" w:rsidR="000327E8" w:rsidRPr="009026C7" w:rsidRDefault="000327E8" w:rsidP="002B38E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026C7">
              <w:rPr>
                <w:rFonts w:ascii="Open Sans Semibold" w:eastAsia="Times New Roman" w:hAnsi="Open Sans Semibold" w:cs="Open Sans Semibold"/>
                <w:color w:val="FFFFFF"/>
                <w:sz w:val="16"/>
                <w:szCs w:val="16"/>
                <w:lang w:eastAsia="en-AU"/>
              </w:rPr>
              <w:t xml:space="preserve">Assessed proportion </w:t>
            </w:r>
          </w:p>
        </w:tc>
      </w:tr>
      <w:tr w:rsidR="000327E8" w:rsidRPr="009026C7" w14:paraId="278F3514" w14:textId="77777777" w:rsidTr="002B38EB">
        <w:trPr>
          <w:trHeight w:val="315"/>
        </w:trPr>
        <w:tc>
          <w:tcPr>
            <w:tcW w:w="2400" w:type="dxa"/>
            <w:tcBorders>
              <w:top w:val="single" w:sz="4" w:space="0" w:color="ADD6EA"/>
              <w:left w:val="nil"/>
              <w:bottom w:val="nil"/>
              <w:right w:val="nil"/>
            </w:tcBorders>
            <w:shd w:val="clear" w:color="auto" w:fill="auto"/>
            <w:vAlign w:val="bottom"/>
            <w:hideMark/>
          </w:tcPr>
          <w:p w14:paraId="6A33570C" w14:textId="77777777" w:rsidR="000327E8" w:rsidRPr="009026C7" w:rsidRDefault="000327E8" w:rsidP="002B38EB">
            <w:pPr>
              <w:keepNext/>
              <w:keepLines/>
              <w:tabs>
                <w:tab w:val="clear" w:pos="567"/>
              </w:tabs>
              <w:spacing w:before="0" w:line="240" w:lineRule="auto"/>
              <w:rPr>
                <w:rFonts w:eastAsia="Times New Roman" w:cs="Open Sans Light"/>
                <w:color w:val="000000"/>
                <w:sz w:val="16"/>
                <w:szCs w:val="16"/>
                <w:lang w:eastAsia="en-AU"/>
              </w:rPr>
            </w:pPr>
            <w:r w:rsidRPr="009026C7">
              <w:rPr>
                <w:rFonts w:eastAsia="Times New Roman" w:cs="Open Sans Light"/>
                <w:color w:val="000000"/>
                <w:sz w:val="16"/>
                <w:szCs w:val="16"/>
                <w:lang w:eastAsia="en-AU"/>
              </w:rPr>
              <w:t>Schools</w:t>
            </w:r>
          </w:p>
        </w:tc>
        <w:tc>
          <w:tcPr>
            <w:tcW w:w="3860" w:type="dxa"/>
            <w:tcBorders>
              <w:top w:val="single" w:sz="4" w:space="0" w:color="ADD6EA"/>
              <w:left w:val="nil"/>
              <w:bottom w:val="nil"/>
              <w:right w:val="nil"/>
            </w:tcBorders>
            <w:shd w:val="clear" w:color="auto" w:fill="auto"/>
            <w:noWrap/>
            <w:vAlign w:val="bottom"/>
            <w:hideMark/>
          </w:tcPr>
          <w:p w14:paraId="4E9F68D6" w14:textId="77777777" w:rsidR="000327E8" w:rsidRPr="009026C7" w:rsidRDefault="000327E8" w:rsidP="002B38EB">
            <w:pPr>
              <w:keepNext/>
              <w:keepLines/>
              <w:tabs>
                <w:tab w:val="clear" w:pos="567"/>
              </w:tabs>
              <w:spacing w:before="0" w:line="240" w:lineRule="auto"/>
              <w:jc w:val="right"/>
              <w:rPr>
                <w:rFonts w:eastAsia="Times New Roman" w:cs="Open Sans Light"/>
                <w:color w:val="000000"/>
                <w:sz w:val="16"/>
                <w:szCs w:val="16"/>
                <w:lang w:eastAsia="en-AU"/>
              </w:rPr>
            </w:pPr>
            <w:r w:rsidRPr="009026C7">
              <w:rPr>
                <w:rFonts w:eastAsia="Times New Roman" w:cs="Open Sans Light"/>
                <w:color w:val="000000"/>
                <w:sz w:val="16"/>
                <w:szCs w:val="16"/>
                <w:lang w:eastAsia="en-AU"/>
              </w:rPr>
              <w:t>79.5%</w:t>
            </w:r>
          </w:p>
        </w:tc>
        <w:tc>
          <w:tcPr>
            <w:tcW w:w="2060" w:type="dxa"/>
            <w:tcBorders>
              <w:top w:val="single" w:sz="4" w:space="0" w:color="ADD6EA"/>
              <w:left w:val="nil"/>
              <w:bottom w:val="nil"/>
              <w:right w:val="nil"/>
            </w:tcBorders>
            <w:shd w:val="clear" w:color="auto" w:fill="auto"/>
            <w:noWrap/>
            <w:vAlign w:val="bottom"/>
            <w:hideMark/>
          </w:tcPr>
          <w:p w14:paraId="5485AEC9" w14:textId="77777777" w:rsidR="000327E8" w:rsidRPr="009026C7" w:rsidRDefault="000327E8" w:rsidP="002B38EB">
            <w:pPr>
              <w:keepNext/>
              <w:keepLines/>
              <w:tabs>
                <w:tab w:val="clear" w:pos="567"/>
              </w:tabs>
              <w:spacing w:before="0" w:line="240" w:lineRule="auto"/>
              <w:jc w:val="right"/>
              <w:rPr>
                <w:rFonts w:eastAsia="Times New Roman" w:cs="Open Sans Light"/>
                <w:color w:val="000000"/>
                <w:sz w:val="16"/>
                <w:szCs w:val="16"/>
                <w:lang w:eastAsia="en-AU"/>
              </w:rPr>
            </w:pPr>
            <w:r w:rsidRPr="009026C7">
              <w:rPr>
                <w:rFonts w:eastAsia="Times New Roman" w:cs="Open Sans Light"/>
                <w:color w:val="000000"/>
                <w:sz w:val="16"/>
                <w:szCs w:val="16"/>
                <w:lang w:eastAsia="en-AU"/>
              </w:rPr>
              <w:t>79.5%</w:t>
            </w:r>
          </w:p>
        </w:tc>
      </w:tr>
      <w:tr w:rsidR="000327E8" w:rsidRPr="009026C7" w14:paraId="17B9E7F0" w14:textId="77777777" w:rsidTr="002B38EB">
        <w:trPr>
          <w:trHeight w:val="315"/>
        </w:trPr>
        <w:tc>
          <w:tcPr>
            <w:tcW w:w="2400" w:type="dxa"/>
            <w:tcBorders>
              <w:top w:val="single" w:sz="4" w:space="0" w:color="ADD6EA"/>
              <w:left w:val="nil"/>
              <w:bottom w:val="nil"/>
              <w:right w:val="nil"/>
            </w:tcBorders>
            <w:shd w:val="clear" w:color="auto" w:fill="auto"/>
            <w:vAlign w:val="bottom"/>
            <w:hideMark/>
          </w:tcPr>
          <w:p w14:paraId="3BF414DC" w14:textId="77777777" w:rsidR="000327E8" w:rsidRPr="009026C7" w:rsidRDefault="000327E8" w:rsidP="002B38EB">
            <w:pPr>
              <w:keepNext/>
              <w:keepLines/>
              <w:tabs>
                <w:tab w:val="clear" w:pos="567"/>
              </w:tabs>
              <w:spacing w:before="0" w:line="240" w:lineRule="auto"/>
              <w:rPr>
                <w:rFonts w:eastAsia="Times New Roman" w:cs="Open Sans Light"/>
                <w:color w:val="000000"/>
                <w:sz w:val="16"/>
                <w:szCs w:val="16"/>
                <w:lang w:eastAsia="en-AU"/>
              </w:rPr>
            </w:pPr>
            <w:r w:rsidRPr="009026C7">
              <w:rPr>
                <w:rFonts w:eastAsia="Times New Roman" w:cs="Open Sans Light"/>
                <w:color w:val="000000"/>
                <w:sz w:val="16"/>
                <w:szCs w:val="16"/>
                <w:lang w:eastAsia="en-AU"/>
              </w:rPr>
              <w:t>Post-secondary education</w:t>
            </w:r>
          </w:p>
        </w:tc>
        <w:tc>
          <w:tcPr>
            <w:tcW w:w="3860" w:type="dxa"/>
            <w:tcBorders>
              <w:top w:val="single" w:sz="4" w:space="0" w:color="ADD6EA"/>
              <w:left w:val="nil"/>
              <w:bottom w:val="nil"/>
              <w:right w:val="nil"/>
            </w:tcBorders>
            <w:shd w:val="clear" w:color="auto" w:fill="auto"/>
            <w:vAlign w:val="bottom"/>
            <w:hideMark/>
          </w:tcPr>
          <w:p w14:paraId="1DD11889" w14:textId="77777777" w:rsidR="000327E8" w:rsidRPr="009026C7" w:rsidRDefault="000327E8" w:rsidP="002B38EB">
            <w:pPr>
              <w:keepNext/>
              <w:keepLines/>
              <w:tabs>
                <w:tab w:val="clear" w:pos="567"/>
              </w:tabs>
              <w:spacing w:before="0" w:line="240" w:lineRule="auto"/>
              <w:jc w:val="right"/>
              <w:rPr>
                <w:rFonts w:eastAsia="Times New Roman" w:cs="Open Sans Light"/>
                <w:color w:val="000000"/>
                <w:sz w:val="16"/>
                <w:szCs w:val="16"/>
                <w:lang w:eastAsia="en-AU"/>
              </w:rPr>
            </w:pPr>
            <w:r w:rsidRPr="009026C7">
              <w:rPr>
                <w:rFonts w:eastAsia="Times New Roman" w:cs="Open Sans Light"/>
                <w:color w:val="000000"/>
                <w:sz w:val="16"/>
                <w:szCs w:val="16"/>
                <w:lang w:eastAsia="en-AU"/>
              </w:rPr>
              <w:t>55.3%</w:t>
            </w:r>
          </w:p>
        </w:tc>
        <w:tc>
          <w:tcPr>
            <w:tcW w:w="2060" w:type="dxa"/>
            <w:tcBorders>
              <w:top w:val="single" w:sz="4" w:space="0" w:color="ADD6EA"/>
              <w:left w:val="nil"/>
              <w:bottom w:val="nil"/>
              <w:right w:val="nil"/>
            </w:tcBorders>
            <w:shd w:val="clear" w:color="auto" w:fill="auto"/>
            <w:vAlign w:val="bottom"/>
            <w:hideMark/>
          </w:tcPr>
          <w:p w14:paraId="79A706B9" w14:textId="77777777" w:rsidR="000327E8" w:rsidRPr="009026C7" w:rsidRDefault="000327E8" w:rsidP="002B38EB">
            <w:pPr>
              <w:keepNext/>
              <w:keepLines/>
              <w:tabs>
                <w:tab w:val="clear" w:pos="567"/>
              </w:tabs>
              <w:spacing w:before="0" w:line="240" w:lineRule="auto"/>
              <w:jc w:val="right"/>
              <w:rPr>
                <w:rFonts w:eastAsia="Times New Roman" w:cs="Open Sans Light"/>
                <w:color w:val="000000"/>
                <w:sz w:val="16"/>
                <w:szCs w:val="16"/>
                <w:lang w:eastAsia="en-AU"/>
              </w:rPr>
            </w:pPr>
            <w:r w:rsidRPr="009026C7">
              <w:rPr>
                <w:rFonts w:eastAsia="Times New Roman" w:cs="Open Sans Light"/>
                <w:color w:val="000000"/>
                <w:sz w:val="16"/>
                <w:szCs w:val="16"/>
                <w:lang w:eastAsia="en-AU"/>
              </w:rPr>
              <w:t>55.3%</w:t>
            </w:r>
          </w:p>
        </w:tc>
      </w:tr>
      <w:tr w:rsidR="000327E8" w:rsidRPr="009026C7" w14:paraId="79D3FE7B" w14:textId="77777777" w:rsidTr="002B38EB">
        <w:trPr>
          <w:trHeight w:val="315"/>
        </w:trPr>
        <w:tc>
          <w:tcPr>
            <w:tcW w:w="2400" w:type="dxa"/>
            <w:tcBorders>
              <w:top w:val="single" w:sz="4" w:space="0" w:color="ADD6EA"/>
              <w:left w:val="nil"/>
              <w:bottom w:val="nil"/>
              <w:right w:val="nil"/>
            </w:tcBorders>
            <w:shd w:val="clear" w:color="auto" w:fill="auto"/>
            <w:vAlign w:val="bottom"/>
            <w:hideMark/>
          </w:tcPr>
          <w:p w14:paraId="5203980F" w14:textId="77777777" w:rsidR="000327E8" w:rsidRPr="009026C7" w:rsidRDefault="000327E8" w:rsidP="002B38EB">
            <w:pPr>
              <w:keepNext/>
              <w:keepLines/>
              <w:tabs>
                <w:tab w:val="clear" w:pos="567"/>
              </w:tabs>
              <w:spacing w:before="0" w:line="240" w:lineRule="auto"/>
              <w:rPr>
                <w:rFonts w:eastAsia="Times New Roman" w:cs="Open Sans Light"/>
                <w:color w:val="000000"/>
                <w:sz w:val="16"/>
                <w:szCs w:val="16"/>
                <w:lang w:eastAsia="en-AU"/>
              </w:rPr>
            </w:pPr>
            <w:r w:rsidRPr="009026C7">
              <w:rPr>
                <w:rFonts w:eastAsia="Times New Roman" w:cs="Open Sans Light"/>
                <w:color w:val="000000"/>
                <w:sz w:val="16"/>
                <w:szCs w:val="16"/>
                <w:lang w:eastAsia="en-AU"/>
              </w:rPr>
              <w:t>Health</w:t>
            </w:r>
          </w:p>
        </w:tc>
        <w:tc>
          <w:tcPr>
            <w:tcW w:w="3860" w:type="dxa"/>
            <w:tcBorders>
              <w:top w:val="single" w:sz="4" w:space="0" w:color="ADD6EA"/>
              <w:left w:val="nil"/>
              <w:bottom w:val="nil"/>
              <w:right w:val="nil"/>
            </w:tcBorders>
            <w:shd w:val="clear" w:color="auto" w:fill="auto"/>
            <w:noWrap/>
            <w:vAlign w:val="bottom"/>
            <w:hideMark/>
          </w:tcPr>
          <w:p w14:paraId="6EED684A" w14:textId="77777777" w:rsidR="000327E8" w:rsidRPr="009026C7" w:rsidRDefault="000327E8" w:rsidP="002B38EB">
            <w:pPr>
              <w:keepNext/>
              <w:keepLines/>
              <w:tabs>
                <w:tab w:val="clear" w:pos="567"/>
              </w:tabs>
              <w:spacing w:before="0" w:line="240" w:lineRule="auto"/>
              <w:jc w:val="right"/>
              <w:rPr>
                <w:rFonts w:eastAsia="Times New Roman" w:cs="Open Sans Light"/>
                <w:color w:val="000000"/>
                <w:sz w:val="16"/>
                <w:szCs w:val="16"/>
                <w:lang w:eastAsia="en-AU"/>
              </w:rPr>
            </w:pPr>
            <w:r w:rsidRPr="009026C7">
              <w:rPr>
                <w:rFonts w:eastAsia="Times New Roman" w:cs="Open Sans Light"/>
                <w:color w:val="000000"/>
                <w:sz w:val="16"/>
                <w:szCs w:val="16"/>
                <w:lang w:eastAsia="en-AU"/>
              </w:rPr>
              <w:t>65.4%</w:t>
            </w:r>
          </w:p>
        </w:tc>
        <w:tc>
          <w:tcPr>
            <w:tcW w:w="2060" w:type="dxa"/>
            <w:tcBorders>
              <w:top w:val="single" w:sz="4" w:space="0" w:color="ADD6EA"/>
              <w:left w:val="nil"/>
              <w:bottom w:val="nil"/>
              <w:right w:val="nil"/>
            </w:tcBorders>
            <w:shd w:val="clear" w:color="auto" w:fill="auto"/>
            <w:noWrap/>
            <w:vAlign w:val="bottom"/>
            <w:hideMark/>
          </w:tcPr>
          <w:p w14:paraId="24C6CDDB" w14:textId="77777777" w:rsidR="000327E8" w:rsidRPr="009026C7" w:rsidRDefault="000327E8" w:rsidP="002B38EB">
            <w:pPr>
              <w:keepNext/>
              <w:keepLines/>
              <w:tabs>
                <w:tab w:val="clear" w:pos="567"/>
              </w:tabs>
              <w:spacing w:before="0" w:line="240" w:lineRule="auto"/>
              <w:jc w:val="right"/>
              <w:rPr>
                <w:rFonts w:eastAsia="Times New Roman" w:cs="Open Sans Light"/>
                <w:color w:val="000000"/>
                <w:sz w:val="16"/>
                <w:szCs w:val="16"/>
                <w:lang w:eastAsia="en-AU"/>
              </w:rPr>
            </w:pPr>
            <w:r w:rsidRPr="009026C7">
              <w:rPr>
                <w:rFonts w:eastAsia="Times New Roman" w:cs="Open Sans Light"/>
                <w:color w:val="000000"/>
                <w:sz w:val="16"/>
                <w:szCs w:val="16"/>
                <w:lang w:eastAsia="en-AU"/>
              </w:rPr>
              <w:t>65.4%</w:t>
            </w:r>
          </w:p>
        </w:tc>
      </w:tr>
      <w:tr w:rsidR="000327E8" w:rsidRPr="009026C7" w14:paraId="27015F43" w14:textId="77777777" w:rsidTr="002B38EB">
        <w:trPr>
          <w:trHeight w:val="315"/>
        </w:trPr>
        <w:tc>
          <w:tcPr>
            <w:tcW w:w="2400" w:type="dxa"/>
            <w:tcBorders>
              <w:top w:val="single" w:sz="4" w:space="0" w:color="ADD6EA"/>
              <w:left w:val="nil"/>
              <w:bottom w:val="nil"/>
              <w:right w:val="nil"/>
            </w:tcBorders>
            <w:shd w:val="clear" w:color="auto" w:fill="auto"/>
            <w:vAlign w:val="bottom"/>
            <w:hideMark/>
          </w:tcPr>
          <w:p w14:paraId="54D6B02A" w14:textId="77777777" w:rsidR="000327E8" w:rsidRPr="009026C7" w:rsidRDefault="000327E8" w:rsidP="002B38EB">
            <w:pPr>
              <w:keepNext/>
              <w:keepLines/>
              <w:tabs>
                <w:tab w:val="clear" w:pos="567"/>
              </w:tabs>
              <w:spacing w:before="0" w:line="240" w:lineRule="auto"/>
              <w:rPr>
                <w:rFonts w:eastAsia="Times New Roman" w:cs="Open Sans Light"/>
                <w:color w:val="000000"/>
                <w:sz w:val="16"/>
                <w:szCs w:val="16"/>
                <w:lang w:eastAsia="en-AU"/>
              </w:rPr>
            </w:pPr>
            <w:r w:rsidRPr="009026C7">
              <w:rPr>
                <w:rFonts w:eastAsia="Times New Roman" w:cs="Open Sans Light"/>
                <w:color w:val="000000"/>
                <w:sz w:val="16"/>
                <w:szCs w:val="16"/>
                <w:lang w:eastAsia="en-AU"/>
              </w:rPr>
              <w:t>Housing</w:t>
            </w:r>
          </w:p>
        </w:tc>
        <w:tc>
          <w:tcPr>
            <w:tcW w:w="3860" w:type="dxa"/>
            <w:tcBorders>
              <w:top w:val="single" w:sz="4" w:space="0" w:color="ADD6EA"/>
              <w:left w:val="nil"/>
              <w:bottom w:val="nil"/>
              <w:right w:val="nil"/>
            </w:tcBorders>
            <w:shd w:val="clear" w:color="auto" w:fill="auto"/>
            <w:noWrap/>
            <w:vAlign w:val="bottom"/>
            <w:hideMark/>
          </w:tcPr>
          <w:p w14:paraId="4B312249" w14:textId="77777777" w:rsidR="000327E8" w:rsidRPr="009026C7" w:rsidRDefault="000327E8" w:rsidP="002B38EB">
            <w:pPr>
              <w:keepNext/>
              <w:keepLines/>
              <w:tabs>
                <w:tab w:val="clear" w:pos="567"/>
              </w:tabs>
              <w:spacing w:before="0" w:line="240" w:lineRule="auto"/>
              <w:jc w:val="right"/>
              <w:rPr>
                <w:rFonts w:eastAsia="Times New Roman" w:cs="Open Sans Light"/>
                <w:color w:val="000000"/>
                <w:sz w:val="16"/>
                <w:szCs w:val="16"/>
                <w:lang w:eastAsia="en-AU"/>
              </w:rPr>
            </w:pPr>
            <w:r w:rsidRPr="009026C7">
              <w:rPr>
                <w:rFonts w:eastAsia="Times New Roman" w:cs="Open Sans Light"/>
                <w:color w:val="000000"/>
                <w:sz w:val="16"/>
                <w:szCs w:val="16"/>
                <w:lang w:eastAsia="en-AU"/>
              </w:rPr>
              <w:t>39.0%</w:t>
            </w:r>
          </w:p>
        </w:tc>
        <w:tc>
          <w:tcPr>
            <w:tcW w:w="2060" w:type="dxa"/>
            <w:tcBorders>
              <w:top w:val="single" w:sz="4" w:space="0" w:color="ADD6EA"/>
              <w:left w:val="nil"/>
              <w:bottom w:val="nil"/>
              <w:right w:val="nil"/>
            </w:tcBorders>
            <w:shd w:val="clear" w:color="auto" w:fill="auto"/>
            <w:noWrap/>
            <w:vAlign w:val="bottom"/>
            <w:hideMark/>
          </w:tcPr>
          <w:p w14:paraId="36FD1AFE" w14:textId="77777777" w:rsidR="000327E8" w:rsidRPr="009026C7" w:rsidRDefault="000327E8" w:rsidP="002B38EB">
            <w:pPr>
              <w:keepNext/>
              <w:keepLines/>
              <w:tabs>
                <w:tab w:val="clear" w:pos="567"/>
              </w:tabs>
              <w:spacing w:before="0" w:line="240" w:lineRule="auto"/>
              <w:jc w:val="right"/>
              <w:rPr>
                <w:rFonts w:eastAsia="Times New Roman" w:cs="Open Sans Light"/>
                <w:color w:val="000000"/>
                <w:sz w:val="16"/>
                <w:szCs w:val="16"/>
                <w:lang w:eastAsia="en-AU"/>
              </w:rPr>
            </w:pPr>
            <w:r w:rsidRPr="009026C7">
              <w:rPr>
                <w:rFonts w:eastAsia="Times New Roman" w:cs="Open Sans Light"/>
                <w:color w:val="000000"/>
                <w:sz w:val="16"/>
                <w:szCs w:val="16"/>
                <w:lang w:eastAsia="en-AU"/>
              </w:rPr>
              <w:t>63.3%</w:t>
            </w:r>
          </w:p>
        </w:tc>
      </w:tr>
      <w:tr w:rsidR="000327E8" w:rsidRPr="009026C7" w14:paraId="650662BD" w14:textId="77777777" w:rsidTr="002B38EB">
        <w:trPr>
          <w:trHeight w:val="315"/>
        </w:trPr>
        <w:tc>
          <w:tcPr>
            <w:tcW w:w="2400" w:type="dxa"/>
            <w:tcBorders>
              <w:top w:val="single" w:sz="4" w:space="0" w:color="ADD6EA"/>
              <w:left w:val="nil"/>
              <w:bottom w:val="nil"/>
              <w:right w:val="nil"/>
            </w:tcBorders>
            <w:shd w:val="clear" w:color="auto" w:fill="auto"/>
            <w:vAlign w:val="bottom"/>
            <w:hideMark/>
          </w:tcPr>
          <w:p w14:paraId="7AB050C6" w14:textId="77777777" w:rsidR="000327E8" w:rsidRPr="009026C7" w:rsidRDefault="000327E8" w:rsidP="002B38EB">
            <w:pPr>
              <w:keepNext/>
              <w:keepLines/>
              <w:tabs>
                <w:tab w:val="clear" w:pos="567"/>
              </w:tabs>
              <w:spacing w:before="0" w:line="240" w:lineRule="auto"/>
              <w:rPr>
                <w:rFonts w:eastAsia="Times New Roman" w:cs="Open Sans Light"/>
                <w:color w:val="000000"/>
                <w:sz w:val="16"/>
                <w:szCs w:val="16"/>
                <w:lang w:eastAsia="en-AU"/>
              </w:rPr>
            </w:pPr>
            <w:r w:rsidRPr="009026C7">
              <w:rPr>
                <w:rFonts w:eastAsia="Times New Roman" w:cs="Open Sans Light"/>
                <w:color w:val="000000"/>
                <w:sz w:val="16"/>
                <w:szCs w:val="16"/>
                <w:lang w:eastAsia="en-AU"/>
              </w:rPr>
              <w:t>Welfare</w:t>
            </w:r>
          </w:p>
        </w:tc>
        <w:tc>
          <w:tcPr>
            <w:tcW w:w="3860" w:type="dxa"/>
            <w:tcBorders>
              <w:top w:val="single" w:sz="4" w:space="0" w:color="ADD6EA"/>
              <w:left w:val="nil"/>
              <w:bottom w:val="nil"/>
              <w:right w:val="nil"/>
            </w:tcBorders>
            <w:shd w:val="clear" w:color="auto" w:fill="auto"/>
            <w:noWrap/>
            <w:vAlign w:val="bottom"/>
            <w:hideMark/>
          </w:tcPr>
          <w:p w14:paraId="5917A80D" w14:textId="77777777" w:rsidR="000327E8" w:rsidRPr="009026C7" w:rsidRDefault="000327E8" w:rsidP="002B38EB">
            <w:pPr>
              <w:keepNext/>
              <w:keepLines/>
              <w:tabs>
                <w:tab w:val="clear" w:pos="567"/>
              </w:tabs>
              <w:spacing w:before="0" w:line="240" w:lineRule="auto"/>
              <w:jc w:val="right"/>
              <w:rPr>
                <w:rFonts w:eastAsia="Times New Roman" w:cs="Open Sans Light"/>
                <w:color w:val="000000"/>
                <w:sz w:val="16"/>
                <w:szCs w:val="16"/>
                <w:lang w:eastAsia="en-AU"/>
              </w:rPr>
            </w:pPr>
            <w:r w:rsidRPr="009026C7">
              <w:rPr>
                <w:rFonts w:eastAsia="Times New Roman" w:cs="Open Sans Light"/>
                <w:color w:val="000000"/>
                <w:sz w:val="16"/>
                <w:szCs w:val="16"/>
                <w:lang w:eastAsia="en-AU"/>
              </w:rPr>
              <w:t>36.4%</w:t>
            </w:r>
          </w:p>
        </w:tc>
        <w:tc>
          <w:tcPr>
            <w:tcW w:w="2060" w:type="dxa"/>
            <w:tcBorders>
              <w:top w:val="single" w:sz="4" w:space="0" w:color="ADD6EA"/>
              <w:left w:val="nil"/>
              <w:bottom w:val="nil"/>
              <w:right w:val="nil"/>
            </w:tcBorders>
            <w:shd w:val="clear" w:color="auto" w:fill="auto"/>
            <w:noWrap/>
            <w:vAlign w:val="bottom"/>
            <w:hideMark/>
          </w:tcPr>
          <w:p w14:paraId="7B96D8C1" w14:textId="77777777" w:rsidR="000327E8" w:rsidRPr="009026C7" w:rsidRDefault="000327E8" w:rsidP="002B38EB">
            <w:pPr>
              <w:keepNext/>
              <w:keepLines/>
              <w:tabs>
                <w:tab w:val="clear" w:pos="567"/>
              </w:tabs>
              <w:spacing w:before="0" w:line="240" w:lineRule="auto"/>
              <w:jc w:val="right"/>
              <w:rPr>
                <w:rFonts w:eastAsia="Times New Roman" w:cs="Open Sans Light"/>
                <w:color w:val="000000"/>
                <w:sz w:val="16"/>
                <w:szCs w:val="16"/>
                <w:lang w:eastAsia="en-AU"/>
              </w:rPr>
            </w:pPr>
            <w:r w:rsidRPr="009026C7">
              <w:rPr>
                <w:rFonts w:eastAsia="Times New Roman" w:cs="Open Sans Light"/>
                <w:color w:val="000000"/>
                <w:sz w:val="16"/>
                <w:szCs w:val="16"/>
                <w:lang w:eastAsia="en-AU"/>
              </w:rPr>
              <w:t>36.4%</w:t>
            </w:r>
          </w:p>
        </w:tc>
      </w:tr>
      <w:tr w:rsidR="000327E8" w:rsidRPr="009026C7" w14:paraId="72EFC17B" w14:textId="77777777" w:rsidTr="002B38EB">
        <w:trPr>
          <w:trHeight w:val="315"/>
        </w:trPr>
        <w:tc>
          <w:tcPr>
            <w:tcW w:w="2400" w:type="dxa"/>
            <w:tcBorders>
              <w:top w:val="single" w:sz="4" w:space="0" w:color="ADD6EA"/>
              <w:left w:val="nil"/>
              <w:bottom w:val="nil"/>
              <w:right w:val="nil"/>
            </w:tcBorders>
            <w:shd w:val="clear" w:color="auto" w:fill="auto"/>
            <w:vAlign w:val="bottom"/>
            <w:hideMark/>
          </w:tcPr>
          <w:p w14:paraId="4106EBF7" w14:textId="77777777" w:rsidR="000327E8" w:rsidRPr="009026C7" w:rsidRDefault="000327E8" w:rsidP="002B38EB">
            <w:pPr>
              <w:keepNext/>
              <w:keepLines/>
              <w:tabs>
                <w:tab w:val="clear" w:pos="567"/>
              </w:tabs>
              <w:spacing w:before="0" w:line="240" w:lineRule="auto"/>
              <w:rPr>
                <w:rFonts w:eastAsia="Times New Roman" w:cs="Open Sans Light"/>
                <w:color w:val="000000"/>
                <w:sz w:val="16"/>
                <w:szCs w:val="16"/>
                <w:lang w:eastAsia="en-AU"/>
              </w:rPr>
            </w:pPr>
            <w:r w:rsidRPr="009026C7">
              <w:rPr>
                <w:rFonts w:eastAsia="Times New Roman" w:cs="Open Sans Light"/>
                <w:color w:val="000000"/>
                <w:sz w:val="16"/>
                <w:szCs w:val="16"/>
                <w:lang w:eastAsia="en-AU"/>
              </w:rPr>
              <w:t>Services to communities</w:t>
            </w:r>
          </w:p>
        </w:tc>
        <w:tc>
          <w:tcPr>
            <w:tcW w:w="3860" w:type="dxa"/>
            <w:tcBorders>
              <w:top w:val="single" w:sz="4" w:space="0" w:color="ADD6EA"/>
              <w:left w:val="nil"/>
              <w:bottom w:val="nil"/>
              <w:right w:val="nil"/>
            </w:tcBorders>
            <w:shd w:val="clear" w:color="auto" w:fill="auto"/>
            <w:vAlign w:val="bottom"/>
            <w:hideMark/>
          </w:tcPr>
          <w:p w14:paraId="41972D82" w14:textId="77777777" w:rsidR="000327E8" w:rsidRPr="009026C7" w:rsidRDefault="000327E8" w:rsidP="002B38EB">
            <w:pPr>
              <w:keepNext/>
              <w:keepLines/>
              <w:tabs>
                <w:tab w:val="clear" w:pos="567"/>
              </w:tabs>
              <w:spacing w:before="0" w:line="240" w:lineRule="auto"/>
              <w:jc w:val="right"/>
              <w:rPr>
                <w:rFonts w:eastAsia="Times New Roman" w:cs="Open Sans Light"/>
                <w:color w:val="000000"/>
                <w:sz w:val="16"/>
                <w:szCs w:val="16"/>
                <w:lang w:eastAsia="en-AU"/>
              </w:rPr>
            </w:pPr>
            <w:r w:rsidRPr="009026C7">
              <w:rPr>
                <w:rFonts w:eastAsia="Times New Roman" w:cs="Open Sans Light"/>
                <w:color w:val="000000"/>
                <w:sz w:val="16"/>
                <w:szCs w:val="16"/>
                <w:lang w:eastAsia="en-AU"/>
              </w:rPr>
              <w:t>44.9%</w:t>
            </w:r>
          </w:p>
        </w:tc>
        <w:tc>
          <w:tcPr>
            <w:tcW w:w="2060" w:type="dxa"/>
            <w:tcBorders>
              <w:top w:val="single" w:sz="4" w:space="0" w:color="ADD6EA"/>
              <w:left w:val="nil"/>
              <w:bottom w:val="nil"/>
              <w:right w:val="nil"/>
            </w:tcBorders>
            <w:shd w:val="clear" w:color="auto" w:fill="auto"/>
            <w:vAlign w:val="bottom"/>
            <w:hideMark/>
          </w:tcPr>
          <w:p w14:paraId="5FB9B8B4" w14:textId="77777777" w:rsidR="000327E8" w:rsidRPr="009026C7" w:rsidRDefault="000327E8" w:rsidP="002B38EB">
            <w:pPr>
              <w:keepNext/>
              <w:keepLines/>
              <w:tabs>
                <w:tab w:val="clear" w:pos="567"/>
              </w:tabs>
              <w:spacing w:before="0" w:line="240" w:lineRule="auto"/>
              <w:jc w:val="right"/>
              <w:rPr>
                <w:rFonts w:eastAsia="Times New Roman" w:cs="Open Sans Light"/>
                <w:color w:val="000000"/>
                <w:sz w:val="16"/>
                <w:szCs w:val="16"/>
                <w:lang w:eastAsia="en-AU"/>
              </w:rPr>
            </w:pPr>
            <w:r w:rsidRPr="009026C7">
              <w:rPr>
                <w:rFonts w:eastAsia="Times New Roman" w:cs="Open Sans Light"/>
                <w:color w:val="000000"/>
                <w:sz w:val="16"/>
                <w:szCs w:val="16"/>
                <w:lang w:eastAsia="en-AU"/>
              </w:rPr>
              <w:t>44.9%</w:t>
            </w:r>
          </w:p>
        </w:tc>
      </w:tr>
      <w:tr w:rsidR="000327E8" w:rsidRPr="009026C7" w14:paraId="0FA6FD39" w14:textId="77777777" w:rsidTr="002B38EB">
        <w:trPr>
          <w:trHeight w:val="315"/>
        </w:trPr>
        <w:tc>
          <w:tcPr>
            <w:tcW w:w="2400" w:type="dxa"/>
            <w:tcBorders>
              <w:top w:val="single" w:sz="4" w:space="0" w:color="ADD6EA"/>
              <w:left w:val="nil"/>
              <w:bottom w:val="nil"/>
              <w:right w:val="nil"/>
            </w:tcBorders>
            <w:shd w:val="clear" w:color="auto" w:fill="auto"/>
            <w:vAlign w:val="bottom"/>
            <w:hideMark/>
          </w:tcPr>
          <w:p w14:paraId="72DE81B1" w14:textId="77777777" w:rsidR="000327E8" w:rsidRPr="009026C7" w:rsidRDefault="000327E8" w:rsidP="002B38EB">
            <w:pPr>
              <w:keepNext/>
              <w:keepLines/>
              <w:tabs>
                <w:tab w:val="clear" w:pos="567"/>
              </w:tabs>
              <w:spacing w:before="0" w:line="240" w:lineRule="auto"/>
              <w:rPr>
                <w:rFonts w:eastAsia="Times New Roman" w:cs="Open Sans Light"/>
                <w:color w:val="000000"/>
                <w:sz w:val="16"/>
                <w:szCs w:val="16"/>
                <w:lang w:eastAsia="en-AU"/>
              </w:rPr>
            </w:pPr>
            <w:r w:rsidRPr="009026C7">
              <w:rPr>
                <w:rFonts w:eastAsia="Times New Roman" w:cs="Open Sans Light"/>
                <w:color w:val="000000"/>
                <w:sz w:val="16"/>
                <w:szCs w:val="16"/>
                <w:lang w:eastAsia="en-AU"/>
              </w:rPr>
              <w:t>Justice</w:t>
            </w:r>
          </w:p>
        </w:tc>
        <w:tc>
          <w:tcPr>
            <w:tcW w:w="3860" w:type="dxa"/>
            <w:tcBorders>
              <w:top w:val="single" w:sz="4" w:space="0" w:color="ADD6EA"/>
              <w:left w:val="nil"/>
              <w:bottom w:val="nil"/>
              <w:right w:val="nil"/>
            </w:tcBorders>
            <w:shd w:val="clear" w:color="auto" w:fill="auto"/>
            <w:noWrap/>
            <w:vAlign w:val="bottom"/>
            <w:hideMark/>
          </w:tcPr>
          <w:p w14:paraId="5D2266CC" w14:textId="77777777" w:rsidR="000327E8" w:rsidRPr="009026C7" w:rsidRDefault="000327E8" w:rsidP="002B38EB">
            <w:pPr>
              <w:keepNext/>
              <w:keepLines/>
              <w:tabs>
                <w:tab w:val="clear" w:pos="567"/>
              </w:tabs>
              <w:spacing w:before="0" w:line="240" w:lineRule="auto"/>
              <w:jc w:val="right"/>
              <w:rPr>
                <w:rFonts w:eastAsia="Times New Roman" w:cs="Open Sans Light"/>
                <w:color w:val="000000"/>
                <w:sz w:val="16"/>
                <w:szCs w:val="16"/>
                <w:lang w:eastAsia="en-AU"/>
              </w:rPr>
            </w:pPr>
            <w:r w:rsidRPr="009026C7">
              <w:rPr>
                <w:rFonts w:eastAsia="Times New Roman" w:cs="Open Sans Light"/>
                <w:color w:val="000000"/>
                <w:sz w:val="16"/>
                <w:szCs w:val="16"/>
                <w:lang w:eastAsia="en-AU"/>
              </w:rPr>
              <w:t>72.4%</w:t>
            </w:r>
          </w:p>
        </w:tc>
        <w:tc>
          <w:tcPr>
            <w:tcW w:w="2060" w:type="dxa"/>
            <w:tcBorders>
              <w:top w:val="single" w:sz="4" w:space="0" w:color="ADD6EA"/>
              <w:left w:val="nil"/>
              <w:bottom w:val="nil"/>
              <w:right w:val="nil"/>
            </w:tcBorders>
            <w:shd w:val="clear" w:color="auto" w:fill="auto"/>
            <w:noWrap/>
            <w:vAlign w:val="bottom"/>
            <w:hideMark/>
          </w:tcPr>
          <w:p w14:paraId="0BCE97EC" w14:textId="77777777" w:rsidR="000327E8" w:rsidRPr="009026C7" w:rsidRDefault="000327E8" w:rsidP="002B38EB">
            <w:pPr>
              <w:keepNext/>
              <w:keepLines/>
              <w:tabs>
                <w:tab w:val="clear" w:pos="567"/>
              </w:tabs>
              <w:spacing w:before="0" w:line="240" w:lineRule="auto"/>
              <w:jc w:val="right"/>
              <w:rPr>
                <w:rFonts w:eastAsia="Times New Roman" w:cs="Open Sans Light"/>
                <w:color w:val="000000"/>
                <w:sz w:val="16"/>
                <w:szCs w:val="16"/>
                <w:lang w:eastAsia="en-AU"/>
              </w:rPr>
            </w:pPr>
            <w:r w:rsidRPr="009026C7">
              <w:rPr>
                <w:rFonts w:eastAsia="Times New Roman" w:cs="Open Sans Light"/>
                <w:color w:val="000000"/>
                <w:sz w:val="16"/>
                <w:szCs w:val="16"/>
                <w:lang w:eastAsia="en-AU"/>
              </w:rPr>
              <w:t>72.4%</w:t>
            </w:r>
          </w:p>
        </w:tc>
      </w:tr>
      <w:tr w:rsidR="000327E8" w:rsidRPr="009026C7" w14:paraId="2303D99F" w14:textId="77777777" w:rsidTr="002B38EB">
        <w:trPr>
          <w:trHeight w:val="315"/>
        </w:trPr>
        <w:tc>
          <w:tcPr>
            <w:tcW w:w="2400" w:type="dxa"/>
            <w:tcBorders>
              <w:top w:val="single" w:sz="4" w:space="0" w:color="ADD6EA"/>
              <w:left w:val="nil"/>
              <w:bottom w:val="nil"/>
              <w:right w:val="nil"/>
            </w:tcBorders>
            <w:shd w:val="clear" w:color="auto" w:fill="auto"/>
            <w:vAlign w:val="bottom"/>
            <w:hideMark/>
          </w:tcPr>
          <w:p w14:paraId="144D27EF" w14:textId="77777777" w:rsidR="000327E8" w:rsidRPr="009026C7" w:rsidRDefault="000327E8" w:rsidP="002B38EB">
            <w:pPr>
              <w:keepNext/>
              <w:keepLines/>
              <w:tabs>
                <w:tab w:val="clear" w:pos="567"/>
              </w:tabs>
              <w:spacing w:before="0" w:line="240" w:lineRule="auto"/>
              <w:rPr>
                <w:rFonts w:eastAsia="Times New Roman" w:cs="Open Sans Light"/>
                <w:color w:val="000000"/>
                <w:sz w:val="16"/>
                <w:szCs w:val="16"/>
                <w:lang w:eastAsia="en-AU"/>
              </w:rPr>
            </w:pPr>
            <w:r w:rsidRPr="009026C7">
              <w:rPr>
                <w:rFonts w:eastAsia="Times New Roman" w:cs="Open Sans Light"/>
                <w:color w:val="000000"/>
                <w:sz w:val="16"/>
                <w:szCs w:val="16"/>
                <w:lang w:eastAsia="en-AU"/>
              </w:rPr>
              <w:t>Roads</w:t>
            </w:r>
          </w:p>
        </w:tc>
        <w:tc>
          <w:tcPr>
            <w:tcW w:w="3860" w:type="dxa"/>
            <w:tcBorders>
              <w:top w:val="single" w:sz="4" w:space="0" w:color="ADD6EA"/>
              <w:left w:val="nil"/>
              <w:bottom w:val="nil"/>
              <w:right w:val="nil"/>
            </w:tcBorders>
            <w:shd w:val="clear" w:color="auto" w:fill="auto"/>
            <w:noWrap/>
            <w:vAlign w:val="bottom"/>
            <w:hideMark/>
          </w:tcPr>
          <w:p w14:paraId="6F01C673" w14:textId="77777777" w:rsidR="000327E8" w:rsidRPr="009026C7" w:rsidRDefault="000327E8" w:rsidP="002B38EB">
            <w:pPr>
              <w:keepNext/>
              <w:keepLines/>
              <w:tabs>
                <w:tab w:val="clear" w:pos="567"/>
              </w:tabs>
              <w:spacing w:before="0" w:line="240" w:lineRule="auto"/>
              <w:jc w:val="right"/>
              <w:rPr>
                <w:rFonts w:eastAsia="Times New Roman" w:cs="Open Sans Light"/>
                <w:color w:val="000000"/>
                <w:sz w:val="16"/>
                <w:szCs w:val="16"/>
                <w:lang w:eastAsia="en-AU"/>
              </w:rPr>
            </w:pPr>
            <w:r w:rsidRPr="009026C7">
              <w:rPr>
                <w:rFonts w:eastAsia="Times New Roman" w:cs="Open Sans Light"/>
                <w:color w:val="000000"/>
                <w:sz w:val="16"/>
                <w:szCs w:val="16"/>
                <w:lang w:eastAsia="en-AU"/>
              </w:rPr>
              <w:t>29.6%</w:t>
            </w:r>
          </w:p>
        </w:tc>
        <w:tc>
          <w:tcPr>
            <w:tcW w:w="2060" w:type="dxa"/>
            <w:tcBorders>
              <w:top w:val="single" w:sz="4" w:space="0" w:color="ADD6EA"/>
              <w:left w:val="nil"/>
              <w:bottom w:val="nil"/>
              <w:right w:val="nil"/>
            </w:tcBorders>
            <w:shd w:val="clear" w:color="auto" w:fill="auto"/>
            <w:noWrap/>
            <w:vAlign w:val="bottom"/>
            <w:hideMark/>
          </w:tcPr>
          <w:p w14:paraId="322726AF" w14:textId="77777777" w:rsidR="000327E8" w:rsidRPr="009026C7" w:rsidRDefault="000327E8" w:rsidP="002B38EB">
            <w:pPr>
              <w:keepNext/>
              <w:keepLines/>
              <w:tabs>
                <w:tab w:val="clear" w:pos="567"/>
              </w:tabs>
              <w:spacing w:before="0" w:line="240" w:lineRule="auto"/>
              <w:jc w:val="right"/>
              <w:rPr>
                <w:rFonts w:eastAsia="Times New Roman" w:cs="Open Sans Light"/>
                <w:color w:val="000000"/>
                <w:sz w:val="16"/>
                <w:szCs w:val="16"/>
                <w:lang w:eastAsia="en-AU"/>
              </w:rPr>
            </w:pPr>
            <w:r w:rsidRPr="009026C7">
              <w:rPr>
                <w:rFonts w:eastAsia="Times New Roman" w:cs="Open Sans Light"/>
                <w:color w:val="000000"/>
                <w:sz w:val="16"/>
                <w:szCs w:val="16"/>
                <w:lang w:eastAsia="en-AU"/>
              </w:rPr>
              <w:t>63.3%</w:t>
            </w:r>
          </w:p>
        </w:tc>
      </w:tr>
      <w:tr w:rsidR="000327E8" w:rsidRPr="009026C7" w14:paraId="67197DDC" w14:textId="77777777" w:rsidTr="002B38EB">
        <w:trPr>
          <w:trHeight w:val="315"/>
        </w:trPr>
        <w:tc>
          <w:tcPr>
            <w:tcW w:w="2400" w:type="dxa"/>
            <w:tcBorders>
              <w:top w:val="single" w:sz="4" w:space="0" w:color="ADD6EA"/>
              <w:left w:val="nil"/>
              <w:bottom w:val="nil"/>
              <w:right w:val="nil"/>
            </w:tcBorders>
            <w:shd w:val="clear" w:color="auto" w:fill="auto"/>
            <w:vAlign w:val="bottom"/>
            <w:hideMark/>
          </w:tcPr>
          <w:p w14:paraId="65C07EA1" w14:textId="77777777" w:rsidR="000327E8" w:rsidRPr="009026C7" w:rsidRDefault="000327E8" w:rsidP="002B38EB">
            <w:pPr>
              <w:keepNext/>
              <w:keepLines/>
              <w:tabs>
                <w:tab w:val="clear" w:pos="567"/>
              </w:tabs>
              <w:spacing w:before="0" w:line="240" w:lineRule="auto"/>
              <w:rPr>
                <w:rFonts w:eastAsia="Times New Roman" w:cs="Open Sans Light"/>
                <w:color w:val="000000"/>
                <w:sz w:val="16"/>
                <w:szCs w:val="16"/>
                <w:lang w:eastAsia="en-AU"/>
              </w:rPr>
            </w:pPr>
            <w:r w:rsidRPr="009026C7">
              <w:rPr>
                <w:rFonts w:eastAsia="Times New Roman" w:cs="Open Sans Light"/>
                <w:color w:val="000000"/>
                <w:sz w:val="16"/>
                <w:szCs w:val="16"/>
                <w:lang w:eastAsia="en-AU"/>
              </w:rPr>
              <w:t>Transport</w:t>
            </w:r>
          </w:p>
        </w:tc>
        <w:tc>
          <w:tcPr>
            <w:tcW w:w="3860" w:type="dxa"/>
            <w:tcBorders>
              <w:top w:val="single" w:sz="4" w:space="0" w:color="ADD6EA"/>
              <w:left w:val="nil"/>
              <w:bottom w:val="nil"/>
              <w:right w:val="nil"/>
            </w:tcBorders>
            <w:shd w:val="clear" w:color="auto" w:fill="auto"/>
            <w:noWrap/>
            <w:vAlign w:val="bottom"/>
            <w:hideMark/>
          </w:tcPr>
          <w:p w14:paraId="24C6C679" w14:textId="77777777" w:rsidR="000327E8" w:rsidRPr="009026C7" w:rsidRDefault="000327E8" w:rsidP="002B38EB">
            <w:pPr>
              <w:keepNext/>
              <w:keepLines/>
              <w:tabs>
                <w:tab w:val="clear" w:pos="567"/>
              </w:tabs>
              <w:spacing w:before="0" w:line="240" w:lineRule="auto"/>
              <w:jc w:val="right"/>
              <w:rPr>
                <w:rFonts w:eastAsia="Times New Roman" w:cs="Open Sans Light"/>
                <w:color w:val="000000"/>
                <w:sz w:val="16"/>
                <w:szCs w:val="16"/>
                <w:lang w:eastAsia="en-AU"/>
              </w:rPr>
            </w:pPr>
            <w:r w:rsidRPr="009026C7">
              <w:rPr>
                <w:rFonts w:eastAsia="Times New Roman" w:cs="Open Sans Light"/>
                <w:color w:val="000000"/>
                <w:sz w:val="16"/>
                <w:szCs w:val="16"/>
                <w:lang w:eastAsia="en-AU"/>
              </w:rPr>
              <w:t>12.7%</w:t>
            </w:r>
          </w:p>
        </w:tc>
        <w:tc>
          <w:tcPr>
            <w:tcW w:w="2060" w:type="dxa"/>
            <w:tcBorders>
              <w:top w:val="single" w:sz="4" w:space="0" w:color="ADD6EA"/>
              <w:left w:val="nil"/>
              <w:bottom w:val="nil"/>
              <w:right w:val="nil"/>
            </w:tcBorders>
            <w:shd w:val="clear" w:color="auto" w:fill="auto"/>
            <w:noWrap/>
            <w:vAlign w:val="bottom"/>
            <w:hideMark/>
          </w:tcPr>
          <w:p w14:paraId="78B8DD94" w14:textId="77777777" w:rsidR="000327E8" w:rsidRPr="009026C7" w:rsidRDefault="000327E8" w:rsidP="002B38EB">
            <w:pPr>
              <w:keepNext/>
              <w:keepLines/>
              <w:tabs>
                <w:tab w:val="clear" w:pos="567"/>
              </w:tabs>
              <w:spacing w:before="0" w:line="240" w:lineRule="auto"/>
              <w:jc w:val="right"/>
              <w:rPr>
                <w:rFonts w:eastAsia="Times New Roman" w:cs="Open Sans Light"/>
                <w:color w:val="000000"/>
                <w:sz w:val="16"/>
                <w:szCs w:val="16"/>
                <w:lang w:eastAsia="en-AU"/>
              </w:rPr>
            </w:pPr>
            <w:r w:rsidRPr="009026C7">
              <w:rPr>
                <w:rFonts w:eastAsia="Times New Roman" w:cs="Open Sans Light"/>
                <w:color w:val="000000"/>
                <w:sz w:val="16"/>
                <w:szCs w:val="16"/>
                <w:lang w:eastAsia="en-AU"/>
              </w:rPr>
              <w:t>63.3%</w:t>
            </w:r>
          </w:p>
        </w:tc>
      </w:tr>
      <w:tr w:rsidR="000327E8" w:rsidRPr="009026C7" w14:paraId="0B15ED52" w14:textId="77777777" w:rsidTr="002B38EB">
        <w:trPr>
          <w:trHeight w:val="315"/>
        </w:trPr>
        <w:tc>
          <w:tcPr>
            <w:tcW w:w="2400" w:type="dxa"/>
            <w:tcBorders>
              <w:top w:val="single" w:sz="4" w:space="0" w:color="ADD6EA"/>
              <w:left w:val="nil"/>
              <w:bottom w:val="nil"/>
              <w:right w:val="nil"/>
            </w:tcBorders>
            <w:shd w:val="clear" w:color="auto" w:fill="auto"/>
            <w:vAlign w:val="bottom"/>
            <w:hideMark/>
          </w:tcPr>
          <w:p w14:paraId="57FE4DF1" w14:textId="77777777" w:rsidR="000327E8" w:rsidRPr="009026C7" w:rsidRDefault="000327E8" w:rsidP="002B38EB">
            <w:pPr>
              <w:keepNext/>
              <w:keepLines/>
              <w:tabs>
                <w:tab w:val="clear" w:pos="567"/>
              </w:tabs>
              <w:spacing w:before="0" w:line="240" w:lineRule="auto"/>
              <w:rPr>
                <w:rFonts w:eastAsia="Times New Roman" w:cs="Open Sans Light"/>
                <w:color w:val="000000"/>
                <w:sz w:val="16"/>
                <w:szCs w:val="16"/>
                <w:lang w:eastAsia="en-AU"/>
              </w:rPr>
            </w:pPr>
            <w:r w:rsidRPr="009026C7">
              <w:rPr>
                <w:rFonts w:eastAsia="Times New Roman" w:cs="Open Sans Light"/>
                <w:color w:val="000000"/>
                <w:sz w:val="16"/>
                <w:szCs w:val="16"/>
                <w:lang w:eastAsia="en-AU"/>
              </w:rPr>
              <w:t>Services to industry</w:t>
            </w:r>
          </w:p>
        </w:tc>
        <w:tc>
          <w:tcPr>
            <w:tcW w:w="3860" w:type="dxa"/>
            <w:tcBorders>
              <w:top w:val="single" w:sz="4" w:space="0" w:color="ADD6EA"/>
              <w:left w:val="nil"/>
              <w:bottom w:val="nil"/>
              <w:right w:val="nil"/>
            </w:tcBorders>
            <w:shd w:val="clear" w:color="auto" w:fill="auto"/>
            <w:noWrap/>
            <w:vAlign w:val="bottom"/>
            <w:hideMark/>
          </w:tcPr>
          <w:p w14:paraId="5200FB67" w14:textId="77777777" w:rsidR="000327E8" w:rsidRPr="009026C7" w:rsidRDefault="000327E8" w:rsidP="002B38EB">
            <w:pPr>
              <w:keepNext/>
              <w:keepLines/>
              <w:tabs>
                <w:tab w:val="clear" w:pos="567"/>
              </w:tabs>
              <w:spacing w:before="0" w:line="240" w:lineRule="auto"/>
              <w:jc w:val="right"/>
              <w:rPr>
                <w:rFonts w:eastAsia="Times New Roman" w:cs="Open Sans Light"/>
                <w:color w:val="000000"/>
                <w:sz w:val="16"/>
                <w:szCs w:val="16"/>
                <w:lang w:eastAsia="en-AU"/>
              </w:rPr>
            </w:pPr>
            <w:r w:rsidRPr="009026C7">
              <w:rPr>
                <w:rFonts w:eastAsia="Times New Roman" w:cs="Open Sans Light"/>
                <w:color w:val="000000"/>
                <w:sz w:val="16"/>
                <w:szCs w:val="16"/>
                <w:lang w:eastAsia="en-AU"/>
              </w:rPr>
              <w:t>47.0%</w:t>
            </w:r>
          </w:p>
        </w:tc>
        <w:tc>
          <w:tcPr>
            <w:tcW w:w="2060" w:type="dxa"/>
            <w:tcBorders>
              <w:top w:val="single" w:sz="4" w:space="0" w:color="ADD6EA"/>
              <w:left w:val="nil"/>
              <w:bottom w:val="nil"/>
              <w:right w:val="nil"/>
            </w:tcBorders>
            <w:shd w:val="clear" w:color="auto" w:fill="auto"/>
            <w:noWrap/>
            <w:vAlign w:val="bottom"/>
            <w:hideMark/>
          </w:tcPr>
          <w:p w14:paraId="0AB98AFE" w14:textId="77777777" w:rsidR="000327E8" w:rsidRPr="009026C7" w:rsidRDefault="000327E8" w:rsidP="002B38EB">
            <w:pPr>
              <w:keepNext/>
              <w:keepLines/>
              <w:tabs>
                <w:tab w:val="clear" w:pos="567"/>
              </w:tabs>
              <w:spacing w:before="0" w:line="240" w:lineRule="auto"/>
              <w:jc w:val="right"/>
              <w:rPr>
                <w:rFonts w:eastAsia="Times New Roman" w:cs="Open Sans Light"/>
                <w:color w:val="000000"/>
                <w:sz w:val="16"/>
                <w:szCs w:val="16"/>
                <w:lang w:eastAsia="en-AU"/>
              </w:rPr>
            </w:pPr>
            <w:r w:rsidRPr="009026C7">
              <w:rPr>
                <w:rFonts w:eastAsia="Times New Roman" w:cs="Open Sans Light"/>
                <w:color w:val="000000"/>
                <w:sz w:val="16"/>
                <w:szCs w:val="16"/>
                <w:lang w:eastAsia="en-AU"/>
              </w:rPr>
              <w:t>47.0%</w:t>
            </w:r>
          </w:p>
        </w:tc>
      </w:tr>
      <w:tr w:rsidR="000327E8" w:rsidRPr="009026C7" w14:paraId="321A18B8" w14:textId="77777777" w:rsidTr="002B38EB">
        <w:trPr>
          <w:trHeight w:val="315"/>
        </w:trPr>
        <w:tc>
          <w:tcPr>
            <w:tcW w:w="2400" w:type="dxa"/>
            <w:tcBorders>
              <w:top w:val="single" w:sz="4" w:space="0" w:color="ADD6EA"/>
              <w:left w:val="nil"/>
              <w:bottom w:val="single" w:sz="4" w:space="0" w:color="ADD6EA"/>
              <w:right w:val="nil"/>
            </w:tcBorders>
            <w:shd w:val="clear" w:color="auto" w:fill="auto"/>
            <w:vAlign w:val="bottom"/>
            <w:hideMark/>
          </w:tcPr>
          <w:p w14:paraId="633E1B5C" w14:textId="77777777" w:rsidR="000327E8" w:rsidRPr="009026C7" w:rsidRDefault="000327E8" w:rsidP="002B38EB">
            <w:pPr>
              <w:keepNext/>
              <w:keepLines/>
              <w:tabs>
                <w:tab w:val="clear" w:pos="567"/>
              </w:tabs>
              <w:spacing w:before="0" w:line="240" w:lineRule="auto"/>
              <w:rPr>
                <w:rFonts w:eastAsia="Times New Roman" w:cs="Open Sans Light"/>
                <w:color w:val="000000"/>
                <w:sz w:val="16"/>
                <w:szCs w:val="16"/>
                <w:lang w:eastAsia="en-AU"/>
              </w:rPr>
            </w:pPr>
            <w:r w:rsidRPr="009026C7">
              <w:rPr>
                <w:rFonts w:eastAsia="Times New Roman" w:cs="Open Sans Light"/>
                <w:color w:val="000000"/>
                <w:sz w:val="16"/>
                <w:szCs w:val="16"/>
                <w:lang w:eastAsia="en-AU"/>
              </w:rPr>
              <w:t>Other expenses</w:t>
            </w:r>
          </w:p>
        </w:tc>
        <w:tc>
          <w:tcPr>
            <w:tcW w:w="3860" w:type="dxa"/>
            <w:tcBorders>
              <w:top w:val="single" w:sz="4" w:space="0" w:color="ADD6EA"/>
              <w:left w:val="nil"/>
              <w:bottom w:val="single" w:sz="4" w:space="0" w:color="ADD6EA"/>
              <w:right w:val="nil"/>
            </w:tcBorders>
            <w:shd w:val="clear" w:color="auto" w:fill="auto"/>
            <w:noWrap/>
            <w:vAlign w:val="bottom"/>
            <w:hideMark/>
          </w:tcPr>
          <w:p w14:paraId="60AC7794" w14:textId="77777777" w:rsidR="000327E8" w:rsidRPr="009026C7" w:rsidRDefault="000327E8" w:rsidP="002B38EB">
            <w:pPr>
              <w:keepNext/>
              <w:keepLines/>
              <w:tabs>
                <w:tab w:val="clear" w:pos="567"/>
              </w:tabs>
              <w:spacing w:before="0" w:line="240" w:lineRule="auto"/>
              <w:jc w:val="right"/>
              <w:rPr>
                <w:rFonts w:eastAsia="Times New Roman" w:cs="Open Sans Light"/>
                <w:color w:val="000000"/>
                <w:sz w:val="16"/>
                <w:szCs w:val="16"/>
                <w:lang w:eastAsia="en-AU"/>
              </w:rPr>
            </w:pPr>
            <w:r w:rsidRPr="009026C7">
              <w:rPr>
                <w:rFonts w:eastAsia="Times New Roman" w:cs="Open Sans Light"/>
                <w:color w:val="000000"/>
                <w:sz w:val="16"/>
                <w:szCs w:val="16"/>
                <w:lang w:eastAsia="en-AU"/>
              </w:rPr>
              <w:t>45.0%</w:t>
            </w:r>
          </w:p>
        </w:tc>
        <w:tc>
          <w:tcPr>
            <w:tcW w:w="2060" w:type="dxa"/>
            <w:tcBorders>
              <w:top w:val="single" w:sz="4" w:space="0" w:color="ADD6EA"/>
              <w:left w:val="nil"/>
              <w:bottom w:val="single" w:sz="4" w:space="0" w:color="ADD6EA"/>
              <w:right w:val="nil"/>
            </w:tcBorders>
            <w:shd w:val="clear" w:color="auto" w:fill="auto"/>
            <w:noWrap/>
            <w:vAlign w:val="bottom"/>
            <w:hideMark/>
          </w:tcPr>
          <w:p w14:paraId="53745CD4" w14:textId="77777777" w:rsidR="000327E8" w:rsidRPr="009026C7" w:rsidRDefault="000327E8" w:rsidP="002B38EB">
            <w:pPr>
              <w:keepNext/>
              <w:keepLines/>
              <w:tabs>
                <w:tab w:val="clear" w:pos="567"/>
              </w:tabs>
              <w:spacing w:before="0" w:line="240" w:lineRule="auto"/>
              <w:jc w:val="right"/>
              <w:rPr>
                <w:rFonts w:eastAsia="Times New Roman" w:cs="Open Sans Light"/>
                <w:color w:val="000000"/>
                <w:sz w:val="16"/>
                <w:szCs w:val="16"/>
                <w:lang w:eastAsia="en-AU"/>
              </w:rPr>
            </w:pPr>
            <w:r w:rsidRPr="009026C7">
              <w:rPr>
                <w:rFonts w:eastAsia="Times New Roman" w:cs="Open Sans Light"/>
                <w:color w:val="000000"/>
                <w:sz w:val="16"/>
                <w:szCs w:val="16"/>
                <w:lang w:eastAsia="en-AU"/>
              </w:rPr>
              <w:t>45.0%</w:t>
            </w:r>
          </w:p>
        </w:tc>
      </w:tr>
    </w:tbl>
    <w:p w14:paraId="2E330D4E" w14:textId="77777777" w:rsidR="000327E8" w:rsidRPr="00A86A95" w:rsidRDefault="000327E8" w:rsidP="000327E8">
      <w:pPr>
        <w:pStyle w:val="CGC2025TableNote"/>
      </w:pPr>
      <w:r>
        <w:t>Source: Commission calculation.</w:t>
      </w:r>
    </w:p>
    <w:p w14:paraId="54EC9A85" w14:textId="06362B4C" w:rsidR="00A11A9E" w:rsidRDefault="00A11A9E" w:rsidP="00A11A9E">
      <w:pPr>
        <w:pStyle w:val="CGC2025ParaNumbers"/>
      </w:pPr>
      <w:r>
        <w:t xml:space="preserve">The wages factor is also used as an input into the investment assessment. The relative costs of construction in the states are applied to investment. State wage costs are used in combination with the most current </w:t>
      </w:r>
      <w:proofErr w:type="spellStart"/>
      <w:r>
        <w:t>Rawlinsons</w:t>
      </w:r>
      <w:proofErr w:type="spellEnd"/>
      <w:r>
        <w:t xml:space="preserve"> construction cost guide for each assessment year to estimate relative construction costs in the states.</w:t>
      </w:r>
      <w:r w:rsidR="00DB66C5">
        <w:rPr>
          <w:rStyle w:val="FootnoteReference"/>
        </w:rPr>
        <w:footnoteReference w:id="2"/>
      </w:r>
      <w:r>
        <w:t xml:space="preserve"> Further details on the use of wage costs in the investment assessment will be provided in the consultation paper for the investment assessment. </w:t>
      </w:r>
    </w:p>
    <w:p w14:paraId="6B0EE1E5" w14:textId="64ADFF9F" w:rsidR="00A11A9E" w:rsidRDefault="00A11A9E" w:rsidP="00A11A9E">
      <w:pPr>
        <w:pStyle w:val="CGC2025ParaNumbers"/>
      </w:pPr>
      <w:r>
        <w:fldChar w:fldCharType="begin"/>
      </w:r>
      <w:r>
        <w:instrText xml:space="preserve"> REF _Ref130826987 \h  \* MERGEFORMAT </w:instrText>
      </w:r>
      <w:r>
        <w:fldChar w:fldCharType="separate"/>
      </w:r>
      <w:r w:rsidR="00BC30E2" w:rsidRPr="000327E8">
        <w:t xml:space="preserve">Table </w:t>
      </w:r>
      <w:r w:rsidR="00BC30E2">
        <w:rPr>
          <w:noProof/>
        </w:rPr>
        <w:t>2</w:t>
      </w:r>
      <w:r>
        <w:fldChar w:fldCharType="end"/>
      </w:r>
      <w:r>
        <w:t xml:space="preserve"> shows the total expenses affected by the </w:t>
      </w:r>
      <w:r>
        <w:rPr>
          <w:noProof/>
        </w:rPr>
        <w:t>wage</w:t>
      </w:r>
      <w:r w:rsidR="00BC0C95">
        <w:rPr>
          <w:noProof/>
        </w:rPr>
        <w:t xml:space="preserve"> cost</w:t>
      </w:r>
      <w:r>
        <w:rPr>
          <w:noProof/>
        </w:rPr>
        <w:t>s assessment</w:t>
      </w:r>
      <w:r w:rsidRPr="0081219B">
        <w:rPr>
          <w:noProof/>
        </w:rPr>
        <w:t>.</w:t>
      </w:r>
    </w:p>
    <w:p w14:paraId="30CB240D" w14:textId="6DDC6300" w:rsidR="000327E8" w:rsidRPr="000327E8" w:rsidRDefault="000327E8" w:rsidP="00D90161">
      <w:pPr>
        <w:pStyle w:val="CGC2025Caption"/>
        <w:tabs>
          <w:tab w:val="left" w:pos="1134"/>
        </w:tabs>
      </w:pPr>
      <w:bookmarkStart w:id="19" w:name="_Ref130826987"/>
      <w:bookmarkStart w:id="20" w:name="_Ref117585289"/>
      <w:r w:rsidRPr="000327E8">
        <w:t xml:space="preserve">Table </w:t>
      </w:r>
      <w:r w:rsidRPr="000327E8">
        <w:fldChar w:fldCharType="begin"/>
      </w:r>
      <w:r w:rsidRPr="000327E8">
        <w:instrText>SEQ Table \* ARABIC</w:instrText>
      </w:r>
      <w:r w:rsidRPr="000327E8">
        <w:fldChar w:fldCharType="separate"/>
      </w:r>
      <w:r w:rsidR="00BC30E2">
        <w:rPr>
          <w:noProof/>
        </w:rPr>
        <w:t>2</w:t>
      </w:r>
      <w:r w:rsidRPr="000327E8">
        <w:fldChar w:fldCharType="end"/>
      </w:r>
      <w:bookmarkEnd w:id="19"/>
      <w:r w:rsidRPr="000327E8">
        <w:t xml:space="preserve"> </w:t>
      </w:r>
      <w:r w:rsidRPr="000327E8">
        <w:tab/>
        <w:t>Wage expenses</w:t>
      </w:r>
      <w:bookmarkEnd w:id="20"/>
    </w:p>
    <w:tbl>
      <w:tblPr>
        <w:tblW w:w="8940" w:type="dxa"/>
        <w:tblLook w:val="04A0" w:firstRow="1" w:lastRow="0" w:firstColumn="1" w:lastColumn="0" w:noHBand="0" w:noVBand="1"/>
      </w:tblPr>
      <w:tblGrid>
        <w:gridCol w:w="3820"/>
        <w:gridCol w:w="1280"/>
        <w:gridCol w:w="1280"/>
        <w:gridCol w:w="1280"/>
        <w:gridCol w:w="1280"/>
      </w:tblGrid>
      <w:tr w:rsidR="000327E8" w:rsidRPr="005C4C58" w14:paraId="1601D2DE" w14:textId="77777777" w:rsidTr="002B38EB">
        <w:trPr>
          <w:trHeight w:val="379"/>
        </w:trPr>
        <w:tc>
          <w:tcPr>
            <w:tcW w:w="3820" w:type="dxa"/>
            <w:tcBorders>
              <w:top w:val="single" w:sz="4" w:space="0" w:color="ADD6EA"/>
              <w:left w:val="nil"/>
              <w:bottom w:val="single" w:sz="4" w:space="0" w:color="ADD6EA"/>
              <w:right w:val="nil"/>
            </w:tcBorders>
            <w:shd w:val="clear" w:color="000000" w:fill="006991"/>
            <w:noWrap/>
            <w:vAlign w:val="center"/>
            <w:hideMark/>
          </w:tcPr>
          <w:p w14:paraId="7C32CA14" w14:textId="77777777" w:rsidR="000327E8" w:rsidRPr="005C4C58" w:rsidRDefault="000327E8" w:rsidP="002B38EB">
            <w:pPr>
              <w:keepNext/>
              <w:keepLines/>
              <w:widowControl w:val="0"/>
              <w:tabs>
                <w:tab w:val="clear" w:pos="567"/>
              </w:tabs>
              <w:spacing w:before="0" w:line="240" w:lineRule="auto"/>
              <w:jc w:val="right"/>
              <w:rPr>
                <w:rFonts w:ascii="Work Sans" w:eastAsia="Times New Roman" w:hAnsi="Work Sans" w:cs="Times New Roman"/>
                <w:b/>
                <w:bCs/>
                <w:color w:val="FFFFFF"/>
                <w:sz w:val="16"/>
                <w:szCs w:val="16"/>
                <w:lang w:eastAsia="en-AU"/>
              </w:rPr>
            </w:pPr>
            <w:r w:rsidRPr="005C4C58">
              <w:rPr>
                <w:rFonts w:ascii="Work Sans" w:eastAsia="Times New Roman" w:hAnsi="Work Sans" w:cs="Times New Roman"/>
                <w:b/>
                <w:bCs/>
                <w:color w:val="FFFFFF"/>
                <w:sz w:val="16"/>
                <w:szCs w:val="16"/>
                <w:lang w:eastAsia="en-AU"/>
              </w:rPr>
              <w:t> </w:t>
            </w:r>
          </w:p>
        </w:tc>
        <w:tc>
          <w:tcPr>
            <w:tcW w:w="1280" w:type="dxa"/>
            <w:tcBorders>
              <w:top w:val="single" w:sz="4" w:space="0" w:color="ADD6EA"/>
              <w:left w:val="nil"/>
              <w:bottom w:val="single" w:sz="4" w:space="0" w:color="ADD6EA"/>
              <w:right w:val="nil"/>
            </w:tcBorders>
            <w:shd w:val="clear" w:color="000000" w:fill="006991"/>
            <w:noWrap/>
            <w:vAlign w:val="center"/>
            <w:hideMark/>
          </w:tcPr>
          <w:p w14:paraId="437F6CC8" w14:textId="77777777" w:rsidR="000327E8" w:rsidRPr="00433DCB" w:rsidRDefault="000327E8" w:rsidP="002B38EB">
            <w:pPr>
              <w:keepNext/>
              <w:keepLines/>
              <w:widowControl w:val="0"/>
              <w:tabs>
                <w:tab w:val="clear" w:pos="567"/>
              </w:tabs>
              <w:spacing w:before="0" w:line="240" w:lineRule="auto"/>
              <w:jc w:val="right"/>
              <w:rPr>
                <w:rFonts w:ascii="Open Sans Semibold" w:eastAsia="Times New Roman" w:hAnsi="Open Sans Semibold" w:cs="Times New Roman"/>
                <w:bCs/>
                <w:color w:val="FFFFFF"/>
                <w:sz w:val="16"/>
                <w:szCs w:val="16"/>
                <w:lang w:eastAsia="en-AU"/>
              </w:rPr>
            </w:pPr>
            <w:r w:rsidRPr="00433DCB">
              <w:rPr>
                <w:rFonts w:ascii="Open Sans Semibold" w:eastAsia="Times New Roman" w:hAnsi="Open Sans Semibold" w:cs="Times New Roman"/>
                <w:bCs/>
                <w:color w:val="FFFFFF"/>
                <w:sz w:val="16"/>
                <w:szCs w:val="16"/>
                <w:lang w:eastAsia="en-AU"/>
              </w:rPr>
              <w:t>2018-19</w:t>
            </w:r>
          </w:p>
        </w:tc>
        <w:tc>
          <w:tcPr>
            <w:tcW w:w="1280" w:type="dxa"/>
            <w:tcBorders>
              <w:top w:val="single" w:sz="4" w:space="0" w:color="ADD6EA"/>
              <w:left w:val="nil"/>
              <w:bottom w:val="single" w:sz="4" w:space="0" w:color="ADD6EA"/>
              <w:right w:val="nil"/>
            </w:tcBorders>
            <w:shd w:val="clear" w:color="000000" w:fill="006991"/>
            <w:noWrap/>
            <w:vAlign w:val="center"/>
            <w:hideMark/>
          </w:tcPr>
          <w:p w14:paraId="0A7D16E4" w14:textId="77777777" w:rsidR="000327E8" w:rsidRPr="00433DCB" w:rsidRDefault="000327E8" w:rsidP="002B38EB">
            <w:pPr>
              <w:keepNext/>
              <w:keepLines/>
              <w:widowControl w:val="0"/>
              <w:tabs>
                <w:tab w:val="clear" w:pos="567"/>
              </w:tabs>
              <w:spacing w:before="0" w:line="240" w:lineRule="auto"/>
              <w:jc w:val="right"/>
              <w:rPr>
                <w:rFonts w:ascii="Open Sans Semibold" w:eastAsia="Times New Roman" w:hAnsi="Open Sans Semibold" w:cs="Times New Roman"/>
                <w:bCs/>
                <w:color w:val="FFFFFF"/>
                <w:sz w:val="16"/>
                <w:szCs w:val="16"/>
                <w:lang w:eastAsia="en-AU"/>
              </w:rPr>
            </w:pPr>
            <w:r w:rsidRPr="00433DCB">
              <w:rPr>
                <w:rFonts w:ascii="Open Sans Semibold" w:eastAsia="Times New Roman" w:hAnsi="Open Sans Semibold" w:cs="Times New Roman"/>
                <w:bCs/>
                <w:color w:val="FFFFFF"/>
                <w:sz w:val="16"/>
                <w:szCs w:val="16"/>
                <w:lang w:eastAsia="en-AU"/>
              </w:rPr>
              <w:t>2019-20</w:t>
            </w:r>
          </w:p>
        </w:tc>
        <w:tc>
          <w:tcPr>
            <w:tcW w:w="1280" w:type="dxa"/>
            <w:tcBorders>
              <w:top w:val="single" w:sz="4" w:space="0" w:color="ADD6EA"/>
              <w:left w:val="nil"/>
              <w:bottom w:val="single" w:sz="4" w:space="0" w:color="ADD6EA"/>
              <w:right w:val="nil"/>
            </w:tcBorders>
            <w:shd w:val="clear" w:color="000000" w:fill="006991"/>
            <w:noWrap/>
            <w:vAlign w:val="center"/>
            <w:hideMark/>
          </w:tcPr>
          <w:p w14:paraId="7BE3E152" w14:textId="77777777" w:rsidR="000327E8" w:rsidRPr="00433DCB" w:rsidRDefault="000327E8" w:rsidP="002B38EB">
            <w:pPr>
              <w:keepNext/>
              <w:keepLines/>
              <w:widowControl w:val="0"/>
              <w:tabs>
                <w:tab w:val="clear" w:pos="567"/>
              </w:tabs>
              <w:spacing w:before="0" w:line="240" w:lineRule="auto"/>
              <w:jc w:val="right"/>
              <w:rPr>
                <w:rFonts w:ascii="Open Sans Semibold" w:eastAsia="Times New Roman" w:hAnsi="Open Sans Semibold" w:cs="Times New Roman"/>
                <w:bCs/>
                <w:color w:val="FFFFFF"/>
                <w:sz w:val="16"/>
                <w:szCs w:val="16"/>
                <w:lang w:eastAsia="en-AU"/>
              </w:rPr>
            </w:pPr>
            <w:r w:rsidRPr="00433DCB">
              <w:rPr>
                <w:rFonts w:ascii="Open Sans Semibold" w:eastAsia="Times New Roman" w:hAnsi="Open Sans Semibold" w:cs="Times New Roman"/>
                <w:bCs/>
                <w:color w:val="FFFFFF"/>
                <w:sz w:val="16"/>
                <w:szCs w:val="16"/>
                <w:lang w:eastAsia="en-AU"/>
              </w:rPr>
              <w:t>2020-21</w:t>
            </w:r>
          </w:p>
        </w:tc>
        <w:tc>
          <w:tcPr>
            <w:tcW w:w="1280" w:type="dxa"/>
            <w:tcBorders>
              <w:top w:val="single" w:sz="4" w:space="0" w:color="ADD6EA"/>
              <w:left w:val="nil"/>
              <w:bottom w:val="single" w:sz="4" w:space="0" w:color="ADD6EA"/>
              <w:right w:val="nil"/>
            </w:tcBorders>
            <w:shd w:val="clear" w:color="000000" w:fill="006991"/>
            <w:noWrap/>
            <w:vAlign w:val="center"/>
            <w:hideMark/>
          </w:tcPr>
          <w:p w14:paraId="70480557" w14:textId="77777777" w:rsidR="000327E8" w:rsidRPr="00433DCB" w:rsidRDefault="000327E8" w:rsidP="002B38EB">
            <w:pPr>
              <w:keepNext/>
              <w:keepLines/>
              <w:widowControl w:val="0"/>
              <w:tabs>
                <w:tab w:val="clear" w:pos="567"/>
              </w:tabs>
              <w:spacing w:before="0" w:line="240" w:lineRule="auto"/>
              <w:jc w:val="right"/>
              <w:rPr>
                <w:rFonts w:ascii="Open Sans Semibold" w:eastAsia="Times New Roman" w:hAnsi="Open Sans Semibold" w:cs="Times New Roman"/>
                <w:bCs/>
                <w:color w:val="FFFFFF"/>
                <w:sz w:val="16"/>
                <w:szCs w:val="16"/>
                <w:lang w:eastAsia="en-AU"/>
              </w:rPr>
            </w:pPr>
            <w:r w:rsidRPr="00433DCB">
              <w:rPr>
                <w:rFonts w:ascii="Open Sans Semibold" w:eastAsia="Times New Roman" w:hAnsi="Open Sans Semibold" w:cs="Times New Roman"/>
                <w:bCs/>
                <w:color w:val="FFFFFF"/>
                <w:sz w:val="16"/>
                <w:szCs w:val="16"/>
                <w:lang w:eastAsia="en-AU"/>
              </w:rPr>
              <w:t>2021-22</w:t>
            </w:r>
          </w:p>
        </w:tc>
      </w:tr>
      <w:tr w:rsidR="000327E8" w:rsidRPr="005C4C58" w14:paraId="472348FF" w14:textId="77777777" w:rsidTr="002B38EB">
        <w:trPr>
          <w:trHeight w:val="319"/>
        </w:trPr>
        <w:tc>
          <w:tcPr>
            <w:tcW w:w="3820" w:type="dxa"/>
            <w:tcBorders>
              <w:top w:val="nil"/>
              <w:left w:val="nil"/>
              <w:bottom w:val="nil"/>
              <w:right w:val="nil"/>
            </w:tcBorders>
            <w:shd w:val="clear" w:color="auto" w:fill="auto"/>
            <w:vAlign w:val="bottom"/>
            <w:hideMark/>
          </w:tcPr>
          <w:p w14:paraId="5F0356A7" w14:textId="77777777" w:rsidR="000327E8" w:rsidRPr="00433DCB" w:rsidRDefault="000327E8" w:rsidP="002B38EB">
            <w:pPr>
              <w:keepNext/>
              <w:keepLines/>
              <w:widowControl w:val="0"/>
              <w:tabs>
                <w:tab w:val="clear" w:pos="567"/>
              </w:tabs>
              <w:spacing w:before="0" w:line="240" w:lineRule="auto"/>
              <w:rPr>
                <w:rFonts w:eastAsia="Times New Roman" w:cs="Times New Roman"/>
                <w:sz w:val="16"/>
                <w:szCs w:val="16"/>
                <w:lang w:eastAsia="en-AU"/>
              </w:rPr>
            </w:pPr>
            <w:r>
              <w:rPr>
                <w:rFonts w:cs="Open Sans Light"/>
                <w:color w:val="000000"/>
                <w:sz w:val="16"/>
                <w:szCs w:val="16"/>
              </w:rPr>
              <w:t>Wage expenses ($m)</w:t>
            </w:r>
          </w:p>
        </w:tc>
        <w:tc>
          <w:tcPr>
            <w:tcW w:w="1280" w:type="dxa"/>
            <w:tcBorders>
              <w:top w:val="nil"/>
              <w:left w:val="nil"/>
              <w:bottom w:val="nil"/>
              <w:right w:val="nil"/>
            </w:tcBorders>
            <w:shd w:val="clear" w:color="auto" w:fill="auto"/>
            <w:vAlign w:val="bottom"/>
            <w:hideMark/>
          </w:tcPr>
          <w:p w14:paraId="1E2033DD" w14:textId="77777777" w:rsidR="000327E8" w:rsidRPr="007056B9" w:rsidRDefault="000327E8" w:rsidP="002B38EB">
            <w:pPr>
              <w:keepNext/>
              <w:keepLines/>
              <w:tabs>
                <w:tab w:val="clear" w:pos="567"/>
              </w:tabs>
              <w:spacing w:before="0" w:line="240" w:lineRule="auto"/>
              <w:jc w:val="right"/>
              <w:rPr>
                <w:rFonts w:ascii="Work Sans" w:eastAsia="Times New Roman" w:hAnsi="Work Sans" w:cs="Open Sans Light"/>
                <w:sz w:val="16"/>
                <w:szCs w:val="16"/>
                <w:lang w:eastAsia="en-AU"/>
              </w:rPr>
            </w:pPr>
            <w:r>
              <w:rPr>
                <w:rFonts w:cs="Open Sans Light"/>
                <w:color w:val="000000"/>
                <w:sz w:val="16"/>
                <w:szCs w:val="16"/>
              </w:rPr>
              <w:t>144,210</w:t>
            </w:r>
          </w:p>
        </w:tc>
        <w:tc>
          <w:tcPr>
            <w:tcW w:w="1280" w:type="dxa"/>
            <w:tcBorders>
              <w:top w:val="nil"/>
              <w:left w:val="nil"/>
              <w:bottom w:val="nil"/>
              <w:right w:val="nil"/>
            </w:tcBorders>
            <w:shd w:val="clear" w:color="auto" w:fill="auto"/>
            <w:vAlign w:val="bottom"/>
            <w:hideMark/>
          </w:tcPr>
          <w:p w14:paraId="54726E0A" w14:textId="77777777" w:rsidR="000327E8" w:rsidRPr="007056B9" w:rsidRDefault="000327E8" w:rsidP="002B38EB">
            <w:pPr>
              <w:keepNext/>
              <w:keepLines/>
              <w:tabs>
                <w:tab w:val="clear" w:pos="567"/>
              </w:tabs>
              <w:spacing w:before="0" w:line="240" w:lineRule="auto"/>
              <w:jc w:val="right"/>
              <w:rPr>
                <w:rFonts w:ascii="Work Sans" w:eastAsia="Times New Roman" w:hAnsi="Work Sans" w:cs="Open Sans Light"/>
                <w:sz w:val="16"/>
                <w:szCs w:val="16"/>
                <w:lang w:eastAsia="en-AU"/>
              </w:rPr>
            </w:pPr>
            <w:r>
              <w:rPr>
                <w:rFonts w:cs="Open Sans Light"/>
                <w:color w:val="000000"/>
                <w:sz w:val="16"/>
                <w:szCs w:val="16"/>
              </w:rPr>
              <w:t>153,905</w:t>
            </w:r>
          </w:p>
        </w:tc>
        <w:tc>
          <w:tcPr>
            <w:tcW w:w="1280" w:type="dxa"/>
            <w:tcBorders>
              <w:top w:val="nil"/>
              <w:left w:val="nil"/>
              <w:bottom w:val="nil"/>
              <w:right w:val="nil"/>
            </w:tcBorders>
            <w:shd w:val="clear" w:color="auto" w:fill="auto"/>
            <w:vAlign w:val="bottom"/>
            <w:hideMark/>
          </w:tcPr>
          <w:p w14:paraId="44F45DC8" w14:textId="77777777" w:rsidR="000327E8" w:rsidRPr="007056B9" w:rsidRDefault="000327E8" w:rsidP="002B38EB">
            <w:pPr>
              <w:keepNext/>
              <w:keepLines/>
              <w:tabs>
                <w:tab w:val="clear" w:pos="567"/>
              </w:tabs>
              <w:spacing w:before="0" w:line="240" w:lineRule="auto"/>
              <w:jc w:val="right"/>
              <w:rPr>
                <w:rFonts w:ascii="Work Sans" w:eastAsia="Times New Roman" w:hAnsi="Work Sans" w:cs="Open Sans Light"/>
                <w:sz w:val="16"/>
                <w:szCs w:val="16"/>
                <w:lang w:eastAsia="en-AU"/>
              </w:rPr>
            </w:pPr>
            <w:r>
              <w:rPr>
                <w:rFonts w:cs="Open Sans Light"/>
                <w:color w:val="000000"/>
                <w:sz w:val="16"/>
                <w:szCs w:val="16"/>
              </w:rPr>
              <w:t>165,695</w:t>
            </w:r>
          </w:p>
        </w:tc>
        <w:tc>
          <w:tcPr>
            <w:tcW w:w="1280" w:type="dxa"/>
            <w:tcBorders>
              <w:top w:val="nil"/>
              <w:left w:val="nil"/>
              <w:bottom w:val="nil"/>
              <w:right w:val="nil"/>
            </w:tcBorders>
            <w:shd w:val="clear" w:color="auto" w:fill="auto"/>
            <w:vAlign w:val="bottom"/>
            <w:hideMark/>
          </w:tcPr>
          <w:p w14:paraId="6DBEADED" w14:textId="77777777" w:rsidR="000327E8" w:rsidRPr="007056B9" w:rsidRDefault="000327E8" w:rsidP="002B38EB">
            <w:pPr>
              <w:keepNext/>
              <w:keepLines/>
              <w:tabs>
                <w:tab w:val="clear" w:pos="567"/>
              </w:tabs>
              <w:spacing w:before="0" w:line="240" w:lineRule="auto"/>
              <w:jc w:val="right"/>
              <w:rPr>
                <w:rFonts w:ascii="Work Sans" w:eastAsia="Times New Roman" w:hAnsi="Work Sans" w:cs="Open Sans Light"/>
                <w:sz w:val="16"/>
                <w:szCs w:val="16"/>
                <w:lang w:eastAsia="en-AU"/>
              </w:rPr>
            </w:pPr>
            <w:r>
              <w:rPr>
                <w:rFonts w:cs="Open Sans Light"/>
                <w:color w:val="000000"/>
                <w:sz w:val="16"/>
                <w:szCs w:val="16"/>
              </w:rPr>
              <w:t>184,650</w:t>
            </w:r>
          </w:p>
        </w:tc>
      </w:tr>
      <w:tr w:rsidR="000327E8" w:rsidRPr="007209B1" w14:paraId="641F4AFB" w14:textId="77777777" w:rsidTr="002B38EB">
        <w:trPr>
          <w:trHeight w:val="319"/>
        </w:trPr>
        <w:tc>
          <w:tcPr>
            <w:tcW w:w="3820" w:type="dxa"/>
            <w:tcBorders>
              <w:top w:val="single" w:sz="4" w:space="0" w:color="ADD6EA"/>
              <w:left w:val="nil"/>
              <w:bottom w:val="single" w:sz="4" w:space="0" w:color="ADD6EA"/>
              <w:right w:val="nil"/>
            </w:tcBorders>
            <w:shd w:val="clear" w:color="auto" w:fill="auto"/>
            <w:vAlign w:val="bottom"/>
            <w:hideMark/>
          </w:tcPr>
          <w:p w14:paraId="2FB427B1" w14:textId="77777777" w:rsidR="000327E8" w:rsidRPr="00433DCB" w:rsidRDefault="000327E8" w:rsidP="002B38EB">
            <w:pPr>
              <w:keepNext/>
              <w:keepLines/>
              <w:widowControl w:val="0"/>
              <w:tabs>
                <w:tab w:val="clear" w:pos="567"/>
              </w:tabs>
              <w:spacing w:before="0" w:line="240" w:lineRule="auto"/>
              <w:rPr>
                <w:rFonts w:eastAsia="Times New Roman" w:cs="Times New Roman"/>
                <w:sz w:val="16"/>
                <w:szCs w:val="16"/>
                <w:lang w:eastAsia="en-AU"/>
              </w:rPr>
            </w:pPr>
            <w:r>
              <w:rPr>
                <w:rFonts w:cs="Open Sans Light"/>
                <w:color w:val="000000"/>
                <w:sz w:val="16"/>
                <w:szCs w:val="16"/>
              </w:rPr>
              <w:t>Proportion of total expenses (%)</w:t>
            </w:r>
          </w:p>
        </w:tc>
        <w:tc>
          <w:tcPr>
            <w:tcW w:w="1280" w:type="dxa"/>
            <w:tcBorders>
              <w:top w:val="single" w:sz="4" w:space="0" w:color="ADD6EA"/>
              <w:left w:val="nil"/>
              <w:bottom w:val="single" w:sz="4" w:space="0" w:color="ADD6EA"/>
              <w:right w:val="nil"/>
            </w:tcBorders>
            <w:shd w:val="clear" w:color="auto" w:fill="auto"/>
            <w:vAlign w:val="bottom"/>
            <w:hideMark/>
          </w:tcPr>
          <w:p w14:paraId="2D638EF6" w14:textId="77777777" w:rsidR="000327E8" w:rsidRPr="007209B1" w:rsidRDefault="000327E8" w:rsidP="002B38EB">
            <w:pPr>
              <w:keepNext/>
              <w:keepLines/>
              <w:tabs>
                <w:tab w:val="clear" w:pos="567"/>
              </w:tabs>
              <w:spacing w:before="0" w:line="240" w:lineRule="auto"/>
              <w:jc w:val="right"/>
              <w:rPr>
                <w:rFonts w:ascii="Work Sans" w:eastAsia="Times New Roman" w:hAnsi="Work Sans" w:cs="Open Sans Light"/>
                <w:sz w:val="16"/>
                <w:szCs w:val="16"/>
                <w:lang w:eastAsia="en-AU"/>
              </w:rPr>
            </w:pPr>
            <w:r>
              <w:rPr>
                <w:rFonts w:cs="Open Sans Light"/>
                <w:color w:val="000000"/>
                <w:sz w:val="16"/>
                <w:szCs w:val="16"/>
              </w:rPr>
              <w:t>64.3</w:t>
            </w:r>
          </w:p>
        </w:tc>
        <w:tc>
          <w:tcPr>
            <w:tcW w:w="1280" w:type="dxa"/>
            <w:tcBorders>
              <w:top w:val="single" w:sz="4" w:space="0" w:color="ADD6EA"/>
              <w:left w:val="nil"/>
              <w:bottom w:val="single" w:sz="4" w:space="0" w:color="ADD6EA"/>
              <w:right w:val="nil"/>
            </w:tcBorders>
            <w:shd w:val="clear" w:color="auto" w:fill="auto"/>
            <w:vAlign w:val="bottom"/>
            <w:hideMark/>
          </w:tcPr>
          <w:p w14:paraId="5F704F27" w14:textId="77777777" w:rsidR="000327E8" w:rsidRPr="007209B1" w:rsidRDefault="000327E8" w:rsidP="002B38EB">
            <w:pPr>
              <w:keepNext/>
              <w:keepLines/>
              <w:tabs>
                <w:tab w:val="clear" w:pos="567"/>
              </w:tabs>
              <w:spacing w:before="0" w:line="240" w:lineRule="auto"/>
              <w:jc w:val="right"/>
              <w:rPr>
                <w:rFonts w:ascii="Work Sans" w:eastAsia="Times New Roman" w:hAnsi="Work Sans" w:cs="Open Sans Light"/>
                <w:sz w:val="16"/>
                <w:szCs w:val="16"/>
                <w:lang w:eastAsia="en-AU"/>
              </w:rPr>
            </w:pPr>
            <w:r>
              <w:rPr>
                <w:rFonts w:cs="Open Sans Light"/>
                <w:color w:val="000000"/>
                <w:sz w:val="16"/>
                <w:szCs w:val="16"/>
              </w:rPr>
              <w:t>64.0</w:t>
            </w:r>
          </w:p>
        </w:tc>
        <w:tc>
          <w:tcPr>
            <w:tcW w:w="1280" w:type="dxa"/>
            <w:tcBorders>
              <w:top w:val="single" w:sz="4" w:space="0" w:color="ADD6EA"/>
              <w:left w:val="nil"/>
              <w:bottom w:val="single" w:sz="4" w:space="0" w:color="ADD6EA"/>
              <w:right w:val="nil"/>
            </w:tcBorders>
            <w:shd w:val="clear" w:color="auto" w:fill="auto"/>
            <w:vAlign w:val="bottom"/>
            <w:hideMark/>
          </w:tcPr>
          <w:p w14:paraId="7299788F" w14:textId="77777777" w:rsidR="000327E8" w:rsidRPr="007209B1" w:rsidRDefault="000327E8" w:rsidP="002B38EB">
            <w:pPr>
              <w:keepNext/>
              <w:keepLines/>
              <w:tabs>
                <w:tab w:val="clear" w:pos="567"/>
              </w:tabs>
              <w:spacing w:before="0" w:line="240" w:lineRule="auto"/>
              <w:jc w:val="right"/>
              <w:rPr>
                <w:rFonts w:ascii="Work Sans" w:eastAsia="Times New Roman" w:hAnsi="Work Sans" w:cs="Open Sans Light"/>
                <w:sz w:val="16"/>
                <w:szCs w:val="16"/>
                <w:lang w:eastAsia="en-AU"/>
              </w:rPr>
            </w:pPr>
            <w:r>
              <w:rPr>
                <w:rFonts w:cs="Open Sans Light"/>
                <w:color w:val="000000"/>
                <w:sz w:val="16"/>
                <w:szCs w:val="16"/>
              </w:rPr>
              <w:t>63.6</w:t>
            </w:r>
          </w:p>
        </w:tc>
        <w:tc>
          <w:tcPr>
            <w:tcW w:w="1280" w:type="dxa"/>
            <w:tcBorders>
              <w:top w:val="single" w:sz="4" w:space="0" w:color="ADD6EA"/>
              <w:left w:val="nil"/>
              <w:bottom w:val="single" w:sz="4" w:space="0" w:color="ADD6EA"/>
              <w:right w:val="nil"/>
            </w:tcBorders>
            <w:shd w:val="clear" w:color="auto" w:fill="auto"/>
            <w:vAlign w:val="bottom"/>
            <w:hideMark/>
          </w:tcPr>
          <w:p w14:paraId="04B30DA6" w14:textId="77777777" w:rsidR="000327E8" w:rsidRPr="007209B1" w:rsidRDefault="000327E8" w:rsidP="002B38EB">
            <w:pPr>
              <w:keepNext/>
              <w:keepLines/>
              <w:tabs>
                <w:tab w:val="clear" w:pos="567"/>
              </w:tabs>
              <w:spacing w:before="0" w:line="240" w:lineRule="auto"/>
              <w:jc w:val="right"/>
              <w:rPr>
                <w:rFonts w:ascii="Work Sans" w:eastAsia="Times New Roman" w:hAnsi="Work Sans" w:cs="Open Sans Light"/>
                <w:sz w:val="16"/>
                <w:szCs w:val="16"/>
                <w:lang w:eastAsia="en-AU"/>
              </w:rPr>
            </w:pPr>
            <w:r>
              <w:rPr>
                <w:rFonts w:cs="Open Sans Light"/>
                <w:color w:val="000000"/>
                <w:sz w:val="16"/>
                <w:szCs w:val="16"/>
              </w:rPr>
              <w:t>63.2</w:t>
            </w:r>
          </w:p>
        </w:tc>
      </w:tr>
    </w:tbl>
    <w:p w14:paraId="1F8C696F" w14:textId="3917190E" w:rsidR="000327E8" w:rsidRPr="000327E8" w:rsidRDefault="005A69CB" w:rsidP="000327E8">
      <w:pPr>
        <w:pStyle w:val="CGC2025TableNote"/>
      </w:pPr>
      <w:r>
        <w:t>Source</w:t>
      </w:r>
      <w:r w:rsidR="000327E8" w:rsidRPr="000327E8">
        <w:t>:</w:t>
      </w:r>
      <w:r w:rsidR="000327E8" w:rsidRPr="000327E8">
        <w:tab/>
        <w:t>Commission calculation</w:t>
      </w:r>
      <w:r>
        <w:t xml:space="preserve"> using </w:t>
      </w:r>
      <w:r w:rsidR="000327E8" w:rsidRPr="000327E8">
        <w:t>2023 Update</w:t>
      </w:r>
      <w:r>
        <w:t xml:space="preserve"> estimates.</w:t>
      </w:r>
    </w:p>
    <w:p w14:paraId="0DB5FE3E" w14:textId="091ACF05" w:rsidR="00A11A9E" w:rsidRPr="00A11A9E" w:rsidRDefault="00A11A9E" w:rsidP="001627F9">
      <w:pPr>
        <w:pStyle w:val="Heading3"/>
        <w:keepNext/>
      </w:pPr>
      <w:bookmarkStart w:id="21" w:name="_Toc138158959"/>
      <w:r>
        <w:lastRenderedPageBreak/>
        <w:t>COVID-19 adjustments</w:t>
      </w:r>
      <w:bookmarkEnd w:id="21"/>
    </w:p>
    <w:p w14:paraId="61A757AD" w14:textId="05A4408C" w:rsidR="00A11A9E" w:rsidRDefault="00A11A9E" w:rsidP="00A11A9E">
      <w:pPr>
        <w:pStyle w:val="CGC2025ParaNumbers"/>
      </w:pPr>
      <w:bookmarkStart w:id="22" w:name="_Toc121741486"/>
      <w:bookmarkStart w:id="23" w:name="_Toc132729102"/>
      <w:bookmarkStart w:id="24" w:name="_Toc133236149"/>
      <w:bookmarkStart w:id="25" w:name="_Toc133236175"/>
      <w:bookmarkStart w:id="26" w:name="_Toc127428352"/>
      <w:r>
        <w:t>In the 2023 Update there were concerns over the Characteristics of Employment survey data from August 2021. Several major cities were subject to COVID-19 public health orders restricting work during the reference period of the survey. The Commission decided to use a measure of hours worked in the pay period when explaining wages for the 2021</w:t>
      </w:r>
      <w:r w:rsidR="00E53857">
        <w:t>–</w:t>
      </w:r>
      <w:r>
        <w:t xml:space="preserve">22 year, rather than usual hours of work. </w:t>
      </w:r>
    </w:p>
    <w:p w14:paraId="6BDB7F35" w14:textId="26010963" w:rsidR="00A11A9E" w:rsidRPr="001C6A42" w:rsidRDefault="00A11A9E" w:rsidP="00A11A9E">
      <w:pPr>
        <w:pStyle w:val="CGC2025ParaNumbers"/>
        <w:rPr>
          <w:rStyle w:val="Hyperlink"/>
          <w:color w:val="auto"/>
          <w:u w:val="none"/>
        </w:rPr>
      </w:pPr>
      <w:r>
        <w:t xml:space="preserve">Details of how and why the </w:t>
      </w:r>
      <w:r w:rsidR="00827000">
        <w:t>w</w:t>
      </w:r>
      <w:r>
        <w:t xml:space="preserve">age costs assessment was adjusted in the 2022 and 2023 Updates due to COVID-19 related issues are explained in </w:t>
      </w:r>
      <w:hyperlink r:id="rId18" w:history="1">
        <w:r w:rsidRPr="004D7C24">
          <w:rPr>
            <w:rStyle w:val="Hyperlink"/>
          </w:rPr>
          <w:t>New issues in the 2022 Update</w:t>
        </w:r>
      </w:hyperlink>
      <w:r>
        <w:t xml:space="preserve"> and </w:t>
      </w:r>
      <w:hyperlink r:id="rId19" w:history="1">
        <w:r w:rsidRPr="00196026">
          <w:rPr>
            <w:rStyle w:val="Hyperlink"/>
          </w:rPr>
          <w:t>New issues in the 2023 Update</w:t>
        </w:r>
      </w:hyperlink>
      <w:r>
        <w:t xml:space="preserve">. </w:t>
      </w:r>
    </w:p>
    <w:p w14:paraId="1FC5908A" w14:textId="5F087983" w:rsidR="00B10737" w:rsidRDefault="00B10737" w:rsidP="00203F82">
      <w:pPr>
        <w:pStyle w:val="Heading3"/>
      </w:pPr>
      <w:bookmarkStart w:id="27" w:name="_Toc138158960"/>
      <w:r>
        <w:t xml:space="preserve">GST Distribution in the 2023 </w:t>
      </w:r>
      <w:r w:rsidR="00A11A9E">
        <w:t>Update</w:t>
      </w:r>
      <w:bookmarkEnd w:id="27"/>
    </w:p>
    <w:p w14:paraId="65D1FBC0" w14:textId="45010409" w:rsidR="00A11A9E" w:rsidRDefault="00A11A9E" w:rsidP="00A11A9E">
      <w:pPr>
        <w:pStyle w:val="CGC2025ParaNumbers"/>
      </w:pPr>
      <w:r>
        <w:fldChar w:fldCharType="begin"/>
      </w:r>
      <w:r>
        <w:instrText xml:space="preserve"> REF _Ref113608127 \h  \* MERGEFORMAT </w:instrText>
      </w:r>
      <w:r>
        <w:fldChar w:fldCharType="separate"/>
      </w:r>
      <w:r w:rsidR="00BC30E2" w:rsidRPr="00FF5BF7">
        <w:rPr>
          <w:noProof/>
        </w:rPr>
        <w:t xml:space="preserve">Table </w:t>
      </w:r>
      <w:r w:rsidR="00BC30E2">
        <w:rPr>
          <w:noProof/>
        </w:rPr>
        <w:t>3</w:t>
      </w:r>
      <w:r>
        <w:fldChar w:fldCharType="end"/>
      </w:r>
      <w:r>
        <w:t xml:space="preserve"> </w:t>
      </w:r>
      <w:r w:rsidRPr="0DCB35A7">
        <w:t xml:space="preserve">shows the extent to which the assessment results in </w:t>
      </w:r>
      <w:r>
        <w:t>a different</w:t>
      </w:r>
      <w:r w:rsidRPr="0DCB35A7">
        <w:t xml:space="preserve"> distribution of GST compared with an equal per capita distribution</w:t>
      </w:r>
      <w:r>
        <w:t>. In the 2023 Update the assessment</w:t>
      </w:r>
      <w:r w:rsidR="00B85B5C">
        <w:t xml:space="preserve"> </w:t>
      </w:r>
      <w:r>
        <w:t xml:space="preserve">distributed </w:t>
      </w:r>
      <w:r w:rsidRPr="00DE74A2">
        <w:t>$1.6</w:t>
      </w:r>
      <w:r>
        <w:t> </w:t>
      </w:r>
      <w:r w:rsidRPr="00DE74A2">
        <w:t>billion ($61 per capita)</w:t>
      </w:r>
      <w:r>
        <w:t xml:space="preserve"> </w:t>
      </w:r>
      <w:r w:rsidR="00B85B5C">
        <w:t>away from</w:t>
      </w:r>
      <w:r>
        <w:t xml:space="preserve"> an equal per capita distribution.</w:t>
      </w:r>
    </w:p>
    <w:p w14:paraId="538A94F5" w14:textId="5A6C3975" w:rsidR="000327E8" w:rsidRPr="0081219B" w:rsidRDefault="000327E8" w:rsidP="00D90161">
      <w:pPr>
        <w:pStyle w:val="CGC2025Caption"/>
        <w:tabs>
          <w:tab w:val="left" w:pos="1134"/>
        </w:tabs>
        <w:rPr>
          <w:noProof/>
        </w:rPr>
      </w:pPr>
      <w:bookmarkStart w:id="28" w:name="_Ref113608127"/>
      <w:r w:rsidRPr="00FF5BF7">
        <w:rPr>
          <w:noProof/>
        </w:rPr>
        <w:t xml:space="preserve">Table </w:t>
      </w:r>
      <w:r w:rsidRPr="00FF5BF7">
        <w:rPr>
          <w:noProof/>
        </w:rPr>
        <w:fldChar w:fldCharType="begin"/>
      </w:r>
      <w:r w:rsidRPr="00FF5BF7">
        <w:rPr>
          <w:noProof/>
        </w:rPr>
        <w:instrText xml:space="preserve"> SEQ Table \* ARABIC </w:instrText>
      </w:r>
      <w:r w:rsidRPr="00FF5BF7">
        <w:rPr>
          <w:noProof/>
        </w:rPr>
        <w:fldChar w:fldCharType="separate"/>
      </w:r>
      <w:r w:rsidR="00BC30E2">
        <w:rPr>
          <w:noProof/>
        </w:rPr>
        <w:t>3</w:t>
      </w:r>
      <w:r w:rsidRPr="00FF5BF7">
        <w:rPr>
          <w:noProof/>
        </w:rPr>
        <w:fldChar w:fldCharType="end"/>
      </w:r>
      <w:bookmarkEnd w:id="28"/>
      <w:r w:rsidRPr="00FF5BF7">
        <w:rPr>
          <w:noProof/>
        </w:rPr>
        <w:tab/>
        <w:t>GST impact</w:t>
      </w:r>
      <w:r w:rsidRPr="00794E59">
        <w:rPr>
          <w:noProof/>
        </w:rPr>
        <w:t xml:space="preserve"> </w:t>
      </w:r>
      <w:r w:rsidRPr="0081219B">
        <w:rPr>
          <w:noProof/>
        </w:rPr>
        <w:t xml:space="preserve">of the </w:t>
      </w:r>
      <w:r>
        <w:rPr>
          <w:noProof/>
        </w:rPr>
        <w:t>wage</w:t>
      </w:r>
      <w:r w:rsidR="00BC0C95">
        <w:rPr>
          <w:noProof/>
        </w:rPr>
        <w:t xml:space="preserve"> cost</w:t>
      </w:r>
      <w:r>
        <w:rPr>
          <w:noProof/>
        </w:rPr>
        <w:t xml:space="preserve">s </w:t>
      </w:r>
      <w:r w:rsidRPr="0081219B">
        <w:rPr>
          <w:noProof/>
        </w:rPr>
        <w:t>assessment</w:t>
      </w:r>
    </w:p>
    <w:tbl>
      <w:tblPr>
        <w:tblW w:w="8960" w:type="dxa"/>
        <w:tblCellMar>
          <w:left w:w="28" w:type="dxa"/>
          <w:right w:w="28" w:type="dxa"/>
        </w:tblCellMar>
        <w:tblLook w:val="04A0" w:firstRow="1" w:lastRow="0" w:firstColumn="1" w:lastColumn="0" w:noHBand="0" w:noVBand="1"/>
      </w:tblPr>
      <w:tblGrid>
        <w:gridCol w:w="1780"/>
        <w:gridCol w:w="840"/>
        <w:gridCol w:w="820"/>
        <w:gridCol w:w="760"/>
        <w:gridCol w:w="760"/>
        <w:gridCol w:w="700"/>
        <w:gridCol w:w="740"/>
        <w:gridCol w:w="760"/>
        <w:gridCol w:w="860"/>
        <w:gridCol w:w="940"/>
      </w:tblGrid>
      <w:tr w:rsidR="000327E8" w:rsidRPr="00840581" w14:paraId="21D5E0D3" w14:textId="77777777" w:rsidTr="002B38EB">
        <w:trPr>
          <w:trHeight w:val="379"/>
        </w:trPr>
        <w:tc>
          <w:tcPr>
            <w:tcW w:w="1780" w:type="dxa"/>
            <w:tcBorders>
              <w:top w:val="single" w:sz="4" w:space="0" w:color="ADD6EA"/>
              <w:left w:val="nil"/>
              <w:bottom w:val="single" w:sz="4" w:space="0" w:color="ADD6EA"/>
              <w:right w:val="nil"/>
            </w:tcBorders>
            <w:shd w:val="clear" w:color="000000" w:fill="006991"/>
            <w:noWrap/>
            <w:vAlign w:val="center"/>
            <w:hideMark/>
          </w:tcPr>
          <w:p w14:paraId="06814F01" w14:textId="77777777" w:rsidR="000327E8" w:rsidRPr="00840581" w:rsidRDefault="000327E8" w:rsidP="002B38EB">
            <w:pPr>
              <w:keepNext/>
              <w:keepLines/>
              <w:tabs>
                <w:tab w:val="clear" w:pos="567"/>
              </w:tabs>
              <w:spacing w:before="0" w:line="240" w:lineRule="auto"/>
              <w:jc w:val="right"/>
              <w:rPr>
                <w:rFonts w:ascii="Open Sans Semibold" w:eastAsia="Times New Roman" w:hAnsi="Open Sans Semibold" w:cs="Open Sans Semibold"/>
                <w:b/>
                <w:bCs/>
                <w:color w:val="FFFFFF"/>
                <w:sz w:val="16"/>
                <w:szCs w:val="16"/>
                <w:lang w:eastAsia="en-AU"/>
              </w:rPr>
            </w:pPr>
            <w:bookmarkStart w:id="29" w:name="RANGE!A22:J24"/>
            <w:r w:rsidRPr="00840581">
              <w:rPr>
                <w:rFonts w:ascii="Open Sans Semibold" w:eastAsia="Times New Roman" w:hAnsi="Open Sans Semibold" w:cs="Open Sans Semibold"/>
                <w:b/>
                <w:bCs/>
                <w:color w:val="FFFFFF"/>
                <w:sz w:val="16"/>
                <w:szCs w:val="16"/>
                <w:lang w:eastAsia="en-AU"/>
              </w:rPr>
              <w:t> </w:t>
            </w:r>
            <w:bookmarkEnd w:id="29"/>
          </w:p>
        </w:tc>
        <w:tc>
          <w:tcPr>
            <w:tcW w:w="840" w:type="dxa"/>
            <w:tcBorders>
              <w:top w:val="single" w:sz="4" w:space="0" w:color="ADD6EA"/>
              <w:left w:val="nil"/>
              <w:bottom w:val="single" w:sz="4" w:space="0" w:color="ADD6EA"/>
              <w:right w:val="nil"/>
            </w:tcBorders>
            <w:shd w:val="clear" w:color="000000" w:fill="006991"/>
            <w:noWrap/>
            <w:vAlign w:val="center"/>
            <w:hideMark/>
          </w:tcPr>
          <w:p w14:paraId="29C07E3B" w14:textId="77777777" w:rsidR="000327E8" w:rsidRPr="00840581" w:rsidRDefault="000327E8" w:rsidP="002B38EB">
            <w:pPr>
              <w:keepNext/>
              <w:keepLines/>
              <w:tabs>
                <w:tab w:val="clear" w:pos="567"/>
              </w:tabs>
              <w:spacing w:before="0" w:line="240" w:lineRule="auto"/>
              <w:jc w:val="right"/>
              <w:rPr>
                <w:rFonts w:ascii="Work Sans SemiBold" w:eastAsia="Times New Roman" w:hAnsi="Work Sans SemiBold" w:cs="Open Sans Semibold"/>
                <w:b/>
                <w:bCs/>
                <w:color w:val="FFFFFF"/>
                <w:sz w:val="16"/>
                <w:szCs w:val="16"/>
                <w:lang w:eastAsia="en-AU"/>
              </w:rPr>
            </w:pPr>
            <w:r w:rsidRPr="00840581">
              <w:rPr>
                <w:rFonts w:ascii="Work Sans SemiBold" w:eastAsia="Times New Roman" w:hAnsi="Work Sans SemiBold" w:cs="Open Sans Semibold"/>
                <w:b/>
                <w:bCs/>
                <w:color w:val="FFFFFF"/>
                <w:sz w:val="16"/>
                <w:szCs w:val="16"/>
                <w:lang w:eastAsia="en-AU"/>
              </w:rPr>
              <w:t>NSW</w:t>
            </w:r>
          </w:p>
        </w:tc>
        <w:tc>
          <w:tcPr>
            <w:tcW w:w="820" w:type="dxa"/>
            <w:tcBorders>
              <w:top w:val="single" w:sz="4" w:space="0" w:color="ADD6EA"/>
              <w:left w:val="nil"/>
              <w:bottom w:val="single" w:sz="4" w:space="0" w:color="ADD6EA"/>
              <w:right w:val="nil"/>
            </w:tcBorders>
            <w:shd w:val="clear" w:color="000000" w:fill="006991"/>
            <w:noWrap/>
            <w:vAlign w:val="center"/>
            <w:hideMark/>
          </w:tcPr>
          <w:p w14:paraId="58B75EFF" w14:textId="77777777" w:rsidR="000327E8" w:rsidRPr="00840581" w:rsidRDefault="000327E8" w:rsidP="002B38EB">
            <w:pPr>
              <w:keepNext/>
              <w:keepLines/>
              <w:tabs>
                <w:tab w:val="clear" w:pos="567"/>
              </w:tabs>
              <w:spacing w:before="0" w:line="240" w:lineRule="auto"/>
              <w:jc w:val="right"/>
              <w:rPr>
                <w:rFonts w:ascii="Work Sans SemiBold" w:eastAsia="Times New Roman" w:hAnsi="Work Sans SemiBold" w:cs="Open Sans Semibold"/>
                <w:b/>
                <w:bCs/>
                <w:color w:val="FFFFFF"/>
                <w:sz w:val="16"/>
                <w:szCs w:val="16"/>
                <w:lang w:eastAsia="en-AU"/>
              </w:rPr>
            </w:pPr>
            <w:r w:rsidRPr="00840581">
              <w:rPr>
                <w:rFonts w:ascii="Work Sans SemiBold" w:eastAsia="Times New Roman" w:hAnsi="Work Sans SemiBold" w:cs="Open Sans Semibold"/>
                <w:b/>
                <w:bCs/>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noWrap/>
            <w:vAlign w:val="center"/>
            <w:hideMark/>
          </w:tcPr>
          <w:p w14:paraId="0DC43402" w14:textId="77777777" w:rsidR="000327E8" w:rsidRPr="00840581" w:rsidRDefault="000327E8" w:rsidP="002B38EB">
            <w:pPr>
              <w:keepNext/>
              <w:keepLines/>
              <w:tabs>
                <w:tab w:val="clear" w:pos="567"/>
              </w:tabs>
              <w:spacing w:before="0" w:line="240" w:lineRule="auto"/>
              <w:jc w:val="right"/>
              <w:rPr>
                <w:rFonts w:ascii="Work Sans SemiBold" w:eastAsia="Times New Roman" w:hAnsi="Work Sans SemiBold" w:cs="Open Sans Semibold"/>
                <w:b/>
                <w:bCs/>
                <w:color w:val="FFFFFF"/>
                <w:sz w:val="16"/>
                <w:szCs w:val="16"/>
                <w:lang w:eastAsia="en-AU"/>
              </w:rPr>
            </w:pPr>
            <w:r w:rsidRPr="00840581">
              <w:rPr>
                <w:rFonts w:ascii="Work Sans SemiBold" w:eastAsia="Times New Roman" w:hAnsi="Work Sans SemiBold" w:cs="Open Sans Semibold"/>
                <w:b/>
                <w:bCs/>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noWrap/>
            <w:vAlign w:val="center"/>
            <w:hideMark/>
          </w:tcPr>
          <w:p w14:paraId="3B0BDC43" w14:textId="77777777" w:rsidR="000327E8" w:rsidRPr="00840581" w:rsidRDefault="000327E8" w:rsidP="002B38EB">
            <w:pPr>
              <w:keepNext/>
              <w:keepLines/>
              <w:tabs>
                <w:tab w:val="clear" w:pos="567"/>
              </w:tabs>
              <w:spacing w:before="0" w:line="240" w:lineRule="auto"/>
              <w:jc w:val="right"/>
              <w:rPr>
                <w:rFonts w:ascii="Work Sans SemiBold" w:eastAsia="Times New Roman" w:hAnsi="Work Sans SemiBold" w:cs="Open Sans Semibold"/>
                <w:b/>
                <w:bCs/>
                <w:color w:val="FFFFFF"/>
                <w:sz w:val="16"/>
                <w:szCs w:val="16"/>
                <w:lang w:eastAsia="en-AU"/>
              </w:rPr>
            </w:pPr>
            <w:r w:rsidRPr="00840581">
              <w:rPr>
                <w:rFonts w:ascii="Work Sans SemiBold" w:eastAsia="Times New Roman" w:hAnsi="Work Sans SemiBold" w:cs="Open Sans Semibold"/>
                <w:b/>
                <w:bCs/>
                <w:color w:val="FFFFFF"/>
                <w:sz w:val="16"/>
                <w:szCs w:val="16"/>
                <w:lang w:eastAsia="en-AU"/>
              </w:rPr>
              <w:t>WA</w:t>
            </w:r>
          </w:p>
        </w:tc>
        <w:tc>
          <w:tcPr>
            <w:tcW w:w="700" w:type="dxa"/>
            <w:tcBorders>
              <w:top w:val="single" w:sz="4" w:space="0" w:color="ADD6EA"/>
              <w:left w:val="nil"/>
              <w:bottom w:val="single" w:sz="4" w:space="0" w:color="ADD6EA"/>
              <w:right w:val="nil"/>
            </w:tcBorders>
            <w:shd w:val="clear" w:color="000000" w:fill="006991"/>
            <w:noWrap/>
            <w:vAlign w:val="center"/>
            <w:hideMark/>
          </w:tcPr>
          <w:p w14:paraId="510DBE45" w14:textId="77777777" w:rsidR="000327E8" w:rsidRPr="00840581" w:rsidRDefault="000327E8" w:rsidP="002B38EB">
            <w:pPr>
              <w:keepNext/>
              <w:keepLines/>
              <w:tabs>
                <w:tab w:val="clear" w:pos="567"/>
              </w:tabs>
              <w:spacing w:before="0" w:line="240" w:lineRule="auto"/>
              <w:jc w:val="right"/>
              <w:rPr>
                <w:rFonts w:ascii="Work Sans SemiBold" w:eastAsia="Times New Roman" w:hAnsi="Work Sans SemiBold" w:cs="Open Sans Semibold"/>
                <w:b/>
                <w:bCs/>
                <w:color w:val="FFFFFF"/>
                <w:sz w:val="16"/>
                <w:szCs w:val="16"/>
                <w:lang w:eastAsia="en-AU"/>
              </w:rPr>
            </w:pPr>
            <w:r w:rsidRPr="00840581">
              <w:rPr>
                <w:rFonts w:ascii="Work Sans SemiBold" w:eastAsia="Times New Roman" w:hAnsi="Work Sans SemiBold" w:cs="Open Sans Semibold"/>
                <w:b/>
                <w:bCs/>
                <w:color w:val="FFFFFF"/>
                <w:sz w:val="16"/>
                <w:szCs w:val="16"/>
                <w:lang w:eastAsia="en-AU"/>
              </w:rPr>
              <w:t>SA</w:t>
            </w:r>
          </w:p>
        </w:tc>
        <w:tc>
          <w:tcPr>
            <w:tcW w:w="740" w:type="dxa"/>
            <w:tcBorders>
              <w:top w:val="single" w:sz="4" w:space="0" w:color="ADD6EA"/>
              <w:left w:val="nil"/>
              <w:bottom w:val="single" w:sz="4" w:space="0" w:color="ADD6EA"/>
              <w:right w:val="nil"/>
            </w:tcBorders>
            <w:shd w:val="clear" w:color="000000" w:fill="006991"/>
            <w:noWrap/>
            <w:vAlign w:val="center"/>
            <w:hideMark/>
          </w:tcPr>
          <w:p w14:paraId="1749454B" w14:textId="77777777" w:rsidR="000327E8" w:rsidRPr="00840581" w:rsidRDefault="000327E8" w:rsidP="002B38EB">
            <w:pPr>
              <w:keepNext/>
              <w:keepLines/>
              <w:tabs>
                <w:tab w:val="clear" w:pos="567"/>
              </w:tabs>
              <w:spacing w:before="0" w:line="240" w:lineRule="auto"/>
              <w:jc w:val="right"/>
              <w:rPr>
                <w:rFonts w:ascii="Work Sans SemiBold" w:eastAsia="Times New Roman" w:hAnsi="Work Sans SemiBold" w:cs="Open Sans Semibold"/>
                <w:b/>
                <w:bCs/>
                <w:color w:val="FFFFFF"/>
                <w:sz w:val="16"/>
                <w:szCs w:val="16"/>
                <w:lang w:eastAsia="en-AU"/>
              </w:rPr>
            </w:pPr>
            <w:r w:rsidRPr="00840581">
              <w:rPr>
                <w:rFonts w:ascii="Work Sans SemiBold" w:eastAsia="Times New Roman" w:hAnsi="Work Sans SemiBold" w:cs="Open Sans Semibold"/>
                <w:b/>
                <w:bCs/>
                <w:color w:val="FFFFFF"/>
                <w:sz w:val="16"/>
                <w:szCs w:val="16"/>
                <w:lang w:eastAsia="en-AU"/>
              </w:rPr>
              <w:t>Tas</w:t>
            </w:r>
          </w:p>
        </w:tc>
        <w:tc>
          <w:tcPr>
            <w:tcW w:w="760" w:type="dxa"/>
            <w:tcBorders>
              <w:top w:val="single" w:sz="4" w:space="0" w:color="ADD6EA"/>
              <w:left w:val="nil"/>
              <w:bottom w:val="single" w:sz="4" w:space="0" w:color="ADD6EA"/>
              <w:right w:val="nil"/>
            </w:tcBorders>
            <w:shd w:val="clear" w:color="000000" w:fill="006991"/>
            <w:noWrap/>
            <w:vAlign w:val="center"/>
            <w:hideMark/>
          </w:tcPr>
          <w:p w14:paraId="70F41B1F" w14:textId="77777777" w:rsidR="000327E8" w:rsidRPr="00840581" w:rsidRDefault="000327E8" w:rsidP="002B38EB">
            <w:pPr>
              <w:keepNext/>
              <w:keepLines/>
              <w:tabs>
                <w:tab w:val="clear" w:pos="567"/>
              </w:tabs>
              <w:spacing w:before="0" w:line="240" w:lineRule="auto"/>
              <w:jc w:val="right"/>
              <w:rPr>
                <w:rFonts w:ascii="Work Sans SemiBold" w:eastAsia="Times New Roman" w:hAnsi="Work Sans SemiBold" w:cs="Open Sans Semibold"/>
                <w:b/>
                <w:bCs/>
                <w:color w:val="FFFFFF"/>
                <w:sz w:val="16"/>
                <w:szCs w:val="16"/>
                <w:lang w:eastAsia="en-AU"/>
              </w:rPr>
            </w:pPr>
            <w:r w:rsidRPr="00840581">
              <w:rPr>
                <w:rFonts w:ascii="Work Sans SemiBold" w:eastAsia="Times New Roman" w:hAnsi="Work Sans SemiBold" w:cs="Open Sans Semibold"/>
                <w:b/>
                <w:bCs/>
                <w:color w:val="FFFFFF"/>
                <w:sz w:val="16"/>
                <w:szCs w:val="16"/>
                <w:lang w:eastAsia="en-AU"/>
              </w:rPr>
              <w:t>ACT</w:t>
            </w:r>
          </w:p>
        </w:tc>
        <w:tc>
          <w:tcPr>
            <w:tcW w:w="860" w:type="dxa"/>
            <w:tcBorders>
              <w:top w:val="single" w:sz="4" w:space="0" w:color="ADD6EA"/>
              <w:left w:val="nil"/>
              <w:bottom w:val="single" w:sz="4" w:space="0" w:color="ADD6EA"/>
              <w:right w:val="nil"/>
            </w:tcBorders>
            <w:shd w:val="clear" w:color="000000" w:fill="006991"/>
            <w:noWrap/>
            <w:vAlign w:val="center"/>
            <w:hideMark/>
          </w:tcPr>
          <w:p w14:paraId="5FC15C09" w14:textId="77777777" w:rsidR="000327E8" w:rsidRPr="00840581" w:rsidRDefault="000327E8" w:rsidP="002B38EB">
            <w:pPr>
              <w:keepNext/>
              <w:keepLines/>
              <w:tabs>
                <w:tab w:val="clear" w:pos="567"/>
              </w:tabs>
              <w:spacing w:before="0" w:line="240" w:lineRule="auto"/>
              <w:jc w:val="right"/>
              <w:rPr>
                <w:rFonts w:ascii="Work Sans SemiBold" w:eastAsia="Times New Roman" w:hAnsi="Work Sans SemiBold" w:cs="Open Sans Semibold"/>
                <w:b/>
                <w:bCs/>
                <w:color w:val="FFFFFF"/>
                <w:sz w:val="16"/>
                <w:szCs w:val="16"/>
                <w:lang w:eastAsia="en-AU"/>
              </w:rPr>
            </w:pPr>
            <w:r w:rsidRPr="00840581">
              <w:rPr>
                <w:rFonts w:ascii="Work Sans SemiBold" w:eastAsia="Times New Roman" w:hAnsi="Work Sans SemiBold" w:cs="Open Sans Semibold"/>
                <w:b/>
                <w:bCs/>
                <w:color w:val="FFFFFF"/>
                <w:sz w:val="16"/>
                <w:szCs w:val="16"/>
                <w:lang w:eastAsia="en-AU"/>
              </w:rPr>
              <w:t>NT</w:t>
            </w:r>
          </w:p>
        </w:tc>
        <w:tc>
          <w:tcPr>
            <w:tcW w:w="940" w:type="dxa"/>
            <w:tcBorders>
              <w:top w:val="single" w:sz="4" w:space="0" w:color="ADD6EA"/>
              <w:left w:val="nil"/>
              <w:bottom w:val="single" w:sz="4" w:space="0" w:color="ADD6EA"/>
              <w:right w:val="nil"/>
            </w:tcBorders>
            <w:shd w:val="clear" w:color="000000" w:fill="006991"/>
            <w:noWrap/>
            <w:vAlign w:val="center"/>
            <w:hideMark/>
          </w:tcPr>
          <w:p w14:paraId="17F4B524" w14:textId="77777777" w:rsidR="000327E8" w:rsidRPr="00840581" w:rsidRDefault="000327E8" w:rsidP="002B38EB">
            <w:pPr>
              <w:keepNext/>
              <w:keepLines/>
              <w:tabs>
                <w:tab w:val="clear" w:pos="567"/>
              </w:tabs>
              <w:spacing w:before="0" w:line="240" w:lineRule="auto"/>
              <w:jc w:val="right"/>
              <w:rPr>
                <w:rFonts w:ascii="Work Sans SemiBold" w:eastAsia="Times New Roman" w:hAnsi="Work Sans SemiBold" w:cs="Open Sans Semibold"/>
                <w:b/>
                <w:bCs/>
                <w:color w:val="FFFFFF"/>
                <w:sz w:val="16"/>
                <w:szCs w:val="16"/>
                <w:lang w:eastAsia="en-AU"/>
              </w:rPr>
            </w:pPr>
            <w:r>
              <w:rPr>
                <w:rFonts w:ascii="Work Sans SemiBold" w:eastAsia="Times New Roman" w:hAnsi="Work Sans SemiBold" w:cs="Open Sans Semibold"/>
                <w:b/>
                <w:bCs/>
                <w:color w:val="FFFFFF"/>
                <w:sz w:val="16"/>
                <w:szCs w:val="16"/>
                <w:lang w:eastAsia="en-AU"/>
              </w:rPr>
              <w:t>To</w:t>
            </w:r>
            <w:r w:rsidRPr="00840581">
              <w:rPr>
                <w:rFonts w:ascii="Work Sans SemiBold" w:eastAsia="Times New Roman" w:hAnsi="Work Sans SemiBold" w:cs="Open Sans Semibold"/>
                <w:b/>
                <w:bCs/>
                <w:color w:val="FFFFFF"/>
                <w:sz w:val="16"/>
                <w:szCs w:val="16"/>
                <w:lang w:eastAsia="en-AU"/>
              </w:rPr>
              <w:t>t</w:t>
            </w:r>
            <w:r>
              <w:rPr>
                <w:rFonts w:ascii="Work Sans SemiBold" w:eastAsia="Times New Roman" w:hAnsi="Work Sans SemiBold" w:cs="Open Sans Semibold"/>
                <w:b/>
                <w:bCs/>
                <w:color w:val="FFFFFF"/>
                <w:sz w:val="16"/>
                <w:szCs w:val="16"/>
                <w:lang w:eastAsia="en-AU"/>
              </w:rPr>
              <w:t>al Effect</w:t>
            </w:r>
          </w:p>
        </w:tc>
      </w:tr>
      <w:tr w:rsidR="000327E8" w:rsidRPr="00840581" w14:paraId="6D9FFEA6" w14:textId="77777777" w:rsidTr="002B38EB">
        <w:trPr>
          <w:trHeight w:val="315"/>
        </w:trPr>
        <w:tc>
          <w:tcPr>
            <w:tcW w:w="1780" w:type="dxa"/>
            <w:tcBorders>
              <w:top w:val="nil"/>
              <w:left w:val="nil"/>
              <w:bottom w:val="single" w:sz="4" w:space="0" w:color="ADD6EA"/>
              <w:right w:val="nil"/>
            </w:tcBorders>
            <w:shd w:val="clear" w:color="auto" w:fill="auto"/>
            <w:noWrap/>
            <w:vAlign w:val="bottom"/>
            <w:hideMark/>
          </w:tcPr>
          <w:p w14:paraId="251EC1B7" w14:textId="77777777" w:rsidR="000327E8" w:rsidRPr="007E5E7C" w:rsidRDefault="000327E8" w:rsidP="002B38EB">
            <w:pPr>
              <w:keepNext/>
              <w:keepLines/>
              <w:tabs>
                <w:tab w:val="clear" w:pos="567"/>
              </w:tabs>
              <w:spacing w:before="0" w:line="240" w:lineRule="auto"/>
              <w:rPr>
                <w:rFonts w:eastAsia="Times New Roman" w:cs="Open Sans Light"/>
                <w:sz w:val="16"/>
                <w:szCs w:val="16"/>
                <w:lang w:eastAsia="en-AU"/>
              </w:rPr>
            </w:pPr>
            <w:r w:rsidRPr="007E5E7C">
              <w:rPr>
                <w:rFonts w:eastAsia="Times New Roman" w:cs="Open Sans Light"/>
                <w:sz w:val="16"/>
                <w:szCs w:val="16"/>
                <w:lang w:eastAsia="en-AU"/>
              </w:rPr>
              <w:t>$ million</w:t>
            </w:r>
          </w:p>
        </w:tc>
        <w:tc>
          <w:tcPr>
            <w:tcW w:w="840" w:type="dxa"/>
            <w:tcBorders>
              <w:top w:val="nil"/>
              <w:left w:val="nil"/>
              <w:bottom w:val="single" w:sz="4" w:space="0" w:color="ADD6EA"/>
              <w:right w:val="nil"/>
            </w:tcBorders>
            <w:shd w:val="clear" w:color="auto" w:fill="auto"/>
            <w:noWrap/>
            <w:vAlign w:val="bottom"/>
            <w:hideMark/>
          </w:tcPr>
          <w:p w14:paraId="27FA52C3" w14:textId="77777777" w:rsidR="000327E8" w:rsidRPr="007E5E7C" w:rsidRDefault="000327E8" w:rsidP="002B38EB">
            <w:pPr>
              <w:keepNext/>
              <w:keepLines/>
              <w:tabs>
                <w:tab w:val="clear" w:pos="567"/>
              </w:tabs>
              <w:spacing w:before="0" w:line="240" w:lineRule="auto"/>
              <w:jc w:val="right"/>
              <w:rPr>
                <w:rFonts w:eastAsia="Times New Roman" w:cs="Open Sans Light"/>
                <w:sz w:val="16"/>
                <w:szCs w:val="16"/>
                <w:lang w:eastAsia="en-AU"/>
              </w:rPr>
            </w:pPr>
            <w:r w:rsidRPr="007E5E7C">
              <w:rPr>
                <w:rFonts w:eastAsia="Times New Roman" w:cs="Open Sans Light"/>
                <w:sz w:val="16"/>
                <w:szCs w:val="16"/>
                <w:lang w:eastAsia="en-AU"/>
              </w:rPr>
              <w:t xml:space="preserve">658 </w:t>
            </w:r>
          </w:p>
        </w:tc>
        <w:tc>
          <w:tcPr>
            <w:tcW w:w="820" w:type="dxa"/>
            <w:tcBorders>
              <w:top w:val="nil"/>
              <w:left w:val="nil"/>
              <w:bottom w:val="single" w:sz="4" w:space="0" w:color="ADD6EA"/>
              <w:right w:val="nil"/>
            </w:tcBorders>
            <w:shd w:val="clear" w:color="auto" w:fill="auto"/>
            <w:noWrap/>
            <w:vAlign w:val="bottom"/>
            <w:hideMark/>
          </w:tcPr>
          <w:p w14:paraId="4945CF0B" w14:textId="77777777" w:rsidR="000327E8" w:rsidRPr="007E5E7C" w:rsidRDefault="000327E8" w:rsidP="002B38EB">
            <w:pPr>
              <w:keepNext/>
              <w:keepLines/>
              <w:tabs>
                <w:tab w:val="clear" w:pos="567"/>
              </w:tabs>
              <w:spacing w:before="0" w:line="240" w:lineRule="auto"/>
              <w:jc w:val="right"/>
              <w:rPr>
                <w:rFonts w:eastAsia="Times New Roman" w:cs="Open Sans Light"/>
                <w:sz w:val="16"/>
                <w:szCs w:val="16"/>
                <w:lang w:eastAsia="en-AU"/>
              </w:rPr>
            </w:pPr>
            <w:r w:rsidRPr="007E5E7C">
              <w:rPr>
                <w:rFonts w:eastAsia="Times New Roman" w:cs="Open Sans Light"/>
                <w:sz w:val="16"/>
                <w:szCs w:val="16"/>
                <w:lang w:eastAsia="en-AU"/>
              </w:rPr>
              <w:t xml:space="preserve">-277 </w:t>
            </w:r>
          </w:p>
        </w:tc>
        <w:tc>
          <w:tcPr>
            <w:tcW w:w="760" w:type="dxa"/>
            <w:tcBorders>
              <w:top w:val="nil"/>
              <w:left w:val="nil"/>
              <w:bottom w:val="single" w:sz="4" w:space="0" w:color="ADD6EA"/>
              <w:right w:val="nil"/>
            </w:tcBorders>
            <w:shd w:val="clear" w:color="auto" w:fill="auto"/>
            <w:noWrap/>
            <w:vAlign w:val="bottom"/>
            <w:hideMark/>
          </w:tcPr>
          <w:p w14:paraId="1624A86C" w14:textId="77777777" w:rsidR="000327E8" w:rsidRPr="007E5E7C" w:rsidRDefault="000327E8" w:rsidP="002B38EB">
            <w:pPr>
              <w:keepNext/>
              <w:keepLines/>
              <w:tabs>
                <w:tab w:val="clear" w:pos="567"/>
              </w:tabs>
              <w:spacing w:before="0" w:line="240" w:lineRule="auto"/>
              <w:jc w:val="right"/>
              <w:rPr>
                <w:rFonts w:eastAsia="Times New Roman" w:cs="Open Sans Light"/>
                <w:sz w:val="16"/>
                <w:szCs w:val="16"/>
                <w:lang w:eastAsia="en-AU"/>
              </w:rPr>
            </w:pPr>
            <w:r w:rsidRPr="007E5E7C">
              <w:rPr>
                <w:rFonts w:eastAsia="Times New Roman" w:cs="Open Sans Light"/>
                <w:sz w:val="16"/>
                <w:szCs w:val="16"/>
                <w:lang w:eastAsia="en-AU"/>
              </w:rPr>
              <w:t xml:space="preserve">-655 </w:t>
            </w:r>
          </w:p>
        </w:tc>
        <w:tc>
          <w:tcPr>
            <w:tcW w:w="760" w:type="dxa"/>
            <w:tcBorders>
              <w:top w:val="nil"/>
              <w:left w:val="nil"/>
              <w:bottom w:val="single" w:sz="4" w:space="0" w:color="ADD6EA"/>
              <w:right w:val="nil"/>
            </w:tcBorders>
            <w:shd w:val="clear" w:color="auto" w:fill="auto"/>
            <w:noWrap/>
            <w:vAlign w:val="bottom"/>
            <w:hideMark/>
          </w:tcPr>
          <w:p w14:paraId="175DFF65" w14:textId="77777777" w:rsidR="000327E8" w:rsidRPr="007E5E7C" w:rsidRDefault="000327E8" w:rsidP="002B38EB">
            <w:pPr>
              <w:keepNext/>
              <w:keepLines/>
              <w:tabs>
                <w:tab w:val="clear" w:pos="567"/>
              </w:tabs>
              <w:spacing w:before="0" w:line="240" w:lineRule="auto"/>
              <w:jc w:val="right"/>
              <w:rPr>
                <w:rFonts w:eastAsia="Times New Roman" w:cs="Open Sans Light"/>
                <w:sz w:val="16"/>
                <w:szCs w:val="16"/>
                <w:lang w:eastAsia="en-AU"/>
              </w:rPr>
            </w:pPr>
            <w:r w:rsidRPr="007E5E7C">
              <w:rPr>
                <w:rFonts w:eastAsia="Times New Roman" w:cs="Open Sans Light"/>
                <w:sz w:val="16"/>
                <w:szCs w:val="16"/>
                <w:lang w:eastAsia="en-AU"/>
              </w:rPr>
              <w:t xml:space="preserve">713 </w:t>
            </w:r>
          </w:p>
        </w:tc>
        <w:tc>
          <w:tcPr>
            <w:tcW w:w="700" w:type="dxa"/>
            <w:tcBorders>
              <w:top w:val="nil"/>
              <w:left w:val="nil"/>
              <w:bottom w:val="single" w:sz="4" w:space="0" w:color="ADD6EA"/>
              <w:right w:val="nil"/>
            </w:tcBorders>
            <w:shd w:val="clear" w:color="auto" w:fill="auto"/>
            <w:noWrap/>
            <w:vAlign w:val="bottom"/>
            <w:hideMark/>
          </w:tcPr>
          <w:p w14:paraId="0C1B7619" w14:textId="77777777" w:rsidR="000327E8" w:rsidRPr="007E5E7C" w:rsidRDefault="000327E8" w:rsidP="002B38EB">
            <w:pPr>
              <w:keepNext/>
              <w:keepLines/>
              <w:tabs>
                <w:tab w:val="clear" w:pos="567"/>
              </w:tabs>
              <w:spacing w:before="0" w:line="240" w:lineRule="auto"/>
              <w:jc w:val="right"/>
              <w:rPr>
                <w:rFonts w:eastAsia="Times New Roman" w:cs="Open Sans Light"/>
                <w:sz w:val="16"/>
                <w:szCs w:val="16"/>
                <w:lang w:eastAsia="en-AU"/>
              </w:rPr>
            </w:pPr>
            <w:r w:rsidRPr="007E5E7C">
              <w:rPr>
                <w:rFonts w:eastAsia="Times New Roman" w:cs="Open Sans Light"/>
                <w:sz w:val="16"/>
                <w:szCs w:val="16"/>
                <w:lang w:eastAsia="en-AU"/>
              </w:rPr>
              <w:t xml:space="preserve">-461 </w:t>
            </w:r>
          </w:p>
        </w:tc>
        <w:tc>
          <w:tcPr>
            <w:tcW w:w="740" w:type="dxa"/>
            <w:tcBorders>
              <w:top w:val="nil"/>
              <w:left w:val="nil"/>
              <w:bottom w:val="single" w:sz="4" w:space="0" w:color="ADD6EA"/>
              <w:right w:val="nil"/>
            </w:tcBorders>
            <w:shd w:val="clear" w:color="auto" w:fill="auto"/>
            <w:noWrap/>
            <w:vAlign w:val="bottom"/>
            <w:hideMark/>
          </w:tcPr>
          <w:p w14:paraId="148E5D99" w14:textId="77777777" w:rsidR="000327E8" w:rsidRPr="007E5E7C" w:rsidRDefault="000327E8" w:rsidP="002B38EB">
            <w:pPr>
              <w:keepNext/>
              <w:keepLines/>
              <w:tabs>
                <w:tab w:val="clear" w:pos="567"/>
              </w:tabs>
              <w:spacing w:before="0" w:line="240" w:lineRule="auto"/>
              <w:jc w:val="right"/>
              <w:rPr>
                <w:rFonts w:eastAsia="Times New Roman" w:cs="Open Sans Light"/>
                <w:sz w:val="16"/>
                <w:szCs w:val="16"/>
                <w:lang w:eastAsia="en-AU"/>
              </w:rPr>
            </w:pPr>
            <w:r w:rsidRPr="007E5E7C">
              <w:rPr>
                <w:rFonts w:eastAsia="Times New Roman" w:cs="Open Sans Light"/>
                <w:sz w:val="16"/>
                <w:szCs w:val="16"/>
                <w:lang w:eastAsia="en-AU"/>
              </w:rPr>
              <w:t xml:space="preserve">-232 </w:t>
            </w:r>
          </w:p>
        </w:tc>
        <w:tc>
          <w:tcPr>
            <w:tcW w:w="760" w:type="dxa"/>
            <w:tcBorders>
              <w:top w:val="nil"/>
              <w:left w:val="nil"/>
              <w:bottom w:val="single" w:sz="4" w:space="0" w:color="ADD6EA"/>
              <w:right w:val="nil"/>
            </w:tcBorders>
            <w:shd w:val="clear" w:color="auto" w:fill="auto"/>
            <w:noWrap/>
            <w:vAlign w:val="bottom"/>
            <w:hideMark/>
          </w:tcPr>
          <w:p w14:paraId="34A9791F" w14:textId="77777777" w:rsidR="000327E8" w:rsidRPr="007E5E7C" w:rsidRDefault="000327E8" w:rsidP="002B38EB">
            <w:pPr>
              <w:keepNext/>
              <w:keepLines/>
              <w:tabs>
                <w:tab w:val="clear" w:pos="567"/>
              </w:tabs>
              <w:spacing w:before="0" w:line="240" w:lineRule="auto"/>
              <w:jc w:val="right"/>
              <w:rPr>
                <w:rFonts w:eastAsia="Times New Roman" w:cs="Open Sans Light"/>
                <w:sz w:val="16"/>
                <w:szCs w:val="16"/>
                <w:lang w:eastAsia="en-AU"/>
              </w:rPr>
            </w:pPr>
            <w:r w:rsidRPr="007E5E7C">
              <w:rPr>
                <w:rFonts w:eastAsia="Times New Roman" w:cs="Open Sans Light"/>
                <w:sz w:val="16"/>
                <w:szCs w:val="16"/>
                <w:lang w:eastAsia="en-AU"/>
              </w:rPr>
              <w:t xml:space="preserve">190 </w:t>
            </w:r>
          </w:p>
        </w:tc>
        <w:tc>
          <w:tcPr>
            <w:tcW w:w="860" w:type="dxa"/>
            <w:tcBorders>
              <w:top w:val="nil"/>
              <w:left w:val="nil"/>
              <w:bottom w:val="single" w:sz="4" w:space="0" w:color="ADD6EA"/>
              <w:right w:val="nil"/>
            </w:tcBorders>
            <w:shd w:val="clear" w:color="auto" w:fill="auto"/>
            <w:noWrap/>
            <w:vAlign w:val="bottom"/>
            <w:hideMark/>
          </w:tcPr>
          <w:p w14:paraId="64985920" w14:textId="77777777" w:rsidR="000327E8" w:rsidRPr="007E5E7C" w:rsidRDefault="000327E8" w:rsidP="002B38EB">
            <w:pPr>
              <w:keepNext/>
              <w:keepLines/>
              <w:tabs>
                <w:tab w:val="clear" w:pos="567"/>
              </w:tabs>
              <w:spacing w:before="0" w:line="240" w:lineRule="auto"/>
              <w:jc w:val="right"/>
              <w:rPr>
                <w:rFonts w:eastAsia="Times New Roman" w:cs="Open Sans Light"/>
                <w:sz w:val="16"/>
                <w:szCs w:val="16"/>
                <w:lang w:eastAsia="en-AU"/>
              </w:rPr>
            </w:pPr>
            <w:r w:rsidRPr="007E5E7C">
              <w:rPr>
                <w:rFonts w:eastAsia="Times New Roman" w:cs="Open Sans Light"/>
                <w:sz w:val="16"/>
                <w:szCs w:val="16"/>
                <w:lang w:eastAsia="en-AU"/>
              </w:rPr>
              <w:t xml:space="preserve">64 </w:t>
            </w:r>
          </w:p>
        </w:tc>
        <w:tc>
          <w:tcPr>
            <w:tcW w:w="940" w:type="dxa"/>
            <w:tcBorders>
              <w:top w:val="nil"/>
              <w:left w:val="nil"/>
              <w:bottom w:val="single" w:sz="4" w:space="0" w:color="ADD6EA"/>
              <w:right w:val="nil"/>
            </w:tcBorders>
            <w:shd w:val="clear" w:color="auto" w:fill="auto"/>
            <w:noWrap/>
            <w:vAlign w:val="bottom"/>
            <w:hideMark/>
          </w:tcPr>
          <w:p w14:paraId="43A009AD" w14:textId="77777777" w:rsidR="000327E8" w:rsidRPr="007E5E7C" w:rsidRDefault="000327E8" w:rsidP="002B38EB">
            <w:pPr>
              <w:keepNext/>
              <w:keepLines/>
              <w:tabs>
                <w:tab w:val="clear" w:pos="567"/>
              </w:tabs>
              <w:spacing w:before="0" w:line="240" w:lineRule="auto"/>
              <w:jc w:val="right"/>
              <w:rPr>
                <w:rFonts w:eastAsia="Times New Roman" w:cs="Open Sans Light"/>
                <w:sz w:val="16"/>
                <w:szCs w:val="16"/>
                <w:lang w:eastAsia="en-AU"/>
              </w:rPr>
            </w:pPr>
            <w:r w:rsidRPr="007E5E7C">
              <w:rPr>
                <w:rFonts w:eastAsia="Times New Roman" w:cs="Open Sans Light"/>
                <w:sz w:val="16"/>
                <w:szCs w:val="16"/>
                <w:lang w:eastAsia="en-AU"/>
              </w:rPr>
              <w:t xml:space="preserve">1,625 </w:t>
            </w:r>
          </w:p>
        </w:tc>
      </w:tr>
      <w:tr w:rsidR="000327E8" w:rsidRPr="00840581" w14:paraId="5986CE95" w14:textId="77777777" w:rsidTr="002B38EB">
        <w:trPr>
          <w:trHeight w:val="315"/>
        </w:trPr>
        <w:tc>
          <w:tcPr>
            <w:tcW w:w="1780" w:type="dxa"/>
            <w:tcBorders>
              <w:top w:val="nil"/>
              <w:left w:val="nil"/>
              <w:bottom w:val="single" w:sz="4" w:space="0" w:color="ADD6EA"/>
              <w:right w:val="nil"/>
            </w:tcBorders>
            <w:shd w:val="clear" w:color="auto" w:fill="auto"/>
            <w:noWrap/>
            <w:vAlign w:val="bottom"/>
            <w:hideMark/>
          </w:tcPr>
          <w:p w14:paraId="2DF9071D" w14:textId="77777777" w:rsidR="000327E8" w:rsidRPr="007E5E7C" w:rsidRDefault="000327E8" w:rsidP="002B38EB">
            <w:pPr>
              <w:keepNext/>
              <w:keepLines/>
              <w:tabs>
                <w:tab w:val="clear" w:pos="567"/>
              </w:tabs>
              <w:spacing w:before="0" w:line="240" w:lineRule="auto"/>
              <w:rPr>
                <w:rFonts w:eastAsia="Times New Roman" w:cs="Open Sans Light"/>
                <w:sz w:val="16"/>
                <w:szCs w:val="16"/>
                <w:lang w:eastAsia="en-AU"/>
              </w:rPr>
            </w:pPr>
            <w:r w:rsidRPr="007E5E7C">
              <w:rPr>
                <w:rFonts w:eastAsia="Times New Roman" w:cs="Open Sans Light"/>
                <w:sz w:val="16"/>
                <w:szCs w:val="16"/>
                <w:lang w:eastAsia="en-AU"/>
              </w:rPr>
              <w:t>$ per capita</w:t>
            </w:r>
          </w:p>
        </w:tc>
        <w:tc>
          <w:tcPr>
            <w:tcW w:w="840" w:type="dxa"/>
            <w:tcBorders>
              <w:top w:val="nil"/>
              <w:left w:val="nil"/>
              <w:bottom w:val="single" w:sz="4" w:space="0" w:color="ADD6EA"/>
              <w:right w:val="nil"/>
            </w:tcBorders>
            <w:shd w:val="clear" w:color="auto" w:fill="auto"/>
            <w:noWrap/>
            <w:vAlign w:val="bottom"/>
            <w:hideMark/>
          </w:tcPr>
          <w:p w14:paraId="4592B116" w14:textId="77777777" w:rsidR="000327E8" w:rsidRPr="007E5E7C" w:rsidRDefault="000327E8" w:rsidP="002B38EB">
            <w:pPr>
              <w:keepNext/>
              <w:keepLines/>
              <w:tabs>
                <w:tab w:val="clear" w:pos="567"/>
              </w:tabs>
              <w:spacing w:before="0" w:line="240" w:lineRule="auto"/>
              <w:jc w:val="right"/>
              <w:rPr>
                <w:rFonts w:eastAsia="Times New Roman" w:cs="Open Sans Light"/>
                <w:sz w:val="16"/>
                <w:szCs w:val="16"/>
                <w:lang w:eastAsia="en-AU"/>
              </w:rPr>
            </w:pPr>
            <w:r w:rsidRPr="007E5E7C">
              <w:rPr>
                <w:rFonts w:eastAsia="Times New Roman" w:cs="Open Sans Light"/>
                <w:sz w:val="16"/>
                <w:szCs w:val="16"/>
                <w:lang w:eastAsia="en-AU"/>
              </w:rPr>
              <w:t xml:space="preserve">80 </w:t>
            </w:r>
          </w:p>
        </w:tc>
        <w:tc>
          <w:tcPr>
            <w:tcW w:w="820" w:type="dxa"/>
            <w:tcBorders>
              <w:top w:val="nil"/>
              <w:left w:val="nil"/>
              <w:bottom w:val="single" w:sz="4" w:space="0" w:color="ADD6EA"/>
              <w:right w:val="nil"/>
            </w:tcBorders>
            <w:shd w:val="clear" w:color="auto" w:fill="auto"/>
            <w:noWrap/>
            <w:vAlign w:val="bottom"/>
            <w:hideMark/>
          </w:tcPr>
          <w:p w14:paraId="27A072C2" w14:textId="77777777" w:rsidR="000327E8" w:rsidRPr="007E5E7C" w:rsidRDefault="000327E8" w:rsidP="002B38EB">
            <w:pPr>
              <w:keepNext/>
              <w:keepLines/>
              <w:tabs>
                <w:tab w:val="clear" w:pos="567"/>
              </w:tabs>
              <w:spacing w:before="0" w:line="240" w:lineRule="auto"/>
              <w:jc w:val="right"/>
              <w:rPr>
                <w:rFonts w:eastAsia="Times New Roman" w:cs="Open Sans Light"/>
                <w:sz w:val="16"/>
                <w:szCs w:val="16"/>
                <w:lang w:eastAsia="en-AU"/>
              </w:rPr>
            </w:pPr>
            <w:r w:rsidRPr="007E5E7C">
              <w:rPr>
                <w:rFonts w:eastAsia="Times New Roman" w:cs="Open Sans Light"/>
                <w:sz w:val="16"/>
                <w:szCs w:val="16"/>
                <w:lang w:eastAsia="en-AU"/>
              </w:rPr>
              <w:t xml:space="preserve">-41 </w:t>
            </w:r>
          </w:p>
        </w:tc>
        <w:tc>
          <w:tcPr>
            <w:tcW w:w="760" w:type="dxa"/>
            <w:tcBorders>
              <w:top w:val="nil"/>
              <w:left w:val="nil"/>
              <w:bottom w:val="single" w:sz="4" w:space="0" w:color="ADD6EA"/>
              <w:right w:val="nil"/>
            </w:tcBorders>
            <w:shd w:val="clear" w:color="auto" w:fill="auto"/>
            <w:noWrap/>
            <w:vAlign w:val="bottom"/>
            <w:hideMark/>
          </w:tcPr>
          <w:p w14:paraId="515F472E" w14:textId="77777777" w:rsidR="000327E8" w:rsidRPr="007E5E7C" w:rsidRDefault="000327E8" w:rsidP="002B38EB">
            <w:pPr>
              <w:keepNext/>
              <w:keepLines/>
              <w:tabs>
                <w:tab w:val="clear" w:pos="567"/>
              </w:tabs>
              <w:spacing w:before="0" w:line="240" w:lineRule="auto"/>
              <w:jc w:val="right"/>
              <w:rPr>
                <w:rFonts w:eastAsia="Times New Roman" w:cs="Open Sans Light"/>
                <w:sz w:val="16"/>
                <w:szCs w:val="16"/>
                <w:lang w:eastAsia="en-AU"/>
              </w:rPr>
            </w:pPr>
            <w:r w:rsidRPr="007E5E7C">
              <w:rPr>
                <w:rFonts w:eastAsia="Times New Roman" w:cs="Open Sans Light"/>
                <w:sz w:val="16"/>
                <w:szCs w:val="16"/>
                <w:lang w:eastAsia="en-AU"/>
              </w:rPr>
              <w:t xml:space="preserve">-121 </w:t>
            </w:r>
          </w:p>
        </w:tc>
        <w:tc>
          <w:tcPr>
            <w:tcW w:w="760" w:type="dxa"/>
            <w:tcBorders>
              <w:top w:val="nil"/>
              <w:left w:val="nil"/>
              <w:bottom w:val="single" w:sz="4" w:space="0" w:color="ADD6EA"/>
              <w:right w:val="nil"/>
            </w:tcBorders>
            <w:shd w:val="clear" w:color="auto" w:fill="auto"/>
            <w:noWrap/>
            <w:vAlign w:val="bottom"/>
            <w:hideMark/>
          </w:tcPr>
          <w:p w14:paraId="4F3A8D39" w14:textId="77777777" w:rsidR="000327E8" w:rsidRPr="007E5E7C" w:rsidRDefault="000327E8" w:rsidP="002B38EB">
            <w:pPr>
              <w:keepNext/>
              <w:keepLines/>
              <w:tabs>
                <w:tab w:val="clear" w:pos="567"/>
              </w:tabs>
              <w:spacing w:before="0" w:line="240" w:lineRule="auto"/>
              <w:jc w:val="right"/>
              <w:rPr>
                <w:rFonts w:eastAsia="Times New Roman" w:cs="Open Sans Light"/>
                <w:sz w:val="16"/>
                <w:szCs w:val="16"/>
                <w:lang w:eastAsia="en-AU"/>
              </w:rPr>
            </w:pPr>
            <w:r w:rsidRPr="007E5E7C">
              <w:rPr>
                <w:rFonts w:eastAsia="Times New Roman" w:cs="Open Sans Light"/>
                <w:sz w:val="16"/>
                <w:szCs w:val="16"/>
                <w:lang w:eastAsia="en-AU"/>
              </w:rPr>
              <w:t xml:space="preserve">251 </w:t>
            </w:r>
          </w:p>
        </w:tc>
        <w:tc>
          <w:tcPr>
            <w:tcW w:w="700" w:type="dxa"/>
            <w:tcBorders>
              <w:top w:val="nil"/>
              <w:left w:val="nil"/>
              <w:bottom w:val="single" w:sz="4" w:space="0" w:color="ADD6EA"/>
              <w:right w:val="nil"/>
            </w:tcBorders>
            <w:shd w:val="clear" w:color="auto" w:fill="auto"/>
            <w:noWrap/>
            <w:vAlign w:val="bottom"/>
            <w:hideMark/>
          </w:tcPr>
          <w:p w14:paraId="1448918F" w14:textId="77777777" w:rsidR="000327E8" w:rsidRPr="007E5E7C" w:rsidRDefault="000327E8" w:rsidP="002B38EB">
            <w:pPr>
              <w:keepNext/>
              <w:keepLines/>
              <w:tabs>
                <w:tab w:val="clear" w:pos="567"/>
              </w:tabs>
              <w:spacing w:before="0" w:line="240" w:lineRule="auto"/>
              <w:jc w:val="right"/>
              <w:rPr>
                <w:rFonts w:eastAsia="Times New Roman" w:cs="Open Sans Light"/>
                <w:sz w:val="16"/>
                <w:szCs w:val="16"/>
                <w:lang w:eastAsia="en-AU"/>
              </w:rPr>
            </w:pPr>
            <w:r w:rsidRPr="007E5E7C">
              <w:rPr>
                <w:rFonts w:eastAsia="Times New Roman" w:cs="Open Sans Light"/>
                <w:sz w:val="16"/>
                <w:szCs w:val="16"/>
                <w:lang w:eastAsia="en-AU"/>
              </w:rPr>
              <w:t xml:space="preserve">-249 </w:t>
            </w:r>
          </w:p>
        </w:tc>
        <w:tc>
          <w:tcPr>
            <w:tcW w:w="740" w:type="dxa"/>
            <w:tcBorders>
              <w:top w:val="nil"/>
              <w:left w:val="nil"/>
              <w:bottom w:val="single" w:sz="4" w:space="0" w:color="ADD6EA"/>
              <w:right w:val="nil"/>
            </w:tcBorders>
            <w:shd w:val="clear" w:color="auto" w:fill="auto"/>
            <w:noWrap/>
            <w:vAlign w:val="bottom"/>
            <w:hideMark/>
          </w:tcPr>
          <w:p w14:paraId="3F04EA39" w14:textId="77777777" w:rsidR="000327E8" w:rsidRPr="007E5E7C" w:rsidRDefault="000327E8" w:rsidP="002B38EB">
            <w:pPr>
              <w:keepNext/>
              <w:keepLines/>
              <w:tabs>
                <w:tab w:val="clear" w:pos="567"/>
              </w:tabs>
              <w:spacing w:before="0" w:line="240" w:lineRule="auto"/>
              <w:jc w:val="right"/>
              <w:rPr>
                <w:rFonts w:eastAsia="Times New Roman" w:cs="Open Sans Light"/>
                <w:sz w:val="16"/>
                <w:szCs w:val="16"/>
                <w:lang w:eastAsia="en-AU"/>
              </w:rPr>
            </w:pPr>
            <w:r w:rsidRPr="007E5E7C">
              <w:rPr>
                <w:rFonts w:eastAsia="Times New Roman" w:cs="Open Sans Light"/>
                <w:sz w:val="16"/>
                <w:szCs w:val="16"/>
                <w:lang w:eastAsia="en-AU"/>
              </w:rPr>
              <w:t xml:space="preserve">-397 </w:t>
            </w:r>
          </w:p>
        </w:tc>
        <w:tc>
          <w:tcPr>
            <w:tcW w:w="760" w:type="dxa"/>
            <w:tcBorders>
              <w:top w:val="nil"/>
              <w:left w:val="nil"/>
              <w:bottom w:val="single" w:sz="4" w:space="0" w:color="ADD6EA"/>
              <w:right w:val="nil"/>
            </w:tcBorders>
            <w:shd w:val="clear" w:color="auto" w:fill="auto"/>
            <w:noWrap/>
            <w:vAlign w:val="bottom"/>
            <w:hideMark/>
          </w:tcPr>
          <w:p w14:paraId="3A9A6D4A" w14:textId="77777777" w:rsidR="000327E8" w:rsidRPr="007E5E7C" w:rsidRDefault="000327E8" w:rsidP="002B38EB">
            <w:pPr>
              <w:keepNext/>
              <w:keepLines/>
              <w:tabs>
                <w:tab w:val="clear" w:pos="567"/>
              </w:tabs>
              <w:spacing w:before="0" w:line="240" w:lineRule="auto"/>
              <w:jc w:val="right"/>
              <w:rPr>
                <w:rFonts w:eastAsia="Times New Roman" w:cs="Open Sans Light"/>
                <w:sz w:val="16"/>
                <w:szCs w:val="16"/>
                <w:lang w:eastAsia="en-AU"/>
              </w:rPr>
            </w:pPr>
            <w:r w:rsidRPr="007E5E7C">
              <w:rPr>
                <w:rFonts w:eastAsia="Times New Roman" w:cs="Open Sans Light"/>
                <w:sz w:val="16"/>
                <w:szCs w:val="16"/>
                <w:lang w:eastAsia="en-AU"/>
              </w:rPr>
              <w:t xml:space="preserve">404 </w:t>
            </w:r>
          </w:p>
        </w:tc>
        <w:tc>
          <w:tcPr>
            <w:tcW w:w="860" w:type="dxa"/>
            <w:tcBorders>
              <w:top w:val="nil"/>
              <w:left w:val="nil"/>
              <w:bottom w:val="single" w:sz="4" w:space="0" w:color="ADD6EA"/>
              <w:right w:val="nil"/>
            </w:tcBorders>
            <w:shd w:val="clear" w:color="auto" w:fill="auto"/>
            <w:noWrap/>
            <w:vAlign w:val="bottom"/>
            <w:hideMark/>
          </w:tcPr>
          <w:p w14:paraId="515F8EE4" w14:textId="77777777" w:rsidR="000327E8" w:rsidRPr="007E5E7C" w:rsidRDefault="000327E8" w:rsidP="002B38EB">
            <w:pPr>
              <w:keepNext/>
              <w:keepLines/>
              <w:tabs>
                <w:tab w:val="clear" w:pos="567"/>
              </w:tabs>
              <w:spacing w:before="0" w:line="240" w:lineRule="auto"/>
              <w:jc w:val="right"/>
              <w:rPr>
                <w:rFonts w:eastAsia="Times New Roman" w:cs="Open Sans Light"/>
                <w:sz w:val="16"/>
                <w:szCs w:val="16"/>
                <w:lang w:eastAsia="en-AU"/>
              </w:rPr>
            </w:pPr>
            <w:r w:rsidRPr="007E5E7C">
              <w:rPr>
                <w:rFonts w:eastAsia="Times New Roman" w:cs="Open Sans Light"/>
                <w:sz w:val="16"/>
                <w:szCs w:val="16"/>
                <w:lang w:eastAsia="en-AU"/>
              </w:rPr>
              <w:t xml:space="preserve">246 </w:t>
            </w:r>
          </w:p>
        </w:tc>
        <w:tc>
          <w:tcPr>
            <w:tcW w:w="940" w:type="dxa"/>
            <w:tcBorders>
              <w:top w:val="nil"/>
              <w:left w:val="nil"/>
              <w:bottom w:val="single" w:sz="4" w:space="0" w:color="ADD6EA"/>
              <w:right w:val="nil"/>
            </w:tcBorders>
            <w:shd w:val="clear" w:color="auto" w:fill="auto"/>
            <w:noWrap/>
            <w:vAlign w:val="bottom"/>
            <w:hideMark/>
          </w:tcPr>
          <w:p w14:paraId="59F9A6F4" w14:textId="77777777" w:rsidR="000327E8" w:rsidRPr="007E5E7C" w:rsidRDefault="000327E8" w:rsidP="002B38EB">
            <w:pPr>
              <w:keepNext/>
              <w:keepLines/>
              <w:tabs>
                <w:tab w:val="clear" w:pos="567"/>
              </w:tabs>
              <w:spacing w:before="0" w:line="240" w:lineRule="auto"/>
              <w:jc w:val="right"/>
              <w:rPr>
                <w:rFonts w:eastAsia="Times New Roman" w:cs="Open Sans Light"/>
                <w:sz w:val="16"/>
                <w:szCs w:val="16"/>
                <w:lang w:eastAsia="en-AU"/>
              </w:rPr>
            </w:pPr>
            <w:r w:rsidRPr="007E5E7C">
              <w:rPr>
                <w:rFonts w:eastAsia="Times New Roman" w:cs="Open Sans Light"/>
                <w:sz w:val="16"/>
                <w:szCs w:val="16"/>
                <w:lang w:eastAsia="en-AU"/>
              </w:rPr>
              <w:t xml:space="preserve">61 </w:t>
            </w:r>
          </w:p>
        </w:tc>
      </w:tr>
    </w:tbl>
    <w:p w14:paraId="23B01235" w14:textId="4B3BE510" w:rsidR="000327E8" w:rsidRDefault="000327E8" w:rsidP="000327E8">
      <w:pPr>
        <w:pStyle w:val="CGC2025TableNote"/>
      </w:pPr>
      <w:r>
        <w:t>Note:</w:t>
      </w:r>
      <w:r>
        <w:tab/>
      </w:r>
      <w:r>
        <w:tab/>
        <w:t>Excludes the assessed wage contribution to construction costs</w:t>
      </w:r>
    </w:p>
    <w:p w14:paraId="34B73A32" w14:textId="77777777" w:rsidR="000327E8" w:rsidRPr="006C117C" w:rsidRDefault="000327E8" w:rsidP="000327E8">
      <w:pPr>
        <w:pStyle w:val="CGC2025TableNote"/>
      </w:pPr>
      <w:r>
        <w:t>Source</w:t>
      </w:r>
      <w:r w:rsidRPr="006C117C">
        <w:t>:</w:t>
      </w:r>
      <w:r w:rsidRPr="006C117C">
        <w:tab/>
        <w:t>Commission calculation, 2023 Update.</w:t>
      </w:r>
    </w:p>
    <w:p w14:paraId="737E9AA4" w14:textId="1E47E86B" w:rsidR="00A11A9E" w:rsidRPr="00A11A9E" w:rsidRDefault="00A11A9E" w:rsidP="00A11A9E">
      <w:pPr>
        <w:pStyle w:val="CGC2025ParaNumbers"/>
      </w:pPr>
      <w:r>
        <w:t xml:space="preserve">Further detail on the underlying conceptual cases for the assessment methods and the scope of the adjusted budget are explained in </w:t>
      </w:r>
      <w:r w:rsidRPr="007E5E7C">
        <w:rPr>
          <w:iCs/>
        </w:rPr>
        <w:t>Volume 2</w:t>
      </w:r>
      <w:r w:rsidRPr="007024CB">
        <w:rPr>
          <w:iCs/>
        </w:rPr>
        <w:t xml:space="preserve"> </w:t>
      </w:r>
      <w:r w:rsidRPr="007E5E7C">
        <w:rPr>
          <w:iCs/>
        </w:rPr>
        <w:t>Chapter 27 – Wage costs</w:t>
      </w:r>
      <w:r w:rsidRPr="00990DBB">
        <w:t xml:space="preserve"> of</w:t>
      </w:r>
      <w:r>
        <w:t xml:space="preserve"> the </w:t>
      </w:r>
      <w:hyperlink r:id="rId20" w:history="1">
        <w:r>
          <w:rPr>
            <w:rStyle w:val="Hyperlink"/>
          </w:rPr>
          <w:t>Report on GST Revenue Sharing Relativities, 2020 Review.</w:t>
        </w:r>
      </w:hyperlink>
    </w:p>
    <w:p w14:paraId="555B614F" w14:textId="77C21E41" w:rsidR="00D45001" w:rsidRDefault="00D45001" w:rsidP="001F458A">
      <w:pPr>
        <w:pStyle w:val="Heading2"/>
      </w:pPr>
      <w:bookmarkStart w:id="30" w:name="_Toc138158961"/>
      <w:r w:rsidRPr="00D45001">
        <w:t>What has changed since the 2020 Review?</w:t>
      </w:r>
      <w:bookmarkEnd w:id="22"/>
      <w:bookmarkEnd w:id="23"/>
      <w:bookmarkEnd w:id="24"/>
      <w:bookmarkEnd w:id="25"/>
      <w:bookmarkEnd w:id="26"/>
      <w:bookmarkEnd w:id="30"/>
    </w:p>
    <w:p w14:paraId="45C2D471" w14:textId="0ABEE9AE" w:rsidR="00A11A9E" w:rsidRPr="00A11A9E" w:rsidRDefault="00A11A9E" w:rsidP="00A11A9E">
      <w:pPr>
        <w:pStyle w:val="Heading3"/>
      </w:pPr>
      <w:bookmarkStart w:id="31" w:name="_Toc135750667"/>
      <w:bookmarkStart w:id="32" w:name="_Toc138158962"/>
      <w:r>
        <w:t xml:space="preserve">The labour market has continued to </w:t>
      </w:r>
      <w:proofErr w:type="gramStart"/>
      <w:r>
        <w:t>change</w:t>
      </w:r>
      <w:bookmarkEnd w:id="31"/>
      <w:bookmarkEnd w:id="32"/>
      <w:proofErr w:type="gramEnd"/>
    </w:p>
    <w:p w14:paraId="6695D120" w14:textId="77777777" w:rsidR="00A11A9E" w:rsidRDefault="00A11A9E" w:rsidP="002831A8">
      <w:pPr>
        <w:pStyle w:val="CGC2025ParaNumbers"/>
      </w:pPr>
      <w:bookmarkStart w:id="33" w:name="_Toc121741487"/>
      <w:bookmarkStart w:id="34" w:name="_Toc127428353"/>
      <w:bookmarkStart w:id="35" w:name="_Toc132729106"/>
      <w:bookmarkStart w:id="36" w:name="_Toc133236151"/>
      <w:bookmarkStart w:id="37" w:name="_Toc133236177"/>
      <w:r>
        <w:t xml:space="preserve">Australia’s labour market has continued to evolve, including </w:t>
      </w:r>
      <w:proofErr w:type="gramStart"/>
      <w:r>
        <w:t>as a result of</w:t>
      </w:r>
      <w:proofErr w:type="gramEnd"/>
      <w:r>
        <w:t xml:space="preserve"> the impact of COVID-19. Changes include:</w:t>
      </w:r>
    </w:p>
    <w:p w14:paraId="1C84A366" w14:textId="77777777" w:rsidR="00A11A9E" w:rsidRPr="002831A8" w:rsidRDefault="00A11A9E" w:rsidP="002831A8">
      <w:pPr>
        <w:pStyle w:val="CGC2025Bullet1"/>
      </w:pPr>
      <w:r w:rsidRPr="002831A8">
        <w:t>increases in online and remote work</w:t>
      </w:r>
      <w:r w:rsidRPr="002831A8">
        <w:rPr>
          <w:rStyle w:val="FootnoteReference"/>
        </w:rPr>
        <w:footnoteReference w:id="3"/>
      </w:r>
    </w:p>
    <w:p w14:paraId="277D53AD" w14:textId="77777777" w:rsidR="00A11A9E" w:rsidRPr="00B50358" w:rsidRDefault="00A11A9E" w:rsidP="002831A8">
      <w:pPr>
        <w:pStyle w:val="CGC2025Bullet2"/>
      </w:pPr>
      <w:r w:rsidRPr="0093093B">
        <w:t>In August 2021, 41% of Australians regularly worked from home, up from 32% in 2019.</w:t>
      </w:r>
      <w:r w:rsidRPr="0093093B">
        <w:rPr>
          <w:rStyle w:val="FootnoteReference"/>
        </w:rPr>
        <w:footnoteReference w:id="4"/>
      </w:r>
      <w:r w:rsidRPr="0093093B">
        <w:t xml:space="preserve"> This was partly due to the temporary effects of COVID-19, but also reflects an existing trend towards more remote work.</w:t>
      </w:r>
    </w:p>
    <w:p w14:paraId="0DFFE29A" w14:textId="77777777" w:rsidR="00A11A9E" w:rsidRPr="002831A8" w:rsidRDefault="00A11A9E" w:rsidP="002831A8">
      <w:pPr>
        <w:pStyle w:val="CGC2025Bullet1"/>
      </w:pPr>
      <w:r w:rsidRPr="002831A8">
        <w:t>low unemployment and labour shortages</w:t>
      </w:r>
    </w:p>
    <w:p w14:paraId="2CA4DDC0" w14:textId="4C568916" w:rsidR="00A11A9E" w:rsidRPr="00B50358" w:rsidRDefault="00A11A9E" w:rsidP="002831A8">
      <w:pPr>
        <w:pStyle w:val="CGC2025Bullet2"/>
      </w:pPr>
      <w:r>
        <w:lastRenderedPageBreak/>
        <w:t xml:space="preserve">The Australian labour market tightened rapidly after the onset of COVID-19. This occurred across most segments of the economy, especially in higher skilled occupations, including those that are well represented in the state public sector. There were 37 occupations in the health profession that were assessed to be in shortage in 2022 </w:t>
      </w:r>
      <w:r w:rsidR="002F0151">
        <w:t xml:space="preserve">that </w:t>
      </w:r>
      <w:r>
        <w:t>had not been in 2021. This is the largest increase of any professional group. The number of suitable applicants per advertised vacancy for education professionals more than halved between 2021 and 2022.</w:t>
      </w:r>
      <w:r w:rsidRPr="002831A8">
        <w:rPr>
          <w:rStyle w:val="FootnoteReference"/>
        </w:rPr>
        <w:footnoteReference w:id="5"/>
      </w:r>
    </w:p>
    <w:p w14:paraId="4BDBE43E" w14:textId="3904455E" w:rsidR="00A11A9E" w:rsidRPr="002831A8" w:rsidRDefault="001D1BB0" w:rsidP="002831A8">
      <w:pPr>
        <w:pStyle w:val="CGC2025Bullet1"/>
      </w:pPr>
      <w:r>
        <w:t xml:space="preserve">an </w:t>
      </w:r>
      <w:r w:rsidR="00A11A9E" w:rsidRPr="002831A8">
        <w:t>increase in demand for post-secondary qualifications</w:t>
      </w:r>
      <w:r w:rsidR="00A11A9E" w:rsidRPr="002831A8">
        <w:rPr>
          <w:rStyle w:val="FootnoteReference"/>
        </w:rPr>
        <w:footnoteReference w:id="6"/>
      </w:r>
    </w:p>
    <w:p w14:paraId="4DD00207" w14:textId="77777777" w:rsidR="00A11A9E" w:rsidRDefault="00A11A9E" w:rsidP="002831A8">
      <w:pPr>
        <w:pStyle w:val="CGC2025Bullet2"/>
      </w:pPr>
      <w:r>
        <w:t>More than 9 out of 10 new jobs to be created in the 5 years to November 2026 will require post-secondary qualifications. The jobs projected to have the largest increases in employment are aged and disabled carers, software and applications programmers, and registered nurses.</w:t>
      </w:r>
      <w:r w:rsidRPr="002831A8">
        <w:rPr>
          <w:rStyle w:val="FootnoteReference"/>
        </w:rPr>
        <w:footnoteReference w:id="7"/>
      </w:r>
    </w:p>
    <w:p w14:paraId="3FEAA8C6" w14:textId="77777777" w:rsidR="00A11A9E" w:rsidRPr="002831A8" w:rsidRDefault="00A11A9E" w:rsidP="002831A8">
      <w:pPr>
        <w:pStyle w:val="CGC2025Bullet1"/>
      </w:pPr>
      <w:r w:rsidRPr="002831A8">
        <w:t>slightly elevated levels of industrial action</w:t>
      </w:r>
    </w:p>
    <w:p w14:paraId="285992CA" w14:textId="77777777" w:rsidR="00A11A9E" w:rsidRDefault="00A11A9E" w:rsidP="002831A8">
      <w:pPr>
        <w:pStyle w:val="CGC2025Bullet2"/>
      </w:pPr>
      <w:r>
        <w:t>More working days were lost to industrial action in 2022 than in any year since 2012, potentially reflecting increased bargaining power due to skills shortages. However, the level of industrial action is low in a longer-term context.</w:t>
      </w:r>
      <w:r>
        <w:rPr>
          <w:rStyle w:val="FootnoteReference"/>
        </w:rPr>
        <w:footnoteReference w:id="8"/>
      </w:r>
    </w:p>
    <w:p w14:paraId="0F612794" w14:textId="453EB1B2" w:rsidR="00A11A9E" w:rsidRPr="002831A8" w:rsidRDefault="00A11A9E" w:rsidP="002831A8">
      <w:pPr>
        <w:pStyle w:val="CGC2025Bullet1"/>
      </w:pPr>
      <w:r w:rsidRPr="002831A8">
        <w:t>falling real wages</w:t>
      </w:r>
      <w:r w:rsidR="00BC30E2">
        <w:t>.</w:t>
      </w:r>
    </w:p>
    <w:p w14:paraId="1D38043A" w14:textId="7D785243" w:rsidR="00A11A9E" w:rsidRDefault="00A11A9E" w:rsidP="002831A8">
      <w:pPr>
        <w:pStyle w:val="CGC2025Bullet2"/>
      </w:pPr>
      <w:r>
        <w:t>Since 2020, inflation has increased, with CPI rising 3.5% in 202</w:t>
      </w:r>
      <w:r w:rsidR="00737C0C">
        <w:t>1</w:t>
      </w:r>
      <w:r>
        <w:t xml:space="preserve"> and 7.8% in 202</w:t>
      </w:r>
      <w:r w:rsidR="003248BE">
        <w:t>2</w:t>
      </w:r>
      <w:r>
        <w:t>.</w:t>
      </w:r>
      <w:r>
        <w:rPr>
          <w:rStyle w:val="FootnoteReference"/>
        </w:rPr>
        <w:footnoteReference w:id="9"/>
      </w:r>
      <w:r>
        <w:t xml:space="preserve"> As nominal wage growth has been substantially below this level, this has led to falling real wages. Nominal wage growth has increased, growing 3.6% in 2022.</w:t>
      </w:r>
      <w:r>
        <w:rPr>
          <w:rStyle w:val="FootnoteReference"/>
        </w:rPr>
        <w:footnoteReference w:id="10"/>
      </w:r>
    </w:p>
    <w:p w14:paraId="65EFC30F" w14:textId="7D82EE71" w:rsidR="002831A8" w:rsidRPr="002831A8" w:rsidRDefault="002831A8" w:rsidP="002831A8">
      <w:pPr>
        <w:pStyle w:val="Heading3"/>
      </w:pPr>
      <w:bookmarkStart w:id="38" w:name="_Toc138158963"/>
      <w:r w:rsidRPr="002831A8">
        <w:t xml:space="preserve">Increased volatility in </w:t>
      </w:r>
      <w:r w:rsidR="006F263B">
        <w:t xml:space="preserve">the </w:t>
      </w:r>
      <w:r w:rsidRPr="002831A8">
        <w:t>wage cost assessment</w:t>
      </w:r>
      <w:bookmarkEnd w:id="38"/>
    </w:p>
    <w:p w14:paraId="3A1AF3E3" w14:textId="5F53093C" w:rsidR="002831A8" w:rsidRPr="00733C59" w:rsidRDefault="002831A8" w:rsidP="002831A8">
      <w:pPr>
        <w:pStyle w:val="CGC2025ParaNumbers"/>
      </w:pPr>
      <w:r w:rsidRPr="53D42265">
        <w:t>Since the ABS produced data enabling annual estimates of relative state wage levels in 2014</w:t>
      </w:r>
      <w:r w:rsidR="00C471F0">
        <w:t>–</w:t>
      </w:r>
      <w:r w:rsidRPr="53D42265">
        <w:t xml:space="preserve">15, the assessment has been quite volatile. This volatility does not </w:t>
      </w:r>
      <w:r>
        <w:t>align with recognised stability</w:t>
      </w:r>
      <w:r w:rsidRPr="53D42265">
        <w:t xml:space="preserve"> </w:t>
      </w:r>
      <w:r>
        <w:t>of</w:t>
      </w:r>
      <w:r w:rsidRPr="53D42265">
        <w:t xml:space="preserve"> wages. Wages are known to be ‘sticky’ and slow to respond to shocks.</w:t>
      </w:r>
    </w:p>
    <w:p w14:paraId="370B1259" w14:textId="33C39E7A" w:rsidR="002831A8" w:rsidRPr="00885AFC" w:rsidRDefault="002831A8" w:rsidP="002831A8">
      <w:pPr>
        <w:pStyle w:val="CGC2025ParaNumbers"/>
        <w:rPr>
          <w:szCs w:val="20"/>
        </w:rPr>
      </w:pPr>
      <w:r>
        <w:t xml:space="preserve">Volatility in the assessment has become increasingly apparent as the time series has extended. Before annual data were available the wage cost factors were calculated every </w:t>
      </w:r>
      <w:r w:rsidRPr="00E61F6D">
        <w:t>5 y</w:t>
      </w:r>
      <w:r>
        <w:t xml:space="preserve">ears, not necessarily </w:t>
      </w:r>
      <w:r w:rsidR="000871E0">
        <w:t>during</w:t>
      </w:r>
      <w:r>
        <w:t xml:space="preserve"> reviews</w:t>
      </w:r>
      <w:r w:rsidDel="00E32983">
        <w:t>,</w:t>
      </w:r>
      <w:r>
        <w:t xml:space="preserve"> and indexed using the wage price index. This led to a pattern of stability between most updates, with major revisions limited to when new data became available every 5 years. </w:t>
      </w:r>
    </w:p>
    <w:p w14:paraId="3ECBB3BA" w14:textId="510C47CA" w:rsidR="002831A8" w:rsidRPr="0080201B" w:rsidRDefault="002831A8" w:rsidP="002831A8">
      <w:pPr>
        <w:pStyle w:val="CGC2025ParaNumbers"/>
        <w:rPr>
          <w:szCs w:val="20"/>
        </w:rPr>
      </w:pPr>
      <w:r>
        <w:t xml:space="preserve">Sampling error can explain most of the </w:t>
      </w:r>
      <w:r w:rsidR="00E64233">
        <w:t xml:space="preserve">assessment’s </w:t>
      </w:r>
      <w:r>
        <w:t xml:space="preserve">volatility. While updating the estimates annually has the benefit that any unusual estimates are only applied to a </w:t>
      </w:r>
      <w:r>
        <w:lastRenderedPageBreak/>
        <w:t>single assessment year, this approach has highlighted the level of sampling error associated through the variation in annual estimates.</w:t>
      </w:r>
    </w:p>
    <w:p w14:paraId="6757687F" w14:textId="1140BD34" w:rsidR="002831A8" w:rsidRDefault="002831A8" w:rsidP="002831A8">
      <w:pPr>
        <w:pStyle w:val="CGC2025ParaNumbers"/>
        <w:rPr>
          <w:szCs w:val="20"/>
        </w:rPr>
      </w:pPr>
      <w:r>
        <w:rPr>
          <w:szCs w:val="20"/>
        </w:rPr>
        <w:t>Sampling error can be reduced by expanding the sample size. As wages are relatively stable, estimates from several years can be combined, increasing the effective sample size, reducing sampling error and increasing the accuracy of the estimates. This is discussed further below.</w:t>
      </w:r>
    </w:p>
    <w:p w14:paraId="77C77104" w14:textId="77777777" w:rsidR="002831A8" w:rsidRPr="002831A8" w:rsidRDefault="002831A8" w:rsidP="002831A8">
      <w:pPr>
        <w:pStyle w:val="Heading3"/>
      </w:pPr>
      <w:bookmarkStart w:id="39" w:name="_Toc135750669"/>
      <w:bookmarkStart w:id="40" w:name="_Toc138158964"/>
      <w:r w:rsidRPr="002831A8">
        <w:t xml:space="preserve">The data environment has </w:t>
      </w:r>
      <w:proofErr w:type="gramStart"/>
      <w:r w:rsidRPr="002831A8">
        <w:t>improved</w:t>
      </w:r>
      <w:bookmarkEnd w:id="39"/>
      <w:bookmarkEnd w:id="40"/>
      <w:proofErr w:type="gramEnd"/>
    </w:p>
    <w:p w14:paraId="3947AED3" w14:textId="1FB99193" w:rsidR="002831A8" w:rsidRDefault="002831A8" w:rsidP="002831A8">
      <w:pPr>
        <w:pStyle w:val="CGC2025ParaNumbers"/>
      </w:pPr>
      <w:r>
        <w:t>The ABS has improved access to data since the 2020 Review. In 2022, the ABS released the Characteristics of Employment survey data into its data laboratory. This gave</w:t>
      </w:r>
      <w:r w:rsidDel="003B28C3">
        <w:t xml:space="preserve"> </w:t>
      </w:r>
      <w:r>
        <w:t xml:space="preserve">the Commission the </w:t>
      </w:r>
      <w:r w:rsidRPr="00614236">
        <w:t>ability to interrogate and analyse the data directly</w:t>
      </w:r>
      <w:r>
        <w:t>.</w:t>
      </w:r>
    </w:p>
    <w:p w14:paraId="0E0A9E9C" w14:textId="5D6E6393" w:rsidR="002831A8" w:rsidRDefault="002831A8" w:rsidP="002831A8">
      <w:pPr>
        <w:pStyle w:val="CGC2025ParaNumbers"/>
      </w:pPr>
      <w:r>
        <w:t xml:space="preserve">The regression model the Commission uses to estimate differences in state wages relies on ‘Hours usually worked’ as an important control variable, or predictor of wages. In the 2023 Update, the impact of COVID-19 on the survey data revealed that the dependence on ‘Hours usually worked’ has the potential to </w:t>
      </w:r>
      <w:r w:rsidR="000731EE">
        <w:t xml:space="preserve">introduce </w:t>
      </w:r>
      <w:r>
        <w:t xml:space="preserve">bias </w:t>
      </w:r>
      <w:r w:rsidR="000731EE">
        <w:t xml:space="preserve">into </w:t>
      </w:r>
      <w:r>
        <w:t>the model. When hours of work were reduced during lockdowns this was captured in the model as reduced wages in lockdown affected states. It is possible that other local economic shocks affecting hours of work, such as from natural disasters, could create a similar bias in Commission estimates of relative wages. Increased access to the unit record data allowed the Commission to identify this issue in the model.</w:t>
      </w:r>
    </w:p>
    <w:p w14:paraId="487384DD" w14:textId="4AFB4C8A" w:rsidR="002831A8" w:rsidRDefault="002831A8" w:rsidP="002831A8">
      <w:pPr>
        <w:pStyle w:val="CGC2025ParaNumbers"/>
      </w:pPr>
      <w:r>
        <w:t>Since April 2020, the ABS has produced a data series on weekly payroll jobs and wages, using single touch payroll data. From 2023</w:t>
      </w:r>
      <w:r w:rsidR="001E76DC">
        <w:t>,</w:t>
      </w:r>
      <w:r>
        <w:t xml:space="preserve"> the ABS will be using single touch payroll data for their Public Sector Employment and Earnings data series. </w:t>
      </w:r>
    </w:p>
    <w:p w14:paraId="12BCE2FC" w14:textId="60540422" w:rsidR="002831A8" w:rsidRDefault="002831A8" w:rsidP="002831A8">
      <w:pPr>
        <w:pStyle w:val="CGC2025ParaNumbers"/>
      </w:pPr>
      <w:r>
        <w:t xml:space="preserve">The Multi-Agency Data Integration Project links administrative data from the Australian Taxation Office and the Department of Social </w:t>
      </w:r>
      <w:r w:rsidR="00D73B88">
        <w:t xml:space="preserve">Services </w:t>
      </w:r>
      <w:r>
        <w:t xml:space="preserve">to </w:t>
      </w:r>
      <w:r w:rsidR="00A34001">
        <w:t>c</w:t>
      </w:r>
      <w:r>
        <w:t xml:space="preserve">ensus data. There are also other surveys providing information on wages and individual characteristics associated with earnings potential, such as the Household Income and Labour Dynamics in Australia survey. </w:t>
      </w:r>
    </w:p>
    <w:p w14:paraId="581F7C9C" w14:textId="5E6B1956" w:rsidR="002831A8" w:rsidRPr="002831A8" w:rsidRDefault="002831A8" w:rsidP="002831A8">
      <w:pPr>
        <w:pStyle w:val="CGC2025ParaNumbers"/>
        <w:rPr>
          <w:szCs w:val="20"/>
        </w:rPr>
      </w:pPr>
      <w:r w:rsidRPr="0093093B">
        <w:t>The increasing availability of data sources, especially the linked administrative data, provides opportunities to investigate alternative data for the wage costs assessment.</w:t>
      </w:r>
    </w:p>
    <w:p w14:paraId="112CD9FC" w14:textId="77777777" w:rsidR="00BB7B9C" w:rsidRPr="00BB7B9C" w:rsidRDefault="00BB7B9C" w:rsidP="00BB7B9C">
      <w:pPr>
        <w:pStyle w:val="Heading2"/>
      </w:pPr>
      <w:bookmarkStart w:id="41" w:name="_Toc138158965"/>
      <w:r w:rsidRPr="00BB7B9C">
        <w:t>Implications for assessment</w:t>
      </w:r>
      <w:bookmarkEnd w:id="33"/>
      <w:bookmarkEnd w:id="34"/>
      <w:bookmarkEnd w:id="35"/>
      <w:bookmarkEnd w:id="36"/>
      <w:bookmarkEnd w:id="37"/>
      <w:bookmarkEnd w:id="41"/>
    </w:p>
    <w:p w14:paraId="4F0C700F" w14:textId="77777777" w:rsidR="002831A8" w:rsidRDefault="002831A8" w:rsidP="002831A8">
      <w:pPr>
        <w:pStyle w:val="CGC2025ParaNumbers"/>
      </w:pPr>
      <w:bookmarkStart w:id="42" w:name="_Toc132729107"/>
      <w:bookmarkStart w:id="43" w:name="_Toc133236152"/>
      <w:bookmarkStart w:id="44" w:name="_Toc133236178"/>
      <w:bookmarkStart w:id="45" w:name="_Hlk128488938"/>
      <w:r w:rsidRPr="006B052C">
        <w:t xml:space="preserve">The Commission has identified </w:t>
      </w:r>
      <w:r w:rsidRPr="00A02B27">
        <w:t>4</w:t>
      </w:r>
      <w:r w:rsidRPr="006B052C">
        <w:t xml:space="preserve"> issues for consideration</w:t>
      </w:r>
      <w:r>
        <w:t>:</w:t>
      </w:r>
    </w:p>
    <w:p w14:paraId="2B33E011" w14:textId="673D283D" w:rsidR="002831A8" w:rsidRPr="0093093B" w:rsidRDefault="002831A8" w:rsidP="002831A8">
      <w:pPr>
        <w:pStyle w:val="CGC2025Bullet1"/>
      </w:pPr>
      <w:r>
        <w:t>w</w:t>
      </w:r>
      <w:r w:rsidRPr="00A02B27">
        <w:t>hether</w:t>
      </w:r>
      <w:r>
        <w:t>, and to what extent,</w:t>
      </w:r>
      <w:r w:rsidRPr="00A02B27">
        <w:t xml:space="preserve"> labour market changes challenge the conceptual basis for the </w:t>
      </w:r>
      <w:r>
        <w:t>wage</w:t>
      </w:r>
      <w:r w:rsidR="00BC0C95">
        <w:t xml:space="preserve"> cost</w:t>
      </w:r>
      <w:r>
        <w:t xml:space="preserve">s </w:t>
      </w:r>
      <w:proofErr w:type="gramStart"/>
      <w:r w:rsidRPr="00A02B27">
        <w:t>assessment</w:t>
      </w:r>
      <w:proofErr w:type="gramEnd"/>
      <w:r w:rsidRPr="00A02B27">
        <w:t xml:space="preserve"> </w:t>
      </w:r>
    </w:p>
    <w:p w14:paraId="0027C63E" w14:textId="6308FECF" w:rsidR="002831A8" w:rsidRPr="00A02B27" w:rsidRDefault="002831A8" w:rsidP="002831A8">
      <w:pPr>
        <w:pStyle w:val="CGC2025Bullet1"/>
      </w:pPr>
      <w:r>
        <w:t>whether the accuracy of the assessment can be improved</w:t>
      </w:r>
      <w:r w:rsidR="0034228F">
        <w:t>,</w:t>
      </w:r>
      <w:r>
        <w:t xml:space="preserve"> and volatility </w:t>
      </w:r>
      <w:proofErr w:type="gramStart"/>
      <w:r>
        <w:t>reduced</w:t>
      </w:r>
      <w:proofErr w:type="gramEnd"/>
    </w:p>
    <w:p w14:paraId="10ECF8BD" w14:textId="77777777" w:rsidR="002831A8" w:rsidRDefault="002831A8" w:rsidP="002831A8">
      <w:pPr>
        <w:pStyle w:val="CGC2025Bullet1"/>
      </w:pPr>
      <w:r w:rsidRPr="0093093B">
        <w:t>whether</w:t>
      </w:r>
      <w:r w:rsidRPr="00E650C2">
        <w:t xml:space="preserve"> changes </w:t>
      </w:r>
      <w:r>
        <w:t>to</w:t>
      </w:r>
      <w:r w:rsidRPr="00E650C2">
        <w:t xml:space="preserve"> </w:t>
      </w:r>
      <w:r>
        <w:t>data used in</w:t>
      </w:r>
      <w:r w:rsidRPr="00E650C2">
        <w:t xml:space="preserve"> the assessment </w:t>
      </w:r>
      <w:r>
        <w:t xml:space="preserve">would make it </w:t>
      </w:r>
      <w:r w:rsidRPr="0093093B">
        <w:t>more resilient to shocks</w:t>
      </w:r>
    </w:p>
    <w:p w14:paraId="6E0F37AF" w14:textId="38329945" w:rsidR="002831A8" w:rsidRPr="0093093B" w:rsidRDefault="002831A8" w:rsidP="002831A8">
      <w:pPr>
        <w:pStyle w:val="CGC2025Bullet1"/>
      </w:pPr>
      <w:r>
        <w:t>whether to continue to discount the wage</w:t>
      </w:r>
      <w:r w:rsidR="00BC0C95">
        <w:t xml:space="preserve"> cost</w:t>
      </w:r>
      <w:r>
        <w:t>s assessment.</w:t>
      </w:r>
    </w:p>
    <w:p w14:paraId="62CA4C65" w14:textId="7E530B36" w:rsidR="002831A8" w:rsidRPr="002831A8" w:rsidRDefault="002831A8" w:rsidP="002831A8">
      <w:pPr>
        <w:pStyle w:val="Heading3"/>
      </w:pPr>
      <w:bookmarkStart w:id="46" w:name="_Toc135750671"/>
      <w:bookmarkStart w:id="47" w:name="_Toc138158966"/>
      <w:bookmarkStart w:id="48" w:name="_Hlk129013174"/>
      <w:bookmarkEnd w:id="42"/>
      <w:bookmarkEnd w:id="43"/>
      <w:bookmarkEnd w:id="44"/>
      <w:bookmarkEnd w:id="45"/>
      <w:r w:rsidRPr="002831A8">
        <w:lastRenderedPageBreak/>
        <w:t>Changes in the labour market</w:t>
      </w:r>
      <w:bookmarkEnd w:id="46"/>
      <w:r w:rsidRPr="002831A8">
        <w:t xml:space="preserve"> and the conceptual basis for the wage</w:t>
      </w:r>
      <w:r w:rsidR="00BC0C95">
        <w:t xml:space="preserve"> cost</w:t>
      </w:r>
      <w:r w:rsidRPr="002831A8">
        <w:t>s assessment</w:t>
      </w:r>
      <w:bookmarkEnd w:id="47"/>
    </w:p>
    <w:bookmarkEnd w:id="48"/>
    <w:p w14:paraId="56B48A18" w14:textId="77777777" w:rsidR="002831A8" w:rsidRDefault="002831A8" w:rsidP="002831A8">
      <w:pPr>
        <w:pStyle w:val="CGC2025ParaNumbers"/>
      </w:pPr>
      <w:r>
        <w:t>While there have been considerable changes in Australian labour markets since the 2020 Review, the Commission has not identified any changes that undermine the conceptual basis of the wage costs assessment.</w:t>
      </w:r>
    </w:p>
    <w:p w14:paraId="67229515" w14:textId="77777777" w:rsidR="002831A8" w:rsidRDefault="002831A8" w:rsidP="002831A8">
      <w:pPr>
        <w:pStyle w:val="CGC2025ParaNumbers"/>
      </w:pPr>
      <w:r>
        <w:t>As an example, a general tightening of the labour market, including among occupations prevalent in the public sector, is likely to increase pressure on public sector wages. However, the Commission is not aware of any evidence that these effects will be felt more strongly in any state in a way that is not also reflected in that state’s private sector wages.</w:t>
      </w:r>
    </w:p>
    <w:p w14:paraId="34BE22B7" w14:textId="524C416D" w:rsidR="002831A8" w:rsidRPr="00D54244" w:rsidRDefault="002831A8" w:rsidP="002831A8">
      <w:pPr>
        <w:pStyle w:val="CGC2025ParaNumbers"/>
      </w:pPr>
      <w:r>
        <w:t>T</w:t>
      </w:r>
      <w:r w:rsidRPr="00D54244">
        <w:t>he Commission’s preliminary view</w:t>
      </w:r>
      <w:r w:rsidRPr="005F54B3">
        <w:t xml:space="preserve"> is that, notwithstanding the changes occurring in the labour market, the underlying conceptual basis </w:t>
      </w:r>
      <w:r w:rsidR="00ED00DD">
        <w:t>of</w:t>
      </w:r>
      <w:r w:rsidR="00ED00DD" w:rsidRPr="005F54B3">
        <w:t xml:space="preserve"> </w:t>
      </w:r>
      <w:r w:rsidRPr="005F54B3">
        <w:t>the wage</w:t>
      </w:r>
      <w:r w:rsidR="00BC0C95">
        <w:t xml:space="preserve"> cost</w:t>
      </w:r>
      <w:r w:rsidRPr="005F54B3">
        <w:t xml:space="preserve">s assessment remains sound. </w:t>
      </w:r>
    </w:p>
    <w:p w14:paraId="142B4888" w14:textId="72B73B5A" w:rsidR="00F41E2A" w:rsidRDefault="00F41E2A" w:rsidP="00F41E2A">
      <w:pPr>
        <w:pStyle w:val="Heading4"/>
      </w:pPr>
      <w:r>
        <w:t>Consultation question</w:t>
      </w:r>
    </w:p>
    <w:p w14:paraId="7F3BAA2B" w14:textId="08D1FF69" w:rsidR="0049687E" w:rsidRPr="002F190D" w:rsidRDefault="001923ED" w:rsidP="0049687E">
      <w:r w:rsidRPr="001C4DF3">
        <w:rPr>
          <w:noProof/>
        </w:rPr>
        <mc:AlternateContent>
          <mc:Choice Requires="wps">
            <w:drawing>
              <wp:inline distT="0" distB="0" distL="0" distR="0" wp14:anchorId="7B4026B3" wp14:editId="118196AC">
                <wp:extent cx="5648325" cy="615950"/>
                <wp:effectExtent l="0" t="0" r="9525" b="0"/>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615950"/>
                        </a:xfrm>
                        <a:prstGeom prst="rect">
                          <a:avLst/>
                        </a:prstGeom>
                        <a:solidFill>
                          <a:srgbClr val="EBF3F5"/>
                        </a:solidFill>
                        <a:ln w="25400" cap="flat" cmpd="sng" algn="ctr">
                          <a:noFill/>
                          <a:prstDash val="solid"/>
                        </a:ln>
                        <a:effectLst/>
                      </wps:spPr>
                      <wps:txbx>
                        <w:txbxContent>
                          <w:p w14:paraId="1786E022" w14:textId="4726AE0C" w:rsidR="00284B22" w:rsidRPr="002831A8" w:rsidRDefault="002831A8" w:rsidP="006656D9">
                            <w:pPr>
                              <w:pStyle w:val="CGC2025QuestionNumbers"/>
                            </w:pPr>
                            <w:r w:rsidRPr="002831A8">
                              <w:t>Do states agree that the underlying conceptual basis for the wage</w:t>
                            </w:r>
                            <w:r w:rsidR="00A210F3">
                              <w:t xml:space="preserve"> costs</w:t>
                            </w:r>
                            <w:r w:rsidRPr="002831A8">
                              <w:t xml:space="preserve"> assessment remains sound?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4026B3" id="Rectangle 23" o:spid="_x0000_s1029" alt="&quot;&quot;" style="width:444.75pt;height: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" fillcolor="#ebf3f5" stroked="f" strokeweight="2pt">
                <v:textbox>
                  <w:txbxContent>
                    <w:p w14:paraId="1786E022" w14:textId="4726AE0C" w:rsidR="00284B22" w:rsidRPr="002831A8" w:rsidRDefault="002831A8" w:rsidP="006656D9">
                      <w:pPr>
                        <w:pStyle w:val="CGC2025QuestionNumbers"/>
                      </w:pPr>
                      <w:r w:rsidRPr="002831A8">
                        <w:t>Do states agree that the underlying conceptual basis for the wage</w:t>
                      </w:r>
                      <w:r w:rsidR="00A210F3">
                        <w:t xml:space="preserve"> costs</w:t>
                      </w:r>
                      <w:r w:rsidRPr="002831A8">
                        <w:t xml:space="preserve"> assessment remains sound?</w:t>
                      </w:r>
                    </w:p>
                  </w:txbxContent>
                </v:textbox>
                <w10:anchorlock/>
              </v:rect>
            </w:pict>
          </mc:Fallback>
        </mc:AlternateContent>
      </w:r>
    </w:p>
    <w:p w14:paraId="7D2696DB" w14:textId="77777777" w:rsidR="006656D9" w:rsidRPr="006B052C" w:rsidRDefault="006656D9" w:rsidP="006656D9">
      <w:pPr>
        <w:pStyle w:val="Heading3"/>
      </w:pPr>
      <w:bookmarkStart w:id="49" w:name="_Toc135750672"/>
      <w:bookmarkStart w:id="50" w:name="_Toc138158967"/>
      <w:r>
        <w:t xml:space="preserve">Improving accuracy and </w:t>
      </w:r>
      <w:bookmarkEnd w:id="49"/>
      <w:r>
        <w:t>reducing volatility</w:t>
      </w:r>
      <w:bookmarkEnd w:id="50"/>
    </w:p>
    <w:p w14:paraId="5B3E7CA6" w14:textId="77777777" w:rsidR="006656D9" w:rsidRDefault="006656D9" w:rsidP="006656D9">
      <w:pPr>
        <w:pStyle w:val="CGC2025ParaNumbers"/>
      </w:pPr>
      <w:r>
        <w:t>Estimates of relative wage levels of states using the Characteristics of Employment surveys are volatile and imprecise due to the sampling error inherent in surveys.</w:t>
      </w:r>
    </w:p>
    <w:p w14:paraId="0740D50F" w14:textId="1529D10C" w:rsidR="006656D9" w:rsidRDefault="006656D9" w:rsidP="006656D9">
      <w:pPr>
        <w:pStyle w:val="CGC2025ParaNumbers"/>
      </w:pPr>
      <w:r>
        <w:t>Actual wages are relatively stable over time. The relative wage level of a state in previous years is a good indicator of the likely relative wage level in the current year. It is possible to effectively increase the sample size used in the wage</w:t>
      </w:r>
      <w:r w:rsidR="00BC0C95">
        <w:t xml:space="preserve"> cost</w:t>
      </w:r>
      <w:r>
        <w:t>s assessment by using results from surveys in other years. This would increase the accuracy and reduce the volatility of the assessment.</w:t>
      </w:r>
    </w:p>
    <w:p w14:paraId="5D3A5160" w14:textId="77777777" w:rsidR="006656D9" w:rsidRPr="004E04C8" w:rsidRDefault="006656D9" w:rsidP="006656D9">
      <w:pPr>
        <w:pStyle w:val="CGC2025ParaNumbers"/>
      </w:pPr>
      <w:r>
        <w:t>Annual estimates using the Characteristics of Employment surveys can be indexed using the wage price index to account for any differences in wage growth between the states, before being combined to produce an estimate for each assessment year.</w:t>
      </w:r>
    </w:p>
    <w:p w14:paraId="2150C12B" w14:textId="74492B89" w:rsidR="006656D9" w:rsidRPr="00A56292" w:rsidRDefault="006656D9" w:rsidP="006656D9">
      <w:pPr>
        <w:pStyle w:val="CGC2025ParaNumbers"/>
        <w:rPr>
          <w:rFonts w:eastAsia="Calibri" w:cs="Arial"/>
        </w:rPr>
      </w:pPr>
      <w:r>
        <w:rPr>
          <w:rFonts w:eastAsia="Calibri" w:cs="Arial"/>
        </w:rPr>
        <w:t xml:space="preserve">Annual estimates of relative state wage levels, with 95% confidence intervals, are shown in </w:t>
      </w:r>
      <w:r>
        <w:rPr>
          <w:rFonts w:eastAsia="Calibri" w:cs="Arial"/>
        </w:rPr>
        <w:fldChar w:fldCharType="begin"/>
      </w:r>
      <w:r>
        <w:rPr>
          <w:rFonts w:eastAsia="Calibri" w:cs="Arial"/>
        </w:rPr>
        <w:instrText xml:space="preserve"> REF _Ref131514896 \h  \* MERGEFORMAT </w:instrText>
      </w:r>
      <w:r>
        <w:rPr>
          <w:rFonts w:eastAsia="Calibri" w:cs="Arial"/>
        </w:rPr>
      </w:r>
      <w:r>
        <w:rPr>
          <w:rFonts w:eastAsia="Calibri" w:cs="Arial"/>
        </w:rPr>
        <w:fldChar w:fldCharType="separate"/>
      </w:r>
      <w:r w:rsidR="00BC30E2" w:rsidRPr="00BC30E2">
        <w:rPr>
          <w:rFonts w:eastAsia="Calibri" w:cs="Arial"/>
        </w:rPr>
        <w:t>Figure 2</w:t>
      </w:r>
      <w:r>
        <w:rPr>
          <w:rFonts w:eastAsia="Calibri" w:cs="Arial"/>
        </w:rPr>
        <w:fldChar w:fldCharType="end"/>
      </w:r>
      <w:r>
        <w:rPr>
          <w:rFonts w:eastAsia="Calibri" w:cs="Arial"/>
        </w:rPr>
        <w:t xml:space="preserve"> (survey estimates) and </w:t>
      </w:r>
      <w:r>
        <w:rPr>
          <w:rFonts w:eastAsia="Calibri" w:cs="Arial"/>
        </w:rPr>
        <w:fldChar w:fldCharType="begin"/>
      </w:r>
      <w:r>
        <w:rPr>
          <w:rFonts w:eastAsia="Calibri" w:cs="Arial"/>
        </w:rPr>
        <w:instrText xml:space="preserve"> REF _Ref131515128 \h  \* MERGEFORMAT </w:instrText>
      </w:r>
      <w:r>
        <w:rPr>
          <w:rFonts w:eastAsia="Calibri" w:cs="Arial"/>
        </w:rPr>
      </w:r>
      <w:r>
        <w:rPr>
          <w:rFonts w:eastAsia="Calibri" w:cs="Arial"/>
        </w:rPr>
        <w:fldChar w:fldCharType="separate"/>
      </w:r>
      <w:r w:rsidR="00BC30E2" w:rsidRPr="00BC30E2">
        <w:rPr>
          <w:rFonts w:eastAsia="Calibri" w:cs="Arial"/>
        </w:rPr>
        <w:t>Figure 3</w:t>
      </w:r>
      <w:r>
        <w:rPr>
          <w:rFonts w:eastAsia="Calibri" w:cs="Arial"/>
        </w:rPr>
        <w:fldChar w:fldCharType="end"/>
      </w:r>
      <w:r>
        <w:rPr>
          <w:rFonts w:eastAsia="Calibri" w:cs="Arial"/>
        </w:rPr>
        <w:t xml:space="preserve"> (combined estimates). These represent Commission estimates for relative state wages in the 2023 Update.</w:t>
      </w:r>
    </w:p>
    <w:p w14:paraId="320F5AAD" w14:textId="1899C890" w:rsidR="006656D9" w:rsidRPr="00270D1E" w:rsidRDefault="006656D9" w:rsidP="006656D9">
      <w:pPr>
        <w:pStyle w:val="CGC2025ParaNumbers"/>
        <w:rPr>
          <w:rFonts w:eastAsia="Calibri" w:cs="Arial"/>
        </w:rPr>
      </w:pPr>
      <w:r>
        <w:rPr>
          <w:rFonts w:eastAsia="Calibri" w:cs="Arial"/>
        </w:rPr>
        <w:t xml:space="preserve">Each annual estimate in </w:t>
      </w:r>
      <w:r>
        <w:rPr>
          <w:rFonts w:eastAsia="Calibri" w:cs="Arial"/>
        </w:rPr>
        <w:fldChar w:fldCharType="begin"/>
      </w:r>
      <w:r>
        <w:rPr>
          <w:rFonts w:eastAsia="Calibri" w:cs="Arial"/>
        </w:rPr>
        <w:instrText xml:space="preserve"> REF _Ref131515128 \h  \* MERGEFORMAT </w:instrText>
      </w:r>
      <w:r>
        <w:rPr>
          <w:rFonts w:eastAsia="Calibri" w:cs="Arial"/>
        </w:rPr>
      </w:r>
      <w:r>
        <w:rPr>
          <w:rFonts w:eastAsia="Calibri" w:cs="Arial"/>
        </w:rPr>
        <w:fldChar w:fldCharType="separate"/>
      </w:r>
      <w:r w:rsidR="00BC30E2" w:rsidRPr="00BC30E2">
        <w:rPr>
          <w:rFonts w:eastAsia="Calibri" w:cs="Arial"/>
        </w:rPr>
        <w:t>Figure 3</w:t>
      </w:r>
      <w:r>
        <w:rPr>
          <w:rFonts w:eastAsia="Calibri" w:cs="Arial"/>
        </w:rPr>
        <w:fldChar w:fldCharType="end"/>
      </w:r>
      <w:r>
        <w:rPr>
          <w:rFonts w:eastAsia="Calibri" w:cs="Arial"/>
        </w:rPr>
        <w:t xml:space="preserve"> uses the survey estimates from 7 years of data, from 2016</w:t>
      </w:r>
      <w:r w:rsidR="00A11350">
        <w:rPr>
          <w:rFonts w:eastAsia="Calibri" w:cs="Arial"/>
        </w:rPr>
        <w:t>–</w:t>
      </w:r>
      <w:r>
        <w:rPr>
          <w:rFonts w:eastAsia="Calibri" w:cs="Arial"/>
        </w:rPr>
        <w:t>17 to 2022</w:t>
      </w:r>
      <w:r w:rsidR="00EF47BD">
        <w:rPr>
          <w:rFonts w:eastAsia="Calibri" w:cs="Arial"/>
        </w:rPr>
        <w:t>–</w:t>
      </w:r>
      <w:r>
        <w:rPr>
          <w:rFonts w:eastAsia="Calibri" w:cs="Arial"/>
        </w:rPr>
        <w:t xml:space="preserve">23. Survey estimates are indexed using the wage price index and are given a lower weight the greater the time elapsed between the survey and the year being estimated. Survey estimates also have higher weights if the standard error for that estimate is lower. </w:t>
      </w:r>
    </w:p>
    <w:p w14:paraId="12166057" w14:textId="16EEC4BC" w:rsidR="006656D9" w:rsidRPr="001C50B8" w:rsidRDefault="006656D9" w:rsidP="006656D9">
      <w:pPr>
        <w:pStyle w:val="CGC2025ParaNumbers"/>
        <w:rPr>
          <w:rFonts w:eastAsia="Calibri" w:cs="Arial"/>
        </w:rPr>
      </w:pPr>
      <w:r w:rsidRPr="147A3774">
        <w:rPr>
          <w:rFonts w:eastAsia="Calibri" w:cs="Arial"/>
        </w:rPr>
        <w:lastRenderedPageBreak/>
        <w:t>This approach means later data can be incorporated into the Commission’s estimates. For example, ABS processing means that preliminary weighted estimates of the 2022</w:t>
      </w:r>
      <w:r w:rsidR="00614978">
        <w:rPr>
          <w:rFonts w:eastAsia="Calibri" w:cs="Arial"/>
        </w:rPr>
        <w:t>–</w:t>
      </w:r>
      <w:r w:rsidRPr="147A3774">
        <w:rPr>
          <w:rFonts w:eastAsia="Calibri" w:cs="Arial"/>
        </w:rPr>
        <w:t>23 relative wage levels (based on a survey run in August 2023) could have been used in estimating the factor for 2021</w:t>
      </w:r>
      <w:r w:rsidR="00614978">
        <w:rPr>
          <w:rFonts w:eastAsia="Calibri" w:cs="Arial"/>
        </w:rPr>
        <w:t>–</w:t>
      </w:r>
      <w:r w:rsidRPr="147A3774">
        <w:rPr>
          <w:rFonts w:eastAsia="Calibri" w:cs="Arial"/>
        </w:rPr>
        <w:t>22 and earlier assessment years in the 2023 Update. Under the current approach, th</w:t>
      </w:r>
      <w:r>
        <w:rPr>
          <w:rFonts w:eastAsia="Calibri" w:cs="Arial"/>
        </w:rPr>
        <w:t>ese</w:t>
      </w:r>
      <w:r w:rsidRPr="147A3774">
        <w:rPr>
          <w:rFonts w:eastAsia="Calibri" w:cs="Arial"/>
        </w:rPr>
        <w:t xml:space="preserve"> latest data </w:t>
      </w:r>
      <w:r>
        <w:rPr>
          <w:rFonts w:eastAsia="Calibri" w:cs="Arial"/>
        </w:rPr>
        <w:t xml:space="preserve">are </w:t>
      </w:r>
      <w:r w:rsidRPr="147A3774">
        <w:rPr>
          <w:rFonts w:eastAsia="Calibri" w:cs="Arial"/>
        </w:rPr>
        <w:t xml:space="preserve">not used until the following </w:t>
      </w:r>
      <w:r>
        <w:rPr>
          <w:rFonts w:eastAsia="Calibri" w:cs="Arial"/>
        </w:rPr>
        <w:t>update</w:t>
      </w:r>
      <w:r w:rsidRPr="147A3774">
        <w:rPr>
          <w:rFonts w:eastAsia="Calibri" w:cs="Arial"/>
        </w:rPr>
        <w:t>.</w:t>
      </w:r>
    </w:p>
    <w:p w14:paraId="7F7A93A3" w14:textId="5F1C88C8" w:rsidR="006656D9" w:rsidRPr="00644FEB" w:rsidRDefault="006656D9" w:rsidP="00644FEB">
      <w:pPr>
        <w:pStyle w:val="CGC2025ParaNumbers"/>
      </w:pPr>
      <w:r w:rsidRPr="00644FEB">
        <w:t xml:space="preserve">For a full description of the proposed method for combining indexed estimates, see </w:t>
      </w:r>
      <w:hyperlink w:anchor="B" w:history="1">
        <w:r w:rsidRPr="00644FEB">
          <w:rPr>
            <w:rStyle w:val="Hyperlink"/>
            <w:color w:val="auto"/>
            <w:u w:val="none"/>
          </w:rPr>
          <w:t>Attachment</w:t>
        </w:r>
        <w:r w:rsidR="004E3690" w:rsidRPr="00644FEB">
          <w:rPr>
            <w:rStyle w:val="Hyperlink"/>
            <w:color w:val="auto"/>
            <w:u w:val="none"/>
          </w:rPr>
          <w:t xml:space="preserve"> B</w:t>
        </w:r>
      </w:hyperlink>
      <w:r w:rsidRPr="00644FEB">
        <w:t xml:space="preserve">. </w:t>
      </w:r>
    </w:p>
    <w:p w14:paraId="2ED8A7BF" w14:textId="15F0178E" w:rsidR="000327E8" w:rsidRDefault="000327E8" w:rsidP="00D90161">
      <w:pPr>
        <w:pStyle w:val="CGC2025Caption"/>
        <w:keepNext/>
        <w:keepLines/>
        <w:ind w:left="1134" w:hanging="1134"/>
      </w:pPr>
      <w:bookmarkStart w:id="51" w:name="_Ref131514896"/>
      <w:bookmarkStart w:id="52" w:name="_Ref131514905"/>
      <w:r>
        <w:t xml:space="preserve">Figure </w:t>
      </w:r>
      <w:r>
        <w:fldChar w:fldCharType="begin"/>
      </w:r>
      <w:r>
        <w:instrText>SEQ Figure \* ARABIC</w:instrText>
      </w:r>
      <w:r>
        <w:fldChar w:fldCharType="separate"/>
      </w:r>
      <w:r w:rsidR="00BC30E2">
        <w:rPr>
          <w:noProof/>
        </w:rPr>
        <w:t>2</w:t>
      </w:r>
      <w:r>
        <w:fldChar w:fldCharType="end"/>
      </w:r>
      <w:bookmarkEnd w:id="51"/>
      <w:r>
        <w:t xml:space="preserve"> </w:t>
      </w:r>
      <w:r>
        <w:tab/>
        <w:t>Annual survey estimates of relative state wage levels</w:t>
      </w:r>
      <w:bookmarkEnd w:id="52"/>
      <w:r>
        <w:t xml:space="preserve">, 2020 Review </w:t>
      </w:r>
      <w:proofErr w:type="gramStart"/>
      <w:r>
        <w:t>methods</w:t>
      </w:r>
      <w:proofErr w:type="gramEnd"/>
    </w:p>
    <w:p w14:paraId="48A81953" w14:textId="77777777" w:rsidR="000327E8" w:rsidRDefault="000327E8" w:rsidP="000327E8">
      <w:pPr>
        <w:keepNext/>
        <w:keepLines/>
      </w:pPr>
      <w:r w:rsidRPr="004760B9">
        <w:rPr>
          <w:noProof/>
        </w:rPr>
        <w:drawing>
          <wp:inline distT="0" distB="0" distL="0" distR="0" wp14:anchorId="1093436B" wp14:editId="7C8E2344">
            <wp:extent cx="5688000" cy="3596400"/>
            <wp:effectExtent l="0" t="0" r="825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8000" cy="3596400"/>
                    </a:xfrm>
                    <a:prstGeom prst="rect">
                      <a:avLst/>
                    </a:prstGeom>
                    <a:noFill/>
                    <a:ln>
                      <a:noFill/>
                    </a:ln>
                  </pic:spPr>
                </pic:pic>
              </a:graphicData>
            </a:graphic>
          </wp:inline>
        </w:drawing>
      </w:r>
    </w:p>
    <w:p w14:paraId="73E0598E" w14:textId="5D246E4F" w:rsidR="000327E8" w:rsidRDefault="000327E8" w:rsidP="00C530D5">
      <w:pPr>
        <w:pStyle w:val="CGC2025TableNote"/>
        <w:ind w:left="668" w:hanging="555"/>
      </w:pPr>
      <w:r>
        <w:t>Notes:</w:t>
      </w:r>
      <w:r>
        <w:tab/>
      </w:r>
      <w:r w:rsidR="007B5122">
        <w:tab/>
      </w:r>
      <w:r>
        <w:t>Annual survey estimates using the methods outlined in the 2020 Review, the 2022 Update (new issues) and 2023 Update (new issues). Error bars show 95% confidence intervals.</w:t>
      </w:r>
    </w:p>
    <w:p w14:paraId="30DC8CDB" w14:textId="2A5561D4" w:rsidR="005A69CB" w:rsidRDefault="005A69CB" w:rsidP="00C530D5">
      <w:pPr>
        <w:pStyle w:val="CGC2025TableNote"/>
        <w:ind w:left="668" w:hanging="555"/>
      </w:pPr>
      <w:r>
        <w:t xml:space="preserve">Source: </w:t>
      </w:r>
      <w:r w:rsidR="00646AA7">
        <w:t>Commission calculation.</w:t>
      </w:r>
    </w:p>
    <w:p w14:paraId="00D8A15D" w14:textId="2B0ABFB2" w:rsidR="000327E8" w:rsidRDefault="000327E8" w:rsidP="0028442C">
      <w:pPr>
        <w:pStyle w:val="CGC2025Caption"/>
        <w:keepNext/>
        <w:keepLines/>
        <w:tabs>
          <w:tab w:val="left" w:pos="1134"/>
        </w:tabs>
      </w:pPr>
      <w:bookmarkStart w:id="53" w:name="_Ref131515128"/>
      <w:bookmarkStart w:id="54" w:name="_Ref132369986"/>
      <w:r>
        <w:lastRenderedPageBreak/>
        <w:t xml:space="preserve">Figure </w:t>
      </w:r>
      <w:r>
        <w:fldChar w:fldCharType="begin"/>
      </w:r>
      <w:r>
        <w:instrText>SEQ Figure \* ARABIC</w:instrText>
      </w:r>
      <w:r>
        <w:fldChar w:fldCharType="separate"/>
      </w:r>
      <w:r w:rsidR="00BC30E2">
        <w:rPr>
          <w:noProof/>
        </w:rPr>
        <w:t>3</w:t>
      </w:r>
      <w:r>
        <w:fldChar w:fldCharType="end"/>
      </w:r>
      <w:bookmarkEnd w:id="53"/>
      <w:r>
        <w:t xml:space="preserve"> </w:t>
      </w:r>
      <w:r>
        <w:tab/>
        <w:t>Annual combined estimates of relative state wage levels</w:t>
      </w:r>
      <w:bookmarkEnd w:id="54"/>
    </w:p>
    <w:p w14:paraId="11B31B2B" w14:textId="77777777" w:rsidR="000327E8" w:rsidRDefault="000327E8" w:rsidP="00E90472">
      <w:pPr>
        <w:keepNext/>
        <w:keepLines/>
      </w:pPr>
      <w:r w:rsidRPr="00D54D35">
        <w:rPr>
          <w:noProof/>
        </w:rPr>
        <w:drawing>
          <wp:inline distT="0" distB="0" distL="0" distR="0" wp14:anchorId="73EBE385" wp14:editId="3B8458A2">
            <wp:extent cx="5688000" cy="3592800"/>
            <wp:effectExtent l="0" t="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8000" cy="3592800"/>
                    </a:xfrm>
                    <a:prstGeom prst="rect">
                      <a:avLst/>
                    </a:prstGeom>
                    <a:noFill/>
                    <a:ln>
                      <a:noFill/>
                    </a:ln>
                  </pic:spPr>
                </pic:pic>
              </a:graphicData>
            </a:graphic>
          </wp:inline>
        </w:drawing>
      </w:r>
    </w:p>
    <w:p w14:paraId="1F2604CF" w14:textId="6DCD8558" w:rsidR="000327E8" w:rsidRDefault="000327E8" w:rsidP="00091A89">
      <w:pPr>
        <w:pStyle w:val="CGC2025TableNote"/>
        <w:ind w:left="680" w:hanging="567"/>
      </w:pPr>
      <w:r w:rsidRPr="000327E8">
        <w:t>Notes:</w:t>
      </w:r>
      <w:r w:rsidR="007B5122">
        <w:t xml:space="preserve"> </w:t>
      </w:r>
      <w:r w:rsidR="007B5122">
        <w:tab/>
      </w:r>
      <w:r w:rsidRPr="000327E8">
        <w:t>Annual combined estimates using fixed effects method to combine survey estimates from 2016</w:t>
      </w:r>
      <w:r w:rsidR="00417FB5">
        <w:t>–</w:t>
      </w:r>
      <w:r w:rsidRPr="000327E8">
        <w:t>17 to 2022</w:t>
      </w:r>
      <w:r w:rsidR="00417FB5">
        <w:t>–</w:t>
      </w:r>
      <w:r w:rsidRPr="000327E8">
        <w:t>23. Error bars show 95%</w:t>
      </w:r>
      <w:r w:rsidR="007B5122">
        <w:t xml:space="preserve"> </w:t>
      </w:r>
      <w:r w:rsidRPr="000327E8">
        <w:t>confidence intervals.</w:t>
      </w:r>
    </w:p>
    <w:p w14:paraId="3B6995AB" w14:textId="16FDF402" w:rsidR="00646AA7" w:rsidRPr="000327E8" w:rsidRDefault="00646AA7" w:rsidP="00091A89">
      <w:pPr>
        <w:pStyle w:val="CGC2025TableNote"/>
        <w:ind w:left="680" w:hanging="567"/>
      </w:pPr>
      <w:r>
        <w:t>Source: Commission calculation.</w:t>
      </w:r>
    </w:p>
    <w:p w14:paraId="16319337" w14:textId="5D4B1D59" w:rsidR="006656D9" w:rsidRPr="004B0FA7" w:rsidRDefault="006656D9" w:rsidP="006656D9">
      <w:pPr>
        <w:pStyle w:val="CGC2025ParaNumbers"/>
      </w:pPr>
      <w:r w:rsidRPr="147A3774">
        <w:t xml:space="preserve">Each annual estimate in </w:t>
      </w:r>
      <w:r w:rsidRPr="147A3774">
        <w:fldChar w:fldCharType="begin"/>
      </w:r>
      <w:r w:rsidRPr="147A3774">
        <w:instrText xml:space="preserve"> REF _Ref131515128 \h  \* MERGEFORMAT </w:instrText>
      </w:r>
      <w:r w:rsidRPr="147A3774">
        <w:fldChar w:fldCharType="separate"/>
      </w:r>
      <w:r w:rsidR="00BC30E2">
        <w:t>Figure 3</w:t>
      </w:r>
      <w:r w:rsidRPr="147A3774">
        <w:fldChar w:fldCharType="end"/>
      </w:r>
      <w:r w:rsidRPr="147A3774">
        <w:t xml:space="preserve"> uses all the available survey estimates, including those </w:t>
      </w:r>
      <w:r>
        <w:t>generated by data from later than the assessment year to which they are applied</w:t>
      </w:r>
      <w:r w:rsidRPr="147A3774">
        <w:t>. In the 2023 Update, the 2020</w:t>
      </w:r>
      <w:r w:rsidR="005C147D">
        <w:t>–</w:t>
      </w:r>
      <w:r w:rsidRPr="147A3774">
        <w:t>21 estimate would have been based on survey data from 2015</w:t>
      </w:r>
      <w:r w:rsidR="005C147D">
        <w:t>–</w:t>
      </w:r>
      <w:r w:rsidRPr="147A3774">
        <w:t>16 to 2021</w:t>
      </w:r>
      <w:r w:rsidR="005C147D">
        <w:t>–</w:t>
      </w:r>
      <w:r w:rsidRPr="147A3774">
        <w:t>22. In the 2024 Update, the 2022</w:t>
      </w:r>
      <w:r w:rsidR="005C147D">
        <w:t>–</w:t>
      </w:r>
      <w:r w:rsidRPr="147A3774">
        <w:t>23 survey would also contribute. This means the</w:t>
      </w:r>
      <w:r w:rsidRPr="147A3774" w:rsidDel="0098306A">
        <w:t xml:space="preserve"> </w:t>
      </w:r>
      <w:r w:rsidRPr="147A3774">
        <w:t xml:space="preserve">wage costs assessment would include revisions. </w:t>
      </w:r>
    </w:p>
    <w:p w14:paraId="06E96785" w14:textId="77777777" w:rsidR="006656D9" w:rsidRPr="00052895" w:rsidRDefault="006656D9" w:rsidP="006656D9">
      <w:pPr>
        <w:pStyle w:val="CGC2025ParaNumbers"/>
      </w:pPr>
      <w:r>
        <w:t>Using only data from current and previous years to generate estimates for each assessment year</w:t>
      </w:r>
      <w:r w:rsidRPr="147A3774">
        <w:t xml:space="preserve"> would remove the</w:t>
      </w:r>
      <w:r>
        <w:t xml:space="preserve"> prospect of </w:t>
      </w:r>
      <w:r w:rsidRPr="147A3774">
        <w:t xml:space="preserve">revisions. However, it would also reduce the reliability of the assessment by not using all available data. </w:t>
      </w:r>
    </w:p>
    <w:p w14:paraId="4335182E" w14:textId="77777777" w:rsidR="006656D9" w:rsidRPr="00D860F5" w:rsidRDefault="006656D9" w:rsidP="006656D9">
      <w:pPr>
        <w:pStyle w:val="CGC2025ParaNumbers"/>
      </w:pPr>
      <w:r w:rsidRPr="65B4D8CF">
        <w:t xml:space="preserve">In the 3 updates between the 2020 Review and the 2023 Update, the wage costs assessment led to a change in GST of more than $50 per capita for a state in 8 instances, including 3 changes of more than $100 per capita. Under the proposed approach, there would have been 4 changes of more than $50 per capita and none of more than $100. As the number of surveys contributing to this approach increases, this volatility is expected to reduce further. </w:t>
      </w:r>
    </w:p>
    <w:p w14:paraId="5C752C4E" w14:textId="311B247C" w:rsidR="006656D9" w:rsidRDefault="006656D9" w:rsidP="006656D9">
      <w:pPr>
        <w:pStyle w:val="CGC2025ParaNumbers"/>
      </w:pPr>
      <w:r w:rsidRPr="32E8256F">
        <w:t>The Commission’s preliminary view is to estimate wage costs using survey results from all years since 2016</w:t>
      </w:r>
      <w:r w:rsidR="004824F4">
        <w:t>–</w:t>
      </w:r>
      <w:r w:rsidRPr="32E8256F">
        <w:t>17, and to revise assessment year data as more data become available.</w:t>
      </w:r>
    </w:p>
    <w:p w14:paraId="377A2EC0" w14:textId="07C8FC0A" w:rsidR="006656D9" w:rsidRDefault="006656D9" w:rsidP="006656D9">
      <w:pPr>
        <w:pStyle w:val="Heading4"/>
      </w:pPr>
      <w:r>
        <w:lastRenderedPageBreak/>
        <w:t>Consultation question</w:t>
      </w:r>
    </w:p>
    <w:p w14:paraId="60D58B9E" w14:textId="4A23A782" w:rsidR="003E458E" w:rsidRPr="003E458E" w:rsidRDefault="003E458E" w:rsidP="00ED668B">
      <w:r w:rsidRPr="001C4DF3">
        <w:rPr>
          <w:noProof/>
        </w:rPr>
        <mc:AlternateContent>
          <mc:Choice Requires="wps">
            <w:drawing>
              <wp:inline distT="0" distB="0" distL="0" distR="0" wp14:anchorId="54DE11E6" wp14:editId="66617F11">
                <wp:extent cx="5648325" cy="747422"/>
                <wp:effectExtent l="0" t="0" r="9525" b="1905"/>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747422"/>
                        </a:xfrm>
                        <a:prstGeom prst="rect">
                          <a:avLst/>
                        </a:prstGeom>
                        <a:solidFill>
                          <a:srgbClr val="EBF3F5"/>
                        </a:solidFill>
                        <a:ln w="25400" cap="flat" cmpd="sng" algn="ctr">
                          <a:noFill/>
                          <a:prstDash val="solid"/>
                        </a:ln>
                        <a:effectLst/>
                      </wps:spPr>
                      <wps:txbx>
                        <w:txbxContent>
                          <w:p w14:paraId="7B5A16A5" w14:textId="77777777" w:rsidR="003E458E" w:rsidRPr="003E458E" w:rsidRDefault="003E458E" w:rsidP="003E458E">
                            <w:pPr>
                              <w:pStyle w:val="CGC2025QuestionNumbers"/>
                            </w:pPr>
                            <w:r w:rsidRPr="003E458E">
                              <w:t>Do states agree with the proposed approach to combine estimates of relative differences in states’ wages across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DE11E6" id="Rectangle 6" o:spid="_x0000_s1030" alt="&quot;&quot;" style="width:444.75pt;height:5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" fillcolor="#ebf3f5" stroked="f" strokeweight="2pt">
                <v:textbox>
                  <w:txbxContent>
                    <w:p w14:paraId="7B5A16A5" w14:textId="77777777" w:rsidR="003E458E" w:rsidRPr="003E458E" w:rsidRDefault="003E458E" w:rsidP="003E458E">
                      <w:pPr>
                        <w:pStyle w:val="CGC2025QuestionNumbers"/>
                      </w:pPr>
                      <w:r w:rsidRPr="003E458E">
                        <w:t>Do states agree with the proposed approach to combine estimates of relative differences in states’ wages across years?</w:t>
                      </w:r>
                    </w:p>
                  </w:txbxContent>
                </v:textbox>
                <w10:anchorlock/>
              </v:rect>
            </w:pict>
          </mc:Fallback>
        </mc:AlternateContent>
      </w:r>
    </w:p>
    <w:p w14:paraId="7E0B4587" w14:textId="221FFF4F" w:rsidR="006656D9" w:rsidRDefault="006656D9" w:rsidP="006656D9">
      <w:pPr>
        <w:pStyle w:val="Heading3"/>
      </w:pPr>
      <w:bookmarkStart w:id="55" w:name="_Toc135750673"/>
      <w:bookmarkStart w:id="56" w:name="_Toc138158968"/>
      <w:bookmarkStart w:id="57" w:name="_Toc121741490"/>
      <w:bookmarkStart w:id="58" w:name="_Toc127428359"/>
      <w:bookmarkStart w:id="59" w:name="_Toc132729113"/>
      <w:bookmarkStart w:id="60" w:name="_Toc133236154"/>
      <w:bookmarkStart w:id="61" w:name="_Toc133236180"/>
      <w:r>
        <w:t>Increasing the resilience of the wage</w:t>
      </w:r>
      <w:r w:rsidR="00BC0C95">
        <w:t xml:space="preserve"> cost</w:t>
      </w:r>
      <w:r>
        <w:t xml:space="preserve">s assessment to shocks and other </w:t>
      </w:r>
      <w:r w:rsidR="00D572E6">
        <w:t xml:space="preserve">method </w:t>
      </w:r>
      <w:r>
        <w:t>improvements</w:t>
      </w:r>
      <w:bookmarkEnd w:id="55"/>
      <w:bookmarkEnd w:id="56"/>
    </w:p>
    <w:p w14:paraId="5A27328F" w14:textId="77777777" w:rsidR="006656D9" w:rsidRDefault="006656D9" w:rsidP="006656D9">
      <w:pPr>
        <w:pStyle w:val="CGC2025ParaNumbers"/>
      </w:pPr>
      <w:r>
        <w:t xml:space="preserve">The effect of lockdowns on state specific labour markets highlighted a potential bias with the 2020 model and its ability to deal with temporary shocks. Using paid hours rather than usual hours, as per the 2023 Update, does mitigate this. </w:t>
      </w:r>
    </w:p>
    <w:p w14:paraId="2CCB8B1E" w14:textId="0590653A" w:rsidR="006656D9" w:rsidRDefault="006656D9" w:rsidP="006656D9">
      <w:pPr>
        <w:pStyle w:val="CGC2025ParaNumbers"/>
      </w:pPr>
      <w:r w:rsidRPr="00335DBC">
        <w:t xml:space="preserve">While that adjustment significantly reduced the bias in the model, </w:t>
      </w:r>
      <w:r>
        <w:t xml:space="preserve">a </w:t>
      </w:r>
      <w:r w:rsidRPr="00335DBC">
        <w:t>model predicting hourly wage rather than weekly wage would eliminate</w:t>
      </w:r>
      <w:r w:rsidRPr="00335DBC" w:rsidDel="00FC22C6">
        <w:t xml:space="preserve"> </w:t>
      </w:r>
      <w:r w:rsidRPr="00335DBC">
        <w:t xml:space="preserve">sensitivity </w:t>
      </w:r>
      <w:r>
        <w:t xml:space="preserve">of wage estimates </w:t>
      </w:r>
      <w:r w:rsidRPr="00335DBC">
        <w:t>to short</w:t>
      </w:r>
      <w:r w:rsidR="00D612FF">
        <w:t>-</w:t>
      </w:r>
      <w:r w:rsidRPr="00335DBC">
        <w:t>term changes in hours worked. Retaining additional variables related to usual and paid hours as well would better reflect the complex relationship between hours worked and pay.</w:t>
      </w:r>
    </w:p>
    <w:p w14:paraId="2AC17160" w14:textId="2AF88616" w:rsidR="006656D9" w:rsidRDefault="006656D9" w:rsidP="006656D9">
      <w:pPr>
        <w:pStyle w:val="CGC2025ParaNumbers"/>
      </w:pPr>
      <w:r>
        <w:t xml:space="preserve">Since the 2020 Review, the ABS has provided access to the data underlying the Commission’s model. This has enabled the Commission to thoroughly review the detailed specifications in a way that was not possible in previous reviews. </w:t>
      </w:r>
      <w:proofErr w:type="gramStart"/>
      <w:r>
        <w:t>In light of</w:t>
      </w:r>
      <w:proofErr w:type="gramEnd"/>
      <w:r>
        <w:t xml:space="preserve"> this opportunity, and the need to remedy the way hours of work are captured in the model, the Commission has reviewed all the coefficients specified in the model.</w:t>
      </w:r>
    </w:p>
    <w:p w14:paraId="4E502408" w14:textId="603F8986" w:rsidR="006656D9" w:rsidRDefault="006656D9" w:rsidP="006656D9">
      <w:pPr>
        <w:pStyle w:val="Heading4"/>
      </w:pPr>
      <w:r>
        <w:t>Estimat</w:t>
      </w:r>
      <w:r w:rsidR="00A237D4">
        <w:t>ing</w:t>
      </w:r>
      <w:r>
        <w:t xml:space="preserve"> hourly rather than weekly wages</w:t>
      </w:r>
    </w:p>
    <w:p w14:paraId="73831DF8" w14:textId="162A1D1A" w:rsidR="006656D9" w:rsidRDefault="006656D9" w:rsidP="006656D9">
      <w:pPr>
        <w:pStyle w:val="CGC2025ParaNumbers"/>
      </w:pPr>
      <w:r>
        <w:t xml:space="preserve">The correlation between hours worked and weekly earnings can be </w:t>
      </w:r>
      <w:r w:rsidR="007304C4">
        <w:t xml:space="preserve">separated </w:t>
      </w:r>
      <w:r>
        <w:t>into 2 effects:</w:t>
      </w:r>
    </w:p>
    <w:p w14:paraId="0821B5D9" w14:textId="77777777" w:rsidR="006656D9" w:rsidRDefault="006656D9" w:rsidP="006656D9">
      <w:pPr>
        <w:pStyle w:val="CGC2025Bullet1"/>
      </w:pPr>
      <w:r>
        <w:t>Working for an additional hour earns an additional hour’s pay. In this way, hours worked directly affects weekly pay at a constant hourly wage rate.</w:t>
      </w:r>
    </w:p>
    <w:p w14:paraId="1049F7F6" w14:textId="77777777" w:rsidR="006656D9" w:rsidRDefault="006656D9" w:rsidP="006656D9">
      <w:pPr>
        <w:pStyle w:val="CGC2025Bullet1"/>
      </w:pPr>
      <w:r>
        <w:t>Working more hours reflects individual or job-related characteristics likely to affect pay, such as the number of hours of experience in a position, or an implicit expectation to regularly work unpaid overtime. These indirect effects are above and beyond the direct effect and will affect hourly pay.</w:t>
      </w:r>
    </w:p>
    <w:p w14:paraId="00BA5FB4" w14:textId="5AB01726" w:rsidR="006656D9" w:rsidRDefault="006656D9" w:rsidP="006656D9">
      <w:pPr>
        <w:pStyle w:val="CGC2025ParaNumbers"/>
      </w:pPr>
      <w:r>
        <w:t>The change to a model predicting log of hourly wages, instead of log of weekly wages, will capture the direct effect. The indirect effect is complex, with both usual hours and paid hours having strong, separate</w:t>
      </w:r>
      <w:r w:rsidR="0037667D">
        <w:t>,</w:t>
      </w:r>
      <w:r>
        <w:t xml:space="preserve"> and non-linear relations. The proposed model specified in </w:t>
      </w:r>
      <w:r>
        <w:fldChar w:fldCharType="begin"/>
      </w:r>
      <w:r>
        <w:instrText xml:space="preserve"> REF _Ref135750761 \h  \* MERGEFORMAT </w:instrText>
      </w:r>
      <w:r>
        <w:fldChar w:fldCharType="separate"/>
      </w:r>
      <w:r w:rsidR="00BC30E2">
        <w:t xml:space="preserve">Table </w:t>
      </w:r>
      <w:r w:rsidR="00BC30E2">
        <w:rPr>
          <w:noProof/>
        </w:rPr>
        <w:t>4</w:t>
      </w:r>
      <w:r>
        <w:fldChar w:fldCharType="end"/>
      </w:r>
      <w:r>
        <w:t xml:space="preserve"> </w:t>
      </w:r>
      <w:r w:rsidDel="006E358B">
        <w:t xml:space="preserve">better reflects this relationship </w:t>
      </w:r>
      <w:r>
        <w:t xml:space="preserve">(the R squared </w:t>
      </w:r>
      <w:r w:rsidR="00032500">
        <w:t xml:space="preserve">value </w:t>
      </w:r>
      <w:r>
        <w:t>increases considerably) and does not have arbitrary breaks between those working 15</w:t>
      </w:r>
      <w:r w:rsidR="00120A41">
        <w:t> </w:t>
      </w:r>
      <w:r>
        <w:t xml:space="preserve">and 16 hours or between 59 and 60 hours. </w:t>
      </w:r>
    </w:p>
    <w:p w14:paraId="08F62CDF" w14:textId="54249992" w:rsidR="006656D9" w:rsidRDefault="006656D9" w:rsidP="006656D9">
      <w:pPr>
        <w:pStyle w:val="CGC2025ParaNumbers"/>
      </w:pPr>
      <w:r>
        <w:t xml:space="preserve">There is a strong conceptual case that </w:t>
      </w:r>
      <w:r w:rsidR="00142BFE">
        <w:t xml:space="preserve">both hours </w:t>
      </w:r>
      <w:r>
        <w:t>variables have a</w:t>
      </w:r>
      <w:r w:rsidR="00142BFE">
        <w:t>n independent</w:t>
      </w:r>
      <w:r>
        <w:t xml:space="preserve"> relationship to wages. Working longer usual hours increases hourly pay, with diminishing marginal returns. This is consistent with both some acknowledgement of unpaid overtime in people’s pay as well as more shifts offered to more valuable </w:t>
      </w:r>
      <w:r>
        <w:lastRenderedPageBreak/>
        <w:t>workers. Increased paid hours decreases hourly pay at a decreasing rate. This could reflect that people who work a penalty rate shift tend to work fewer hours than those working standard</w:t>
      </w:r>
      <w:r w:rsidR="007F0A66">
        <w:t>-</w:t>
      </w:r>
      <w:r>
        <w:t xml:space="preserve">work weeks. </w:t>
      </w:r>
    </w:p>
    <w:p w14:paraId="67242E7E" w14:textId="39206D53" w:rsidR="006656D9" w:rsidRDefault="006656D9" w:rsidP="006656D9">
      <w:pPr>
        <w:pStyle w:val="CGC2025ParaNumbers"/>
      </w:pPr>
      <w:r>
        <w:t>In periods of economic shock, including lockdowns, paid hours can differ significantly from usual hours. Allowing for the complex relationship between these related concepts should maximise the capacity of the wage</w:t>
      </w:r>
      <w:r w:rsidR="00BC0C95">
        <w:t xml:space="preserve"> cost</w:t>
      </w:r>
      <w:r>
        <w:t xml:space="preserve">s assessment to reliably estimate unbiased state wage differentials. </w:t>
      </w:r>
    </w:p>
    <w:p w14:paraId="6F377C68" w14:textId="252C7CB3" w:rsidR="006656D9" w:rsidRDefault="006656D9" w:rsidP="006656D9">
      <w:pPr>
        <w:pStyle w:val="CGC2025ParaNumbers"/>
      </w:pPr>
      <w:r>
        <w:t xml:space="preserve">The Commission’s preliminary view is to use hourly rather than weekly wages as the dependent variable, and to use both hours paid and usual hours worked as explanatory variables, as shown in </w:t>
      </w:r>
      <w:r w:rsidRPr="00644FEB">
        <w:fldChar w:fldCharType="begin"/>
      </w:r>
      <w:r w:rsidRPr="00644FEB">
        <w:instrText xml:space="preserve"> REF _Ref135750761 \h  \* MERGEFORMAT </w:instrText>
      </w:r>
      <w:r w:rsidRPr="00644FEB">
        <w:fldChar w:fldCharType="separate"/>
      </w:r>
      <w:r w:rsidR="00BC30E2">
        <w:t>Table 4</w:t>
      </w:r>
      <w:r w:rsidRPr="00644FEB">
        <w:fldChar w:fldCharType="end"/>
      </w:r>
      <w:r w:rsidRPr="00644FEB">
        <w:t xml:space="preserve">. </w:t>
      </w:r>
      <w:hyperlink w:anchor="C" w:history="1">
        <w:r w:rsidRPr="00644FEB">
          <w:t>Attachment C</w:t>
        </w:r>
      </w:hyperlink>
      <w:r w:rsidRPr="00644FEB">
        <w:t xml:space="preserve"> des</w:t>
      </w:r>
      <w:r>
        <w:t>cribes the model in more detail.</w:t>
      </w:r>
    </w:p>
    <w:p w14:paraId="24190F88" w14:textId="144FA8E5" w:rsidR="00E90472" w:rsidRDefault="00E90472" w:rsidP="0028442C">
      <w:pPr>
        <w:pStyle w:val="CGC2025Caption"/>
        <w:tabs>
          <w:tab w:val="left" w:pos="1134"/>
        </w:tabs>
      </w:pPr>
      <w:bookmarkStart w:id="62" w:name="_Ref135750761"/>
      <w:bookmarkStart w:id="63" w:name="_Ref135750756"/>
      <w:r>
        <w:t xml:space="preserve">Table </w:t>
      </w:r>
      <w:r>
        <w:fldChar w:fldCharType="begin"/>
      </w:r>
      <w:r>
        <w:instrText>SEQ Table \* ARABIC</w:instrText>
      </w:r>
      <w:r>
        <w:fldChar w:fldCharType="separate"/>
      </w:r>
      <w:r w:rsidR="00BC30E2">
        <w:rPr>
          <w:noProof/>
        </w:rPr>
        <w:t>4</w:t>
      </w:r>
      <w:r>
        <w:fldChar w:fldCharType="end"/>
      </w:r>
      <w:bookmarkEnd w:id="62"/>
      <w:r>
        <w:tab/>
        <w:t>Proposed changes to specification of hours in the model</w:t>
      </w:r>
      <w:bookmarkEnd w:id="63"/>
    </w:p>
    <w:tbl>
      <w:tblPr>
        <w:tblW w:w="8902" w:type="dxa"/>
        <w:tblLook w:val="04A0" w:firstRow="1" w:lastRow="0" w:firstColumn="1" w:lastColumn="0" w:noHBand="0" w:noVBand="1"/>
      </w:tblPr>
      <w:tblGrid>
        <w:gridCol w:w="2540"/>
        <w:gridCol w:w="3629"/>
        <w:gridCol w:w="2733"/>
      </w:tblGrid>
      <w:tr w:rsidR="00E90472" w:rsidRPr="00B516BD" w14:paraId="6281F919" w14:textId="77777777" w:rsidTr="002B38EB">
        <w:trPr>
          <w:trHeight w:val="315"/>
        </w:trPr>
        <w:tc>
          <w:tcPr>
            <w:tcW w:w="2380" w:type="dxa"/>
            <w:tcBorders>
              <w:top w:val="nil"/>
              <w:left w:val="nil"/>
              <w:bottom w:val="nil"/>
              <w:right w:val="nil"/>
            </w:tcBorders>
            <w:shd w:val="clear" w:color="000000" w:fill="006991"/>
            <w:vAlign w:val="center"/>
            <w:hideMark/>
          </w:tcPr>
          <w:p w14:paraId="70759BE3" w14:textId="77777777" w:rsidR="00E90472" w:rsidRPr="00021A85" w:rsidRDefault="00E90472" w:rsidP="002B38E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21A85">
              <w:rPr>
                <w:rFonts w:ascii="Open Sans Semibold" w:eastAsia="Times New Roman" w:hAnsi="Open Sans Semibold" w:cs="Open Sans Semibold"/>
                <w:color w:val="FFFFFF"/>
                <w:sz w:val="16"/>
                <w:szCs w:val="16"/>
                <w:lang w:eastAsia="en-AU"/>
              </w:rPr>
              <w:t> </w:t>
            </w:r>
          </w:p>
        </w:tc>
        <w:tc>
          <w:tcPr>
            <w:tcW w:w="3400" w:type="dxa"/>
            <w:tcBorders>
              <w:top w:val="nil"/>
              <w:left w:val="nil"/>
              <w:bottom w:val="nil"/>
              <w:right w:val="nil"/>
            </w:tcBorders>
            <w:shd w:val="clear" w:color="000000" w:fill="006991"/>
            <w:vAlign w:val="center"/>
            <w:hideMark/>
          </w:tcPr>
          <w:p w14:paraId="6AEA383E" w14:textId="77777777" w:rsidR="00E90472" w:rsidRPr="00021A85" w:rsidRDefault="00E90472" w:rsidP="002B38E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21A85">
              <w:rPr>
                <w:rFonts w:ascii="Open Sans Semibold" w:eastAsia="Times New Roman" w:hAnsi="Open Sans Semibold" w:cs="Open Sans Semibold"/>
                <w:color w:val="FFFFFF"/>
                <w:sz w:val="16"/>
                <w:szCs w:val="16"/>
                <w:lang w:eastAsia="en-AU"/>
              </w:rPr>
              <w:t>R2020</w:t>
            </w:r>
          </w:p>
        </w:tc>
        <w:tc>
          <w:tcPr>
            <w:tcW w:w="2560" w:type="dxa"/>
            <w:tcBorders>
              <w:top w:val="nil"/>
              <w:left w:val="nil"/>
              <w:bottom w:val="nil"/>
              <w:right w:val="nil"/>
            </w:tcBorders>
            <w:shd w:val="clear" w:color="000000" w:fill="006991"/>
            <w:vAlign w:val="center"/>
            <w:hideMark/>
          </w:tcPr>
          <w:p w14:paraId="367C8834" w14:textId="77777777" w:rsidR="00E90472" w:rsidRPr="00021A85" w:rsidRDefault="00E90472" w:rsidP="002B38E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21A85">
              <w:rPr>
                <w:rFonts w:ascii="Open Sans Semibold" w:eastAsia="Times New Roman" w:hAnsi="Open Sans Semibold" w:cs="Open Sans Semibold"/>
                <w:color w:val="FFFFFF"/>
                <w:sz w:val="16"/>
                <w:szCs w:val="16"/>
                <w:lang w:eastAsia="en-AU"/>
              </w:rPr>
              <w:t>Proposed</w:t>
            </w:r>
          </w:p>
        </w:tc>
      </w:tr>
      <w:tr w:rsidR="00E90472" w:rsidRPr="00B516BD" w14:paraId="13E385D7" w14:textId="77777777" w:rsidTr="002B38EB">
        <w:trPr>
          <w:trHeight w:val="315"/>
        </w:trPr>
        <w:tc>
          <w:tcPr>
            <w:tcW w:w="2380" w:type="dxa"/>
            <w:tcBorders>
              <w:top w:val="single" w:sz="4" w:space="0" w:color="ADD6EA"/>
              <w:left w:val="nil"/>
              <w:bottom w:val="nil"/>
              <w:right w:val="nil"/>
            </w:tcBorders>
            <w:shd w:val="clear" w:color="auto" w:fill="auto"/>
            <w:vAlign w:val="bottom"/>
            <w:hideMark/>
          </w:tcPr>
          <w:p w14:paraId="2F3E157D" w14:textId="77777777" w:rsidR="00E90472" w:rsidRPr="00021A85" w:rsidRDefault="00E90472" w:rsidP="002B38EB">
            <w:pPr>
              <w:keepNext/>
              <w:keepLines/>
              <w:tabs>
                <w:tab w:val="clear" w:pos="567"/>
              </w:tabs>
              <w:spacing w:before="0" w:line="240" w:lineRule="auto"/>
              <w:rPr>
                <w:rFonts w:eastAsia="Times New Roman" w:cs="Open Sans Light"/>
                <w:b/>
                <w:bCs/>
                <w:color w:val="000000"/>
                <w:sz w:val="16"/>
                <w:szCs w:val="16"/>
                <w:lang w:eastAsia="en-AU"/>
              </w:rPr>
            </w:pPr>
            <w:r w:rsidRPr="00021A85">
              <w:rPr>
                <w:rFonts w:eastAsia="Times New Roman" w:cs="Open Sans Light"/>
                <w:b/>
                <w:bCs/>
                <w:color w:val="000000"/>
                <w:sz w:val="16"/>
                <w:szCs w:val="16"/>
                <w:lang w:eastAsia="en-AU"/>
              </w:rPr>
              <w:t>Dependent variable</w:t>
            </w:r>
          </w:p>
        </w:tc>
        <w:tc>
          <w:tcPr>
            <w:tcW w:w="3400" w:type="dxa"/>
            <w:tcBorders>
              <w:top w:val="single" w:sz="4" w:space="0" w:color="ADD6EA"/>
              <w:left w:val="nil"/>
              <w:bottom w:val="nil"/>
              <w:right w:val="nil"/>
            </w:tcBorders>
            <w:shd w:val="clear" w:color="auto" w:fill="auto"/>
            <w:noWrap/>
            <w:vAlign w:val="bottom"/>
            <w:hideMark/>
          </w:tcPr>
          <w:p w14:paraId="7BCB3B57" w14:textId="77777777" w:rsidR="00E90472" w:rsidRPr="00021A85" w:rsidRDefault="00E90472" w:rsidP="002B38EB">
            <w:pPr>
              <w:keepNext/>
              <w:keepLines/>
              <w:tabs>
                <w:tab w:val="clear" w:pos="567"/>
              </w:tabs>
              <w:spacing w:before="0" w:line="240" w:lineRule="auto"/>
              <w:jc w:val="right"/>
              <w:rPr>
                <w:rFonts w:eastAsia="Times New Roman" w:cs="Open Sans Light"/>
                <w:color w:val="000000"/>
                <w:sz w:val="16"/>
                <w:szCs w:val="16"/>
                <w:lang w:eastAsia="en-AU"/>
              </w:rPr>
            </w:pPr>
            <w:r w:rsidRPr="00021A85">
              <w:rPr>
                <w:rFonts w:eastAsia="Times New Roman" w:cs="Open Sans Light"/>
                <w:color w:val="000000"/>
                <w:sz w:val="16"/>
                <w:szCs w:val="16"/>
                <w:lang w:eastAsia="en-AU"/>
              </w:rPr>
              <w:t>Log of weekly wage</w:t>
            </w:r>
          </w:p>
        </w:tc>
        <w:tc>
          <w:tcPr>
            <w:tcW w:w="2560" w:type="dxa"/>
            <w:tcBorders>
              <w:top w:val="single" w:sz="4" w:space="0" w:color="ADD6EA"/>
              <w:left w:val="nil"/>
              <w:bottom w:val="nil"/>
              <w:right w:val="nil"/>
            </w:tcBorders>
            <w:shd w:val="clear" w:color="auto" w:fill="auto"/>
            <w:noWrap/>
            <w:vAlign w:val="bottom"/>
            <w:hideMark/>
          </w:tcPr>
          <w:p w14:paraId="3EB07E21" w14:textId="77777777" w:rsidR="00E90472" w:rsidRPr="00021A85" w:rsidRDefault="00E90472" w:rsidP="002B38EB">
            <w:pPr>
              <w:keepNext/>
              <w:keepLines/>
              <w:tabs>
                <w:tab w:val="clear" w:pos="567"/>
              </w:tabs>
              <w:spacing w:before="0" w:line="240" w:lineRule="auto"/>
              <w:jc w:val="right"/>
              <w:rPr>
                <w:rFonts w:eastAsia="Times New Roman" w:cs="Open Sans Light"/>
                <w:color w:val="000000"/>
                <w:sz w:val="16"/>
                <w:szCs w:val="16"/>
                <w:lang w:eastAsia="en-AU"/>
              </w:rPr>
            </w:pPr>
            <w:r w:rsidRPr="00021A85">
              <w:rPr>
                <w:rFonts w:eastAsia="Times New Roman" w:cs="Open Sans Light"/>
                <w:color w:val="000000"/>
                <w:sz w:val="16"/>
                <w:szCs w:val="16"/>
                <w:lang w:eastAsia="en-AU"/>
              </w:rPr>
              <w:t xml:space="preserve">Log of hourly wages </w:t>
            </w:r>
            <w:r w:rsidRPr="00B516BD">
              <w:rPr>
                <w:rFonts w:eastAsia="Times New Roman" w:cs="Open Sans Light"/>
                <w:color w:val="000000"/>
                <w:sz w:val="16"/>
                <w:szCs w:val="16"/>
                <w:vertAlign w:val="superscript"/>
                <w:lang w:eastAsia="en-AU"/>
              </w:rPr>
              <w:t>(a)</w:t>
            </w:r>
          </w:p>
        </w:tc>
      </w:tr>
      <w:tr w:rsidR="00E90472" w:rsidRPr="00B516BD" w14:paraId="4CC40DBC" w14:textId="77777777" w:rsidTr="002B38EB">
        <w:trPr>
          <w:trHeight w:val="75"/>
        </w:trPr>
        <w:tc>
          <w:tcPr>
            <w:tcW w:w="2380" w:type="dxa"/>
            <w:tcBorders>
              <w:top w:val="single" w:sz="4" w:space="0" w:color="ADD6EA"/>
              <w:left w:val="nil"/>
              <w:bottom w:val="nil"/>
              <w:right w:val="nil"/>
            </w:tcBorders>
            <w:shd w:val="clear" w:color="auto" w:fill="auto"/>
            <w:vAlign w:val="bottom"/>
            <w:hideMark/>
          </w:tcPr>
          <w:p w14:paraId="1A925862" w14:textId="77777777" w:rsidR="00E90472" w:rsidRPr="00021A85" w:rsidRDefault="00E90472" w:rsidP="002B38EB">
            <w:pPr>
              <w:keepNext/>
              <w:keepLines/>
              <w:tabs>
                <w:tab w:val="clear" w:pos="567"/>
              </w:tabs>
              <w:spacing w:before="0" w:line="240" w:lineRule="auto"/>
              <w:rPr>
                <w:rFonts w:eastAsia="Times New Roman" w:cs="Open Sans Light"/>
                <w:color w:val="000000"/>
                <w:sz w:val="16"/>
                <w:szCs w:val="16"/>
                <w:lang w:eastAsia="en-AU"/>
              </w:rPr>
            </w:pPr>
            <w:r w:rsidRPr="00021A85">
              <w:rPr>
                <w:rFonts w:eastAsia="Times New Roman" w:cs="Open Sans Light"/>
                <w:color w:val="000000"/>
                <w:sz w:val="16"/>
                <w:szCs w:val="16"/>
                <w:lang w:eastAsia="en-AU"/>
              </w:rPr>
              <w:t> </w:t>
            </w:r>
          </w:p>
        </w:tc>
        <w:tc>
          <w:tcPr>
            <w:tcW w:w="3400" w:type="dxa"/>
            <w:tcBorders>
              <w:top w:val="single" w:sz="4" w:space="0" w:color="ADD6EA"/>
              <w:left w:val="nil"/>
              <w:bottom w:val="nil"/>
              <w:right w:val="nil"/>
            </w:tcBorders>
            <w:shd w:val="clear" w:color="auto" w:fill="auto"/>
            <w:noWrap/>
            <w:vAlign w:val="bottom"/>
            <w:hideMark/>
          </w:tcPr>
          <w:p w14:paraId="7B5561D1" w14:textId="77777777" w:rsidR="00E90472" w:rsidRPr="00021A85" w:rsidRDefault="00E90472" w:rsidP="002B38EB">
            <w:pPr>
              <w:keepNext/>
              <w:keepLines/>
              <w:tabs>
                <w:tab w:val="clear" w:pos="567"/>
              </w:tabs>
              <w:spacing w:before="0" w:line="240" w:lineRule="auto"/>
              <w:jc w:val="right"/>
              <w:rPr>
                <w:rFonts w:eastAsia="Times New Roman" w:cs="Open Sans Light"/>
                <w:color w:val="000000"/>
                <w:sz w:val="16"/>
                <w:szCs w:val="16"/>
                <w:lang w:eastAsia="en-AU"/>
              </w:rPr>
            </w:pPr>
            <w:r w:rsidRPr="00021A85">
              <w:rPr>
                <w:rFonts w:eastAsia="Times New Roman" w:cs="Open Sans Light"/>
                <w:color w:val="000000"/>
                <w:sz w:val="16"/>
                <w:szCs w:val="16"/>
                <w:lang w:eastAsia="en-AU"/>
              </w:rPr>
              <w:t> </w:t>
            </w:r>
          </w:p>
        </w:tc>
        <w:tc>
          <w:tcPr>
            <w:tcW w:w="2560" w:type="dxa"/>
            <w:tcBorders>
              <w:top w:val="single" w:sz="4" w:space="0" w:color="ADD6EA"/>
              <w:left w:val="nil"/>
              <w:bottom w:val="nil"/>
              <w:right w:val="nil"/>
            </w:tcBorders>
            <w:shd w:val="clear" w:color="auto" w:fill="auto"/>
            <w:noWrap/>
            <w:vAlign w:val="bottom"/>
            <w:hideMark/>
          </w:tcPr>
          <w:p w14:paraId="1596944D" w14:textId="77777777" w:rsidR="00E90472" w:rsidRPr="00021A85" w:rsidRDefault="00E90472" w:rsidP="002B38EB">
            <w:pPr>
              <w:keepNext/>
              <w:keepLines/>
              <w:tabs>
                <w:tab w:val="clear" w:pos="567"/>
              </w:tabs>
              <w:spacing w:before="0" w:line="240" w:lineRule="auto"/>
              <w:jc w:val="right"/>
              <w:rPr>
                <w:rFonts w:eastAsia="Times New Roman" w:cs="Open Sans Light"/>
                <w:color w:val="000000"/>
                <w:sz w:val="16"/>
                <w:szCs w:val="16"/>
                <w:lang w:eastAsia="en-AU"/>
              </w:rPr>
            </w:pPr>
            <w:r w:rsidRPr="00021A85">
              <w:rPr>
                <w:rFonts w:eastAsia="Times New Roman" w:cs="Open Sans Light"/>
                <w:color w:val="000000"/>
                <w:sz w:val="16"/>
                <w:szCs w:val="16"/>
                <w:lang w:eastAsia="en-AU"/>
              </w:rPr>
              <w:t> </w:t>
            </w:r>
          </w:p>
        </w:tc>
      </w:tr>
      <w:tr w:rsidR="00E90472" w:rsidRPr="00B516BD" w14:paraId="17D8BB1A" w14:textId="77777777" w:rsidTr="002B38EB">
        <w:trPr>
          <w:trHeight w:val="315"/>
        </w:trPr>
        <w:tc>
          <w:tcPr>
            <w:tcW w:w="2380" w:type="dxa"/>
            <w:tcBorders>
              <w:top w:val="single" w:sz="4" w:space="0" w:color="ADD6EA"/>
              <w:left w:val="nil"/>
              <w:bottom w:val="nil"/>
              <w:right w:val="nil"/>
            </w:tcBorders>
            <w:shd w:val="clear" w:color="auto" w:fill="auto"/>
            <w:vAlign w:val="bottom"/>
            <w:hideMark/>
          </w:tcPr>
          <w:p w14:paraId="184FD53E" w14:textId="77777777" w:rsidR="00E90472" w:rsidRPr="00021A85" w:rsidRDefault="00E90472" w:rsidP="002B38EB">
            <w:pPr>
              <w:keepNext/>
              <w:keepLines/>
              <w:tabs>
                <w:tab w:val="clear" w:pos="567"/>
              </w:tabs>
              <w:spacing w:before="0" w:line="240" w:lineRule="auto"/>
              <w:rPr>
                <w:rFonts w:eastAsia="Times New Roman" w:cs="Open Sans Light"/>
                <w:b/>
                <w:bCs/>
                <w:color w:val="000000"/>
                <w:sz w:val="16"/>
                <w:szCs w:val="16"/>
                <w:lang w:eastAsia="en-AU"/>
              </w:rPr>
            </w:pPr>
            <w:r w:rsidRPr="00021A85">
              <w:rPr>
                <w:rFonts w:eastAsia="Times New Roman" w:cs="Open Sans Light"/>
                <w:b/>
                <w:bCs/>
                <w:color w:val="000000"/>
                <w:sz w:val="16"/>
                <w:szCs w:val="16"/>
                <w:lang w:eastAsia="en-AU"/>
              </w:rPr>
              <w:t>Independent variables</w:t>
            </w:r>
          </w:p>
        </w:tc>
        <w:tc>
          <w:tcPr>
            <w:tcW w:w="3400" w:type="dxa"/>
            <w:tcBorders>
              <w:top w:val="single" w:sz="4" w:space="0" w:color="ADD6EA"/>
              <w:left w:val="nil"/>
              <w:bottom w:val="nil"/>
              <w:right w:val="nil"/>
            </w:tcBorders>
            <w:shd w:val="clear" w:color="auto" w:fill="auto"/>
            <w:noWrap/>
            <w:vAlign w:val="bottom"/>
            <w:hideMark/>
          </w:tcPr>
          <w:p w14:paraId="49B46D3C" w14:textId="77777777" w:rsidR="00E90472" w:rsidRPr="00021A85" w:rsidRDefault="00E90472" w:rsidP="002B38EB">
            <w:pPr>
              <w:keepNext/>
              <w:keepLines/>
              <w:tabs>
                <w:tab w:val="clear" w:pos="567"/>
              </w:tabs>
              <w:spacing w:before="0" w:line="240" w:lineRule="auto"/>
              <w:jc w:val="right"/>
              <w:rPr>
                <w:rFonts w:eastAsia="Times New Roman" w:cs="Open Sans Light"/>
                <w:color w:val="000000"/>
                <w:sz w:val="16"/>
                <w:szCs w:val="16"/>
                <w:lang w:eastAsia="en-AU"/>
              </w:rPr>
            </w:pPr>
            <w:r w:rsidRPr="00021A85">
              <w:rPr>
                <w:rFonts w:eastAsia="Times New Roman" w:cs="Open Sans Light"/>
                <w:color w:val="000000"/>
                <w:sz w:val="16"/>
                <w:szCs w:val="16"/>
                <w:lang w:eastAsia="en-AU"/>
              </w:rPr>
              <w:t>Log of usual hours</w:t>
            </w:r>
          </w:p>
        </w:tc>
        <w:tc>
          <w:tcPr>
            <w:tcW w:w="2560" w:type="dxa"/>
            <w:tcBorders>
              <w:top w:val="single" w:sz="4" w:space="0" w:color="ADD6EA"/>
              <w:left w:val="nil"/>
              <w:bottom w:val="nil"/>
              <w:right w:val="nil"/>
            </w:tcBorders>
            <w:shd w:val="clear" w:color="auto" w:fill="auto"/>
            <w:noWrap/>
            <w:vAlign w:val="bottom"/>
            <w:hideMark/>
          </w:tcPr>
          <w:p w14:paraId="29CF7C1A" w14:textId="77777777" w:rsidR="00E90472" w:rsidRPr="00021A85" w:rsidRDefault="00E90472" w:rsidP="002B38EB">
            <w:pPr>
              <w:keepNext/>
              <w:keepLines/>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U</w:t>
            </w:r>
            <w:r w:rsidRPr="00B516BD">
              <w:rPr>
                <w:rFonts w:eastAsia="Times New Roman" w:cs="Open Sans Light"/>
                <w:color w:val="000000"/>
                <w:sz w:val="16"/>
                <w:szCs w:val="16"/>
                <w:lang w:eastAsia="en-AU"/>
              </w:rPr>
              <w:t>sual</w:t>
            </w:r>
            <w:r w:rsidRPr="00021A85">
              <w:rPr>
                <w:rFonts w:eastAsia="Times New Roman" w:cs="Open Sans Light"/>
                <w:color w:val="000000"/>
                <w:sz w:val="16"/>
                <w:szCs w:val="16"/>
                <w:lang w:eastAsia="en-AU"/>
              </w:rPr>
              <w:t xml:space="preserve"> hours</w:t>
            </w:r>
          </w:p>
        </w:tc>
      </w:tr>
      <w:tr w:rsidR="00E90472" w:rsidRPr="00B516BD" w14:paraId="2009CC77" w14:textId="77777777" w:rsidTr="002B38EB">
        <w:trPr>
          <w:trHeight w:val="315"/>
        </w:trPr>
        <w:tc>
          <w:tcPr>
            <w:tcW w:w="2380" w:type="dxa"/>
            <w:tcBorders>
              <w:top w:val="single" w:sz="4" w:space="0" w:color="ADD6EA"/>
              <w:left w:val="nil"/>
              <w:bottom w:val="nil"/>
              <w:right w:val="nil"/>
            </w:tcBorders>
            <w:shd w:val="clear" w:color="auto" w:fill="auto"/>
            <w:vAlign w:val="bottom"/>
            <w:hideMark/>
          </w:tcPr>
          <w:p w14:paraId="708E9D20" w14:textId="77777777" w:rsidR="00E90472" w:rsidRPr="00021A85" w:rsidRDefault="00E90472" w:rsidP="002B38EB">
            <w:pPr>
              <w:keepNext/>
              <w:keepLines/>
              <w:tabs>
                <w:tab w:val="clear" w:pos="567"/>
              </w:tabs>
              <w:spacing w:before="0" w:line="240" w:lineRule="auto"/>
              <w:rPr>
                <w:rFonts w:eastAsia="Times New Roman" w:cs="Open Sans Light"/>
                <w:color w:val="000000"/>
                <w:sz w:val="16"/>
                <w:szCs w:val="16"/>
                <w:lang w:eastAsia="en-AU"/>
              </w:rPr>
            </w:pPr>
            <w:r w:rsidRPr="00021A85">
              <w:rPr>
                <w:rFonts w:eastAsia="Times New Roman" w:cs="Open Sans Light"/>
                <w:color w:val="000000"/>
                <w:sz w:val="16"/>
                <w:szCs w:val="16"/>
                <w:lang w:eastAsia="en-AU"/>
              </w:rPr>
              <w:t> </w:t>
            </w:r>
          </w:p>
        </w:tc>
        <w:tc>
          <w:tcPr>
            <w:tcW w:w="3400" w:type="dxa"/>
            <w:tcBorders>
              <w:top w:val="single" w:sz="4" w:space="0" w:color="ADD6EA"/>
              <w:left w:val="nil"/>
              <w:bottom w:val="nil"/>
              <w:right w:val="nil"/>
            </w:tcBorders>
            <w:shd w:val="clear" w:color="auto" w:fill="auto"/>
            <w:noWrap/>
            <w:vAlign w:val="bottom"/>
            <w:hideMark/>
          </w:tcPr>
          <w:p w14:paraId="2A2EB5CF" w14:textId="77777777" w:rsidR="00E90472" w:rsidRPr="00021A85" w:rsidRDefault="00E90472" w:rsidP="002B38EB">
            <w:pPr>
              <w:keepNext/>
              <w:keepLines/>
              <w:tabs>
                <w:tab w:val="clear" w:pos="567"/>
              </w:tabs>
              <w:spacing w:before="0" w:line="240" w:lineRule="auto"/>
              <w:jc w:val="right"/>
              <w:rPr>
                <w:rFonts w:eastAsia="Times New Roman" w:cs="Open Sans Light"/>
                <w:color w:val="000000"/>
                <w:sz w:val="16"/>
                <w:szCs w:val="16"/>
                <w:lang w:eastAsia="en-AU"/>
              </w:rPr>
            </w:pPr>
            <w:r w:rsidRPr="00021A85">
              <w:rPr>
                <w:rFonts w:eastAsia="Times New Roman" w:cs="Open Sans Light"/>
                <w:color w:val="000000"/>
                <w:sz w:val="16"/>
                <w:szCs w:val="16"/>
                <w:lang w:eastAsia="en-AU"/>
              </w:rPr>
              <w:t>Log of usual hours if usual hours &lt;16</w:t>
            </w:r>
          </w:p>
        </w:tc>
        <w:tc>
          <w:tcPr>
            <w:tcW w:w="2560" w:type="dxa"/>
            <w:tcBorders>
              <w:top w:val="single" w:sz="4" w:space="0" w:color="ADD6EA"/>
              <w:left w:val="nil"/>
              <w:bottom w:val="nil"/>
              <w:right w:val="nil"/>
            </w:tcBorders>
            <w:shd w:val="clear" w:color="auto" w:fill="auto"/>
            <w:noWrap/>
            <w:vAlign w:val="bottom"/>
            <w:hideMark/>
          </w:tcPr>
          <w:p w14:paraId="5D01904D" w14:textId="77777777" w:rsidR="00E90472" w:rsidRPr="00021A85" w:rsidRDefault="00E90472" w:rsidP="002B38EB">
            <w:pPr>
              <w:keepNext/>
              <w:keepLines/>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P</w:t>
            </w:r>
            <w:r w:rsidRPr="00B516BD">
              <w:rPr>
                <w:rFonts w:eastAsia="Times New Roman" w:cs="Open Sans Light"/>
                <w:color w:val="000000"/>
                <w:sz w:val="16"/>
                <w:szCs w:val="16"/>
                <w:lang w:eastAsia="en-AU"/>
              </w:rPr>
              <w:t>aid</w:t>
            </w:r>
            <w:r w:rsidRPr="00021A85">
              <w:rPr>
                <w:rFonts w:eastAsia="Times New Roman" w:cs="Open Sans Light"/>
                <w:color w:val="000000"/>
                <w:sz w:val="16"/>
                <w:szCs w:val="16"/>
                <w:lang w:eastAsia="en-AU"/>
              </w:rPr>
              <w:t xml:space="preserve"> hours</w:t>
            </w:r>
          </w:p>
        </w:tc>
      </w:tr>
      <w:tr w:rsidR="00E90472" w:rsidRPr="00B516BD" w14:paraId="164D93EA" w14:textId="77777777" w:rsidTr="002B38EB">
        <w:trPr>
          <w:trHeight w:val="315"/>
        </w:trPr>
        <w:tc>
          <w:tcPr>
            <w:tcW w:w="2380" w:type="dxa"/>
            <w:tcBorders>
              <w:top w:val="single" w:sz="4" w:space="0" w:color="ADD6EA"/>
              <w:left w:val="nil"/>
              <w:bottom w:val="nil"/>
              <w:right w:val="nil"/>
            </w:tcBorders>
            <w:shd w:val="clear" w:color="auto" w:fill="auto"/>
            <w:vAlign w:val="bottom"/>
            <w:hideMark/>
          </w:tcPr>
          <w:p w14:paraId="32F5B9B0" w14:textId="77777777" w:rsidR="00E90472" w:rsidRPr="00021A85" w:rsidRDefault="00E90472" w:rsidP="002B38EB">
            <w:pPr>
              <w:keepNext/>
              <w:keepLines/>
              <w:tabs>
                <w:tab w:val="clear" w:pos="567"/>
              </w:tabs>
              <w:spacing w:before="0" w:line="240" w:lineRule="auto"/>
              <w:rPr>
                <w:rFonts w:eastAsia="Times New Roman" w:cs="Open Sans Light"/>
                <w:color w:val="000000"/>
                <w:sz w:val="16"/>
                <w:szCs w:val="16"/>
                <w:lang w:eastAsia="en-AU"/>
              </w:rPr>
            </w:pPr>
            <w:r w:rsidRPr="00021A85">
              <w:rPr>
                <w:rFonts w:eastAsia="Times New Roman" w:cs="Open Sans Light"/>
                <w:color w:val="000000"/>
                <w:sz w:val="16"/>
                <w:szCs w:val="16"/>
                <w:lang w:eastAsia="en-AU"/>
              </w:rPr>
              <w:t> </w:t>
            </w:r>
          </w:p>
        </w:tc>
        <w:tc>
          <w:tcPr>
            <w:tcW w:w="3400" w:type="dxa"/>
            <w:tcBorders>
              <w:top w:val="single" w:sz="4" w:space="0" w:color="ADD6EA"/>
              <w:left w:val="nil"/>
              <w:bottom w:val="nil"/>
              <w:right w:val="nil"/>
            </w:tcBorders>
            <w:shd w:val="clear" w:color="auto" w:fill="auto"/>
            <w:noWrap/>
            <w:vAlign w:val="bottom"/>
            <w:hideMark/>
          </w:tcPr>
          <w:p w14:paraId="17E16138" w14:textId="77777777" w:rsidR="00E90472" w:rsidRPr="00021A85" w:rsidRDefault="00E90472" w:rsidP="002B38EB">
            <w:pPr>
              <w:keepNext/>
              <w:keepLines/>
              <w:tabs>
                <w:tab w:val="clear" w:pos="567"/>
              </w:tabs>
              <w:spacing w:before="0" w:line="240" w:lineRule="auto"/>
              <w:jc w:val="right"/>
              <w:rPr>
                <w:rFonts w:eastAsia="Times New Roman" w:cs="Open Sans Light"/>
                <w:color w:val="000000"/>
                <w:sz w:val="16"/>
                <w:szCs w:val="16"/>
                <w:lang w:eastAsia="en-AU"/>
              </w:rPr>
            </w:pPr>
            <w:r w:rsidRPr="00021A85">
              <w:rPr>
                <w:rFonts w:eastAsia="Times New Roman" w:cs="Open Sans Light"/>
                <w:color w:val="000000"/>
                <w:sz w:val="16"/>
                <w:szCs w:val="16"/>
                <w:lang w:eastAsia="en-AU"/>
              </w:rPr>
              <w:t>Log of usual hours if usual hours &gt;59</w:t>
            </w:r>
          </w:p>
        </w:tc>
        <w:tc>
          <w:tcPr>
            <w:tcW w:w="2560" w:type="dxa"/>
            <w:tcBorders>
              <w:top w:val="single" w:sz="4" w:space="0" w:color="ADD6EA"/>
              <w:left w:val="nil"/>
              <w:bottom w:val="nil"/>
              <w:right w:val="nil"/>
            </w:tcBorders>
            <w:shd w:val="clear" w:color="auto" w:fill="auto"/>
            <w:noWrap/>
            <w:vAlign w:val="bottom"/>
            <w:hideMark/>
          </w:tcPr>
          <w:p w14:paraId="3C5B5160" w14:textId="77777777" w:rsidR="00E90472" w:rsidRPr="00021A85" w:rsidRDefault="00E90472" w:rsidP="002B38EB">
            <w:pPr>
              <w:keepNext/>
              <w:keepLines/>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U</w:t>
            </w:r>
            <w:r w:rsidRPr="00B516BD">
              <w:rPr>
                <w:rFonts w:eastAsia="Times New Roman" w:cs="Open Sans Light"/>
                <w:color w:val="000000"/>
                <w:sz w:val="16"/>
                <w:szCs w:val="16"/>
                <w:lang w:eastAsia="en-AU"/>
              </w:rPr>
              <w:t>sual</w:t>
            </w:r>
            <w:r w:rsidRPr="00021A85">
              <w:rPr>
                <w:rFonts w:eastAsia="Times New Roman" w:cs="Open Sans Light"/>
                <w:color w:val="000000"/>
                <w:sz w:val="16"/>
                <w:szCs w:val="16"/>
                <w:lang w:eastAsia="en-AU"/>
              </w:rPr>
              <w:t xml:space="preserve"> hours squared</w:t>
            </w:r>
          </w:p>
        </w:tc>
      </w:tr>
      <w:tr w:rsidR="00E90472" w:rsidRPr="00B516BD" w14:paraId="468FADB9" w14:textId="77777777" w:rsidTr="002B38EB">
        <w:trPr>
          <w:trHeight w:val="315"/>
        </w:trPr>
        <w:tc>
          <w:tcPr>
            <w:tcW w:w="2380" w:type="dxa"/>
            <w:tcBorders>
              <w:top w:val="single" w:sz="4" w:space="0" w:color="ADD6EA"/>
              <w:left w:val="nil"/>
              <w:bottom w:val="nil"/>
              <w:right w:val="nil"/>
            </w:tcBorders>
            <w:shd w:val="clear" w:color="auto" w:fill="auto"/>
            <w:vAlign w:val="bottom"/>
            <w:hideMark/>
          </w:tcPr>
          <w:p w14:paraId="393028C9" w14:textId="77777777" w:rsidR="00E90472" w:rsidRPr="00021A85" w:rsidRDefault="00E90472" w:rsidP="002B38EB">
            <w:pPr>
              <w:keepNext/>
              <w:keepLines/>
              <w:tabs>
                <w:tab w:val="clear" w:pos="567"/>
              </w:tabs>
              <w:spacing w:before="0" w:line="240" w:lineRule="auto"/>
              <w:rPr>
                <w:rFonts w:eastAsia="Times New Roman" w:cs="Open Sans Light"/>
                <w:color w:val="000000"/>
                <w:sz w:val="16"/>
                <w:szCs w:val="16"/>
                <w:lang w:eastAsia="en-AU"/>
              </w:rPr>
            </w:pPr>
            <w:r w:rsidRPr="00021A85">
              <w:rPr>
                <w:rFonts w:eastAsia="Times New Roman" w:cs="Open Sans Light"/>
                <w:color w:val="000000"/>
                <w:sz w:val="16"/>
                <w:szCs w:val="16"/>
                <w:lang w:eastAsia="en-AU"/>
              </w:rPr>
              <w:t> </w:t>
            </w:r>
          </w:p>
        </w:tc>
        <w:tc>
          <w:tcPr>
            <w:tcW w:w="3400" w:type="dxa"/>
            <w:tcBorders>
              <w:top w:val="single" w:sz="4" w:space="0" w:color="ADD6EA"/>
              <w:left w:val="nil"/>
              <w:bottom w:val="nil"/>
              <w:right w:val="nil"/>
            </w:tcBorders>
            <w:shd w:val="clear" w:color="auto" w:fill="auto"/>
            <w:noWrap/>
            <w:vAlign w:val="bottom"/>
            <w:hideMark/>
          </w:tcPr>
          <w:p w14:paraId="07998A61" w14:textId="77777777" w:rsidR="00E90472" w:rsidRPr="00021A85" w:rsidRDefault="00E90472" w:rsidP="002B38EB">
            <w:pPr>
              <w:keepNext/>
              <w:keepLines/>
              <w:tabs>
                <w:tab w:val="clear" w:pos="567"/>
              </w:tabs>
              <w:spacing w:before="0" w:line="240" w:lineRule="auto"/>
              <w:jc w:val="right"/>
              <w:rPr>
                <w:rFonts w:eastAsia="Times New Roman" w:cs="Open Sans Light"/>
                <w:color w:val="000000"/>
                <w:sz w:val="16"/>
                <w:szCs w:val="16"/>
                <w:lang w:eastAsia="en-AU"/>
              </w:rPr>
            </w:pPr>
            <w:r w:rsidRPr="00021A85">
              <w:rPr>
                <w:rFonts w:eastAsia="Times New Roman" w:cs="Open Sans Light"/>
                <w:color w:val="000000"/>
                <w:sz w:val="16"/>
                <w:szCs w:val="16"/>
                <w:lang w:eastAsia="en-AU"/>
              </w:rPr>
              <w:t> </w:t>
            </w:r>
          </w:p>
        </w:tc>
        <w:tc>
          <w:tcPr>
            <w:tcW w:w="2560" w:type="dxa"/>
            <w:tcBorders>
              <w:top w:val="single" w:sz="4" w:space="0" w:color="ADD6EA"/>
              <w:left w:val="nil"/>
              <w:bottom w:val="nil"/>
              <w:right w:val="nil"/>
            </w:tcBorders>
            <w:shd w:val="clear" w:color="auto" w:fill="auto"/>
            <w:noWrap/>
            <w:vAlign w:val="bottom"/>
            <w:hideMark/>
          </w:tcPr>
          <w:p w14:paraId="285E592C" w14:textId="77777777" w:rsidR="00E90472" w:rsidRPr="00021A85" w:rsidRDefault="00E90472" w:rsidP="002B38EB">
            <w:pPr>
              <w:keepNext/>
              <w:keepLines/>
              <w:tabs>
                <w:tab w:val="clear" w:pos="567"/>
              </w:tabs>
              <w:spacing w:before="0" w:line="240" w:lineRule="auto"/>
              <w:jc w:val="right"/>
              <w:rPr>
                <w:rFonts w:eastAsia="Times New Roman" w:cs="Open Sans Light"/>
                <w:color w:val="000000"/>
                <w:sz w:val="16"/>
                <w:szCs w:val="16"/>
                <w:lang w:eastAsia="en-AU"/>
              </w:rPr>
            </w:pPr>
            <w:r w:rsidRPr="00021A85">
              <w:rPr>
                <w:rFonts w:eastAsia="Times New Roman" w:cs="Open Sans Light"/>
                <w:color w:val="000000"/>
                <w:sz w:val="16"/>
                <w:szCs w:val="16"/>
                <w:lang w:eastAsia="en-AU"/>
              </w:rPr>
              <w:t>Paid hours squared</w:t>
            </w:r>
          </w:p>
        </w:tc>
      </w:tr>
      <w:tr w:rsidR="00E90472" w:rsidRPr="00B516BD" w14:paraId="741AB158" w14:textId="77777777" w:rsidTr="002B38EB">
        <w:trPr>
          <w:trHeight w:val="315"/>
        </w:trPr>
        <w:tc>
          <w:tcPr>
            <w:tcW w:w="2380" w:type="dxa"/>
            <w:tcBorders>
              <w:top w:val="single" w:sz="4" w:space="0" w:color="ADD6EA"/>
              <w:left w:val="nil"/>
              <w:bottom w:val="single" w:sz="4" w:space="0" w:color="ADD6EA"/>
              <w:right w:val="nil"/>
            </w:tcBorders>
            <w:shd w:val="clear" w:color="auto" w:fill="auto"/>
            <w:noWrap/>
            <w:vAlign w:val="bottom"/>
            <w:hideMark/>
          </w:tcPr>
          <w:p w14:paraId="110869A7" w14:textId="77777777" w:rsidR="00E90472" w:rsidRPr="00021A85" w:rsidRDefault="00E90472" w:rsidP="002B38EB">
            <w:pPr>
              <w:keepNext/>
              <w:keepLines/>
              <w:tabs>
                <w:tab w:val="clear" w:pos="567"/>
              </w:tabs>
              <w:spacing w:before="0" w:line="240" w:lineRule="auto"/>
              <w:jc w:val="right"/>
              <w:rPr>
                <w:rFonts w:eastAsia="Times New Roman" w:cs="Open Sans Light"/>
                <w:color w:val="000000"/>
                <w:sz w:val="16"/>
                <w:szCs w:val="16"/>
                <w:lang w:eastAsia="en-AU"/>
              </w:rPr>
            </w:pPr>
            <w:r w:rsidRPr="00021A85">
              <w:rPr>
                <w:rFonts w:eastAsia="Times New Roman" w:cs="Open Sans Light"/>
                <w:color w:val="000000"/>
                <w:sz w:val="16"/>
                <w:szCs w:val="16"/>
                <w:lang w:eastAsia="en-AU"/>
              </w:rPr>
              <w:t> </w:t>
            </w:r>
          </w:p>
        </w:tc>
        <w:tc>
          <w:tcPr>
            <w:tcW w:w="3400" w:type="dxa"/>
            <w:tcBorders>
              <w:top w:val="single" w:sz="4" w:space="0" w:color="ADD6EA"/>
              <w:left w:val="nil"/>
              <w:bottom w:val="single" w:sz="4" w:space="0" w:color="ADD6EA"/>
              <w:right w:val="nil"/>
            </w:tcBorders>
            <w:shd w:val="clear" w:color="auto" w:fill="auto"/>
            <w:noWrap/>
            <w:vAlign w:val="bottom"/>
            <w:hideMark/>
          </w:tcPr>
          <w:p w14:paraId="0AC9DE2C" w14:textId="77777777" w:rsidR="00E90472" w:rsidRPr="00021A85" w:rsidRDefault="00E90472" w:rsidP="002B38EB">
            <w:pPr>
              <w:keepNext/>
              <w:keepLines/>
              <w:tabs>
                <w:tab w:val="clear" w:pos="567"/>
              </w:tabs>
              <w:spacing w:before="0" w:line="240" w:lineRule="auto"/>
              <w:jc w:val="right"/>
              <w:rPr>
                <w:rFonts w:eastAsia="Times New Roman" w:cs="Open Sans Light"/>
                <w:color w:val="000000"/>
                <w:sz w:val="16"/>
                <w:szCs w:val="16"/>
                <w:lang w:eastAsia="en-AU"/>
              </w:rPr>
            </w:pPr>
            <w:r w:rsidRPr="00021A85">
              <w:rPr>
                <w:rFonts w:eastAsia="Times New Roman" w:cs="Open Sans Light"/>
                <w:color w:val="000000"/>
                <w:sz w:val="16"/>
                <w:szCs w:val="16"/>
                <w:lang w:eastAsia="en-AU"/>
              </w:rPr>
              <w:t> </w:t>
            </w:r>
          </w:p>
        </w:tc>
        <w:tc>
          <w:tcPr>
            <w:tcW w:w="2560" w:type="dxa"/>
            <w:tcBorders>
              <w:top w:val="single" w:sz="4" w:space="0" w:color="ADD6EA"/>
              <w:left w:val="nil"/>
              <w:bottom w:val="single" w:sz="4" w:space="0" w:color="ADD6EA"/>
              <w:right w:val="nil"/>
            </w:tcBorders>
            <w:shd w:val="clear" w:color="auto" w:fill="auto"/>
            <w:noWrap/>
            <w:vAlign w:val="bottom"/>
            <w:hideMark/>
          </w:tcPr>
          <w:p w14:paraId="7D5D01CB" w14:textId="77777777" w:rsidR="00E90472" w:rsidRPr="00021A85" w:rsidRDefault="00E90472" w:rsidP="002B38EB">
            <w:pPr>
              <w:keepNext/>
              <w:keepLines/>
              <w:tabs>
                <w:tab w:val="clear" w:pos="567"/>
              </w:tabs>
              <w:spacing w:before="0" w:line="240" w:lineRule="auto"/>
              <w:jc w:val="right"/>
              <w:rPr>
                <w:rFonts w:eastAsia="Times New Roman" w:cs="Open Sans Light"/>
                <w:color w:val="000000"/>
                <w:sz w:val="16"/>
                <w:szCs w:val="16"/>
                <w:lang w:eastAsia="en-AU"/>
              </w:rPr>
            </w:pPr>
            <w:r w:rsidRPr="00021A85">
              <w:rPr>
                <w:rFonts w:eastAsia="Times New Roman" w:cs="Open Sans Light"/>
                <w:color w:val="000000"/>
                <w:sz w:val="16"/>
                <w:szCs w:val="16"/>
                <w:lang w:eastAsia="en-AU"/>
              </w:rPr>
              <w:t>Usual hours * Paid hours</w:t>
            </w:r>
          </w:p>
        </w:tc>
      </w:tr>
    </w:tbl>
    <w:p w14:paraId="3F126CB0" w14:textId="788B9353" w:rsidR="00E90472" w:rsidRDefault="00E90472" w:rsidP="002F3095">
      <w:pPr>
        <w:pStyle w:val="CGC2025TableNote"/>
        <w:numPr>
          <w:ilvl w:val="0"/>
          <w:numId w:val="17"/>
        </w:numPr>
      </w:pPr>
      <w:r w:rsidRPr="00E90472">
        <w:t>based on paid hours</w:t>
      </w:r>
      <w:r w:rsidR="004A73F6">
        <w:t>.</w:t>
      </w:r>
    </w:p>
    <w:p w14:paraId="6BCA5317" w14:textId="6100827F" w:rsidR="002F3095" w:rsidRPr="00E90472" w:rsidRDefault="002F3095" w:rsidP="002F3095">
      <w:pPr>
        <w:pStyle w:val="CGC2025TableNote"/>
        <w:ind w:left="163" w:firstLine="0"/>
      </w:pPr>
      <w:r>
        <w:t>Source: Commission decision.</w:t>
      </w:r>
    </w:p>
    <w:p w14:paraId="5397A7FD" w14:textId="451B8229" w:rsidR="006656D9" w:rsidRDefault="006656D9" w:rsidP="006656D9">
      <w:pPr>
        <w:pStyle w:val="Heading4"/>
      </w:pPr>
      <w:r>
        <w:t>Consultation question</w:t>
      </w:r>
    </w:p>
    <w:p w14:paraId="2FBD4D00" w14:textId="040BBF2F" w:rsidR="006656D9" w:rsidRPr="006656D9" w:rsidRDefault="003E458E" w:rsidP="00CA4D9A">
      <w:r w:rsidRPr="001C4DF3">
        <w:rPr>
          <w:noProof/>
        </w:rPr>
        <mc:AlternateContent>
          <mc:Choice Requires="wps">
            <w:drawing>
              <wp:inline distT="0" distB="0" distL="0" distR="0" wp14:anchorId="51B2176F" wp14:editId="50ABD836">
                <wp:extent cx="5648325" cy="1126273"/>
                <wp:effectExtent l="0" t="0" r="9525" b="0"/>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1126273"/>
                        </a:xfrm>
                        <a:prstGeom prst="rect">
                          <a:avLst/>
                        </a:prstGeom>
                        <a:solidFill>
                          <a:srgbClr val="EBF3F5"/>
                        </a:solidFill>
                        <a:ln w="25400" cap="flat" cmpd="sng" algn="ctr">
                          <a:noFill/>
                          <a:prstDash val="solid"/>
                        </a:ln>
                        <a:effectLst/>
                      </wps:spPr>
                      <wps:txbx>
                        <w:txbxContent>
                          <w:p w14:paraId="60D93163" w14:textId="77777777" w:rsidR="003E458E" w:rsidRDefault="003E458E" w:rsidP="003E458E">
                            <w:pPr>
                              <w:pStyle w:val="CGC2025QuestionNumbers"/>
                              <w:rPr>
                                <w:lang w:eastAsia="en-AU"/>
                              </w:rPr>
                            </w:pPr>
                            <w:r>
                              <w:rPr>
                                <w:lang w:eastAsia="en-AU"/>
                              </w:rPr>
                              <w:t>Do states agree the Commission should:</w:t>
                            </w:r>
                          </w:p>
                          <w:p w14:paraId="2363138A" w14:textId="31AD635F" w:rsidR="006E3A5C" w:rsidRDefault="003E458E" w:rsidP="00CA4D9A">
                            <w:pPr>
                              <w:pStyle w:val="CGC2025Bullet1"/>
                              <w:rPr>
                                <w:lang w:eastAsia="en-AU"/>
                              </w:rPr>
                            </w:pPr>
                            <w:r>
                              <w:rPr>
                                <w:lang w:eastAsia="en-AU"/>
                              </w:rPr>
                              <w:t>use hourly wages rather than weekly wages as the dependent variable?</w:t>
                            </w:r>
                          </w:p>
                          <w:p w14:paraId="3C221EFE" w14:textId="63CA0628" w:rsidR="003E458E" w:rsidRPr="003E458E" w:rsidRDefault="003E458E" w:rsidP="00CA4D9A">
                            <w:pPr>
                              <w:pStyle w:val="CGC2025Bullet1"/>
                              <w:rPr>
                                <w:lang w:eastAsia="en-AU"/>
                              </w:rPr>
                            </w:pPr>
                            <w:r>
                              <w:rPr>
                                <w:lang w:eastAsia="en-AU"/>
                              </w:rPr>
                              <w:t xml:space="preserve">include both </w:t>
                            </w:r>
                            <w:r w:rsidRPr="00982BA0">
                              <w:rPr>
                                <w:lang w:eastAsia="en-AU"/>
                              </w:rPr>
                              <w:t>usual hours worked and</w:t>
                            </w:r>
                            <w:r w:rsidRPr="00982BA0">
                              <w:rPr>
                                <w:b/>
                                <w:bCs/>
                                <w:lang w:eastAsia="en-AU"/>
                              </w:rPr>
                              <w:t xml:space="preserve"> </w:t>
                            </w:r>
                            <w:r w:rsidRPr="005B64EF">
                              <w:rPr>
                                <w:lang w:eastAsia="en-AU"/>
                              </w:rPr>
                              <w:t>paid</w:t>
                            </w:r>
                            <w:r>
                              <w:rPr>
                                <w:b/>
                                <w:bCs/>
                                <w:lang w:eastAsia="en-AU"/>
                              </w:rPr>
                              <w:t xml:space="preserve"> </w:t>
                            </w:r>
                            <w:r w:rsidRPr="00982BA0">
                              <w:rPr>
                                <w:lang w:eastAsia="en-AU"/>
                              </w:rPr>
                              <w:t>hours as explanatory variables including as non-linear and interacting terms</w:t>
                            </w:r>
                            <w:r>
                              <w:rPr>
                                <w:lang w:eastAsia="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B2176F" id="Rectangle 2" o:spid="_x0000_s1031" alt="&quot;&quot;" style="width:444.75pt;height:88.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" fillcolor="#ebf3f5" stroked="f" strokeweight="2pt">
                <v:textbox>
                  <w:txbxContent>
                    <w:p w14:paraId="60D93163" w14:textId="77777777" w:rsidR="003E458E" w:rsidRDefault="003E458E" w:rsidP="003E458E">
                      <w:pPr>
                        <w:pStyle w:val="CGC2025QuestionNumbers"/>
                        <w:rPr>
                          <w:lang w:eastAsia="en-AU"/>
                        </w:rPr>
                      </w:pPr>
                      <w:r>
                        <w:rPr>
                          <w:lang w:eastAsia="en-AU"/>
                        </w:rPr>
                        <w:t>Do states agree the Commission should:</w:t>
                      </w:r>
                    </w:p>
                    <w:p w14:paraId="2363138A" w14:textId="31AD635F" w:rsidR="006E3A5C" w:rsidRDefault="003E458E" w:rsidP="00CA4D9A">
                      <w:pPr>
                        <w:pStyle w:val="CGC2025Bullet1"/>
                        <w:rPr>
                          <w:lang w:eastAsia="en-AU"/>
                        </w:rPr>
                      </w:pPr>
                      <w:r>
                        <w:rPr>
                          <w:lang w:eastAsia="en-AU"/>
                        </w:rPr>
                        <w:t>use hourly wages rather than weekly wages as the dependent variable?</w:t>
                      </w:r>
                    </w:p>
                    <w:p w14:paraId="3C221EFE" w14:textId="63CA0628" w:rsidR="003E458E" w:rsidRPr="003E458E" w:rsidRDefault="003E458E" w:rsidP="00CA4D9A">
                      <w:pPr>
                        <w:pStyle w:val="CGC2025Bullet1"/>
                        <w:rPr>
                          <w:lang w:eastAsia="en-AU"/>
                        </w:rPr>
                      </w:pPr>
                      <w:r>
                        <w:rPr>
                          <w:lang w:eastAsia="en-AU"/>
                        </w:rPr>
                        <w:t xml:space="preserve">include both </w:t>
                      </w:r>
                      <w:r w:rsidRPr="00982BA0">
                        <w:rPr>
                          <w:lang w:eastAsia="en-AU"/>
                        </w:rPr>
                        <w:t>usual hours worked and</w:t>
                      </w:r>
                      <w:r w:rsidRPr="00982BA0">
                        <w:rPr>
                          <w:b/>
                          <w:bCs/>
                          <w:lang w:eastAsia="en-AU"/>
                        </w:rPr>
                        <w:t xml:space="preserve"> </w:t>
                      </w:r>
                      <w:r w:rsidRPr="005B64EF">
                        <w:rPr>
                          <w:lang w:eastAsia="en-AU"/>
                        </w:rPr>
                        <w:t>paid</w:t>
                      </w:r>
                      <w:r>
                        <w:rPr>
                          <w:b/>
                          <w:bCs/>
                          <w:lang w:eastAsia="en-AU"/>
                        </w:rPr>
                        <w:t xml:space="preserve"> </w:t>
                      </w:r>
                      <w:r w:rsidRPr="00982BA0">
                        <w:rPr>
                          <w:lang w:eastAsia="en-AU"/>
                        </w:rPr>
                        <w:t>hours as explanatory variables including as non-linear and interacting terms</w:t>
                      </w:r>
                      <w:r>
                        <w:rPr>
                          <w:lang w:eastAsia="en-AU"/>
                        </w:rPr>
                        <w:t>?</w:t>
                      </w:r>
                    </w:p>
                  </w:txbxContent>
                </v:textbox>
                <w10:anchorlock/>
              </v:rect>
            </w:pict>
          </mc:Fallback>
        </mc:AlternateContent>
      </w:r>
    </w:p>
    <w:p w14:paraId="2EF43DAB" w14:textId="77777777" w:rsidR="003E458E" w:rsidRPr="003E458E" w:rsidRDefault="003E458E" w:rsidP="003E458E">
      <w:pPr>
        <w:pStyle w:val="Heading4"/>
      </w:pPr>
      <w:r w:rsidRPr="003E458E">
        <w:t>Education and age interactions</w:t>
      </w:r>
    </w:p>
    <w:p w14:paraId="6AEE976B" w14:textId="2F4832EB" w:rsidR="003E458E" w:rsidRDefault="003E458E" w:rsidP="003E458E">
      <w:pPr>
        <w:pStyle w:val="CGC2025ParaNumbers"/>
      </w:pPr>
      <w:r>
        <w:t xml:space="preserve">The decline of the traditional organisational career has led to increased organisational, occupational, and industrial </w:t>
      </w:r>
      <w:r w:rsidR="005B4379">
        <w:t>mobility</w:t>
      </w:r>
      <w:r>
        <w:t>. This has implications for the causal effect of work experience on earnings, as individuals do not move vertically through the promotion path determined by their employer over their lifetime.</w:t>
      </w:r>
    </w:p>
    <w:p w14:paraId="5E33DCF4" w14:textId="1A06A337" w:rsidR="003E458E" w:rsidRDefault="003E458E" w:rsidP="003E458E">
      <w:pPr>
        <w:pStyle w:val="CGC2025ParaNumbers"/>
      </w:pPr>
      <w:r>
        <w:t xml:space="preserve">To facilitate a career transition, individuals may undergo further education. If so, education may have a </w:t>
      </w:r>
      <w:r w:rsidR="00B76535">
        <w:t xml:space="preserve">more </w:t>
      </w:r>
      <w:r>
        <w:t>complex relationship to earnings, as different individuals undergo education at different points in their career progression.</w:t>
      </w:r>
    </w:p>
    <w:p w14:paraId="06B06ADD" w14:textId="6DF499A4" w:rsidR="003E458E" w:rsidRDefault="003E458E" w:rsidP="003E458E">
      <w:pPr>
        <w:pStyle w:val="CGC2025ParaNumbers"/>
      </w:pPr>
      <w:r>
        <w:t xml:space="preserve">Historically, the Commission has modelled work experience as current age less an estimate of </w:t>
      </w:r>
      <w:r w:rsidR="00D7637C">
        <w:t>the worker’s age when they completed their education</w:t>
      </w:r>
      <w:r>
        <w:t xml:space="preserve">. This approach </w:t>
      </w:r>
      <w:r>
        <w:lastRenderedPageBreak/>
        <w:t>involved strong assumptions regarding the time spent on educational attainment and time spent in full</w:t>
      </w:r>
      <w:r w:rsidR="00D7637C">
        <w:t>-</w:t>
      </w:r>
      <w:r>
        <w:t>time employment.</w:t>
      </w:r>
    </w:p>
    <w:p w14:paraId="39005B2E" w14:textId="77777777" w:rsidR="003E458E" w:rsidRDefault="003E458E" w:rsidP="003E458E">
      <w:pPr>
        <w:pStyle w:val="CGC2025ParaNumbers"/>
      </w:pPr>
      <w:r>
        <w:t>This approach is also dependent on the assumption that work experience-earnings profiles are parallel across different education levels, which is not supported in the empirical literature.</w:t>
      </w:r>
      <w:r>
        <w:rPr>
          <w:rStyle w:val="FootnoteReference"/>
        </w:rPr>
        <w:footnoteReference w:id="11"/>
      </w:r>
    </w:p>
    <w:p w14:paraId="189533E3" w14:textId="68152EEF" w:rsidR="003E458E" w:rsidRDefault="003E458E" w:rsidP="003E458E">
      <w:pPr>
        <w:pStyle w:val="CGC2025ParaNumbers"/>
      </w:pPr>
      <w:r>
        <w:t>There is international</w:t>
      </w:r>
      <w:r>
        <w:rPr>
          <w:rStyle w:val="FootnoteReference"/>
        </w:rPr>
        <w:footnoteReference w:id="12"/>
      </w:r>
      <w:r>
        <w:t xml:space="preserve"> and Australian</w:t>
      </w:r>
      <w:r>
        <w:rPr>
          <w:rStyle w:val="FootnoteReference"/>
        </w:rPr>
        <w:footnoteReference w:id="13"/>
      </w:r>
      <w:r>
        <w:t xml:space="preserve"> evidence to suggest that</w:t>
      </w:r>
      <w:r w:rsidDel="004941D2">
        <w:t xml:space="preserve"> </w:t>
      </w:r>
      <w:r>
        <w:t xml:space="preserve">individuals’ returns to schooling vary with their ages. This can be addressed through the interaction of education with work experience variables, which estimates a unique age-earnings profile for each education level, shown in </w:t>
      </w:r>
      <w:r>
        <w:fldChar w:fldCharType="begin"/>
      </w:r>
      <w:r>
        <w:instrText xml:space="preserve"> REF _Ref135750826 \h  \* MERGEFORMAT </w:instrText>
      </w:r>
      <w:r>
        <w:fldChar w:fldCharType="separate"/>
      </w:r>
      <w:r w:rsidR="00BC30E2">
        <w:t xml:space="preserve">Figure </w:t>
      </w:r>
      <w:r w:rsidR="00BC30E2">
        <w:rPr>
          <w:noProof/>
        </w:rPr>
        <w:t>4</w:t>
      </w:r>
      <w:r>
        <w:fldChar w:fldCharType="end"/>
      </w:r>
      <w:r>
        <w:t>.</w:t>
      </w:r>
      <w:r>
        <w:rPr>
          <w:rStyle w:val="FootnoteReference"/>
        </w:rPr>
        <w:footnoteReference w:id="14"/>
      </w:r>
      <w:r>
        <w:t xml:space="preserve"> These variables also have a gender interaction term</w:t>
      </w:r>
      <w:r w:rsidR="00667B46">
        <w:t>.</w:t>
      </w:r>
      <w:r>
        <w:t xml:space="preserve"> </w:t>
      </w:r>
      <w:r w:rsidR="00667B46">
        <w:t>T</w:t>
      </w:r>
      <w:r>
        <w:t xml:space="preserve">he relationship for males is </w:t>
      </w:r>
      <w:proofErr w:type="gramStart"/>
      <w:r>
        <w:t>similar to</w:t>
      </w:r>
      <w:proofErr w:type="gramEnd"/>
      <w:r>
        <w:t xml:space="preserve"> the female relationship shown </w:t>
      </w:r>
      <w:r>
        <w:fldChar w:fldCharType="begin"/>
      </w:r>
      <w:r>
        <w:instrText xml:space="preserve"> REF _Ref135750826 \h  \* MERGEFORMAT </w:instrText>
      </w:r>
      <w:r>
        <w:fldChar w:fldCharType="separate"/>
      </w:r>
      <w:r w:rsidR="00BC30E2">
        <w:t xml:space="preserve">Figure </w:t>
      </w:r>
      <w:r w:rsidR="00BC30E2">
        <w:rPr>
          <w:noProof/>
        </w:rPr>
        <w:t>4</w:t>
      </w:r>
      <w:r>
        <w:fldChar w:fldCharType="end"/>
      </w:r>
      <w:r>
        <w:t>.</w:t>
      </w:r>
    </w:p>
    <w:p w14:paraId="710AC40A" w14:textId="0D5C69F3" w:rsidR="00E90472" w:rsidRDefault="00E90472" w:rsidP="0028442C">
      <w:pPr>
        <w:pStyle w:val="CGC2025Caption"/>
        <w:tabs>
          <w:tab w:val="left" w:pos="1134"/>
        </w:tabs>
      </w:pPr>
      <w:bookmarkStart w:id="64" w:name="_Ref135750826"/>
      <w:r>
        <w:t xml:space="preserve">Figure </w:t>
      </w:r>
      <w:r>
        <w:fldChar w:fldCharType="begin"/>
      </w:r>
      <w:r>
        <w:instrText>SEQ Figure \* ARABIC</w:instrText>
      </w:r>
      <w:r>
        <w:fldChar w:fldCharType="separate"/>
      </w:r>
      <w:r w:rsidR="00BC30E2">
        <w:rPr>
          <w:noProof/>
        </w:rPr>
        <w:t>4</w:t>
      </w:r>
      <w:r>
        <w:fldChar w:fldCharType="end"/>
      </w:r>
      <w:bookmarkEnd w:id="64"/>
      <w:r>
        <w:tab/>
        <w:t xml:space="preserve">Estimated education-dependent age-earnings profiles, </w:t>
      </w:r>
      <w:proofErr w:type="gramStart"/>
      <w:r>
        <w:t>females</w:t>
      </w:r>
      <w:proofErr w:type="gramEnd"/>
    </w:p>
    <w:p w14:paraId="450FA214" w14:textId="77777777" w:rsidR="00E90472" w:rsidRDefault="00E90472" w:rsidP="00E90472">
      <w:pPr>
        <w:pStyle w:val="CGCParaNumber"/>
        <w:numPr>
          <w:ilvl w:val="0"/>
          <w:numId w:val="0"/>
        </w:numPr>
      </w:pPr>
      <w:r w:rsidRPr="008A5DA5">
        <w:rPr>
          <w:noProof/>
        </w:rPr>
        <w:drawing>
          <wp:inline distT="0" distB="0" distL="0" distR="0" wp14:anchorId="6A6D758D" wp14:editId="04438282">
            <wp:extent cx="5688965" cy="352933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8965" cy="3529330"/>
                    </a:xfrm>
                    <a:prstGeom prst="rect">
                      <a:avLst/>
                    </a:prstGeom>
                    <a:noFill/>
                    <a:ln>
                      <a:noFill/>
                    </a:ln>
                  </pic:spPr>
                </pic:pic>
              </a:graphicData>
            </a:graphic>
          </wp:inline>
        </w:drawing>
      </w:r>
    </w:p>
    <w:p w14:paraId="13EEB8E8" w14:textId="74EFE035" w:rsidR="003E458E" w:rsidRDefault="00E90472" w:rsidP="00E90472">
      <w:pPr>
        <w:pStyle w:val="CGC2025TableNote"/>
      </w:pPr>
      <w:r>
        <w:t>Note:</w:t>
      </w:r>
      <w:r w:rsidR="00C530D5">
        <w:t xml:space="preserve"> </w:t>
      </w:r>
      <w:r w:rsidR="00F71B54">
        <w:tab/>
      </w:r>
      <w:r w:rsidR="00F71B54">
        <w:tab/>
      </w:r>
      <w:r>
        <w:t>The graph above shows the effects of age and education on the wages of women who are otherwise similar.</w:t>
      </w:r>
    </w:p>
    <w:p w14:paraId="389B76D9" w14:textId="0D547AC1" w:rsidR="002F3095" w:rsidRPr="00E90472" w:rsidRDefault="002F3095" w:rsidP="00E90472">
      <w:pPr>
        <w:pStyle w:val="CGC2025TableNote"/>
      </w:pPr>
      <w:r>
        <w:t>Source: Commission calculation.</w:t>
      </w:r>
    </w:p>
    <w:p w14:paraId="008E0730" w14:textId="0A372FDF" w:rsidR="003E458E" w:rsidRPr="003E458E" w:rsidRDefault="003E458E" w:rsidP="003E458E">
      <w:pPr>
        <w:pStyle w:val="CGC2025ParaNumbers"/>
      </w:pPr>
      <w:r w:rsidRPr="003E458E">
        <w:t>The Commission’s preliminary view is to replace the imputed experience variable with an education dependent age-</w:t>
      </w:r>
      <w:r w:rsidRPr="00644FEB">
        <w:t xml:space="preserve">earning profile. This specification explains more of the individual level differences in wages. </w:t>
      </w:r>
      <w:hyperlink w:anchor="C" w:history="1">
        <w:r w:rsidRPr="00644FEB">
          <w:t>Attachment C</w:t>
        </w:r>
      </w:hyperlink>
      <w:r w:rsidRPr="003E458E">
        <w:t xml:space="preserve"> describes the model in more detail.</w:t>
      </w:r>
    </w:p>
    <w:p w14:paraId="229765DE" w14:textId="77777777" w:rsidR="003E458E" w:rsidRDefault="003E458E" w:rsidP="003E458E">
      <w:pPr>
        <w:pStyle w:val="Heading4"/>
      </w:pPr>
      <w:r>
        <w:lastRenderedPageBreak/>
        <w:t>Consultation question</w:t>
      </w:r>
    </w:p>
    <w:p w14:paraId="3D421C48" w14:textId="5C6D14A7" w:rsidR="003E458E" w:rsidRDefault="003E458E" w:rsidP="003E458E">
      <w:pPr>
        <w:pStyle w:val="Heading5"/>
      </w:pPr>
      <w:r w:rsidRPr="001C4DF3">
        <w:rPr>
          <w:noProof/>
        </w:rPr>
        <mc:AlternateContent>
          <mc:Choice Requires="wps">
            <w:drawing>
              <wp:inline distT="0" distB="0" distL="0" distR="0" wp14:anchorId="1B315231" wp14:editId="4B826951">
                <wp:extent cx="5648325" cy="520700"/>
                <wp:effectExtent l="0" t="0" r="9525" b="0"/>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520700"/>
                        </a:xfrm>
                        <a:prstGeom prst="rect">
                          <a:avLst/>
                        </a:prstGeom>
                        <a:solidFill>
                          <a:srgbClr val="EBF3F5"/>
                        </a:solidFill>
                        <a:ln w="25400" cap="flat" cmpd="sng" algn="ctr">
                          <a:noFill/>
                          <a:prstDash val="solid"/>
                        </a:ln>
                        <a:effectLst/>
                      </wps:spPr>
                      <wps:txbx>
                        <w:txbxContent>
                          <w:p w14:paraId="678CE0C2" w14:textId="526EC32D" w:rsidR="003E458E" w:rsidRPr="003E458E" w:rsidRDefault="003E458E" w:rsidP="007B5122">
                            <w:pPr>
                              <w:pStyle w:val="CGC2025QuestionNumbers"/>
                              <w:rPr>
                                <w:lang w:eastAsia="en-AU"/>
                              </w:rPr>
                            </w:pPr>
                            <w:r>
                              <w:rPr>
                                <w:lang w:eastAsia="en-AU"/>
                              </w:rPr>
                              <w:t>Do states agree the Commission should replace the derived work experience variable with interacting variables of age and level of education</w:t>
                            </w:r>
                            <w:r w:rsidR="005112EB">
                              <w:rPr>
                                <w:lang w:eastAsia="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315231" id="Rectangle 10" o:spid="_x0000_s1032" alt="&quot;&quot;" style="width:444.75pt;height: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" fillcolor="#ebf3f5" stroked="f" strokeweight="2pt">
                <v:textbox>
                  <w:txbxContent>
                    <w:p w14:paraId="678CE0C2" w14:textId="526EC32D" w:rsidR="003E458E" w:rsidRPr="003E458E" w:rsidRDefault="003E458E" w:rsidP="007B5122">
                      <w:pPr>
                        <w:pStyle w:val="CGC2025QuestionNumbers"/>
                        <w:rPr>
                          <w:lang w:eastAsia="en-AU"/>
                        </w:rPr>
                      </w:pPr>
                      <w:r>
                        <w:rPr>
                          <w:lang w:eastAsia="en-AU"/>
                        </w:rPr>
                        <w:t>Do states agree the Commission should replace the derived work experience variable with interacting variables of age and level of education</w:t>
                      </w:r>
                      <w:r w:rsidR="005112EB">
                        <w:rPr>
                          <w:lang w:eastAsia="en-AU"/>
                        </w:rPr>
                        <w:t>?</w:t>
                      </w:r>
                    </w:p>
                  </w:txbxContent>
                </v:textbox>
                <w10:anchorlock/>
              </v:rect>
            </w:pict>
          </mc:Fallback>
        </mc:AlternateContent>
      </w:r>
    </w:p>
    <w:p w14:paraId="725CB75F" w14:textId="77777777" w:rsidR="003E458E" w:rsidRDefault="003E458E" w:rsidP="003E458E">
      <w:pPr>
        <w:pStyle w:val="Heading4"/>
      </w:pPr>
      <w:r>
        <w:t>Including job tenure as a continuous variable</w:t>
      </w:r>
    </w:p>
    <w:p w14:paraId="69F3B95C" w14:textId="77777777" w:rsidR="003E458E" w:rsidRPr="003E458E" w:rsidRDefault="003E458E" w:rsidP="003E458E">
      <w:pPr>
        <w:pStyle w:val="CGC2025ParaNumbers"/>
      </w:pPr>
      <w:r w:rsidRPr="003E458E">
        <w:t xml:space="preserve">The Commission currently models job tenure as a categorical variable with 4 ranges. Modelling tenure as a continuous variable is standard practice unless the relationship between wage and tenure is found not to be linear. It minimises the arbitrary discontinuity of categorical variables and produces a simpler model with increased explanatory power. </w:t>
      </w:r>
    </w:p>
    <w:p w14:paraId="461AF662" w14:textId="1CDFDDF1" w:rsidR="003E458E" w:rsidRPr="003E458E" w:rsidRDefault="003E458E" w:rsidP="003E458E">
      <w:pPr>
        <w:pStyle w:val="CGC2025ParaNumbers"/>
      </w:pPr>
      <w:r w:rsidRPr="003E458E">
        <w:t xml:space="preserve">The Commission’s preliminary view is to replace the 4 categorical variables on tenure with a single variable on years of tenure. This specification explains more of the individual level differences in wages. </w:t>
      </w:r>
      <w:hyperlink w:anchor="C" w:history="1">
        <w:r w:rsidRPr="00644FEB">
          <w:t>Attachment C</w:t>
        </w:r>
      </w:hyperlink>
      <w:r w:rsidRPr="00644FEB">
        <w:t xml:space="preserve"> describes</w:t>
      </w:r>
      <w:r w:rsidRPr="003E458E">
        <w:t xml:space="preserve"> the model in more detail.</w:t>
      </w:r>
    </w:p>
    <w:p w14:paraId="136AE007" w14:textId="77777777" w:rsidR="003E458E" w:rsidRPr="00BE48C8" w:rsidRDefault="003E458E" w:rsidP="003E458E">
      <w:pPr>
        <w:pStyle w:val="Heading4"/>
      </w:pPr>
      <w:r>
        <w:t>Consultation questions</w:t>
      </w:r>
    </w:p>
    <w:p w14:paraId="06211888" w14:textId="6C77B46B" w:rsidR="003E458E" w:rsidRDefault="003E458E" w:rsidP="003E458E">
      <w:pPr>
        <w:pStyle w:val="CGCParaNumber"/>
        <w:numPr>
          <w:ilvl w:val="0"/>
          <w:numId w:val="0"/>
        </w:numPr>
      </w:pPr>
      <w:r w:rsidRPr="001C4DF3">
        <w:rPr>
          <w:noProof/>
        </w:rPr>
        <mc:AlternateContent>
          <mc:Choice Requires="wps">
            <w:drawing>
              <wp:inline distT="0" distB="0" distL="0" distR="0" wp14:anchorId="3EB6BE6C" wp14:editId="341C5E0A">
                <wp:extent cx="5688965" cy="463550"/>
                <wp:effectExtent l="0" t="0" r="6985" b="0"/>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8965" cy="463550"/>
                        </a:xfrm>
                        <a:prstGeom prst="rect">
                          <a:avLst/>
                        </a:prstGeom>
                        <a:solidFill>
                          <a:srgbClr val="EBF3F5"/>
                        </a:solidFill>
                        <a:ln w="25400" cap="flat" cmpd="sng" algn="ctr">
                          <a:noFill/>
                          <a:prstDash val="solid"/>
                        </a:ln>
                        <a:effectLst/>
                      </wps:spPr>
                      <wps:txbx>
                        <w:txbxContent>
                          <w:p w14:paraId="75D166DA" w14:textId="77777777" w:rsidR="003E458E" w:rsidRDefault="003E458E" w:rsidP="003E458E">
                            <w:pPr>
                              <w:pStyle w:val="CGC2025QuestionNumbers"/>
                              <w:rPr>
                                <w:lang w:eastAsia="en-AU"/>
                              </w:rPr>
                            </w:pPr>
                            <w:r>
                              <w:rPr>
                                <w:lang w:eastAsia="en-AU"/>
                              </w:rPr>
                              <w:t xml:space="preserve">Do states agree </w:t>
                            </w:r>
                            <w:r w:rsidRPr="00AE3A64">
                              <w:rPr>
                                <w:lang w:eastAsia="en-AU"/>
                              </w:rPr>
                              <w:t xml:space="preserve">the Commission </w:t>
                            </w:r>
                            <w:r>
                              <w:rPr>
                                <w:lang w:eastAsia="en-AU"/>
                              </w:rPr>
                              <w:t>should treat job tenure as a continuous variable</w:t>
                            </w:r>
                            <w:r w:rsidRPr="00AE3A64">
                              <w:rPr>
                                <w:lang w:eastAsia="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B6BE6C" id="Rectangle 4" o:spid="_x0000_s1033" alt="&quot;&quot;" style="width:447.95pt;height: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" fillcolor="#ebf3f5" stroked="f" strokeweight="2pt">
                <v:textbox>
                  <w:txbxContent>
                    <w:p w14:paraId="75D166DA" w14:textId="77777777" w:rsidR="003E458E" w:rsidRDefault="003E458E" w:rsidP="003E458E">
                      <w:pPr>
                        <w:pStyle w:val="CGC2025QuestionNumbers"/>
                        <w:rPr>
                          <w:lang w:eastAsia="en-AU"/>
                        </w:rPr>
                      </w:pPr>
                      <w:r>
                        <w:rPr>
                          <w:lang w:eastAsia="en-AU"/>
                        </w:rPr>
                        <w:t xml:space="preserve">Do states agree </w:t>
                      </w:r>
                      <w:r w:rsidRPr="00AE3A64">
                        <w:rPr>
                          <w:lang w:eastAsia="en-AU"/>
                        </w:rPr>
                        <w:t xml:space="preserve">the Commission </w:t>
                      </w:r>
                      <w:r>
                        <w:rPr>
                          <w:lang w:eastAsia="en-AU"/>
                        </w:rPr>
                        <w:t>should treat job tenure as a continuous variable</w:t>
                      </w:r>
                      <w:r w:rsidRPr="00AE3A64">
                        <w:rPr>
                          <w:lang w:eastAsia="en-AU"/>
                        </w:rPr>
                        <w:t>?</w:t>
                      </w:r>
                    </w:p>
                  </w:txbxContent>
                </v:textbox>
                <w10:anchorlock/>
              </v:rect>
            </w:pict>
          </mc:Fallback>
        </mc:AlternateContent>
      </w:r>
    </w:p>
    <w:p w14:paraId="732860A3" w14:textId="263942FF" w:rsidR="003E458E" w:rsidRDefault="003E458E" w:rsidP="003E458E">
      <w:pPr>
        <w:pStyle w:val="Heading3"/>
      </w:pPr>
      <w:bookmarkStart w:id="65" w:name="_Toc135750674"/>
      <w:bookmarkStart w:id="66" w:name="_Toc138158969"/>
      <w:r>
        <w:t>Discounting of the wage</w:t>
      </w:r>
      <w:r w:rsidR="00BC0C95">
        <w:t xml:space="preserve"> cost</w:t>
      </w:r>
      <w:r>
        <w:t>s assessment</w:t>
      </w:r>
      <w:bookmarkEnd w:id="65"/>
      <w:bookmarkEnd w:id="66"/>
    </w:p>
    <w:p w14:paraId="6F10477F" w14:textId="5B166E37" w:rsidR="003E458E" w:rsidRDefault="003E458E" w:rsidP="003E458E">
      <w:pPr>
        <w:pStyle w:val="CGC2025ParaNumbers"/>
      </w:pPr>
      <w:r>
        <w:t>The current wage</w:t>
      </w:r>
      <w:r w:rsidR="00BC0C95">
        <w:t xml:space="preserve"> cost</w:t>
      </w:r>
      <w:r>
        <w:t>s assessment includes a 12.5% discount, reflecting some uncertainty around the reliability of the survey-based coefficient estimates, the precision of the econometric model and the strength of the correlation between private sector and public sector wages.</w:t>
      </w:r>
    </w:p>
    <w:p w14:paraId="5E93BDC2" w14:textId="489AC3A2" w:rsidR="003E458E" w:rsidRDefault="003E458E" w:rsidP="003E458E">
      <w:pPr>
        <w:pStyle w:val="CGC2025ParaNumbers"/>
      </w:pPr>
      <w:r>
        <w:t>The Commission’s preliminary views, outlined in this paper, include changes designed to reduce volatility and improve the reliability of the assessment. While the wage</w:t>
      </w:r>
      <w:r w:rsidR="00BC0C95">
        <w:t xml:space="preserve"> cost</w:t>
      </w:r>
      <w:r>
        <w:t xml:space="preserve">s assessment is likely to continue to involve some level of uncertainty, the proposed improvements raise the question </w:t>
      </w:r>
      <w:r w:rsidR="00AD3A37">
        <w:t xml:space="preserve">of </w:t>
      </w:r>
      <w:r>
        <w:t xml:space="preserve">whether a continuation of the 12.5% discount is </w:t>
      </w:r>
      <w:r w:rsidR="00AD3A37">
        <w:t>necessary</w:t>
      </w:r>
      <w:r>
        <w:t xml:space="preserve">. </w:t>
      </w:r>
    </w:p>
    <w:p w14:paraId="64E3A799" w14:textId="63621C67" w:rsidR="003E458E" w:rsidRDefault="003E458E" w:rsidP="003E458E">
      <w:pPr>
        <w:pStyle w:val="CGC2025ParaNumbers"/>
      </w:pPr>
      <w:r>
        <w:t xml:space="preserve">The Commission’s preliminary view is that, while proposed </w:t>
      </w:r>
      <w:r w:rsidR="0034030F">
        <w:t xml:space="preserve">changes </w:t>
      </w:r>
      <w:r>
        <w:t xml:space="preserve">improve reliability and reduce volatility, </w:t>
      </w:r>
      <w:r w:rsidDel="005A367C">
        <w:t xml:space="preserve">a </w:t>
      </w:r>
      <w:r>
        <w:t>low level of uncertainty attributable to other aspects of the assessment remains, particularly the use of private sector wages as a proxy for public sector wage costs</w:t>
      </w:r>
      <w:r w:rsidR="00C741A7">
        <w:t>. As such,</w:t>
      </w:r>
      <w:r>
        <w:t xml:space="preserve"> the low-level discount of 12.5% remains appropriate. </w:t>
      </w:r>
    </w:p>
    <w:p w14:paraId="0CA1768C" w14:textId="77777777" w:rsidR="003E458E" w:rsidRDefault="003E458E" w:rsidP="003E458E">
      <w:pPr>
        <w:pStyle w:val="Heading4"/>
      </w:pPr>
      <w:r>
        <w:t>Consultation question</w:t>
      </w:r>
    </w:p>
    <w:p w14:paraId="294D83CC" w14:textId="77777777" w:rsidR="003E458E" w:rsidRPr="00F54CB1" w:rsidRDefault="003E458E" w:rsidP="003E458E">
      <w:pPr>
        <w:pStyle w:val="CGCParaNumber"/>
        <w:numPr>
          <w:ilvl w:val="0"/>
          <w:numId w:val="0"/>
        </w:numPr>
      </w:pPr>
      <w:r w:rsidRPr="001C4DF3">
        <w:rPr>
          <w:noProof/>
        </w:rPr>
        <mc:AlternateContent>
          <mc:Choice Requires="wps">
            <w:drawing>
              <wp:inline distT="0" distB="0" distL="0" distR="0" wp14:anchorId="1DC5DFA9" wp14:editId="1B5D5FFC">
                <wp:extent cx="5553776" cy="501650"/>
                <wp:effectExtent l="0" t="0" r="8890" b="0"/>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53776" cy="501650"/>
                        </a:xfrm>
                        <a:prstGeom prst="rect">
                          <a:avLst/>
                        </a:prstGeom>
                        <a:solidFill>
                          <a:srgbClr val="EBF3F5"/>
                        </a:solidFill>
                        <a:ln w="25400" cap="flat" cmpd="sng" algn="ctr">
                          <a:noFill/>
                          <a:prstDash val="solid"/>
                        </a:ln>
                        <a:effectLst/>
                      </wps:spPr>
                      <wps:txbx>
                        <w:txbxContent>
                          <w:p w14:paraId="3F4DC6BE" w14:textId="77777777" w:rsidR="003E458E" w:rsidRDefault="003E458E" w:rsidP="006E3A5C">
                            <w:pPr>
                              <w:pStyle w:val="CGC2025QuestionNumbers"/>
                            </w:pPr>
                            <w:r>
                              <w:t>Do states agree that a 12.5% discount</w:t>
                            </w:r>
                            <w:r w:rsidDel="00794506">
                              <w:t xml:space="preserve"> </w:t>
                            </w:r>
                            <w:r>
                              <w:t xml:space="preserve">remains appropriate?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C5DFA9" id="Rectangle 13" o:spid="_x0000_s1034" alt="&quot;&quot;" style="width:437.3pt;height: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" fillcolor="#ebf3f5" stroked="f" strokeweight="2pt">
                <v:textbox>
                  <w:txbxContent>
                    <w:p w14:paraId="3F4DC6BE" w14:textId="77777777" w:rsidR="003E458E" w:rsidRDefault="003E458E" w:rsidP="006E3A5C">
                      <w:pPr>
                        <w:pStyle w:val="CGC2025QuestionNumbers"/>
                      </w:pPr>
                      <w:r>
                        <w:t>Do states agree that a 12.5% discount</w:t>
                      </w:r>
                      <w:r w:rsidDel="00794506">
                        <w:t xml:space="preserve"> </w:t>
                      </w:r>
                      <w:r>
                        <w:t xml:space="preserve">remains appropriate? </w:t>
                      </w:r>
                    </w:p>
                  </w:txbxContent>
                </v:textbox>
                <w10:anchorlock/>
              </v:rect>
            </w:pict>
          </mc:Fallback>
        </mc:AlternateContent>
      </w:r>
    </w:p>
    <w:p w14:paraId="6DCD76B2" w14:textId="2626E594" w:rsidR="00F427F0" w:rsidRPr="00FE3C19" w:rsidRDefault="00F427F0" w:rsidP="006656D9">
      <w:pPr>
        <w:pStyle w:val="Heading2"/>
      </w:pPr>
      <w:bookmarkStart w:id="67" w:name="_Toc138158970"/>
      <w:r w:rsidRPr="00FE3C19">
        <w:lastRenderedPageBreak/>
        <w:t>Proposed assessment</w:t>
      </w:r>
      <w:bookmarkEnd w:id="57"/>
      <w:bookmarkEnd w:id="58"/>
      <w:bookmarkEnd w:id="59"/>
      <w:bookmarkEnd w:id="60"/>
      <w:bookmarkEnd w:id="61"/>
      <w:bookmarkEnd w:id="67"/>
    </w:p>
    <w:p w14:paraId="7E4F72A9" w14:textId="77777777" w:rsidR="00F427F0" w:rsidRPr="00FE3C19" w:rsidRDefault="00F427F0" w:rsidP="001F4B1F">
      <w:pPr>
        <w:pStyle w:val="Heading3"/>
      </w:pPr>
      <w:bookmarkStart w:id="68" w:name="_Toc132729114"/>
      <w:bookmarkStart w:id="69" w:name="_Toc133236155"/>
      <w:bookmarkStart w:id="70" w:name="_Toc133236181"/>
      <w:bookmarkStart w:id="71" w:name="_Toc138158971"/>
      <w:r w:rsidRPr="00FE3C19">
        <w:t>Differences from the 2020 Review approach</w:t>
      </w:r>
      <w:bookmarkEnd w:id="68"/>
      <w:bookmarkEnd w:id="69"/>
      <w:bookmarkEnd w:id="70"/>
      <w:bookmarkEnd w:id="71"/>
    </w:p>
    <w:p w14:paraId="4196C2F3" w14:textId="77777777" w:rsidR="006E3A5C" w:rsidRDefault="006E3A5C" w:rsidP="006E3A5C">
      <w:pPr>
        <w:pStyle w:val="CGC2025ParaNumbers"/>
      </w:pPr>
      <w:bookmarkStart w:id="72" w:name="_Toc132729115"/>
      <w:bookmarkStart w:id="73" w:name="_Toc133236156"/>
      <w:bookmarkStart w:id="74" w:name="_Toc133236182"/>
      <w:r>
        <w:t>Subject to state views the Commission proposes 2 changes:</w:t>
      </w:r>
    </w:p>
    <w:p w14:paraId="4FC1CC34" w14:textId="77777777" w:rsidR="006E3A5C" w:rsidRDefault="006E3A5C" w:rsidP="006E3A5C">
      <w:pPr>
        <w:pStyle w:val="CGC2025Bullet1"/>
      </w:pPr>
      <w:r>
        <w:t xml:space="preserve">combining annual survey estimates to increase the reliability and reduce the volatility of estimated relative state wage </w:t>
      </w:r>
      <w:proofErr w:type="gramStart"/>
      <w:r>
        <w:t>levels</w:t>
      </w:r>
      <w:proofErr w:type="gramEnd"/>
    </w:p>
    <w:p w14:paraId="58C3BE41" w14:textId="77777777" w:rsidR="006E3A5C" w:rsidRDefault="006E3A5C" w:rsidP="006E3A5C">
      <w:pPr>
        <w:pStyle w:val="CGC2025Bullet1"/>
      </w:pPr>
      <w:r>
        <w:t>changing the specification of the regression model to increase the accuracy and robustness of survey estimates.</w:t>
      </w:r>
    </w:p>
    <w:p w14:paraId="6866BBDF" w14:textId="1FF63E4B" w:rsidR="006E3A5C" w:rsidRDefault="006E3A5C" w:rsidP="006E3A5C">
      <w:pPr>
        <w:pStyle w:val="CGC2025ParaNumbers"/>
      </w:pPr>
      <w:r>
        <w:t xml:space="preserve">The Commission proposes to use the full time series of available survey estimates of relative state wage costs, </w:t>
      </w:r>
      <w:r w:rsidR="00337BDE">
        <w:t>beginning</w:t>
      </w:r>
      <w:r w:rsidR="003C0E43">
        <w:t xml:space="preserve"> from</w:t>
      </w:r>
      <w:r w:rsidR="00337BDE">
        <w:t xml:space="preserve"> </w:t>
      </w:r>
      <w:r>
        <w:t>2016</w:t>
      </w:r>
      <w:r w:rsidR="00940EEB">
        <w:t>–</w:t>
      </w:r>
      <w:r>
        <w:t xml:space="preserve">17, to estimate relative wage costs in each assessment year. These estimates would be generated by indexing and weighting the estimates from each contributing year as outlined </w:t>
      </w:r>
      <w:r w:rsidRPr="007441CC">
        <w:t>in</w:t>
      </w:r>
      <w:r w:rsidR="00550C51" w:rsidRPr="007441CC">
        <w:t xml:space="preserve"> </w:t>
      </w:r>
      <w:hyperlink w:anchor="B" w:history="1">
        <w:r w:rsidR="00550C51" w:rsidRPr="007441CC">
          <w:t>Attachment B</w:t>
        </w:r>
      </w:hyperlink>
      <w:r w:rsidRPr="007441CC">
        <w:t>.</w:t>
      </w:r>
    </w:p>
    <w:p w14:paraId="4842484E" w14:textId="77777777" w:rsidR="006E3A5C" w:rsidRDefault="006E3A5C" w:rsidP="006E3A5C">
      <w:pPr>
        <w:pStyle w:val="CGC2025ParaNumbers"/>
      </w:pPr>
      <w:r>
        <w:t>The Commission proposes to make the following changes to the model specification:</w:t>
      </w:r>
    </w:p>
    <w:p w14:paraId="31DCC090" w14:textId="6051C576" w:rsidR="006E3A5C" w:rsidRDefault="006E3A5C" w:rsidP="006E3A5C">
      <w:pPr>
        <w:pStyle w:val="CGC2025Bullet1"/>
      </w:pPr>
      <w:r>
        <w:t xml:space="preserve">use hourly rather than weekly wages as the dependent </w:t>
      </w:r>
      <w:proofErr w:type="gramStart"/>
      <w:r>
        <w:t>variable</w:t>
      </w:r>
      <w:proofErr w:type="gramEnd"/>
    </w:p>
    <w:p w14:paraId="7CD4212F" w14:textId="3C111775" w:rsidR="006E3A5C" w:rsidRDefault="006E3A5C" w:rsidP="006E3A5C">
      <w:pPr>
        <w:pStyle w:val="CGC2025Bullet1"/>
      </w:pPr>
      <w:r>
        <w:t xml:space="preserve">include as independent variables both ‘Hours usually worked’ and ‘Hours from last payslip’, with quadratic and interaction </w:t>
      </w:r>
      <w:proofErr w:type="gramStart"/>
      <w:r>
        <w:t>terms</w:t>
      </w:r>
      <w:proofErr w:type="gramEnd"/>
    </w:p>
    <w:p w14:paraId="710A1636" w14:textId="25C8316A" w:rsidR="006E3A5C" w:rsidRDefault="006E3A5C" w:rsidP="006E3A5C">
      <w:pPr>
        <w:pStyle w:val="CGC2025Bullet1"/>
      </w:pPr>
      <w:r>
        <w:t xml:space="preserve">replace the constructed work experience variable with an interaction between highest education level and </w:t>
      </w:r>
      <w:proofErr w:type="gramStart"/>
      <w:r>
        <w:t>age</w:t>
      </w:r>
      <w:proofErr w:type="gramEnd"/>
    </w:p>
    <w:p w14:paraId="2B03057D" w14:textId="77777777" w:rsidR="006E3A5C" w:rsidRDefault="006E3A5C" w:rsidP="006E3A5C">
      <w:pPr>
        <w:pStyle w:val="CGC2025Bullet1"/>
      </w:pPr>
      <w:r>
        <w:t xml:space="preserve">include job tenure as a continuous variable. </w:t>
      </w:r>
    </w:p>
    <w:p w14:paraId="24BE0C6E" w14:textId="77777777" w:rsidR="00AB6FFE" w:rsidRPr="00AB6FFE" w:rsidRDefault="00AB6FFE" w:rsidP="00F971B0">
      <w:pPr>
        <w:pStyle w:val="Heading3"/>
      </w:pPr>
      <w:bookmarkStart w:id="75" w:name="_Toc132729116"/>
      <w:bookmarkStart w:id="76" w:name="_Toc133236157"/>
      <w:bookmarkStart w:id="77" w:name="_Toc133236183"/>
      <w:bookmarkStart w:id="78" w:name="_Toc138158972"/>
      <w:bookmarkEnd w:id="72"/>
      <w:bookmarkEnd w:id="73"/>
      <w:bookmarkEnd w:id="74"/>
      <w:r w:rsidRPr="00AB6FFE">
        <w:t>New data requirements</w:t>
      </w:r>
      <w:bookmarkEnd w:id="75"/>
      <w:bookmarkEnd w:id="76"/>
      <w:bookmarkEnd w:id="77"/>
      <w:bookmarkEnd w:id="78"/>
    </w:p>
    <w:p w14:paraId="05E36B09" w14:textId="77777777" w:rsidR="006E3A5C" w:rsidRPr="006E3A5C" w:rsidRDefault="006E3A5C" w:rsidP="006E3A5C">
      <w:pPr>
        <w:pStyle w:val="CGC2025ParaNumbers"/>
      </w:pPr>
      <w:bookmarkStart w:id="79" w:name="_Toc121741493"/>
      <w:bookmarkStart w:id="80" w:name="_Toc127428362"/>
      <w:bookmarkStart w:id="81" w:name="_Toc132729117"/>
      <w:bookmarkStart w:id="82" w:name="_Toc133236158"/>
      <w:bookmarkStart w:id="83" w:name="_Toc133236184"/>
      <w:r w:rsidRPr="006E3A5C">
        <w:t>No new data will be required from states.</w:t>
      </w:r>
    </w:p>
    <w:p w14:paraId="008DE7B4" w14:textId="2624E8BD" w:rsidR="006E3A5C" w:rsidRPr="006E3A5C" w:rsidRDefault="006E3A5C" w:rsidP="006E3A5C">
      <w:pPr>
        <w:pStyle w:val="CGC2025ParaNumbers"/>
      </w:pPr>
      <w:r w:rsidRPr="006E3A5C">
        <w:t>The wage cost proportions for each expense category will be recalculated from the ABS</w:t>
      </w:r>
      <w:r w:rsidR="0091149A">
        <w:t>’</w:t>
      </w:r>
      <w:r w:rsidRPr="006E3A5C">
        <w:t xml:space="preserve"> </w:t>
      </w:r>
      <w:r w:rsidR="0091149A">
        <w:t>G</w:t>
      </w:r>
      <w:r w:rsidRPr="006E3A5C">
        <w:t xml:space="preserve">overnment </w:t>
      </w:r>
      <w:r w:rsidR="0091149A">
        <w:t>F</w:t>
      </w:r>
      <w:r w:rsidRPr="006E3A5C">
        <w:t xml:space="preserve">inance </w:t>
      </w:r>
      <w:r w:rsidR="0091149A">
        <w:t>S</w:t>
      </w:r>
      <w:r w:rsidRPr="006E3A5C">
        <w:t xml:space="preserve">tatistics data, following the same method as the 2020 Review. </w:t>
      </w:r>
    </w:p>
    <w:p w14:paraId="672F4910" w14:textId="51CC00F0" w:rsidR="00AB6FFE" w:rsidRDefault="00AB6FFE" w:rsidP="00F971B0">
      <w:pPr>
        <w:pStyle w:val="Heading2"/>
      </w:pPr>
      <w:bookmarkStart w:id="84" w:name="_Toc138158973"/>
      <w:r w:rsidRPr="00AB6FFE">
        <w:t>Consultation</w:t>
      </w:r>
      <w:bookmarkEnd w:id="79"/>
      <w:bookmarkEnd w:id="80"/>
      <w:bookmarkEnd w:id="81"/>
      <w:bookmarkEnd w:id="82"/>
      <w:bookmarkEnd w:id="83"/>
      <w:bookmarkEnd w:id="84"/>
    </w:p>
    <w:p w14:paraId="46E37D71" w14:textId="77777777" w:rsidR="006E3A5C" w:rsidRPr="00D10FD0" w:rsidRDefault="006E3A5C" w:rsidP="006E3A5C">
      <w:pPr>
        <w:pStyle w:val="CGC2025ParaNumbers"/>
      </w:pPr>
      <w:bookmarkStart w:id="85" w:name="_Hlk121314611"/>
      <w:r w:rsidRPr="00D10FD0">
        <w:t>The Commission welcomes state views on the consultation question</w:t>
      </w:r>
      <w:r>
        <w:t>s</w:t>
      </w:r>
      <w:r w:rsidRPr="00D10FD0">
        <w:t xml:space="preserve"> identified in this paper (outlined below) and the proposed assessment. State submissions should accord with the 2025 Review framework. States are welcome to raise other relevant issues with the Commission.</w:t>
      </w:r>
      <w:r>
        <w:t xml:space="preserve"> </w:t>
      </w:r>
    </w:p>
    <w:bookmarkEnd w:id="85"/>
    <w:p w14:paraId="1B116B9D" w14:textId="77777777" w:rsidR="00C965B0" w:rsidRDefault="00C965B0">
      <w:pPr>
        <w:tabs>
          <w:tab w:val="clear" w:pos="567"/>
        </w:tabs>
        <w:spacing w:before="0" w:after="200" w:line="276" w:lineRule="auto"/>
        <w:rPr>
          <w:rFonts w:ascii="Work Sans" w:hAnsi="Work Sans"/>
          <w:szCs w:val="24"/>
        </w:rPr>
      </w:pPr>
      <w:r>
        <w:br w:type="page"/>
      </w:r>
    </w:p>
    <w:p w14:paraId="205045C0" w14:textId="6D7ACCD8" w:rsidR="006E3A5C" w:rsidRPr="00D10FD0" w:rsidRDefault="006E3A5C" w:rsidP="006E3A5C">
      <w:pPr>
        <w:pStyle w:val="CGC2025ParaNumbers"/>
      </w:pPr>
      <w:r w:rsidRPr="00B37E36">
        <w:lastRenderedPageBreak/>
        <w:t xml:space="preserve">States will be </w:t>
      </w:r>
      <w:r>
        <w:t xml:space="preserve">given the opportunity to </w:t>
      </w:r>
      <w:r w:rsidR="00321184">
        <w:t xml:space="preserve">separately </w:t>
      </w:r>
      <w:r>
        <w:t>provide input</w:t>
      </w:r>
      <w:r w:rsidR="00321184">
        <w:t xml:space="preserve"> on </w:t>
      </w:r>
      <w:r w:rsidR="003565AC">
        <w:t>Professor Preston’s</w:t>
      </w:r>
      <w:r w:rsidR="00321184">
        <w:t xml:space="preserve"> consultancy</w:t>
      </w:r>
      <w:r w:rsidRPr="00B37E36">
        <w:t xml:space="preserve">. </w:t>
      </w:r>
      <w:r>
        <w:t xml:space="preserve">As outlined in paragraph 6, states will receive the consultant’s report in August 2023 and state submissions on the wages costs assessment paper should be with the Commission by 13 </w:t>
      </w:r>
      <w:r w:rsidR="00276C79">
        <w:t>November</w:t>
      </w:r>
      <w:r>
        <w:t xml:space="preserve"> 2023.</w:t>
      </w:r>
    </w:p>
    <w:p w14:paraId="5EBBAE71" w14:textId="77777777" w:rsidR="00B17FBC" w:rsidRDefault="00B17FBC" w:rsidP="00A5102B">
      <w:pPr>
        <w:rPr>
          <w:rFonts w:ascii="Work Sans" w:hAnsi="Work Sans"/>
          <w:szCs w:val="20"/>
        </w:rPr>
      </w:pPr>
      <w:r w:rsidRPr="001C4DF3">
        <w:rPr>
          <w:noProof/>
        </w:rPr>
        <mc:AlternateContent>
          <mc:Choice Requires="wps">
            <w:drawing>
              <wp:inline distT="0" distB="0" distL="0" distR="0" wp14:anchorId="1E4C6780" wp14:editId="189B4160">
                <wp:extent cx="5648325" cy="3084022"/>
                <wp:effectExtent l="0" t="0" r="9525" b="2540"/>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3084022"/>
                        </a:xfrm>
                        <a:prstGeom prst="rect">
                          <a:avLst/>
                        </a:prstGeom>
                        <a:solidFill>
                          <a:srgbClr val="EBF3F5"/>
                        </a:solidFill>
                        <a:ln w="25400" cap="flat" cmpd="sng" algn="ctr">
                          <a:noFill/>
                          <a:prstDash val="solid"/>
                        </a:ln>
                        <a:effectLst/>
                      </wps:spPr>
                      <wps:txbx>
                        <w:txbxContent>
                          <w:p w14:paraId="6EE70E64" w14:textId="2174E80A" w:rsidR="006E3A5C" w:rsidRDefault="006E3A5C" w:rsidP="006E3A5C">
                            <w:pPr>
                              <w:pStyle w:val="CGC2025Questionsnumbers2"/>
                            </w:pPr>
                            <w:r>
                              <w:t>Do states agree that the underlying conceptual basis for the wage</w:t>
                            </w:r>
                            <w:r w:rsidR="00BC0C95">
                              <w:t xml:space="preserve"> cost</w:t>
                            </w:r>
                            <w:r>
                              <w:t>s assessment remains sound?</w:t>
                            </w:r>
                          </w:p>
                          <w:p w14:paraId="31200665" w14:textId="77777777" w:rsidR="006E3A5C" w:rsidRPr="00603036" w:rsidRDefault="006E3A5C" w:rsidP="006E3A5C">
                            <w:pPr>
                              <w:pStyle w:val="CGC2025Questionsnumbers2"/>
                              <w:rPr>
                                <w:lang w:eastAsia="en-AU"/>
                              </w:rPr>
                            </w:pPr>
                            <w:r w:rsidRPr="00603036">
                              <w:t xml:space="preserve">Do states agree with the proposed approach to combine estimates of relative differences in states wages across years? </w:t>
                            </w:r>
                          </w:p>
                          <w:p w14:paraId="34A2121B" w14:textId="5DD0EC79" w:rsidR="006E3A5C" w:rsidRDefault="006E3A5C" w:rsidP="006E3A5C">
                            <w:pPr>
                              <w:pStyle w:val="CGC2025Questionsnumbers2"/>
                              <w:rPr>
                                <w:lang w:eastAsia="en-AU"/>
                              </w:rPr>
                            </w:pPr>
                            <w:r>
                              <w:rPr>
                                <w:lang w:eastAsia="en-AU"/>
                              </w:rPr>
                              <w:t xml:space="preserve">Do </w:t>
                            </w:r>
                            <w:r w:rsidR="007F04FE">
                              <w:rPr>
                                <w:lang w:eastAsia="en-AU"/>
                              </w:rPr>
                              <w:t>s</w:t>
                            </w:r>
                            <w:r>
                              <w:rPr>
                                <w:lang w:eastAsia="en-AU"/>
                              </w:rPr>
                              <w:t>tates agree the Commission should:</w:t>
                            </w:r>
                          </w:p>
                          <w:p w14:paraId="489D5F3D" w14:textId="50A1B33A" w:rsidR="006E3A5C" w:rsidRDefault="006E3A5C" w:rsidP="00CD4CEB">
                            <w:pPr>
                              <w:pStyle w:val="CGC2025Bullet1"/>
                              <w:rPr>
                                <w:lang w:eastAsia="en-AU"/>
                              </w:rPr>
                            </w:pPr>
                            <w:r>
                              <w:rPr>
                                <w:lang w:eastAsia="en-AU"/>
                              </w:rPr>
                              <w:t>use hourly wages rather than weekly wages as the dependent variable?</w:t>
                            </w:r>
                          </w:p>
                          <w:p w14:paraId="585B814C" w14:textId="09AEF3C8" w:rsidR="006E3A5C" w:rsidRDefault="006E3A5C" w:rsidP="00CD4CEB">
                            <w:pPr>
                              <w:pStyle w:val="CGC2025Bullet1"/>
                              <w:rPr>
                                <w:lang w:eastAsia="en-AU"/>
                              </w:rPr>
                            </w:pPr>
                            <w:r>
                              <w:rPr>
                                <w:lang w:eastAsia="en-AU"/>
                              </w:rPr>
                              <w:t xml:space="preserve">include both </w:t>
                            </w:r>
                            <w:r w:rsidRPr="00982BA0">
                              <w:rPr>
                                <w:lang w:eastAsia="en-AU"/>
                              </w:rPr>
                              <w:t>usual hours worked and</w:t>
                            </w:r>
                            <w:r w:rsidRPr="00982BA0">
                              <w:rPr>
                                <w:b/>
                                <w:lang w:eastAsia="en-AU"/>
                              </w:rPr>
                              <w:t xml:space="preserve"> </w:t>
                            </w:r>
                            <w:r w:rsidR="00CA5D80">
                              <w:rPr>
                                <w:bCs/>
                                <w:lang w:eastAsia="en-AU"/>
                              </w:rPr>
                              <w:t xml:space="preserve">paid </w:t>
                            </w:r>
                            <w:r w:rsidRPr="00982BA0">
                              <w:rPr>
                                <w:lang w:eastAsia="en-AU"/>
                              </w:rPr>
                              <w:t>hours as explanatory variables including as non-linear and interacting terms</w:t>
                            </w:r>
                            <w:r>
                              <w:rPr>
                                <w:lang w:eastAsia="en-AU"/>
                              </w:rPr>
                              <w:t>?</w:t>
                            </w:r>
                          </w:p>
                          <w:p w14:paraId="497C2E27" w14:textId="53B133E1" w:rsidR="006E3A5C" w:rsidRDefault="006E3A5C" w:rsidP="006E3A5C">
                            <w:pPr>
                              <w:pStyle w:val="CGC2025Questionsnumbers2"/>
                            </w:pPr>
                            <w:r>
                              <w:rPr>
                                <w:lang w:eastAsia="en-AU"/>
                              </w:rPr>
                              <w:t>Do states agree the Commission should replace the derived work experience variable with interacting variables of age and level of education</w:t>
                            </w:r>
                            <w:r w:rsidR="000259E1">
                              <w:rPr>
                                <w:lang w:eastAsia="en-AU"/>
                              </w:rPr>
                              <w:t>?</w:t>
                            </w:r>
                          </w:p>
                          <w:p w14:paraId="3C037D70" w14:textId="77777777" w:rsidR="006E3A5C" w:rsidRDefault="006E3A5C" w:rsidP="006E3A5C">
                            <w:pPr>
                              <w:pStyle w:val="CGC2025Questionsnumbers2"/>
                              <w:rPr>
                                <w:lang w:eastAsia="en-AU"/>
                              </w:rPr>
                            </w:pPr>
                            <w:r>
                              <w:rPr>
                                <w:lang w:eastAsia="en-AU"/>
                              </w:rPr>
                              <w:t xml:space="preserve">Do states agree </w:t>
                            </w:r>
                            <w:r w:rsidRPr="00AE3A64">
                              <w:rPr>
                                <w:lang w:eastAsia="en-AU"/>
                              </w:rPr>
                              <w:t xml:space="preserve">the Commission </w:t>
                            </w:r>
                            <w:r>
                              <w:rPr>
                                <w:lang w:eastAsia="en-AU"/>
                              </w:rPr>
                              <w:t>should treat job tenure as a continuous variable</w:t>
                            </w:r>
                            <w:r w:rsidRPr="00AE3A64">
                              <w:rPr>
                                <w:lang w:eastAsia="en-AU"/>
                              </w:rPr>
                              <w:t>?</w:t>
                            </w:r>
                          </w:p>
                          <w:p w14:paraId="3DAD5832" w14:textId="0D4903A1" w:rsidR="00B17FBC" w:rsidRPr="00F733EB" w:rsidRDefault="006E3A5C" w:rsidP="006E3A5C">
                            <w:pPr>
                              <w:pStyle w:val="CGC2025Questionsnumbers2"/>
                            </w:pPr>
                            <w:r>
                              <w:t xml:space="preserve">Do states agree that a 12.5% discount </w:t>
                            </w:r>
                            <w:r w:rsidR="00437EB5">
                              <w:t>remains</w:t>
                            </w:r>
                            <w:r>
                              <w:t xml:space="preserve">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4C6780" id="Rectangle 1" o:spid="_x0000_s1035" alt="&quot;&quot;" style="width:444.75pt;height:24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" fillcolor="#ebf3f5" stroked="f" strokeweight="2pt">
                <v:textbox>
                  <w:txbxContent>
                    <w:p w14:paraId="6EE70E64" w14:textId="2174E80A" w:rsidR="006E3A5C" w:rsidRDefault="006E3A5C" w:rsidP="006E3A5C">
                      <w:pPr>
                        <w:pStyle w:val="CGC2025Questionsnumbers2"/>
                      </w:pPr>
                      <w:r>
                        <w:t>Do states agree that the underlying conceptual basis for the wage</w:t>
                      </w:r>
                      <w:r w:rsidR="00BC0C95">
                        <w:t xml:space="preserve"> cost</w:t>
                      </w:r>
                      <w:r>
                        <w:t>s assessment remains sound?</w:t>
                      </w:r>
                    </w:p>
                    <w:p w14:paraId="31200665" w14:textId="77777777" w:rsidR="006E3A5C" w:rsidRPr="00603036" w:rsidRDefault="006E3A5C" w:rsidP="006E3A5C">
                      <w:pPr>
                        <w:pStyle w:val="CGC2025Questionsnumbers2"/>
                        <w:rPr>
                          <w:lang w:eastAsia="en-AU"/>
                        </w:rPr>
                      </w:pPr>
                      <w:r w:rsidRPr="00603036">
                        <w:t xml:space="preserve">Do states agree with the proposed approach to combine estimates of relative differences in states wages across years? </w:t>
                      </w:r>
                    </w:p>
                    <w:p w14:paraId="34A2121B" w14:textId="5DD0EC79" w:rsidR="006E3A5C" w:rsidRDefault="006E3A5C" w:rsidP="006E3A5C">
                      <w:pPr>
                        <w:pStyle w:val="CGC2025Questionsnumbers2"/>
                        <w:rPr>
                          <w:lang w:eastAsia="en-AU"/>
                        </w:rPr>
                      </w:pPr>
                      <w:r>
                        <w:rPr>
                          <w:lang w:eastAsia="en-AU"/>
                        </w:rPr>
                        <w:t xml:space="preserve">Do </w:t>
                      </w:r>
                      <w:r w:rsidR="007F04FE">
                        <w:rPr>
                          <w:lang w:eastAsia="en-AU"/>
                        </w:rPr>
                        <w:t>s</w:t>
                      </w:r>
                      <w:r>
                        <w:rPr>
                          <w:lang w:eastAsia="en-AU"/>
                        </w:rPr>
                        <w:t>tates agree the Commission should:</w:t>
                      </w:r>
                    </w:p>
                    <w:p w14:paraId="489D5F3D" w14:textId="50A1B33A" w:rsidR="006E3A5C" w:rsidRDefault="006E3A5C" w:rsidP="00CD4CEB">
                      <w:pPr>
                        <w:pStyle w:val="CGC2025Bullet1"/>
                        <w:rPr>
                          <w:lang w:eastAsia="en-AU"/>
                        </w:rPr>
                      </w:pPr>
                      <w:r>
                        <w:rPr>
                          <w:lang w:eastAsia="en-AU"/>
                        </w:rPr>
                        <w:t>use hourly wages rather than weekly wages as the dependent variable?</w:t>
                      </w:r>
                    </w:p>
                    <w:p w14:paraId="585B814C" w14:textId="09AEF3C8" w:rsidR="006E3A5C" w:rsidRDefault="006E3A5C" w:rsidP="00CD4CEB">
                      <w:pPr>
                        <w:pStyle w:val="CGC2025Bullet1"/>
                        <w:rPr>
                          <w:lang w:eastAsia="en-AU"/>
                        </w:rPr>
                      </w:pPr>
                      <w:r>
                        <w:rPr>
                          <w:lang w:eastAsia="en-AU"/>
                        </w:rPr>
                        <w:t xml:space="preserve">include both </w:t>
                      </w:r>
                      <w:r w:rsidRPr="00982BA0">
                        <w:rPr>
                          <w:lang w:eastAsia="en-AU"/>
                        </w:rPr>
                        <w:t>usual hours worked and</w:t>
                      </w:r>
                      <w:r w:rsidRPr="00982BA0">
                        <w:rPr>
                          <w:b/>
                          <w:lang w:eastAsia="en-AU"/>
                        </w:rPr>
                        <w:t xml:space="preserve"> </w:t>
                      </w:r>
                      <w:r w:rsidR="00CA5D80">
                        <w:rPr>
                          <w:bCs/>
                          <w:lang w:eastAsia="en-AU"/>
                        </w:rPr>
                        <w:t xml:space="preserve">paid </w:t>
                      </w:r>
                      <w:r w:rsidRPr="00982BA0">
                        <w:rPr>
                          <w:lang w:eastAsia="en-AU"/>
                        </w:rPr>
                        <w:t>hours as explanatory variables including as non-linear and interacting terms</w:t>
                      </w:r>
                      <w:r>
                        <w:rPr>
                          <w:lang w:eastAsia="en-AU"/>
                        </w:rPr>
                        <w:t>?</w:t>
                      </w:r>
                    </w:p>
                    <w:p w14:paraId="497C2E27" w14:textId="53B133E1" w:rsidR="006E3A5C" w:rsidRDefault="006E3A5C" w:rsidP="006E3A5C">
                      <w:pPr>
                        <w:pStyle w:val="CGC2025Questionsnumbers2"/>
                      </w:pPr>
                      <w:r>
                        <w:rPr>
                          <w:lang w:eastAsia="en-AU"/>
                        </w:rPr>
                        <w:t>Do states agree the Commission should replace the derived work experience variable with interacting variables of age and level of education</w:t>
                      </w:r>
                      <w:r w:rsidR="000259E1">
                        <w:rPr>
                          <w:lang w:eastAsia="en-AU"/>
                        </w:rPr>
                        <w:t>?</w:t>
                      </w:r>
                    </w:p>
                    <w:p w14:paraId="3C037D70" w14:textId="77777777" w:rsidR="006E3A5C" w:rsidRDefault="006E3A5C" w:rsidP="006E3A5C">
                      <w:pPr>
                        <w:pStyle w:val="CGC2025Questionsnumbers2"/>
                        <w:rPr>
                          <w:lang w:eastAsia="en-AU"/>
                        </w:rPr>
                      </w:pPr>
                      <w:r>
                        <w:rPr>
                          <w:lang w:eastAsia="en-AU"/>
                        </w:rPr>
                        <w:t xml:space="preserve">Do states agree </w:t>
                      </w:r>
                      <w:r w:rsidRPr="00AE3A64">
                        <w:rPr>
                          <w:lang w:eastAsia="en-AU"/>
                        </w:rPr>
                        <w:t xml:space="preserve">the Commission </w:t>
                      </w:r>
                      <w:r>
                        <w:rPr>
                          <w:lang w:eastAsia="en-AU"/>
                        </w:rPr>
                        <w:t>should treat job tenure as a continuous variable</w:t>
                      </w:r>
                      <w:r w:rsidRPr="00AE3A64">
                        <w:rPr>
                          <w:lang w:eastAsia="en-AU"/>
                        </w:rPr>
                        <w:t>?</w:t>
                      </w:r>
                    </w:p>
                    <w:p w14:paraId="3DAD5832" w14:textId="0D4903A1" w:rsidR="00B17FBC" w:rsidRPr="00F733EB" w:rsidRDefault="006E3A5C" w:rsidP="006E3A5C">
                      <w:pPr>
                        <w:pStyle w:val="CGC2025Questionsnumbers2"/>
                      </w:pPr>
                      <w:r>
                        <w:t xml:space="preserve">Do states agree that a 12.5% discount </w:t>
                      </w:r>
                      <w:r w:rsidR="00437EB5">
                        <w:t>remains</w:t>
                      </w:r>
                      <w:r>
                        <w:t xml:space="preserve"> appropriate?</w:t>
                      </w:r>
                    </w:p>
                  </w:txbxContent>
                </v:textbox>
                <w10:anchorlock/>
              </v:rect>
            </w:pict>
          </mc:Fallback>
        </mc:AlternateContent>
      </w:r>
    </w:p>
    <w:p w14:paraId="30BD27F4" w14:textId="290F70E3" w:rsidR="00377F68" w:rsidRPr="00294D2F" w:rsidRDefault="00377F68" w:rsidP="00294D2F"/>
    <w:p w14:paraId="16547CE7" w14:textId="77777777" w:rsidR="004F0684" w:rsidRDefault="004F0684">
      <w:pPr>
        <w:tabs>
          <w:tab w:val="clear" w:pos="567"/>
        </w:tabs>
        <w:spacing w:before="0" w:after="200" w:line="276" w:lineRule="auto"/>
        <w:rPr>
          <w:rFonts w:ascii="Work Sans" w:eastAsia="Times New Roman" w:hAnsi="Work Sans" w:cs="Open Sans"/>
          <w:b/>
          <w:bCs/>
          <w:color w:val="006991"/>
          <w:sz w:val="36"/>
          <w:szCs w:val="36"/>
        </w:rPr>
      </w:pPr>
      <w:bookmarkStart w:id="86" w:name="_Toc133236159"/>
      <w:bookmarkStart w:id="87" w:name="_Toc133236185"/>
      <w:r>
        <w:br w:type="page"/>
      </w:r>
    </w:p>
    <w:bookmarkStart w:id="88" w:name="_Toc138158974" w:displacedByCustomXml="next"/>
    <w:sdt>
      <w:sdtPr>
        <w:rPr>
          <w:rFonts w:ascii="Open Sans Light" w:eastAsiaTheme="minorHAnsi" w:hAnsi="Open Sans Light" w:cstheme="minorBidi"/>
          <w:b w:val="0"/>
          <w:bCs w:val="0"/>
          <w:color w:val="auto"/>
          <w:sz w:val="20"/>
          <w:szCs w:val="22"/>
        </w:rPr>
        <w:id w:val="211393661"/>
        <w:docPartObj>
          <w:docPartGallery w:val="Bibliographies"/>
          <w:docPartUnique/>
        </w:docPartObj>
      </w:sdtPr>
      <w:sdtEndPr/>
      <w:sdtContent>
        <w:p w14:paraId="2BE05DBC" w14:textId="470E3993" w:rsidR="00DB66C5" w:rsidDel="00516782" w:rsidRDefault="00DB66C5" w:rsidP="00516782">
          <w:pPr>
            <w:pStyle w:val="Heading1"/>
          </w:pPr>
          <w:r w:rsidDel="00516782">
            <w:t>References</w:t>
          </w:r>
          <w:bookmarkEnd w:id="88"/>
        </w:p>
        <w:sdt>
          <w:sdtPr>
            <w:id w:val="-573587230"/>
            <w:bibliography/>
          </w:sdtPr>
          <w:sdtEndPr/>
          <w:sdtContent>
            <w:p w14:paraId="659DBDDE" w14:textId="2076F1C8" w:rsidR="00E40D34" w:rsidDel="00516782" w:rsidRDefault="00DB66C5" w:rsidP="003565AC">
              <w:pPr>
                <w:pStyle w:val="Bibliography"/>
                <w:ind w:left="720" w:hanging="720"/>
                <w:rPr>
                  <w:noProof/>
                  <w:sz w:val="24"/>
                  <w:szCs w:val="24"/>
                </w:rPr>
              </w:pPr>
              <w:r w:rsidDel="00516782">
                <w:rPr>
                  <w:b/>
                </w:rPr>
                <w:fldChar w:fldCharType="begin"/>
              </w:r>
              <w:r w:rsidDel="00516782">
                <w:instrText xml:space="preserve"> BIBLIOGRAPHY </w:instrText>
              </w:r>
              <w:r w:rsidDel="00516782">
                <w:rPr>
                  <w:b/>
                </w:rPr>
                <w:fldChar w:fldCharType="separate"/>
              </w:r>
              <w:r w:rsidR="00E40D34" w:rsidDel="00516782">
                <w:rPr>
                  <w:noProof/>
                </w:rPr>
                <w:t>ABS. (2021, December). Working arrangements. Canberra. Retrieved from abs.gov.au.</w:t>
              </w:r>
            </w:p>
            <w:p w14:paraId="6F89E8C1" w14:textId="42C64E28" w:rsidR="00E40D34" w:rsidDel="00516782" w:rsidRDefault="00E40D34" w:rsidP="003565AC">
              <w:pPr>
                <w:pStyle w:val="Bibliography"/>
                <w:ind w:left="720" w:hanging="720"/>
                <w:rPr>
                  <w:noProof/>
                </w:rPr>
              </w:pPr>
              <w:r w:rsidDel="00516782">
                <w:rPr>
                  <w:noProof/>
                </w:rPr>
                <w:t>ABS. (2022, December). Industrial Disputes, Australia. Canberra.</w:t>
              </w:r>
            </w:p>
            <w:p w14:paraId="18B31EAA" w14:textId="78DABCA2" w:rsidR="00E40D34" w:rsidDel="00516782" w:rsidRDefault="00E40D34" w:rsidP="003565AC">
              <w:pPr>
                <w:pStyle w:val="Bibliography"/>
                <w:ind w:left="720" w:hanging="720"/>
                <w:rPr>
                  <w:noProof/>
                </w:rPr>
              </w:pPr>
              <w:r w:rsidDel="00516782">
                <w:rPr>
                  <w:noProof/>
                </w:rPr>
                <w:t xml:space="preserve">ABS. (2023). </w:t>
              </w:r>
              <w:r w:rsidDel="00516782">
                <w:rPr>
                  <w:i/>
                  <w:iCs/>
                  <w:noProof/>
                </w:rPr>
                <w:t>Consumer Price Index, Austalia.</w:t>
              </w:r>
              <w:r w:rsidDel="00516782">
                <w:rPr>
                  <w:noProof/>
                </w:rPr>
                <w:t xml:space="preserve"> Canberra: Australian Bureau of Statistics.</w:t>
              </w:r>
            </w:p>
            <w:p w14:paraId="2AAC1EA0" w14:textId="1542E9A7" w:rsidR="00E40D34" w:rsidDel="00516782" w:rsidRDefault="00E40D34" w:rsidP="003565AC">
              <w:pPr>
                <w:pStyle w:val="Bibliography"/>
                <w:ind w:left="720" w:hanging="720"/>
                <w:rPr>
                  <w:noProof/>
                </w:rPr>
              </w:pPr>
              <w:r w:rsidDel="00516782">
                <w:rPr>
                  <w:noProof/>
                </w:rPr>
                <w:t xml:space="preserve">ABS. (2023). </w:t>
              </w:r>
              <w:r w:rsidDel="00516782">
                <w:rPr>
                  <w:i/>
                  <w:iCs/>
                  <w:noProof/>
                </w:rPr>
                <w:t>Wage price index, Australia.</w:t>
              </w:r>
              <w:r w:rsidDel="00516782">
                <w:rPr>
                  <w:noProof/>
                </w:rPr>
                <w:t xml:space="preserve"> Canberra: Australian Bureau of Statistics.</w:t>
              </w:r>
            </w:p>
            <w:p w14:paraId="281FA2D0" w14:textId="34DE795C" w:rsidR="00E40D34" w:rsidDel="00516782" w:rsidRDefault="00E40D34" w:rsidP="003565AC">
              <w:pPr>
                <w:pStyle w:val="Bibliography"/>
                <w:ind w:left="720" w:hanging="720"/>
                <w:rPr>
                  <w:noProof/>
                </w:rPr>
              </w:pPr>
              <w:r w:rsidDel="00516782">
                <w:rPr>
                  <w:noProof/>
                </w:rPr>
                <w:t xml:space="preserve">Bhuller, M., Mogstad, M., &amp; Salvanes, K. G. (2017). Life-Cycle Earnings, Education Premiums, and Internal Rates of Return. </w:t>
              </w:r>
              <w:r w:rsidDel="00516782">
                <w:rPr>
                  <w:i/>
                  <w:iCs/>
                  <w:noProof/>
                </w:rPr>
                <w:t>Journal of Labor Economics</w:t>
              </w:r>
              <w:r w:rsidDel="00516782">
                <w:rPr>
                  <w:noProof/>
                </w:rPr>
                <w:t>, 993</w:t>
              </w:r>
              <w:r w:rsidR="006D33DC">
                <w:rPr>
                  <w:noProof/>
                </w:rPr>
                <w:t>–</w:t>
              </w:r>
              <w:r w:rsidDel="00516782">
                <w:rPr>
                  <w:noProof/>
                </w:rPr>
                <w:t>1030.</w:t>
              </w:r>
            </w:p>
            <w:p w14:paraId="60B5D25D" w14:textId="709EF805" w:rsidR="00E40D34" w:rsidDel="00516782" w:rsidRDefault="00E40D34" w:rsidP="003565AC">
              <w:pPr>
                <w:pStyle w:val="Bibliography"/>
                <w:ind w:left="720" w:hanging="720"/>
                <w:rPr>
                  <w:noProof/>
                </w:rPr>
              </w:pPr>
              <w:r w:rsidDel="00516782">
                <w:rPr>
                  <w:noProof/>
                </w:rPr>
                <w:t xml:space="preserve">Card, D. (1999). The Causal Effect of Education on Earnings. In O. C. Ashenfelter, &amp; D. Card, </w:t>
              </w:r>
              <w:r w:rsidDel="00516782">
                <w:rPr>
                  <w:i/>
                  <w:iCs/>
                  <w:noProof/>
                </w:rPr>
                <w:t>Handbook of Labor Economics</w:t>
              </w:r>
              <w:r w:rsidDel="00516782">
                <w:rPr>
                  <w:noProof/>
                </w:rPr>
                <w:t xml:space="preserve"> (Vol. 3A, pp 1801</w:t>
              </w:r>
              <w:r w:rsidR="006D33DC">
                <w:rPr>
                  <w:noProof/>
                </w:rPr>
                <w:t>–</w:t>
              </w:r>
              <w:r w:rsidDel="00516782">
                <w:rPr>
                  <w:noProof/>
                </w:rPr>
                <w:t>1863). Elsevier Science B.V.</w:t>
              </w:r>
            </w:p>
            <w:p w14:paraId="3A541A98" w14:textId="4789D6C6" w:rsidR="00E40D34" w:rsidDel="00516782" w:rsidRDefault="00E40D34" w:rsidP="003565AC">
              <w:pPr>
                <w:pStyle w:val="Bibliography"/>
                <w:ind w:left="720" w:hanging="720"/>
                <w:rPr>
                  <w:noProof/>
                </w:rPr>
              </w:pPr>
              <w:r w:rsidDel="00516782">
                <w:rPr>
                  <w:noProof/>
                </w:rPr>
                <w:t xml:space="preserve">Combes, P.-P., &amp; Gobillon, L. (2015). The Empirics of Agglomeration Economies. In </w:t>
              </w:r>
              <w:r w:rsidDel="00516782">
                <w:rPr>
                  <w:i/>
                  <w:iCs/>
                  <w:noProof/>
                </w:rPr>
                <w:t>Handbook of Regional and Urban Economics, Volume 5</w:t>
              </w:r>
              <w:r w:rsidDel="00516782">
                <w:rPr>
                  <w:noProof/>
                </w:rPr>
                <w:t xml:space="preserve"> (pp 247</w:t>
              </w:r>
              <w:r w:rsidR="0063361C">
                <w:rPr>
                  <w:noProof/>
                </w:rPr>
                <w:t>–</w:t>
              </w:r>
              <w:r w:rsidDel="00516782">
                <w:rPr>
                  <w:noProof/>
                </w:rPr>
                <w:t>348). Elsevier.</w:t>
              </w:r>
            </w:p>
            <w:p w14:paraId="478D06C5" w14:textId="0E013DB4" w:rsidR="00E40D34" w:rsidDel="00516782" w:rsidRDefault="00E40D34" w:rsidP="003565AC">
              <w:pPr>
                <w:pStyle w:val="Bibliography"/>
                <w:ind w:left="720" w:hanging="720"/>
                <w:rPr>
                  <w:noProof/>
                </w:rPr>
              </w:pPr>
              <w:r w:rsidDel="00516782">
                <w:rPr>
                  <w:noProof/>
                </w:rPr>
                <w:t xml:space="preserve">Combes, P.-P., Duranton, G., &amp; Gobillon, L. (2008). Spatial Wage Disparities: Sorting Matters. </w:t>
              </w:r>
              <w:r w:rsidDel="00516782">
                <w:rPr>
                  <w:i/>
                  <w:iCs/>
                  <w:noProof/>
                </w:rPr>
                <w:t>Journal of Urban Economics</w:t>
              </w:r>
              <w:r w:rsidDel="00516782">
                <w:rPr>
                  <w:noProof/>
                </w:rPr>
                <w:t>, 723</w:t>
              </w:r>
              <w:r w:rsidR="0063361C">
                <w:rPr>
                  <w:noProof/>
                </w:rPr>
                <w:t>–</w:t>
              </w:r>
              <w:r w:rsidDel="00516782">
                <w:rPr>
                  <w:noProof/>
                </w:rPr>
                <w:t>742.</w:t>
              </w:r>
            </w:p>
            <w:p w14:paraId="08498D56" w14:textId="60A8D8B6" w:rsidR="00E40D34" w:rsidDel="00516782" w:rsidRDefault="00E40D34" w:rsidP="003565AC">
              <w:pPr>
                <w:pStyle w:val="Bibliography"/>
                <w:ind w:left="720" w:hanging="720"/>
                <w:rPr>
                  <w:noProof/>
                </w:rPr>
              </w:pPr>
              <w:r w:rsidDel="00516782">
                <w:rPr>
                  <w:noProof/>
                </w:rPr>
                <w:t xml:space="preserve">Fox, J., &amp; Monette, G. (1992, March). Generalized Collinearity Diagnostics. </w:t>
              </w:r>
              <w:r w:rsidDel="00516782">
                <w:rPr>
                  <w:i/>
                  <w:iCs/>
                  <w:noProof/>
                </w:rPr>
                <w:t>Journal of the American Statistical Association, 87</w:t>
              </w:r>
              <w:r w:rsidR="0063361C">
                <w:rPr>
                  <w:i/>
                  <w:iCs/>
                  <w:noProof/>
                </w:rPr>
                <w:t xml:space="preserve"> </w:t>
              </w:r>
              <w:r w:rsidDel="00516782">
                <w:rPr>
                  <w:noProof/>
                </w:rPr>
                <w:t>(417), 178</w:t>
              </w:r>
              <w:r w:rsidR="0063361C">
                <w:rPr>
                  <w:noProof/>
                </w:rPr>
                <w:t>–</w:t>
              </w:r>
              <w:r w:rsidDel="00516782">
                <w:rPr>
                  <w:noProof/>
                </w:rPr>
                <w:t>183. doi:10.2307/2290467</w:t>
              </w:r>
            </w:p>
            <w:p w14:paraId="08BFC096" w14:textId="488EB268" w:rsidR="00E40D34" w:rsidDel="00516782" w:rsidRDefault="00E40D34" w:rsidP="003565AC">
              <w:pPr>
                <w:pStyle w:val="Bibliography"/>
                <w:ind w:left="720" w:hanging="720"/>
                <w:rPr>
                  <w:noProof/>
                </w:rPr>
              </w:pPr>
              <w:r w:rsidDel="00516782">
                <w:rPr>
                  <w:noProof/>
                </w:rPr>
                <w:t xml:space="preserve">Groot, S., de Groot, H., &amp; Smit, M. (2014). Regional Wage Differences in the Netherlands: Micro Evidence on Agglomeration Externalities. </w:t>
              </w:r>
              <w:r w:rsidDel="00516782">
                <w:rPr>
                  <w:i/>
                  <w:iCs/>
                  <w:noProof/>
                </w:rPr>
                <w:t>Journal of Regional Science</w:t>
              </w:r>
              <w:r w:rsidDel="00516782">
                <w:rPr>
                  <w:noProof/>
                </w:rPr>
                <w:t>, 503</w:t>
              </w:r>
              <w:r w:rsidR="00AD69F3">
                <w:rPr>
                  <w:noProof/>
                </w:rPr>
                <w:t>–</w:t>
              </w:r>
              <w:r w:rsidDel="00516782">
                <w:rPr>
                  <w:noProof/>
                </w:rPr>
                <w:t>523.</w:t>
              </w:r>
            </w:p>
            <w:p w14:paraId="3F4BF1A4" w14:textId="112A1877" w:rsidR="00E40D34" w:rsidDel="00516782" w:rsidRDefault="00E40D34" w:rsidP="003565AC">
              <w:pPr>
                <w:pStyle w:val="Bibliography"/>
                <w:ind w:left="720" w:hanging="720"/>
                <w:rPr>
                  <w:noProof/>
                </w:rPr>
              </w:pPr>
              <w:r w:rsidDel="00516782">
                <w:rPr>
                  <w:noProof/>
                </w:rPr>
                <w:t xml:space="preserve">Heckman, J. J., Lochner, L. J., &amp; Todd, P. E. (2003). Fifty Years of Mincer Earnings Regressions. </w:t>
              </w:r>
              <w:r w:rsidDel="00516782">
                <w:rPr>
                  <w:i/>
                  <w:iCs/>
                  <w:noProof/>
                </w:rPr>
                <w:t>NBER Working Paper Series</w:t>
              </w:r>
              <w:r w:rsidDel="00516782">
                <w:rPr>
                  <w:noProof/>
                </w:rPr>
                <w:t>, 9732-.</w:t>
              </w:r>
            </w:p>
            <w:p w14:paraId="5F81EE6D" w14:textId="60497C97" w:rsidR="00E40D34" w:rsidDel="00516782" w:rsidRDefault="00E40D34" w:rsidP="003565AC">
              <w:pPr>
                <w:pStyle w:val="Bibliography"/>
                <w:ind w:left="720" w:hanging="720"/>
                <w:rPr>
                  <w:noProof/>
                </w:rPr>
              </w:pPr>
              <w:r w:rsidDel="00516782">
                <w:rPr>
                  <w:noProof/>
                </w:rPr>
                <w:t xml:space="preserve">Kirk, I. (2022, February 24). </w:t>
              </w:r>
              <w:r w:rsidDel="00516782">
                <w:rPr>
                  <w:i/>
                  <w:iCs/>
                  <w:noProof/>
                </w:rPr>
                <w:t>YouGov</w:t>
              </w:r>
              <w:r w:rsidDel="00516782">
                <w:rPr>
                  <w:noProof/>
                </w:rPr>
                <w:t>. Retrieved from YouGov: https://yougov.co.uk/topics/international/articles-reports/2022/02/24/how-has-covid-19-pandemic-changed-attitudes-workin</w:t>
              </w:r>
            </w:p>
            <w:p w14:paraId="16A4C13D" w14:textId="44540A1E" w:rsidR="00E40D34" w:rsidDel="00516782" w:rsidRDefault="00E40D34" w:rsidP="003565AC">
              <w:pPr>
                <w:pStyle w:val="Bibliography"/>
                <w:ind w:left="720" w:hanging="720"/>
                <w:rPr>
                  <w:noProof/>
                </w:rPr>
              </w:pPr>
              <w:r w:rsidDel="00516782">
                <w:rPr>
                  <w:noProof/>
                </w:rPr>
                <w:t xml:space="preserve">Murillo Huertas, I. P., Ramos, R., &amp; Simòn, H. (2020). Revisiting interregional wage differentials: New evidence from Spain with matched employer-employee data. </w:t>
              </w:r>
              <w:r w:rsidDel="00516782">
                <w:rPr>
                  <w:i/>
                  <w:iCs/>
                  <w:noProof/>
                </w:rPr>
                <w:t>Journal of Regional Science</w:t>
              </w:r>
              <w:r w:rsidDel="00516782">
                <w:rPr>
                  <w:noProof/>
                </w:rPr>
                <w:t>, 296</w:t>
              </w:r>
              <w:r w:rsidR="00AD69F3">
                <w:rPr>
                  <w:noProof/>
                </w:rPr>
                <w:t>–</w:t>
              </w:r>
              <w:r w:rsidDel="00516782">
                <w:rPr>
                  <w:noProof/>
                </w:rPr>
                <w:t>347.</w:t>
              </w:r>
            </w:p>
            <w:p w14:paraId="4995FB61" w14:textId="5A1D63BB" w:rsidR="00E40D34" w:rsidDel="00516782" w:rsidRDefault="00E40D34" w:rsidP="003565AC">
              <w:pPr>
                <w:pStyle w:val="Bibliography"/>
                <w:ind w:left="720" w:hanging="720"/>
                <w:rPr>
                  <w:noProof/>
                </w:rPr>
              </w:pPr>
              <w:r w:rsidDel="00516782">
                <w:rPr>
                  <w:noProof/>
                </w:rPr>
                <w:t xml:space="preserve">National Skills Commission. (2021). </w:t>
              </w:r>
              <w:r w:rsidDel="00516782">
                <w:rPr>
                  <w:i/>
                  <w:iCs/>
                  <w:noProof/>
                </w:rPr>
                <w:t>The Transformation of Australia's Labour Market.</w:t>
              </w:r>
              <w:r w:rsidDel="00516782">
                <w:rPr>
                  <w:noProof/>
                </w:rPr>
                <w:t xml:space="preserve"> Canberra: National Skills Commission.</w:t>
              </w:r>
            </w:p>
            <w:p w14:paraId="19D99740" w14:textId="1FEC8A52" w:rsidR="00E40D34" w:rsidDel="00516782" w:rsidRDefault="00E40D34" w:rsidP="003565AC">
              <w:pPr>
                <w:pStyle w:val="Bibliography"/>
                <w:ind w:left="720" w:hanging="720"/>
                <w:rPr>
                  <w:noProof/>
                </w:rPr>
              </w:pPr>
              <w:r w:rsidDel="00516782">
                <w:rPr>
                  <w:noProof/>
                </w:rPr>
                <w:t xml:space="preserve">National Skills Commission. (2022). </w:t>
              </w:r>
              <w:r w:rsidDel="00516782">
                <w:rPr>
                  <w:i/>
                  <w:iCs/>
                  <w:noProof/>
                </w:rPr>
                <w:t>2022 Skills Priority List.</w:t>
              </w:r>
              <w:r w:rsidDel="00516782">
                <w:rPr>
                  <w:noProof/>
                </w:rPr>
                <w:t xml:space="preserve"> Canberra: National Skills Commission.</w:t>
              </w:r>
            </w:p>
            <w:p w14:paraId="4B8C3203" w14:textId="6D253991" w:rsidR="00E40D34" w:rsidDel="00516782" w:rsidRDefault="00E40D34" w:rsidP="003565AC">
              <w:pPr>
                <w:pStyle w:val="Bibliography"/>
                <w:ind w:left="720" w:hanging="720"/>
                <w:rPr>
                  <w:noProof/>
                </w:rPr>
              </w:pPr>
              <w:r w:rsidDel="00516782">
                <w:rPr>
                  <w:noProof/>
                </w:rPr>
                <w:t xml:space="preserve">National Skills Commission. (2022, March 29). </w:t>
              </w:r>
              <w:r w:rsidDel="00516782">
                <w:rPr>
                  <w:i/>
                  <w:iCs/>
                  <w:noProof/>
                </w:rPr>
                <w:t>Projecting employment to 2026.</w:t>
              </w:r>
              <w:r w:rsidDel="00516782">
                <w:rPr>
                  <w:noProof/>
                </w:rPr>
                <w:t xml:space="preserve"> Retrieved from National Skills Commission: https://www.nationalskillscommission.gov.au/insights/projecting-employment-2026</w:t>
              </w:r>
            </w:p>
            <w:p w14:paraId="5C678D08" w14:textId="671504ED" w:rsidR="00E40D34" w:rsidDel="00516782" w:rsidRDefault="00E40D34" w:rsidP="003565AC">
              <w:pPr>
                <w:pStyle w:val="Bibliography"/>
                <w:ind w:left="720" w:hanging="720"/>
                <w:rPr>
                  <w:noProof/>
                </w:rPr>
              </w:pPr>
              <w:r w:rsidDel="00516782">
                <w:rPr>
                  <w:noProof/>
                </w:rPr>
                <w:t xml:space="preserve">Perales, F., &amp; Chesters, J. (2017). The returns to mature-age education in Australia. </w:t>
              </w:r>
              <w:r w:rsidDel="00516782">
                <w:rPr>
                  <w:i/>
                  <w:iCs/>
                  <w:noProof/>
                </w:rPr>
                <w:t>International Journal of Educational Research</w:t>
              </w:r>
              <w:r w:rsidDel="00516782">
                <w:rPr>
                  <w:noProof/>
                </w:rPr>
                <w:t>, 87</w:t>
              </w:r>
              <w:r w:rsidR="00AD69F3">
                <w:rPr>
                  <w:noProof/>
                </w:rPr>
                <w:t>–</w:t>
              </w:r>
              <w:r w:rsidDel="00516782">
                <w:rPr>
                  <w:noProof/>
                </w:rPr>
                <w:t>98.</w:t>
              </w:r>
            </w:p>
            <w:p w14:paraId="0B9A53FC" w14:textId="2C6AE4BF" w:rsidR="00E40D34" w:rsidDel="00516782" w:rsidRDefault="00E40D34" w:rsidP="003565AC">
              <w:pPr>
                <w:pStyle w:val="Bibliography"/>
                <w:ind w:left="720" w:hanging="720"/>
                <w:rPr>
                  <w:noProof/>
                </w:rPr>
              </w:pPr>
              <w:r w:rsidDel="00516782">
                <w:rPr>
                  <w:noProof/>
                </w:rPr>
                <w:t xml:space="preserve">Vyas, L. (2022). "New normal" at work in a post-COVID world: work-life balance and labor markets. </w:t>
              </w:r>
              <w:r w:rsidDel="00516782">
                <w:rPr>
                  <w:i/>
                  <w:iCs/>
                  <w:noProof/>
                </w:rPr>
                <w:t xml:space="preserve">Politics and Society, </w:t>
              </w:r>
              <w:r w:rsidRPr="009348DC" w:rsidDel="00516782">
                <w:t>Volume 41, Issue 1</w:t>
              </w:r>
              <w:r w:rsidDel="00516782">
                <w:rPr>
                  <w:noProof/>
                </w:rPr>
                <w:t>, 155</w:t>
              </w:r>
              <w:r w:rsidR="00AD69F3">
                <w:rPr>
                  <w:noProof/>
                </w:rPr>
                <w:t>–</w:t>
              </w:r>
              <w:r w:rsidDel="00516782">
                <w:rPr>
                  <w:noProof/>
                </w:rPr>
                <w:t>167.</w:t>
              </w:r>
            </w:p>
            <w:p w14:paraId="3A94A97D" w14:textId="5F0758AC" w:rsidR="00E40D34" w:rsidDel="00516782" w:rsidRDefault="00E40D34" w:rsidP="003565AC">
              <w:pPr>
                <w:pStyle w:val="Bibliography"/>
                <w:ind w:left="720" w:hanging="720"/>
                <w:rPr>
                  <w:noProof/>
                </w:rPr>
              </w:pPr>
              <w:r w:rsidDel="00516782">
                <w:rPr>
                  <w:noProof/>
                </w:rPr>
                <w:t xml:space="preserve">Webster, E., &amp; Tseng, Y.-P. (2000). The Determinants of Relative Wage Change in Australia. </w:t>
              </w:r>
              <w:r w:rsidDel="00516782">
                <w:rPr>
                  <w:i/>
                  <w:iCs/>
                  <w:noProof/>
                </w:rPr>
                <w:t>Melboune Instiutute Working Paper Series</w:t>
              </w:r>
              <w:r w:rsidDel="00516782">
                <w:rPr>
                  <w:noProof/>
                </w:rPr>
                <w:t>.</w:t>
              </w:r>
            </w:p>
            <w:p w14:paraId="5978C206" w14:textId="643E9E17" w:rsidR="00C530D5" w:rsidRDefault="00DB66C5" w:rsidP="003565AC">
              <w:r w:rsidDel="00516782">
                <w:rPr>
                  <w:b/>
                </w:rPr>
                <w:fldChar w:fldCharType="end"/>
              </w:r>
            </w:p>
          </w:sdtContent>
        </w:sdt>
      </w:sdtContent>
    </w:sdt>
    <w:p w14:paraId="4BDFF915" w14:textId="77777777" w:rsidR="00C601E4" w:rsidRDefault="00C601E4">
      <w:pPr>
        <w:tabs>
          <w:tab w:val="clear" w:pos="567"/>
        </w:tabs>
        <w:spacing w:before="0" w:after="200" w:line="276" w:lineRule="auto"/>
        <w:sectPr w:rsidR="00C601E4" w:rsidSect="004F0684">
          <w:footerReference w:type="default" r:id="rId24"/>
          <w:pgSz w:w="11906" w:h="16838" w:code="9"/>
          <w:pgMar w:top="1440" w:right="1440" w:bottom="1440" w:left="1440" w:header="720" w:footer="720" w:gutter="0"/>
          <w:cols w:space="720"/>
          <w:docGrid w:linePitch="272"/>
        </w:sectPr>
      </w:pPr>
    </w:p>
    <w:p w14:paraId="21BD5759" w14:textId="024E994D" w:rsidR="00A5102B" w:rsidRDefault="00A5102B" w:rsidP="00294D2F">
      <w:pPr>
        <w:pStyle w:val="CGC2025Heading2AttachmentFollower"/>
      </w:pPr>
      <w:bookmarkStart w:id="89" w:name="A"/>
      <w:bookmarkStart w:id="90" w:name="_Toc138158975"/>
      <w:bookmarkEnd w:id="89"/>
      <w:r w:rsidRPr="00294D2F">
        <w:rPr>
          <w:rStyle w:val="Heading2Char"/>
        </w:rPr>
        <w:lastRenderedPageBreak/>
        <w:t xml:space="preserve">Attachment </w:t>
      </w:r>
      <w:r w:rsidR="00F26AA8" w:rsidRPr="00294D2F">
        <w:rPr>
          <w:rStyle w:val="Heading2Char"/>
        </w:rPr>
        <w:t>A</w:t>
      </w:r>
      <w:r w:rsidRPr="00294D2F">
        <w:rPr>
          <w:rStyle w:val="Heading2Char"/>
        </w:rPr>
        <w:t>:</w:t>
      </w:r>
      <w:r w:rsidRPr="00DB7A2E">
        <w:t xml:space="preserve"> </w:t>
      </w:r>
      <w:bookmarkEnd w:id="86"/>
      <w:bookmarkEnd w:id="87"/>
      <w:r w:rsidR="006E3A5C">
        <w:t>Model validation</w:t>
      </w:r>
      <w:bookmarkEnd w:id="90"/>
    </w:p>
    <w:p w14:paraId="199AF347" w14:textId="58C7EE8A" w:rsidR="006E3A5C" w:rsidRPr="00E90472" w:rsidRDefault="006E3A5C" w:rsidP="000C0428">
      <w:pPr>
        <w:pStyle w:val="CGC2025ParaNumbers"/>
      </w:pPr>
      <w:r w:rsidRPr="00E90472">
        <w:t>There are several key questions regarding the regression model in this attachment:</w:t>
      </w:r>
    </w:p>
    <w:p w14:paraId="6873A2EA" w14:textId="47887A81" w:rsidR="006E3A5C" w:rsidRDefault="00CA5E60" w:rsidP="0097410D">
      <w:pPr>
        <w:pStyle w:val="CGC2025Bullet1"/>
      </w:pPr>
      <w:r>
        <w:t>Does</w:t>
      </w:r>
      <w:r w:rsidR="006E3A5C">
        <w:t xml:space="preserve"> the model detect and measure a significant difference in wage levels between states?</w:t>
      </w:r>
    </w:p>
    <w:p w14:paraId="373DC6B9" w14:textId="43EB7119" w:rsidR="006E3A5C" w:rsidRDefault="006E3A5C" w:rsidP="0097410D">
      <w:pPr>
        <w:pStyle w:val="CGC2025Bullet1"/>
      </w:pPr>
      <w:r>
        <w:t>Is the choice of control variables appropriate</w:t>
      </w:r>
      <w:r w:rsidR="00801D59">
        <w:t xml:space="preserve">. </w:t>
      </w:r>
      <w:proofErr w:type="gramStart"/>
      <w:r w:rsidR="00801D59">
        <w:t>In particular</w:t>
      </w:r>
      <w:r>
        <w:t>, is</w:t>
      </w:r>
      <w:proofErr w:type="gramEnd"/>
      <w:r>
        <w:t xml:space="preserve"> there an issue with multicollinearity or overfitting affecting the reliability of estimated state wage levels?</w:t>
      </w:r>
    </w:p>
    <w:p w14:paraId="57FD6745" w14:textId="7839C23F" w:rsidR="006E3A5C" w:rsidRDefault="006E3A5C" w:rsidP="0097410D">
      <w:pPr>
        <w:pStyle w:val="CGC2025Bullet2"/>
      </w:pPr>
      <w:r>
        <w:t>If multicollinearity is a problem</w:t>
      </w:r>
      <w:r w:rsidR="00D30264">
        <w:t>,</w:t>
      </w:r>
      <w:r>
        <w:t xml:space="preserve"> then the variances of estimates will be </w:t>
      </w:r>
      <w:proofErr w:type="gramStart"/>
      <w:r>
        <w:t>inflated</w:t>
      </w:r>
      <w:proofErr w:type="gramEnd"/>
      <w:r>
        <w:t xml:space="preserve"> and estimates will be unreliable.</w:t>
      </w:r>
    </w:p>
    <w:p w14:paraId="2F6FA785" w14:textId="77777777" w:rsidR="006E3A5C" w:rsidRDefault="006E3A5C" w:rsidP="0097410D">
      <w:pPr>
        <w:pStyle w:val="CGC2025Bullet2"/>
      </w:pPr>
      <w:r>
        <w:t xml:space="preserve">If the model has been overfitted then the coefficients represent the individuals in the sample only, rather than the </w:t>
      </w:r>
      <w:proofErr w:type="gramStart"/>
      <w:r>
        <w:t>population as a whole</w:t>
      </w:r>
      <w:proofErr w:type="gramEnd"/>
      <w:r>
        <w:t>.</w:t>
      </w:r>
    </w:p>
    <w:p w14:paraId="697A70E8" w14:textId="77777777" w:rsidR="006E3A5C" w:rsidRDefault="006E3A5C" w:rsidP="006E3A5C">
      <w:pPr>
        <w:pStyle w:val="Heading3"/>
      </w:pPr>
      <w:bookmarkStart w:id="91" w:name="_Attachment_B:_Combining"/>
      <w:bookmarkStart w:id="92" w:name="_Toc138158976"/>
      <w:bookmarkEnd w:id="91"/>
      <w:r>
        <w:t>Significance</w:t>
      </w:r>
      <w:bookmarkEnd w:id="92"/>
    </w:p>
    <w:p w14:paraId="194A5B16" w14:textId="77777777" w:rsidR="006E3A5C" w:rsidRPr="0097410D" w:rsidRDefault="006E3A5C" w:rsidP="0097410D">
      <w:pPr>
        <w:pStyle w:val="CGC2025ParaNumbers"/>
      </w:pPr>
      <w:r w:rsidRPr="0097410D">
        <w:t>State coefficients represent the effect on wages attributed to state of usual residence. They are constructed using effects coding, which gives the intercept the interpretation as the grand mean, or the average of all states. State coefficients are then each state’s deviation in wage levels from the national average. If a state coefficient is significantly different from zero, this implies this state has significantly different wage level effects than an average state.</w:t>
      </w:r>
    </w:p>
    <w:p w14:paraId="5495168F" w14:textId="28547320" w:rsidR="006E3A5C" w:rsidRDefault="00B347BB" w:rsidP="0097410D">
      <w:pPr>
        <w:pStyle w:val="CGC2025ParaNumbers"/>
      </w:pPr>
      <w:r>
        <w:fldChar w:fldCharType="begin"/>
      </w:r>
      <w:r>
        <w:instrText xml:space="preserve"> REF _Ref137028296 \h </w:instrText>
      </w:r>
      <w:r>
        <w:fldChar w:fldCharType="separate"/>
      </w:r>
      <w:r w:rsidR="00BC30E2">
        <w:t>Figure</w:t>
      </w:r>
      <w:bookmarkStart w:id="93" w:name="_Hlt138080948"/>
      <w:bookmarkStart w:id="94" w:name="_Hlt138080949"/>
      <w:r w:rsidR="00BC30E2">
        <w:t xml:space="preserve"> </w:t>
      </w:r>
      <w:bookmarkEnd w:id="93"/>
      <w:bookmarkEnd w:id="94"/>
      <w:r w:rsidR="0037618E">
        <w:t>A</w:t>
      </w:r>
      <w:r w:rsidR="00BC30E2">
        <w:rPr>
          <w:noProof/>
        </w:rPr>
        <w:t>1</w:t>
      </w:r>
      <w:r>
        <w:fldChar w:fldCharType="end"/>
      </w:r>
      <w:r>
        <w:t xml:space="preserve"> </w:t>
      </w:r>
      <w:r w:rsidR="006E3A5C" w:rsidRPr="0097410D">
        <w:t>shows that estimated wage levels for South Australia are significantly below the grand mean in every survey year, and estimated wage levels for Western Australia and the ACT are significantly above the grand mean in every survey year when using the proposed model. Some individual states in some years are not significantly different to the national average, reflecting that those states have wage levels moderately close to average.</w:t>
      </w:r>
    </w:p>
    <w:p w14:paraId="2E99E02B" w14:textId="05973894" w:rsidR="00E90472" w:rsidRDefault="00E90472" w:rsidP="0028442C">
      <w:pPr>
        <w:pStyle w:val="CGC2025Caption"/>
        <w:keepNext/>
        <w:tabs>
          <w:tab w:val="left" w:pos="1134"/>
        </w:tabs>
      </w:pPr>
      <w:bookmarkStart w:id="95" w:name="_Ref137028296"/>
      <w:bookmarkStart w:id="96" w:name="_Ref136507868"/>
      <w:r>
        <w:lastRenderedPageBreak/>
        <w:t xml:space="preserve">Figure </w:t>
      </w:r>
      <w:r w:rsidR="00E11D92">
        <w:t>A</w:t>
      </w:r>
      <w:r>
        <w:fldChar w:fldCharType="begin"/>
      </w:r>
      <w:r>
        <w:instrText>SEQ Figure \* ARABIC</w:instrText>
      </w:r>
      <w:r w:rsidR="0078538B">
        <w:instrText xml:space="preserve"> \r 1</w:instrText>
      </w:r>
      <w:r>
        <w:fldChar w:fldCharType="separate"/>
      </w:r>
      <w:r w:rsidR="00BC30E2">
        <w:rPr>
          <w:noProof/>
        </w:rPr>
        <w:t>1</w:t>
      </w:r>
      <w:r>
        <w:fldChar w:fldCharType="end"/>
      </w:r>
      <w:bookmarkEnd w:id="95"/>
      <w:r>
        <w:tab/>
      </w:r>
      <w:r w:rsidRPr="007649E8">
        <w:t xml:space="preserve">Annual survey estimates of relative state wage </w:t>
      </w:r>
      <w:proofErr w:type="gramStart"/>
      <w:r w:rsidRPr="007649E8">
        <w:t>levels</w:t>
      </w:r>
      <w:bookmarkEnd w:id="96"/>
      <w:proofErr w:type="gramEnd"/>
    </w:p>
    <w:p w14:paraId="6039AD08" w14:textId="77777777" w:rsidR="00E90472" w:rsidRDefault="00E90472" w:rsidP="00E90472">
      <w:pPr>
        <w:pStyle w:val="CGCParaNumber"/>
        <w:keepNext/>
        <w:keepLines/>
        <w:numPr>
          <w:ilvl w:val="0"/>
          <w:numId w:val="0"/>
        </w:numPr>
      </w:pPr>
      <w:r w:rsidRPr="006A520D">
        <w:rPr>
          <w:noProof/>
        </w:rPr>
        <w:drawing>
          <wp:inline distT="0" distB="0" distL="0" distR="0" wp14:anchorId="3D82FA3A" wp14:editId="64C65929">
            <wp:extent cx="5688000" cy="3596400"/>
            <wp:effectExtent l="0" t="0" r="825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8000" cy="3596400"/>
                    </a:xfrm>
                    <a:prstGeom prst="rect">
                      <a:avLst/>
                    </a:prstGeom>
                    <a:noFill/>
                    <a:ln>
                      <a:noFill/>
                    </a:ln>
                  </pic:spPr>
                </pic:pic>
              </a:graphicData>
            </a:graphic>
          </wp:inline>
        </w:drawing>
      </w:r>
    </w:p>
    <w:p w14:paraId="1FAFFCD3" w14:textId="6D534641" w:rsidR="00E90472" w:rsidRDefault="00E90472" w:rsidP="00E90472">
      <w:pPr>
        <w:pStyle w:val="CGC2025TableNote"/>
      </w:pPr>
      <w:r>
        <w:t xml:space="preserve">Notes: </w:t>
      </w:r>
      <w:r w:rsidR="007B5122">
        <w:tab/>
      </w:r>
      <w:r>
        <w:t>Annual survey estimates using the methods proposed in this paper. Error bars show 95% confidence intervals.</w:t>
      </w:r>
    </w:p>
    <w:p w14:paraId="04DFA2F5" w14:textId="6E1632FF" w:rsidR="00FC1C1E" w:rsidRPr="008A5DA5" w:rsidRDefault="00FC1C1E" w:rsidP="00E90472">
      <w:pPr>
        <w:pStyle w:val="CGC2025TableNote"/>
      </w:pPr>
      <w:r>
        <w:t xml:space="preserve">Source: Commission calculation. </w:t>
      </w:r>
    </w:p>
    <w:p w14:paraId="3669E44A" w14:textId="77777777" w:rsidR="0097410D" w:rsidRDefault="0097410D" w:rsidP="0097410D">
      <w:pPr>
        <w:pStyle w:val="Heading3"/>
      </w:pPr>
      <w:bookmarkStart w:id="97" w:name="_Toc138158977"/>
      <w:r>
        <w:t>Multicollinearity</w:t>
      </w:r>
      <w:bookmarkEnd w:id="97"/>
    </w:p>
    <w:p w14:paraId="1767AB79" w14:textId="77777777" w:rsidR="0097410D" w:rsidRPr="008A5DA5" w:rsidRDefault="0097410D" w:rsidP="0097410D">
      <w:pPr>
        <w:pStyle w:val="CGC2025ParaNumbers"/>
      </w:pPr>
      <w:r w:rsidRPr="008A5DA5">
        <w:t>Multicollinearity may affect the precision, and therefore reliability</w:t>
      </w:r>
      <w:r>
        <w:t>,</w:t>
      </w:r>
      <w:r w:rsidRPr="008A5DA5">
        <w:t xml:space="preserve"> of coefficient estimates in a model. When </w:t>
      </w:r>
      <w:r>
        <w:t>2</w:t>
      </w:r>
      <w:r w:rsidRPr="008A5DA5">
        <w:t xml:space="preserve"> </w:t>
      </w:r>
      <w:r>
        <w:t xml:space="preserve">or more </w:t>
      </w:r>
      <w:r w:rsidRPr="008A5DA5">
        <w:t>variables are highly correlated, it is difficult to separate the effect of one variable from the other. While the joint effect between the</w:t>
      </w:r>
      <w:r>
        <w:t>se</w:t>
      </w:r>
      <w:r w:rsidRPr="008A5DA5">
        <w:t xml:space="preserve"> variables is robust, small changes in the sample data can vastly change the estimates for each coefficient. This inflates the variance of affected coefficients.</w:t>
      </w:r>
    </w:p>
    <w:p w14:paraId="7F2A0A75" w14:textId="77777777" w:rsidR="0097410D" w:rsidRDefault="0097410D" w:rsidP="0097410D">
      <w:pPr>
        <w:pStyle w:val="CGC2025ParaNumbers"/>
      </w:pPr>
      <w:r w:rsidRPr="008A5DA5">
        <w:t xml:space="preserve">Some variables in the model, such as related occupations and industries, </w:t>
      </w:r>
      <w:r>
        <w:t xml:space="preserve">are </w:t>
      </w:r>
      <w:r w:rsidRPr="008A5DA5">
        <w:t>multicollinear</w:t>
      </w:r>
      <w:r>
        <w:t xml:space="preserve"> with each other</w:t>
      </w:r>
      <w:r w:rsidRPr="008A5DA5">
        <w:t>. This does not affect the validity of state coefficient estimates and can be ignored, so long as they are not multicollinear with state.</w:t>
      </w:r>
      <w:r w:rsidRPr="00161741">
        <w:rPr>
          <w:rStyle w:val="FootnoteReference"/>
        </w:rPr>
        <w:footnoteReference w:id="15"/>
      </w:r>
      <w:r>
        <w:t xml:space="preserve"> For example, the model has difficulty determining whether truck drivers in the road freight industry have high wages (given their education and other attributes) because of their occupation or because of their industry.</w:t>
      </w:r>
    </w:p>
    <w:p w14:paraId="0AE031FA" w14:textId="77777777" w:rsidR="0097410D" w:rsidRPr="008A5DA5" w:rsidRDefault="0097410D" w:rsidP="0097410D">
      <w:pPr>
        <w:pStyle w:val="CGC2025ParaNumbers"/>
      </w:pPr>
      <w:r w:rsidRPr="008A5DA5">
        <w:t xml:space="preserve">In the Commission’s model, multicollinearity is </w:t>
      </w:r>
      <w:r>
        <w:t xml:space="preserve">only </w:t>
      </w:r>
      <w:r w:rsidRPr="008A5DA5">
        <w:t xml:space="preserve">a concern if state coefficients are multicollinear with control variables. </w:t>
      </w:r>
      <w:r>
        <w:t xml:space="preserve">This is because the state coefficients represent the effects the Commission is attempting to measure accurately. </w:t>
      </w:r>
      <w:r w:rsidRPr="008A5DA5">
        <w:t xml:space="preserve">For instance, if one state </w:t>
      </w:r>
      <w:r>
        <w:t>were</w:t>
      </w:r>
      <w:r w:rsidRPr="008A5DA5">
        <w:t xml:space="preserve"> largely comprised of a particular industry, and th</w:t>
      </w:r>
      <w:r>
        <w:t>at</w:t>
      </w:r>
      <w:r w:rsidRPr="008A5DA5">
        <w:t xml:space="preserve"> </w:t>
      </w:r>
      <w:r w:rsidRPr="008A5DA5">
        <w:lastRenderedPageBreak/>
        <w:t>industry primarily exist</w:t>
      </w:r>
      <w:r>
        <w:t>ed</w:t>
      </w:r>
      <w:r w:rsidRPr="008A5DA5">
        <w:t xml:space="preserve"> within th</w:t>
      </w:r>
      <w:r>
        <w:t>at</w:t>
      </w:r>
      <w:r w:rsidRPr="008A5DA5">
        <w:t xml:space="preserve"> state, it </w:t>
      </w:r>
      <w:r>
        <w:t>would be</w:t>
      </w:r>
      <w:r w:rsidRPr="008A5DA5">
        <w:t xml:space="preserve"> difficult to separate the industry effect from the state effect.</w:t>
      </w:r>
      <w:r>
        <w:t xml:space="preserve"> This is not the case. </w:t>
      </w:r>
    </w:p>
    <w:p w14:paraId="55EA06E1" w14:textId="77777777" w:rsidR="0097410D" w:rsidRPr="008A5DA5" w:rsidRDefault="0097410D" w:rsidP="0097410D">
      <w:pPr>
        <w:pStyle w:val="CGC2025ParaNumbers"/>
      </w:pPr>
      <w:r w:rsidRPr="008A5DA5">
        <w:t xml:space="preserve">Intuitively, the state coefficients must predict the variance in wages </w:t>
      </w:r>
      <w:r>
        <w:t>that</w:t>
      </w:r>
      <w:r w:rsidRPr="008A5DA5">
        <w:t xml:space="preserve"> are not explained by control variables. </w:t>
      </w:r>
      <w:r>
        <w:t>M</w:t>
      </w:r>
      <w:r w:rsidRPr="008A5DA5">
        <w:t xml:space="preserve">ulticollinearity only harms the decomposition of causal effect </w:t>
      </w:r>
      <w:r>
        <w:t>and does not affect</w:t>
      </w:r>
      <w:r w:rsidRPr="008A5DA5">
        <w:t xml:space="preserve"> prediction</w:t>
      </w:r>
      <w:r>
        <w:t>. Therefore,</w:t>
      </w:r>
      <w:r w:rsidRPr="008A5DA5">
        <w:t xml:space="preserve"> so long as the effect of control variables can be separated from state effects, multicollinearity is not a concern.</w:t>
      </w:r>
    </w:p>
    <w:p w14:paraId="0E16D563" w14:textId="3E2AF50D" w:rsidR="0097410D" w:rsidRDefault="0097410D" w:rsidP="0097410D">
      <w:pPr>
        <w:pStyle w:val="CGC2025ParaNumbers"/>
      </w:pPr>
      <w:r w:rsidRPr="008A5DA5">
        <w:t>Generalised variance inflation factor (GVIF) tests for multicollinearity between a categorical variable of interest (such as state) and all control variables in a model.</w:t>
      </w:r>
      <w:r w:rsidRPr="005B64EF">
        <w:rPr>
          <w:rStyle w:val="FootnoteReference"/>
        </w:rPr>
        <w:footnoteReference w:id="16"/>
      </w:r>
      <w:r w:rsidRPr="00816B8F">
        <w:t xml:space="preserve"> </w:t>
      </w:r>
      <w:r w:rsidRPr="008A5DA5">
        <w:t xml:space="preserve">GVIF is typically </w:t>
      </w:r>
      <w:r>
        <w:t>standardised</w:t>
      </w:r>
      <w:r w:rsidRPr="008A5DA5">
        <w:t xml:space="preserve"> to account for the number of degrees of freedom taken up by the variable, in this case the number of state coefficients. The lower bound is </w:t>
      </w:r>
      <w:r w:rsidR="00D63F89">
        <w:t>1</w:t>
      </w:r>
      <w:r w:rsidRPr="008A5DA5">
        <w:t>, which indicates no multicollinearity, while values around 5 or higher indicate some multicollinearity, and values above 10 indicate severe multicollinearity.</w:t>
      </w:r>
    </w:p>
    <w:p w14:paraId="28C8B238" w14:textId="5CAF1CE3" w:rsidR="0097410D" w:rsidRDefault="0097410D" w:rsidP="0097410D">
      <w:pPr>
        <w:pStyle w:val="CGC2025ParaNumbers"/>
      </w:pPr>
      <w:r w:rsidRPr="008A5DA5">
        <w:t xml:space="preserve">These standardised GVIF values are shown in </w:t>
      </w:r>
      <w:r w:rsidRPr="008A5DA5">
        <w:fldChar w:fldCharType="begin"/>
      </w:r>
      <w:r w:rsidRPr="008A5DA5">
        <w:instrText xml:space="preserve"> REF _Ref136418791 \h </w:instrText>
      </w:r>
      <w:r>
        <w:instrText xml:space="preserve"> \* MERGEFORMAT </w:instrText>
      </w:r>
      <w:r w:rsidRPr="008A5DA5">
        <w:fldChar w:fldCharType="separate"/>
      </w:r>
      <w:r w:rsidR="00BC30E2">
        <w:t xml:space="preserve">Table </w:t>
      </w:r>
      <w:r w:rsidR="00F81B22">
        <w:t>A</w:t>
      </w:r>
      <w:r w:rsidR="00BC30E2">
        <w:t>1</w:t>
      </w:r>
      <w:r w:rsidRPr="008A5DA5">
        <w:fldChar w:fldCharType="end"/>
      </w:r>
      <w:r w:rsidRPr="008A5DA5">
        <w:t xml:space="preserve">, for the specifications used in updates and the proposed specification. All values in each model are close to </w:t>
      </w:r>
      <w:r w:rsidR="0030534B">
        <w:t>one</w:t>
      </w:r>
      <w:r w:rsidRPr="008A5DA5">
        <w:t>, which indicates the precision of state coefficients in both models are unaffected by multicollinearity.</w:t>
      </w:r>
    </w:p>
    <w:p w14:paraId="2B00E394" w14:textId="10904F0E" w:rsidR="00B347BB" w:rsidRDefault="00B347BB" w:rsidP="001F0567">
      <w:pPr>
        <w:pStyle w:val="CGC2025Caption"/>
        <w:tabs>
          <w:tab w:val="left" w:pos="1134"/>
        </w:tabs>
      </w:pPr>
      <w:bookmarkStart w:id="98" w:name="_Ref136418791"/>
      <w:r>
        <w:t xml:space="preserve">Table </w:t>
      </w:r>
      <w:r w:rsidR="00F81B22">
        <w:t>A</w:t>
      </w:r>
      <w:r>
        <w:fldChar w:fldCharType="begin"/>
      </w:r>
      <w:r>
        <w:instrText xml:space="preserve"> SEQ Table \* ARABIC </w:instrText>
      </w:r>
      <w:r w:rsidR="0078538B">
        <w:instrText>\r 1</w:instrText>
      </w:r>
      <w:r>
        <w:fldChar w:fldCharType="separate"/>
      </w:r>
      <w:r w:rsidR="00BC30E2">
        <w:rPr>
          <w:noProof/>
        </w:rPr>
        <w:t>1</w:t>
      </w:r>
      <w:r>
        <w:rPr>
          <w:noProof/>
        </w:rPr>
        <w:fldChar w:fldCharType="end"/>
      </w:r>
      <w:bookmarkEnd w:id="98"/>
      <w:r w:rsidR="0078538B">
        <w:tab/>
      </w:r>
      <w:r w:rsidRPr="008629A7">
        <w:t>Standardised GVIF values</w:t>
      </w:r>
      <w:r>
        <w:t xml:space="preserve"> of </w:t>
      </w:r>
      <w:r w:rsidR="00E6162C">
        <w:t>s</w:t>
      </w:r>
      <w:r>
        <w:t>tate variables</w:t>
      </w:r>
    </w:p>
    <w:tbl>
      <w:tblPr>
        <w:tblW w:w="8959" w:type="dxa"/>
        <w:tblLook w:val="04A0" w:firstRow="1" w:lastRow="0" w:firstColumn="1" w:lastColumn="0" w:noHBand="0" w:noVBand="1"/>
      </w:tblPr>
      <w:tblGrid>
        <w:gridCol w:w="1985"/>
        <w:gridCol w:w="1064"/>
        <w:gridCol w:w="1182"/>
        <w:gridCol w:w="1182"/>
        <w:gridCol w:w="1182"/>
        <w:gridCol w:w="1182"/>
        <w:gridCol w:w="1182"/>
      </w:tblGrid>
      <w:tr w:rsidR="00B347BB" w:rsidRPr="00677733" w14:paraId="3531C4BE" w14:textId="77777777" w:rsidTr="002B38EB">
        <w:trPr>
          <w:trHeight w:val="379"/>
        </w:trPr>
        <w:tc>
          <w:tcPr>
            <w:tcW w:w="1985" w:type="dxa"/>
            <w:tcBorders>
              <w:top w:val="nil"/>
              <w:left w:val="nil"/>
              <w:bottom w:val="nil"/>
              <w:right w:val="nil"/>
            </w:tcBorders>
            <w:shd w:val="clear" w:color="000000" w:fill="006991"/>
            <w:vAlign w:val="center"/>
            <w:hideMark/>
          </w:tcPr>
          <w:p w14:paraId="5C27723D" w14:textId="77777777" w:rsidR="00B347BB" w:rsidRPr="00677733" w:rsidRDefault="00B347BB" w:rsidP="002B38EB">
            <w:pPr>
              <w:jc w:val="right"/>
              <w:rPr>
                <w:rFonts w:ascii="Open Sans Semibold" w:eastAsia="Times New Roman" w:hAnsi="Open Sans Semibold" w:cs="Open Sans Semibold"/>
                <w:color w:val="FFFFFF"/>
                <w:sz w:val="16"/>
                <w:szCs w:val="16"/>
                <w:lang w:eastAsia="en-AU"/>
              </w:rPr>
            </w:pPr>
            <w:bookmarkStart w:id="99" w:name="RANGE!A7:G11"/>
            <w:r w:rsidRPr="00677733">
              <w:rPr>
                <w:rFonts w:ascii="Open Sans Semibold" w:eastAsia="Times New Roman" w:hAnsi="Open Sans Semibold" w:cs="Open Sans Semibold"/>
                <w:color w:val="FFFFFF"/>
                <w:sz w:val="16"/>
                <w:szCs w:val="16"/>
                <w:lang w:eastAsia="en-AU"/>
              </w:rPr>
              <w:t>Model</w:t>
            </w:r>
            <w:bookmarkEnd w:id="99"/>
          </w:p>
        </w:tc>
        <w:tc>
          <w:tcPr>
            <w:tcW w:w="1064" w:type="dxa"/>
            <w:tcBorders>
              <w:top w:val="nil"/>
              <w:left w:val="nil"/>
              <w:bottom w:val="nil"/>
              <w:right w:val="nil"/>
            </w:tcBorders>
            <w:shd w:val="clear" w:color="000000" w:fill="006991"/>
            <w:vAlign w:val="center"/>
            <w:hideMark/>
          </w:tcPr>
          <w:p w14:paraId="70568751" w14:textId="77777777" w:rsidR="00B347BB" w:rsidRPr="00677733" w:rsidRDefault="00B347BB" w:rsidP="002B38EB">
            <w:pPr>
              <w:jc w:val="right"/>
              <w:rPr>
                <w:rFonts w:ascii="Open Sans Semibold" w:eastAsia="Times New Roman" w:hAnsi="Open Sans Semibold" w:cs="Open Sans Semibold"/>
                <w:color w:val="FFFFFF"/>
                <w:sz w:val="16"/>
                <w:szCs w:val="16"/>
                <w:lang w:eastAsia="en-AU"/>
              </w:rPr>
            </w:pPr>
            <w:r w:rsidRPr="00677733">
              <w:rPr>
                <w:rFonts w:ascii="Open Sans Semibold" w:eastAsia="Times New Roman" w:hAnsi="Open Sans Semibold" w:cs="Open Sans Semibold"/>
                <w:color w:val="FFFFFF"/>
                <w:sz w:val="16"/>
                <w:szCs w:val="16"/>
                <w:lang w:eastAsia="en-AU"/>
              </w:rPr>
              <w:t>Sector</w:t>
            </w:r>
          </w:p>
        </w:tc>
        <w:tc>
          <w:tcPr>
            <w:tcW w:w="1182" w:type="dxa"/>
            <w:tcBorders>
              <w:top w:val="nil"/>
              <w:left w:val="nil"/>
              <w:bottom w:val="nil"/>
              <w:right w:val="nil"/>
            </w:tcBorders>
            <w:shd w:val="clear" w:color="000000" w:fill="006991"/>
            <w:vAlign w:val="center"/>
            <w:hideMark/>
          </w:tcPr>
          <w:p w14:paraId="4292239D" w14:textId="77777777" w:rsidR="00B347BB" w:rsidRPr="00677733" w:rsidRDefault="00B347BB" w:rsidP="002B38EB">
            <w:pPr>
              <w:jc w:val="right"/>
              <w:rPr>
                <w:rFonts w:ascii="Open Sans Semibold" w:eastAsia="Times New Roman" w:hAnsi="Open Sans Semibold" w:cs="Open Sans Semibold"/>
                <w:color w:val="FFFFFF"/>
                <w:sz w:val="16"/>
                <w:szCs w:val="16"/>
                <w:lang w:eastAsia="en-AU"/>
              </w:rPr>
            </w:pPr>
            <w:r w:rsidRPr="00677733">
              <w:rPr>
                <w:rFonts w:ascii="Open Sans Semibold" w:eastAsia="Times New Roman" w:hAnsi="Open Sans Semibold" w:cs="Open Sans Semibold"/>
                <w:color w:val="FFFFFF"/>
                <w:sz w:val="16"/>
                <w:szCs w:val="16"/>
                <w:lang w:eastAsia="en-AU"/>
              </w:rPr>
              <w:t>2018</w:t>
            </w:r>
          </w:p>
        </w:tc>
        <w:tc>
          <w:tcPr>
            <w:tcW w:w="1182" w:type="dxa"/>
            <w:tcBorders>
              <w:top w:val="nil"/>
              <w:left w:val="nil"/>
              <w:bottom w:val="nil"/>
              <w:right w:val="nil"/>
            </w:tcBorders>
            <w:shd w:val="clear" w:color="000000" w:fill="006991"/>
            <w:vAlign w:val="center"/>
            <w:hideMark/>
          </w:tcPr>
          <w:p w14:paraId="7B6D1B2B" w14:textId="77777777" w:rsidR="00B347BB" w:rsidRPr="00677733" w:rsidRDefault="00B347BB" w:rsidP="002B38EB">
            <w:pPr>
              <w:jc w:val="right"/>
              <w:rPr>
                <w:rFonts w:ascii="Open Sans Semibold" w:eastAsia="Times New Roman" w:hAnsi="Open Sans Semibold" w:cs="Open Sans Semibold"/>
                <w:color w:val="FFFFFF"/>
                <w:sz w:val="16"/>
                <w:szCs w:val="16"/>
                <w:lang w:eastAsia="en-AU"/>
              </w:rPr>
            </w:pPr>
            <w:r w:rsidRPr="00677733">
              <w:rPr>
                <w:rFonts w:ascii="Open Sans Semibold" w:eastAsia="Times New Roman" w:hAnsi="Open Sans Semibold" w:cs="Open Sans Semibold"/>
                <w:color w:val="FFFFFF"/>
                <w:sz w:val="16"/>
                <w:szCs w:val="16"/>
                <w:lang w:eastAsia="en-AU"/>
              </w:rPr>
              <w:t>2019</w:t>
            </w:r>
          </w:p>
        </w:tc>
        <w:tc>
          <w:tcPr>
            <w:tcW w:w="1182" w:type="dxa"/>
            <w:tcBorders>
              <w:top w:val="nil"/>
              <w:left w:val="nil"/>
              <w:bottom w:val="nil"/>
              <w:right w:val="nil"/>
            </w:tcBorders>
            <w:shd w:val="clear" w:color="000000" w:fill="006991"/>
            <w:vAlign w:val="center"/>
            <w:hideMark/>
          </w:tcPr>
          <w:p w14:paraId="23B8385C" w14:textId="77777777" w:rsidR="00B347BB" w:rsidRPr="00677733" w:rsidRDefault="00B347BB" w:rsidP="002B38EB">
            <w:pPr>
              <w:jc w:val="right"/>
              <w:rPr>
                <w:rFonts w:ascii="Open Sans Semibold" w:eastAsia="Times New Roman" w:hAnsi="Open Sans Semibold" w:cs="Open Sans Semibold"/>
                <w:color w:val="FFFFFF"/>
                <w:sz w:val="16"/>
                <w:szCs w:val="16"/>
                <w:lang w:eastAsia="en-AU"/>
              </w:rPr>
            </w:pPr>
            <w:r w:rsidRPr="00677733">
              <w:rPr>
                <w:rFonts w:ascii="Open Sans Semibold" w:eastAsia="Times New Roman" w:hAnsi="Open Sans Semibold" w:cs="Open Sans Semibold"/>
                <w:color w:val="FFFFFF"/>
                <w:sz w:val="16"/>
                <w:szCs w:val="16"/>
                <w:lang w:eastAsia="en-AU"/>
              </w:rPr>
              <w:t>2020</w:t>
            </w:r>
          </w:p>
        </w:tc>
        <w:tc>
          <w:tcPr>
            <w:tcW w:w="1182" w:type="dxa"/>
            <w:tcBorders>
              <w:top w:val="nil"/>
              <w:left w:val="nil"/>
              <w:bottom w:val="nil"/>
              <w:right w:val="nil"/>
            </w:tcBorders>
            <w:shd w:val="clear" w:color="000000" w:fill="006991"/>
            <w:vAlign w:val="center"/>
            <w:hideMark/>
          </w:tcPr>
          <w:p w14:paraId="6D56DF16" w14:textId="77777777" w:rsidR="00B347BB" w:rsidRPr="00677733" w:rsidRDefault="00B347BB" w:rsidP="002B38EB">
            <w:pPr>
              <w:jc w:val="right"/>
              <w:rPr>
                <w:rFonts w:ascii="Open Sans Semibold" w:eastAsia="Times New Roman" w:hAnsi="Open Sans Semibold" w:cs="Open Sans Semibold"/>
                <w:color w:val="FFFFFF"/>
                <w:sz w:val="16"/>
                <w:szCs w:val="16"/>
                <w:lang w:eastAsia="en-AU"/>
              </w:rPr>
            </w:pPr>
            <w:r w:rsidRPr="00677733">
              <w:rPr>
                <w:rFonts w:ascii="Open Sans Semibold" w:eastAsia="Times New Roman" w:hAnsi="Open Sans Semibold" w:cs="Open Sans Semibold"/>
                <w:color w:val="FFFFFF"/>
                <w:sz w:val="16"/>
                <w:szCs w:val="16"/>
                <w:lang w:eastAsia="en-AU"/>
              </w:rPr>
              <w:t>2021</w:t>
            </w:r>
          </w:p>
        </w:tc>
        <w:tc>
          <w:tcPr>
            <w:tcW w:w="1182" w:type="dxa"/>
            <w:tcBorders>
              <w:top w:val="nil"/>
              <w:left w:val="nil"/>
              <w:bottom w:val="nil"/>
              <w:right w:val="nil"/>
            </w:tcBorders>
            <w:shd w:val="clear" w:color="000000" w:fill="006991"/>
            <w:vAlign w:val="center"/>
            <w:hideMark/>
          </w:tcPr>
          <w:p w14:paraId="38B93BA4" w14:textId="77777777" w:rsidR="00B347BB" w:rsidRPr="00677733" w:rsidRDefault="00B347BB" w:rsidP="002B38EB">
            <w:pPr>
              <w:jc w:val="right"/>
              <w:rPr>
                <w:rFonts w:ascii="Open Sans Semibold" w:eastAsia="Times New Roman" w:hAnsi="Open Sans Semibold" w:cs="Open Sans Semibold"/>
                <w:color w:val="FFFFFF"/>
                <w:sz w:val="16"/>
                <w:szCs w:val="16"/>
                <w:lang w:eastAsia="en-AU"/>
              </w:rPr>
            </w:pPr>
            <w:r w:rsidRPr="00677733">
              <w:rPr>
                <w:rFonts w:ascii="Open Sans Semibold" w:eastAsia="Times New Roman" w:hAnsi="Open Sans Semibold" w:cs="Open Sans Semibold"/>
                <w:color w:val="FFFFFF"/>
                <w:sz w:val="16"/>
                <w:szCs w:val="16"/>
                <w:lang w:eastAsia="en-AU"/>
              </w:rPr>
              <w:t>2022</w:t>
            </w:r>
          </w:p>
        </w:tc>
      </w:tr>
      <w:tr w:rsidR="00B347BB" w:rsidRPr="00677733" w14:paraId="7B3453CE" w14:textId="77777777" w:rsidTr="002B38EB">
        <w:trPr>
          <w:trHeight w:val="315"/>
        </w:trPr>
        <w:tc>
          <w:tcPr>
            <w:tcW w:w="1985" w:type="dxa"/>
            <w:tcBorders>
              <w:top w:val="single" w:sz="4" w:space="0" w:color="ADD6EA"/>
              <w:left w:val="nil"/>
              <w:bottom w:val="nil"/>
              <w:right w:val="nil"/>
            </w:tcBorders>
            <w:shd w:val="clear" w:color="auto" w:fill="auto"/>
            <w:vAlign w:val="bottom"/>
            <w:hideMark/>
          </w:tcPr>
          <w:p w14:paraId="51556F69" w14:textId="77777777" w:rsidR="00B347BB" w:rsidRPr="00677733" w:rsidRDefault="00B347BB" w:rsidP="002B38EB">
            <w:pPr>
              <w:rPr>
                <w:rFonts w:eastAsia="Times New Roman" w:cs="Open Sans Light"/>
                <w:b/>
                <w:bCs/>
                <w:color w:val="000000"/>
                <w:sz w:val="16"/>
                <w:szCs w:val="16"/>
                <w:lang w:eastAsia="en-AU"/>
              </w:rPr>
            </w:pPr>
            <w:r>
              <w:rPr>
                <w:rFonts w:eastAsia="Times New Roman" w:cs="Open Sans Light"/>
                <w:b/>
                <w:bCs/>
                <w:color w:val="000000"/>
                <w:sz w:val="16"/>
                <w:szCs w:val="16"/>
                <w:lang w:eastAsia="en-AU"/>
              </w:rPr>
              <w:t>2020 Review methods</w:t>
            </w:r>
          </w:p>
        </w:tc>
        <w:tc>
          <w:tcPr>
            <w:tcW w:w="1064" w:type="dxa"/>
            <w:tcBorders>
              <w:top w:val="single" w:sz="4" w:space="0" w:color="ADD6EA"/>
              <w:left w:val="nil"/>
              <w:bottom w:val="nil"/>
              <w:right w:val="nil"/>
            </w:tcBorders>
            <w:shd w:val="clear" w:color="auto" w:fill="auto"/>
            <w:noWrap/>
            <w:vAlign w:val="bottom"/>
            <w:hideMark/>
          </w:tcPr>
          <w:p w14:paraId="559FE66F"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Private</w:t>
            </w:r>
          </w:p>
        </w:tc>
        <w:tc>
          <w:tcPr>
            <w:tcW w:w="1182" w:type="dxa"/>
            <w:tcBorders>
              <w:top w:val="single" w:sz="4" w:space="0" w:color="ADD6EA"/>
              <w:left w:val="nil"/>
              <w:bottom w:val="nil"/>
              <w:right w:val="nil"/>
            </w:tcBorders>
            <w:shd w:val="clear" w:color="auto" w:fill="auto"/>
            <w:noWrap/>
            <w:vAlign w:val="bottom"/>
            <w:hideMark/>
          </w:tcPr>
          <w:p w14:paraId="7258219D"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1.246</w:t>
            </w:r>
          </w:p>
        </w:tc>
        <w:tc>
          <w:tcPr>
            <w:tcW w:w="1182" w:type="dxa"/>
            <w:tcBorders>
              <w:top w:val="single" w:sz="4" w:space="0" w:color="ADD6EA"/>
              <w:left w:val="nil"/>
              <w:bottom w:val="nil"/>
              <w:right w:val="nil"/>
            </w:tcBorders>
            <w:shd w:val="clear" w:color="auto" w:fill="auto"/>
            <w:noWrap/>
            <w:vAlign w:val="bottom"/>
            <w:hideMark/>
          </w:tcPr>
          <w:p w14:paraId="3A0E7674"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1.254</w:t>
            </w:r>
          </w:p>
        </w:tc>
        <w:tc>
          <w:tcPr>
            <w:tcW w:w="1182" w:type="dxa"/>
            <w:tcBorders>
              <w:top w:val="single" w:sz="4" w:space="0" w:color="ADD6EA"/>
              <w:left w:val="nil"/>
              <w:bottom w:val="nil"/>
              <w:right w:val="nil"/>
            </w:tcBorders>
            <w:shd w:val="clear" w:color="auto" w:fill="auto"/>
            <w:noWrap/>
            <w:vAlign w:val="bottom"/>
            <w:hideMark/>
          </w:tcPr>
          <w:p w14:paraId="57E301B4"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1.262</w:t>
            </w:r>
          </w:p>
        </w:tc>
        <w:tc>
          <w:tcPr>
            <w:tcW w:w="1182" w:type="dxa"/>
            <w:tcBorders>
              <w:top w:val="single" w:sz="4" w:space="0" w:color="ADD6EA"/>
              <w:left w:val="nil"/>
              <w:bottom w:val="nil"/>
              <w:right w:val="nil"/>
            </w:tcBorders>
            <w:shd w:val="clear" w:color="auto" w:fill="auto"/>
            <w:noWrap/>
            <w:vAlign w:val="bottom"/>
            <w:hideMark/>
          </w:tcPr>
          <w:p w14:paraId="3AC52DC2"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1.267</w:t>
            </w:r>
          </w:p>
        </w:tc>
        <w:tc>
          <w:tcPr>
            <w:tcW w:w="1182" w:type="dxa"/>
            <w:tcBorders>
              <w:top w:val="single" w:sz="4" w:space="0" w:color="ADD6EA"/>
              <w:left w:val="nil"/>
              <w:bottom w:val="nil"/>
              <w:right w:val="nil"/>
            </w:tcBorders>
            <w:shd w:val="clear" w:color="auto" w:fill="auto"/>
            <w:noWrap/>
            <w:vAlign w:val="bottom"/>
            <w:hideMark/>
          </w:tcPr>
          <w:p w14:paraId="39793D60"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1.257</w:t>
            </w:r>
          </w:p>
        </w:tc>
      </w:tr>
      <w:tr w:rsidR="00B347BB" w:rsidRPr="00677733" w14:paraId="2041172A" w14:textId="77777777" w:rsidTr="002B38EB">
        <w:trPr>
          <w:trHeight w:val="315"/>
        </w:trPr>
        <w:tc>
          <w:tcPr>
            <w:tcW w:w="1985" w:type="dxa"/>
            <w:tcBorders>
              <w:top w:val="single" w:sz="4" w:space="0" w:color="ADD6EA"/>
              <w:left w:val="nil"/>
              <w:bottom w:val="nil"/>
              <w:right w:val="nil"/>
            </w:tcBorders>
            <w:shd w:val="clear" w:color="auto" w:fill="auto"/>
            <w:vAlign w:val="bottom"/>
            <w:hideMark/>
          </w:tcPr>
          <w:p w14:paraId="217FEE10" w14:textId="77777777" w:rsidR="00B347BB" w:rsidRPr="00677733" w:rsidRDefault="00B347BB" w:rsidP="002B38EB">
            <w:pPr>
              <w:rPr>
                <w:rFonts w:eastAsia="Times New Roman" w:cs="Open Sans Light"/>
                <w:b/>
                <w:bCs/>
                <w:color w:val="000000"/>
                <w:sz w:val="16"/>
                <w:szCs w:val="16"/>
                <w:lang w:eastAsia="en-AU"/>
              </w:rPr>
            </w:pPr>
            <w:r w:rsidRPr="00677733">
              <w:rPr>
                <w:rFonts w:eastAsia="Times New Roman" w:cs="Open Sans Light"/>
                <w:b/>
                <w:bCs/>
                <w:color w:val="000000"/>
                <w:sz w:val="16"/>
                <w:szCs w:val="16"/>
                <w:lang w:eastAsia="en-AU"/>
              </w:rPr>
              <w:t> </w:t>
            </w:r>
          </w:p>
        </w:tc>
        <w:tc>
          <w:tcPr>
            <w:tcW w:w="1064" w:type="dxa"/>
            <w:tcBorders>
              <w:top w:val="single" w:sz="4" w:space="0" w:color="ADD6EA"/>
              <w:left w:val="nil"/>
              <w:bottom w:val="nil"/>
              <w:right w:val="nil"/>
            </w:tcBorders>
            <w:shd w:val="clear" w:color="auto" w:fill="auto"/>
            <w:noWrap/>
            <w:vAlign w:val="bottom"/>
            <w:hideMark/>
          </w:tcPr>
          <w:p w14:paraId="43DCA8C4"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Public</w:t>
            </w:r>
          </w:p>
        </w:tc>
        <w:tc>
          <w:tcPr>
            <w:tcW w:w="1182" w:type="dxa"/>
            <w:tcBorders>
              <w:top w:val="single" w:sz="4" w:space="0" w:color="ADD6EA"/>
              <w:left w:val="nil"/>
              <w:bottom w:val="nil"/>
              <w:right w:val="nil"/>
            </w:tcBorders>
            <w:shd w:val="clear" w:color="auto" w:fill="auto"/>
            <w:noWrap/>
            <w:vAlign w:val="bottom"/>
            <w:hideMark/>
          </w:tcPr>
          <w:p w14:paraId="03432F96"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1.358</w:t>
            </w:r>
          </w:p>
        </w:tc>
        <w:tc>
          <w:tcPr>
            <w:tcW w:w="1182" w:type="dxa"/>
            <w:tcBorders>
              <w:top w:val="single" w:sz="4" w:space="0" w:color="ADD6EA"/>
              <w:left w:val="nil"/>
              <w:bottom w:val="nil"/>
              <w:right w:val="nil"/>
            </w:tcBorders>
            <w:shd w:val="clear" w:color="auto" w:fill="auto"/>
            <w:noWrap/>
            <w:vAlign w:val="bottom"/>
            <w:hideMark/>
          </w:tcPr>
          <w:p w14:paraId="438552CD"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1.315</w:t>
            </w:r>
          </w:p>
        </w:tc>
        <w:tc>
          <w:tcPr>
            <w:tcW w:w="1182" w:type="dxa"/>
            <w:tcBorders>
              <w:top w:val="single" w:sz="4" w:space="0" w:color="ADD6EA"/>
              <w:left w:val="nil"/>
              <w:bottom w:val="nil"/>
              <w:right w:val="nil"/>
            </w:tcBorders>
            <w:shd w:val="clear" w:color="auto" w:fill="auto"/>
            <w:noWrap/>
            <w:vAlign w:val="bottom"/>
            <w:hideMark/>
          </w:tcPr>
          <w:p w14:paraId="6CC65CFC"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1.354</w:t>
            </w:r>
          </w:p>
        </w:tc>
        <w:tc>
          <w:tcPr>
            <w:tcW w:w="1182" w:type="dxa"/>
            <w:tcBorders>
              <w:top w:val="single" w:sz="4" w:space="0" w:color="ADD6EA"/>
              <w:left w:val="nil"/>
              <w:bottom w:val="nil"/>
              <w:right w:val="nil"/>
            </w:tcBorders>
            <w:shd w:val="clear" w:color="auto" w:fill="auto"/>
            <w:noWrap/>
            <w:vAlign w:val="bottom"/>
            <w:hideMark/>
          </w:tcPr>
          <w:p w14:paraId="10EA3094"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1.335</w:t>
            </w:r>
          </w:p>
        </w:tc>
        <w:tc>
          <w:tcPr>
            <w:tcW w:w="1182" w:type="dxa"/>
            <w:tcBorders>
              <w:top w:val="single" w:sz="4" w:space="0" w:color="ADD6EA"/>
              <w:left w:val="nil"/>
              <w:bottom w:val="nil"/>
              <w:right w:val="nil"/>
            </w:tcBorders>
            <w:shd w:val="clear" w:color="auto" w:fill="auto"/>
            <w:noWrap/>
            <w:vAlign w:val="bottom"/>
            <w:hideMark/>
          </w:tcPr>
          <w:p w14:paraId="03564927"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1.348</w:t>
            </w:r>
          </w:p>
        </w:tc>
      </w:tr>
      <w:tr w:rsidR="00B347BB" w:rsidRPr="00677733" w14:paraId="28F08C9B" w14:textId="77777777" w:rsidTr="002B38EB">
        <w:trPr>
          <w:trHeight w:val="315"/>
        </w:trPr>
        <w:tc>
          <w:tcPr>
            <w:tcW w:w="1985" w:type="dxa"/>
            <w:tcBorders>
              <w:top w:val="single" w:sz="4" w:space="0" w:color="ADD6EA"/>
              <w:left w:val="nil"/>
              <w:bottom w:val="nil"/>
              <w:right w:val="nil"/>
            </w:tcBorders>
            <w:shd w:val="clear" w:color="auto" w:fill="auto"/>
            <w:vAlign w:val="bottom"/>
            <w:hideMark/>
          </w:tcPr>
          <w:p w14:paraId="7C22705C" w14:textId="77777777" w:rsidR="00B347BB" w:rsidRPr="00677733" w:rsidRDefault="00B347BB" w:rsidP="002B38EB">
            <w:pPr>
              <w:rPr>
                <w:rFonts w:eastAsia="Times New Roman" w:cs="Open Sans Light"/>
                <w:b/>
                <w:bCs/>
                <w:color w:val="000000"/>
                <w:sz w:val="16"/>
                <w:szCs w:val="16"/>
                <w:lang w:eastAsia="en-AU"/>
              </w:rPr>
            </w:pPr>
            <w:r>
              <w:rPr>
                <w:rFonts w:eastAsia="Times New Roman" w:cs="Open Sans Light"/>
                <w:b/>
                <w:bCs/>
                <w:color w:val="000000"/>
                <w:sz w:val="16"/>
                <w:szCs w:val="16"/>
                <w:lang w:eastAsia="en-AU"/>
              </w:rPr>
              <w:t>Proposed model</w:t>
            </w:r>
          </w:p>
        </w:tc>
        <w:tc>
          <w:tcPr>
            <w:tcW w:w="1064" w:type="dxa"/>
            <w:tcBorders>
              <w:top w:val="single" w:sz="4" w:space="0" w:color="ADD6EA"/>
              <w:left w:val="nil"/>
              <w:bottom w:val="nil"/>
              <w:right w:val="nil"/>
            </w:tcBorders>
            <w:shd w:val="clear" w:color="auto" w:fill="auto"/>
            <w:noWrap/>
            <w:vAlign w:val="bottom"/>
            <w:hideMark/>
          </w:tcPr>
          <w:p w14:paraId="503D6BE9"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Private</w:t>
            </w:r>
          </w:p>
        </w:tc>
        <w:tc>
          <w:tcPr>
            <w:tcW w:w="1182" w:type="dxa"/>
            <w:tcBorders>
              <w:top w:val="single" w:sz="4" w:space="0" w:color="ADD6EA"/>
              <w:left w:val="nil"/>
              <w:bottom w:val="nil"/>
              <w:right w:val="nil"/>
            </w:tcBorders>
            <w:shd w:val="clear" w:color="auto" w:fill="auto"/>
            <w:noWrap/>
            <w:vAlign w:val="bottom"/>
            <w:hideMark/>
          </w:tcPr>
          <w:p w14:paraId="5F61B876"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1.247</w:t>
            </w:r>
          </w:p>
        </w:tc>
        <w:tc>
          <w:tcPr>
            <w:tcW w:w="1182" w:type="dxa"/>
            <w:tcBorders>
              <w:top w:val="single" w:sz="4" w:space="0" w:color="ADD6EA"/>
              <w:left w:val="nil"/>
              <w:bottom w:val="nil"/>
              <w:right w:val="nil"/>
            </w:tcBorders>
            <w:shd w:val="clear" w:color="auto" w:fill="auto"/>
            <w:noWrap/>
            <w:vAlign w:val="bottom"/>
            <w:hideMark/>
          </w:tcPr>
          <w:p w14:paraId="42EE7982"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1.254</w:t>
            </w:r>
          </w:p>
        </w:tc>
        <w:tc>
          <w:tcPr>
            <w:tcW w:w="1182" w:type="dxa"/>
            <w:tcBorders>
              <w:top w:val="single" w:sz="4" w:space="0" w:color="ADD6EA"/>
              <w:left w:val="nil"/>
              <w:bottom w:val="nil"/>
              <w:right w:val="nil"/>
            </w:tcBorders>
            <w:shd w:val="clear" w:color="auto" w:fill="auto"/>
            <w:noWrap/>
            <w:vAlign w:val="bottom"/>
            <w:hideMark/>
          </w:tcPr>
          <w:p w14:paraId="51B8469E"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1.263</w:t>
            </w:r>
          </w:p>
        </w:tc>
        <w:tc>
          <w:tcPr>
            <w:tcW w:w="1182" w:type="dxa"/>
            <w:tcBorders>
              <w:top w:val="single" w:sz="4" w:space="0" w:color="ADD6EA"/>
              <w:left w:val="nil"/>
              <w:bottom w:val="nil"/>
              <w:right w:val="nil"/>
            </w:tcBorders>
            <w:shd w:val="clear" w:color="auto" w:fill="auto"/>
            <w:noWrap/>
            <w:vAlign w:val="bottom"/>
            <w:hideMark/>
          </w:tcPr>
          <w:p w14:paraId="257A05CC"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1.268</w:t>
            </w:r>
          </w:p>
        </w:tc>
        <w:tc>
          <w:tcPr>
            <w:tcW w:w="1182" w:type="dxa"/>
            <w:tcBorders>
              <w:top w:val="single" w:sz="4" w:space="0" w:color="ADD6EA"/>
              <w:left w:val="nil"/>
              <w:bottom w:val="nil"/>
              <w:right w:val="nil"/>
            </w:tcBorders>
            <w:shd w:val="clear" w:color="auto" w:fill="auto"/>
            <w:noWrap/>
            <w:vAlign w:val="bottom"/>
            <w:hideMark/>
          </w:tcPr>
          <w:p w14:paraId="553D3A40"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1.258</w:t>
            </w:r>
          </w:p>
        </w:tc>
      </w:tr>
      <w:tr w:rsidR="00B347BB" w:rsidRPr="00677733" w14:paraId="06998D3E" w14:textId="77777777" w:rsidTr="002B38EB">
        <w:trPr>
          <w:trHeight w:val="315"/>
        </w:trPr>
        <w:tc>
          <w:tcPr>
            <w:tcW w:w="1985" w:type="dxa"/>
            <w:tcBorders>
              <w:top w:val="single" w:sz="4" w:space="0" w:color="ADD6EA"/>
              <w:left w:val="nil"/>
              <w:bottom w:val="single" w:sz="4" w:space="0" w:color="ADD6EA"/>
              <w:right w:val="nil"/>
            </w:tcBorders>
            <w:shd w:val="clear" w:color="auto" w:fill="auto"/>
            <w:vAlign w:val="bottom"/>
            <w:hideMark/>
          </w:tcPr>
          <w:p w14:paraId="2F4EEA9B" w14:textId="77777777" w:rsidR="00B347BB" w:rsidRPr="00677733" w:rsidRDefault="00B347BB" w:rsidP="002B38EB">
            <w:pPr>
              <w:rPr>
                <w:rFonts w:eastAsia="Times New Roman" w:cs="Open Sans Light"/>
                <w:b/>
                <w:bCs/>
                <w:color w:val="000000"/>
                <w:sz w:val="16"/>
                <w:szCs w:val="16"/>
                <w:lang w:eastAsia="en-AU"/>
              </w:rPr>
            </w:pPr>
            <w:r w:rsidRPr="00677733">
              <w:rPr>
                <w:rFonts w:eastAsia="Times New Roman" w:cs="Open Sans Light"/>
                <w:b/>
                <w:bCs/>
                <w:color w:val="000000"/>
                <w:sz w:val="16"/>
                <w:szCs w:val="16"/>
                <w:lang w:eastAsia="en-AU"/>
              </w:rPr>
              <w:t> </w:t>
            </w:r>
          </w:p>
        </w:tc>
        <w:tc>
          <w:tcPr>
            <w:tcW w:w="1064" w:type="dxa"/>
            <w:tcBorders>
              <w:top w:val="single" w:sz="4" w:space="0" w:color="ADD6EA"/>
              <w:left w:val="nil"/>
              <w:bottom w:val="single" w:sz="4" w:space="0" w:color="ADD6EA"/>
              <w:right w:val="nil"/>
            </w:tcBorders>
            <w:shd w:val="clear" w:color="auto" w:fill="auto"/>
            <w:noWrap/>
            <w:vAlign w:val="bottom"/>
            <w:hideMark/>
          </w:tcPr>
          <w:p w14:paraId="018AFD0D"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Public</w:t>
            </w:r>
          </w:p>
        </w:tc>
        <w:tc>
          <w:tcPr>
            <w:tcW w:w="1182" w:type="dxa"/>
            <w:tcBorders>
              <w:top w:val="single" w:sz="4" w:space="0" w:color="ADD6EA"/>
              <w:left w:val="nil"/>
              <w:bottom w:val="single" w:sz="4" w:space="0" w:color="ADD6EA"/>
              <w:right w:val="nil"/>
            </w:tcBorders>
            <w:shd w:val="clear" w:color="auto" w:fill="auto"/>
            <w:noWrap/>
            <w:vAlign w:val="bottom"/>
            <w:hideMark/>
          </w:tcPr>
          <w:p w14:paraId="4C1A8CCD"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1.363</w:t>
            </w:r>
          </w:p>
        </w:tc>
        <w:tc>
          <w:tcPr>
            <w:tcW w:w="1182" w:type="dxa"/>
            <w:tcBorders>
              <w:top w:val="single" w:sz="4" w:space="0" w:color="ADD6EA"/>
              <w:left w:val="nil"/>
              <w:bottom w:val="single" w:sz="4" w:space="0" w:color="ADD6EA"/>
              <w:right w:val="nil"/>
            </w:tcBorders>
            <w:shd w:val="clear" w:color="auto" w:fill="auto"/>
            <w:noWrap/>
            <w:vAlign w:val="bottom"/>
            <w:hideMark/>
          </w:tcPr>
          <w:p w14:paraId="31986D57"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1.322</w:t>
            </w:r>
          </w:p>
        </w:tc>
        <w:tc>
          <w:tcPr>
            <w:tcW w:w="1182" w:type="dxa"/>
            <w:tcBorders>
              <w:top w:val="single" w:sz="4" w:space="0" w:color="ADD6EA"/>
              <w:left w:val="nil"/>
              <w:bottom w:val="single" w:sz="4" w:space="0" w:color="ADD6EA"/>
              <w:right w:val="nil"/>
            </w:tcBorders>
            <w:shd w:val="clear" w:color="auto" w:fill="auto"/>
            <w:noWrap/>
            <w:vAlign w:val="bottom"/>
            <w:hideMark/>
          </w:tcPr>
          <w:p w14:paraId="3FA771E1"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1.361</w:t>
            </w:r>
          </w:p>
        </w:tc>
        <w:tc>
          <w:tcPr>
            <w:tcW w:w="1182" w:type="dxa"/>
            <w:tcBorders>
              <w:top w:val="single" w:sz="4" w:space="0" w:color="ADD6EA"/>
              <w:left w:val="nil"/>
              <w:bottom w:val="single" w:sz="4" w:space="0" w:color="ADD6EA"/>
              <w:right w:val="nil"/>
            </w:tcBorders>
            <w:shd w:val="clear" w:color="auto" w:fill="auto"/>
            <w:noWrap/>
            <w:vAlign w:val="bottom"/>
            <w:hideMark/>
          </w:tcPr>
          <w:p w14:paraId="15C8A553"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1.343</w:t>
            </w:r>
          </w:p>
        </w:tc>
        <w:tc>
          <w:tcPr>
            <w:tcW w:w="1182" w:type="dxa"/>
            <w:tcBorders>
              <w:top w:val="single" w:sz="4" w:space="0" w:color="ADD6EA"/>
              <w:left w:val="nil"/>
              <w:bottom w:val="single" w:sz="4" w:space="0" w:color="ADD6EA"/>
              <w:right w:val="nil"/>
            </w:tcBorders>
            <w:shd w:val="clear" w:color="auto" w:fill="auto"/>
            <w:noWrap/>
            <w:vAlign w:val="bottom"/>
            <w:hideMark/>
          </w:tcPr>
          <w:p w14:paraId="4D7B19CC" w14:textId="77777777" w:rsidR="00B347BB" w:rsidRPr="00677733" w:rsidRDefault="00B347BB" w:rsidP="002B38EB">
            <w:pPr>
              <w:jc w:val="right"/>
              <w:rPr>
                <w:rFonts w:eastAsia="Times New Roman" w:cs="Open Sans Light"/>
                <w:color w:val="000000"/>
                <w:sz w:val="16"/>
                <w:szCs w:val="16"/>
                <w:lang w:eastAsia="en-AU"/>
              </w:rPr>
            </w:pPr>
            <w:r w:rsidRPr="00677733">
              <w:rPr>
                <w:rFonts w:eastAsia="Times New Roman" w:cs="Open Sans Light"/>
                <w:color w:val="000000"/>
                <w:sz w:val="16"/>
                <w:szCs w:val="16"/>
                <w:lang w:eastAsia="en-AU"/>
              </w:rPr>
              <w:t>1.355</w:t>
            </w:r>
          </w:p>
        </w:tc>
      </w:tr>
    </w:tbl>
    <w:p w14:paraId="3F538062" w14:textId="77777777" w:rsidR="00097DAA" w:rsidRPr="008A5DA5" w:rsidRDefault="00097DAA" w:rsidP="00097DAA">
      <w:pPr>
        <w:pStyle w:val="CGC2025TableNote"/>
      </w:pPr>
      <w:r>
        <w:t xml:space="preserve">Source: Commission calculation. </w:t>
      </w:r>
    </w:p>
    <w:p w14:paraId="384279B5" w14:textId="77777777" w:rsidR="0097410D" w:rsidRPr="003E27F3" w:rsidRDefault="0097410D" w:rsidP="0097410D">
      <w:pPr>
        <w:pStyle w:val="Heading3"/>
      </w:pPr>
      <w:bookmarkStart w:id="100" w:name="_Toc138158978"/>
      <w:r>
        <w:t>Overfitting</w:t>
      </w:r>
      <w:bookmarkEnd w:id="100"/>
    </w:p>
    <w:p w14:paraId="6943E9CC" w14:textId="431ADAE6" w:rsidR="0097410D" w:rsidRDefault="0097410D" w:rsidP="0097410D">
      <w:pPr>
        <w:pStyle w:val="CGC2025ParaNumbers"/>
      </w:pPr>
      <w:r>
        <w:t>A regression with as many observations as independent variables will perfectly predict the dependent variable. This will not necessarily reflect the underlying relationship in the population, but rather the specific pattern of the sample. While the specific value for when overfitting becomes problematic, it is generally regarded as being avoided if a model has more than 10 times as many observations as variables</w:t>
      </w:r>
      <w:r w:rsidR="00086163">
        <w:t>.</w:t>
      </w:r>
      <w:r>
        <w:rPr>
          <w:rStyle w:val="FootnoteReference"/>
        </w:rPr>
        <w:footnoteReference w:id="17"/>
      </w:r>
      <w:r>
        <w:t xml:space="preserve"> The wage costs regression has more than 20 times as many observations as variables in every survey year. </w:t>
      </w:r>
    </w:p>
    <w:p w14:paraId="69D1FF77" w14:textId="232B3EB5" w:rsidR="0097410D" w:rsidRPr="0097410D" w:rsidRDefault="0097410D" w:rsidP="0097410D">
      <w:pPr>
        <w:pStyle w:val="CGC2025ParaNumbers"/>
      </w:pPr>
      <w:r w:rsidRPr="007324C1">
        <w:t>Stability of the estimates across alternative samples can also provide some confidence that there is no problem of overfitting. When applying the propose</w:t>
      </w:r>
      <w:r>
        <w:t>d</w:t>
      </w:r>
      <w:r w:rsidRPr="007324C1">
        <w:t xml:space="preserve"> </w:t>
      </w:r>
      <w:r w:rsidRPr="007324C1">
        <w:lastRenderedPageBreak/>
        <w:t>model independently to 5 annual surveys, the estimated coefficients are</w:t>
      </w:r>
      <w:r>
        <w:t xml:space="preserve"> generally relatively stable and consistent</w:t>
      </w:r>
      <w:r w:rsidRPr="00F91DFF">
        <w:t xml:space="preserve">. For example, </w:t>
      </w:r>
      <w:r w:rsidRPr="00F91DFF">
        <w:fldChar w:fldCharType="begin"/>
      </w:r>
      <w:r w:rsidRPr="00F91DFF">
        <w:instrText xml:space="preserve"> REF _Ref137028296 \h  \* MERGEFORMAT </w:instrText>
      </w:r>
      <w:r w:rsidRPr="00F91DFF">
        <w:fldChar w:fldCharType="separate"/>
      </w:r>
      <w:r w:rsidR="00BC30E2">
        <w:t xml:space="preserve">Figure </w:t>
      </w:r>
      <w:r w:rsidR="00802072">
        <w:t>A</w:t>
      </w:r>
      <w:r w:rsidR="00BC30E2">
        <w:rPr>
          <w:noProof/>
        </w:rPr>
        <w:t>1</w:t>
      </w:r>
      <w:r w:rsidRPr="00F91DFF">
        <w:fldChar w:fldCharType="end"/>
      </w:r>
      <w:r w:rsidRPr="00F91DFF">
        <w:t xml:space="preserve"> shows that the estimates for states are generally not significantly different to estimates from previous years.</w:t>
      </w:r>
      <w:r>
        <w:t xml:space="preserve"> Coefficients for education, hours, migrant status and most occupations and industries are generally comparatively stable. Coefficients for some industries and occupations with very few observations do vary widely, but that is to be expected given the small numbers.</w:t>
      </w:r>
    </w:p>
    <w:p w14:paraId="03385279" w14:textId="77777777" w:rsidR="00C601E4" w:rsidRDefault="00C601E4" w:rsidP="00294D2F">
      <w:pPr>
        <w:pStyle w:val="CGC2025Heading2AttachmentFollower"/>
        <w:rPr>
          <w:rStyle w:val="Heading2Char"/>
        </w:rPr>
        <w:sectPr w:rsidR="00C601E4" w:rsidSect="004F0684">
          <w:pgSz w:w="11906" w:h="16838" w:code="9"/>
          <w:pgMar w:top="1440" w:right="1440" w:bottom="1440" w:left="1440" w:header="720" w:footer="720" w:gutter="0"/>
          <w:cols w:space="720"/>
          <w:docGrid w:linePitch="272"/>
        </w:sectPr>
      </w:pPr>
    </w:p>
    <w:p w14:paraId="67A1E1A7" w14:textId="23208A8C" w:rsidR="006E3A5C" w:rsidRDefault="006E3A5C" w:rsidP="00294D2F">
      <w:pPr>
        <w:pStyle w:val="CGC2025Heading2AttachmentFollower"/>
      </w:pPr>
      <w:bookmarkStart w:id="101" w:name="B"/>
      <w:bookmarkStart w:id="102" w:name="_Toc138158979"/>
      <w:bookmarkEnd w:id="101"/>
      <w:r w:rsidRPr="00892C81">
        <w:rPr>
          <w:rStyle w:val="Heading2Char"/>
        </w:rPr>
        <w:lastRenderedPageBreak/>
        <w:t>Attachment B:</w:t>
      </w:r>
      <w:r w:rsidRPr="00DB7A2E">
        <w:t xml:space="preserve"> </w:t>
      </w:r>
      <w:r>
        <w:t xml:space="preserve">Combining </w:t>
      </w:r>
      <w:proofErr w:type="gramStart"/>
      <w:r>
        <w:t>estimates</w:t>
      </w:r>
      <w:bookmarkEnd w:id="102"/>
      <w:proofErr w:type="gramEnd"/>
    </w:p>
    <w:p w14:paraId="78C131D0" w14:textId="77777777" w:rsidR="0097410D" w:rsidRPr="0097410D" w:rsidRDefault="0097410D" w:rsidP="00661FF5">
      <w:pPr>
        <w:pStyle w:val="CGC2025ParaNumbers"/>
      </w:pPr>
      <w:r w:rsidRPr="0097410D">
        <w:t>The proposed method for combining survey estimates from multiple years is a fixed effects method. This method is appropriate for combining estimates of the same effect using the same methods but different samples.</w:t>
      </w:r>
    </w:p>
    <w:p w14:paraId="26A0FA1E" w14:textId="77777777" w:rsidR="0097410D" w:rsidRDefault="0097410D" w:rsidP="0097410D">
      <w:pPr>
        <w:pStyle w:val="CGC2025ParaNumbers"/>
      </w:pPr>
      <w:r>
        <w:t>Combined estimates are generated for each assessment year, using data from every survey year. To ensure that estimates from different survey years are comparable, the survey estimates are indexed to the assessment year using the wage price index.</w:t>
      </w:r>
    </w:p>
    <w:p w14:paraId="08A806A0" w14:textId="77777777" w:rsidR="0097410D" w:rsidRDefault="0097410D" w:rsidP="0097410D">
      <w:pPr>
        <w:pStyle w:val="CGC2025ParaNumbers"/>
      </w:pPr>
      <w:r>
        <w:t xml:space="preserve">The combined estimate for an assessment year is then a weighted average of these indexed estimates. The weight for each survey estimate is the inverse of the variance of the indexed estimate, adjusted to provide a ‘penalty’ </w:t>
      </w:r>
      <w:proofErr w:type="gramStart"/>
      <w:r>
        <w:t>for the amount of</w:t>
      </w:r>
      <w:proofErr w:type="gramEnd"/>
      <w:r>
        <w:t xml:space="preserve"> time between the survey year and the assessment year.</w:t>
      </w:r>
    </w:p>
    <w:p w14:paraId="0507839D" w14:textId="623139E5" w:rsidR="0097410D" w:rsidRDefault="0097410D" w:rsidP="0097410D">
      <w:pPr>
        <w:pStyle w:val="CGC2025ParaNumbers"/>
      </w:pPr>
      <w:r>
        <w:fldChar w:fldCharType="begin"/>
      </w:r>
      <w:r>
        <w:instrText xml:space="preserve"> REF _Ref132374761 \h  \* MERGEFORMAT </w:instrText>
      </w:r>
      <w:r>
        <w:fldChar w:fldCharType="separate"/>
      </w:r>
      <w:r w:rsidR="00BC30E2">
        <w:t xml:space="preserve">Figure </w:t>
      </w:r>
      <w:r w:rsidR="00E35C76">
        <w:t>B</w:t>
      </w:r>
      <w:r w:rsidR="00BC30E2">
        <w:rPr>
          <w:noProof/>
        </w:rPr>
        <w:t>1</w:t>
      </w:r>
      <w:r>
        <w:fldChar w:fldCharType="end"/>
      </w:r>
      <w:r>
        <w:t xml:space="preserve"> shows the average annual weights used to create the combined estimates in </w:t>
      </w:r>
      <w:r>
        <w:fldChar w:fldCharType="begin"/>
      </w:r>
      <w:r>
        <w:instrText xml:space="preserve"> REF _Ref131515128 \h  \* MERGEFORMAT </w:instrText>
      </w:r>
      <w:r>
        <w:fldChar w:fldCharType="separate"/>
      </w:r>
      <w:r w:rsidR="00BC30E2">
        <w:t xml:space="preserve">Figure </w:t>
      </w:r>
      <w:r w:rsidR="00E35C76">
        <w:t>B</w:t>
      </w:r>
      <w:r w:rsidR="00BC30E2">
        <w:rPr>
          <w:noProof/>
        </w:rPr>
        <w:t>3</w:t>
      </w:r>
      <w:r>
        <w:fldChar w:fldCharType="end"/>
      </w:r>
      <w:r>
        <w:t xml:space="preserve">. Survey estimates are weighted according to their variance. Estimates with lower variations are given relatively higher weights, leading to the irregular patterns. </w:t>
      </w:r>
      <w:r>
        <w:fldChar w:fldCharType="begin"/>
      </w:r>
      <w:r>
        <w:instrText xml:space="preserve"> REF _Ref134012971 \h  \* MERGEFORMAT </w:instrText>
      </w:r>
      <w:r>
        <w:fldChar w:fldCharType="separate"/>
      </w:r>
      <w:r w:rsidR="00BC30E2">
        <w:t xml:space="preserve">Figure </w:t>
      </w:r>
      <w:r w:rsidR="00085091">
        <w:t>B</w:t>
      </w:r>
      <w:r w:rsidR="00BC30E2">
        <w:rPr>
          <w:noProof/>
        </w:rPr>
        <w:t>2</w:t>
      </w:r>
      <w:r>
        <w:fldChar w:fldCharType="end"/>
      </w:r>
      <w:r>
        <w:t xml:space="preserve"> shows the weights for state estimates used to create the averages for 2020</w:t>
      </w:r>
      <w:r w:rsidR="005B10D6">
        <w:t>–</w:t>
      </w:r>
      <w:r>
        <w:t xml:space="preserve">21 in </w:t>
      </w:r>
      <w:r>
        <w:fldChar w:fldCharType="begin"/>
      </w:r>
      <w:r>
        <w:instrText xml:space="preserve"> REF _Ref132374761 \h  \* MERGEFORMAT </w:instrText>
      </w:r>
      <w:r>
        <w:fldChar w:fldCharType="separate"/>
      </w:r>
      <w:r w:rsidR="00BC30E2">
        <w:t xml:space="preserve">Figure </w:t>
      </w:r>
      <w:r w:rsidR="00085091">
        <w:t>B</w:t>
      </w:r>
      <w:r w:rsidR="00BC30E2">
        <w:rPr>
          <w:noProof/>
        </w:rPr>
        <w:t>1</w:t>
      </w:r>
      <w:r>
        <w:fldChar w:fldCharType="end"/>
      </w:r>
      <w:r>
        <w:t xml:space="preserve">. The variance for smaller states associated with survey estimates are much more inconsistent between years than for larger states. </w:t>
      </w:r>
    </w:p>
    <w:p w14:paraId="4FC4100C" w14:textId="7E71E346" w:rsidR="00B347BB" w:rsidRDefault="00B347BB" w:rsidP="001F0567">
      <w:pPr>
        <w:pStyle w:val="CGC2025Caption"/>
        <w:tabs>
          <w:tab w:val="left" w:pos="1134"/>
        </w:tabs>
      </w:pPr>
      <w:bookmarkStart w:id="103" w:name="_Ref132374761"/>
      <w:r>
        <w:t xml:space="preserve">Figure </w:t>
      </w:r>
      <w:r w:rsidR="00F2624C">
        <w:t>B</w:t>
      </w:r>
      <w:r>
        <w:fldChar w:fldCharType="begin"/>
      </w:r>
      <w:r>
        <w:instrText>SEQ Figure \* ARABIC</w:instrText>
      </w:r>
      <w:r w:rsidR="0078538B">
        <w:instrText xml:space="preserve"> \r 1</w:instrText>
      </w:r>
      <w:r>
        <w:fldChar w:fldCharType="separate"/>
      </w:r>
      <w:r w:rsidR="00BC30E2">
        <w:rPr>
          <w:noProof/>
        </w:rPr>
        <w:t>1</w:t>
      </w:r>
      <w:r>
        <w:fldChar w:fldCharType="end"/>
      </w:r>
      <w:bookmarkEnd w:id="103"/>
      <w:r>
        <w:tab/>
        <w:t xml:space="preserve">Average weights for survey estimates in annual combined </w:t>
      </w:r>
      <w:proofErr w:type="gramStart"/>
      <w:r>
        <w:t>estimates</w:t>
      </w:r>
      <w:proofErr w:type="gramEnd"/>
    </w:p>
    <w:p w14:paraId="2FA87513" w14:textId="77777777" w:rsidR="00B347BB" w:rsidRDefault="00B347BB" w:rsidP="00B347BB">
      <w:pPr>
        <w:pStyle w:val="CGCParaNumber"/>
        <w:numPr>
          <w:ilvl w:val="0"/>
          <w:numId w:val="0"/>
        </w:numPr>
      </w:pPr>
      <w:r w:rsidRPr="006B4740">
        <w:rPr>
          <w:noProof/>
        </w:rPr>
        <w:drawing>
          <wp:inline distT="0" distB="0" distL="0" distR="0" wp14:anchorId="7F5FAFB3" wp14:editId="14E4748B">
            <wp:extent cx="5657850" cy="35052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57850" cy="3505200"/>
                    </a:xfrm>
                    <a:prstGeom prst="rect">
                      <a:avLst/>
                    </a:prstGeom>
                    <a:noFill/>
                    <a:ln>
                      <a:noFill/>
                    </a:ln>
                  </pic:spPr>
                </pic:pic>
              </a:graphicData>
            </a:graphic>
          </wp:inline>
        </w:drawing>
      </w:r>
    </w:p>
    <w:p w14:paraId="0888E178" w14:textId="77777777" w:rsidR="00097DAA" w:rsidRPr="008A5DA5" w:rsidRDefault="00097DAA" w:rsidP="00097DAA">
      <w:pPr>
        <w:pStyle w:val="CGC2025TableNote"/>
      </w:pPr>
      <w:r>
        <w:t xml:space="preserve">Source: Commission calculation. </w:t>
      </w:r>
    </w:p>
    <w:p w14:paraId="6140A864" w14:textId="77777777" w:rsidR="00097DAA" w:rsidRDefault="00097DAA" w:rsidP="00B347BB">
      <w:pPr>
        <w:pStyle w:val="CGCParaNumber"/>
        <w:numPr>
          <w:ilvl w:val="0"/>
          <w:numId w:val="0"/>
        </w:numPr>
      </w:pPr>
    </w:p>
    <w:p w14:paraId="6CA03623" w14:textId="00EBFF79" w:rsidR="00B347BB" w:rsidRDefault="00B347BB" w:rsidP="001F0567">
      <w:pPr>
        <w:pStyle w:val="CGC2025Caption"/>
        <w:keepNext/>
        <w:tabs>
          <w:tab w:val="left" w:pos="1134"/>
        </w:tabs>
      </w:pPr>
      <w:bookmarkStart w:id="104" w:name="_Ref134012971"/>
      <w:r>
        <w:lastRenderedPageBreak/>
        <w:t xml:space="preserve">Figure </w:t>
      </w:r>
      <w:r w:rsidR="00085091">
        <w:t>B</w:t>
      </w:r>
      <w:r>
        <w:fldChar w:fldCharType="begin"/>
      </w:r>
      <w:r>
        <w:instrText>SEQ Figure \* ARABIC</w:instrText>
      </w:r>
      <w:r>
        <w:fldChar w:fldCharType="separate"/>
      </w:r>
      <w:r w:rsidR="00BC30E2">
        <w:rPr>
          <w:noProof/>
        </w:rPr>
        <w:t>2</w:t>
      </w:r>
      <w:r>
        <w:fldChar w:fldCharType="end"/>
      </w:r>
      <w:bookmarkEnd w:id="104"/>
      <w:r>
        <w:tab/>
        <w:t>Weights for survey estimates of 2020</w:t>
      </w:r>
      <w:r w:rsidR="005B10D6">
        <w:t>–</w:t>
      </w:r>
      <w:r>
        <w:t xml:space="preserve">21 state wage </w:t>
      </w:r>
      <w:proofErr w:type="gramStart"/>
      <w:r>
        <w:t>levels</w:t>
      </w:r>
      <w:proofErr w:type="gramEnd"/>
    </w:p>
    <w:p w14:paraId="5949CD8E" w14:textId="77777777" w:rsidR="00B347BB" w:rsidRDefault="00B347BB" w:rsidP="00B347BB">
      <w:pPr>
        <w:pStyle w:val="CGCParaNumber"/>
        <w:numPr>
          <w:ilvl w:val="0"/>
          <w:numId w:val="0"/>
        </w:numPr>
      </w:pPr>
      <w:r w:rsidRPr="00114EDE">
        <w:rPr>
          <w:noProof/>
        </w:rPr>
        <w:drawing>
          <wp:inline distT="0" distB="0" distL="0" distR="0" wp14:anchorId="1B57BE8E" wp14:editId="1036210F">
            <wp:extent cx="5688965" cy="3180080"/>
            <wp:effectExtent l="0" t="0" r="698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8965" cy="3180080"/>
                    </a:xfrm>
                    <a:prstGeom prst="rect">
                      <a:avLst/>
                    </a:prstGeom>
                    <a:noFill/>
                    <a:ln>
                      <a:noFill/>
                    </a:ln>
                  </pic:spPr>
                </pic:pic>
              </a:graphicData>
            </a:graphic>
          </wp:inline>
        </w:drawing>
      </w:r>
    </w:p>
    <w:p w14:paraId="227FEED4" w14:textId="697D4492" w:rsidR="00097DAA" w:rsidRDefault="00097DAA" w:rsidP="00097DAA">
      <w:pPr>
        <w:pStyle w:val="CGC2025TableNote"/>
      </w:pPr>
      <w:r>
        <w:t xml:space="preserve">Source: Commission calculation. </w:t>
      </w:r>
    </w:p>
    <w:p w14:paraId="7FBD6635" w14:textId="77777777" w:rsidR="0097410D" w:rsidRDefault="0097410D" w:rsidP="0097410D">
      <w:pPr>
        <w:pStyle w:val="CGC2025ParaNumbers"/>
      </w:pPr>
      <w:r>
        <w:t xml:space="preserve">No measure of variance or standard error is published for the wage price index. To ensure that estimates from different years are given appropriate weight, some measure of variance for the indexation must be assumed. </w:t>
      </w:r>
    </w:p>
    <w:p w14:paraId="200702E8" w14:textId="6347D19F" w:rsidR="0097410D" w:rsidRDefault="007907D4" w:rsidP="0097410D">
      <w:pPr>
        <w:pStyle w:val="CGC2025ParaNumbers"/>
      </w:pPr>
      <w:r>
        <w:t>To</w:t>
      </w:r>
      <w:r w:rsidR="0097410D">
        <w:t xml:space="preserve"> penalise estimates where greater time has elapsed between the survey and the assessment year, the variance attributed to that wage price index is deliberately overestimated.</w:t>
      </w:r>
    </w:p>
    <w:p w14:paraId="4807374D" w14:textId="77777777" w:rsidR="0097410D" w:rsidRDefault="0097410D" w:rsidP="0097410D">
      <w:pPr>
        <w:pStyle w:val="CGC2025ParaNumbers"/>
      </w:pPr>
      <w:r>
        <w:t>The annual variance between the wage price indexations for every state in every year is imputed as the variance of all the annual indexation factors. The imputed standard error for a state’s change relative to the national average is 0.3%. This provides an upper limit of the plausible variance. This variance is combined with the variance of the survey estimates as though they were perfectly correlated, to overestimate any variance associated with indexations and penalise less contemporaneous data.</w:t>
      </w:r>
    </w:p>
    <w:p w14:paraId="57E16794" w14:textId="77777777" w:rsidR="0097410D" w:rsidRDefault="0097410D" w:rsidP="0097410D">
      <w:pPr>
        <w:pStyle w:val="CGC2025ParaNumbers"/>
      </w:pPr>
      <w:r>
        <w:t>This total variance is used to generate the weights for each indexed survey estimate to calculate combined estimates for each assessment year.</w:t>
      </w:r>
    </w:p>
    <w:p w14:paraId="3D083A9D" w14:textId="3ED87570" w:rsidR="0097410D" w:rsidRDefault="0097410D" w:rsidP="0097410D">
      <w:pPr>
        <w:pStyle w:val="CGC2025ParaNumbers"/>
      </w:pPr>
      <w:r>
        <w:t xml:space="preserve">Each combined annual estimate also now has an associated (maximum) variance – the inverse of the sum of weights of all the estimates used to calculate it. This allows </w:t>
      </w:r>
      <w:r w:rsidR="00145305">
        <w:t>the provision of</w:t>
      </w:r>
      <w:r>
        <w:t xml:space="preserve"> a measure of confidence for the combined estimate, shown by the 95% confidence intervals in </w:t>
      </w:r>
      <w:r>
        <w:fldChar w:fldCharType="begin"/>
      </w:r>
      <w:r>
        <w:instrText xml:space="preserve"> REF _Ref131515128 \h  \* MERGEFORMAT </w:instrText>
      </w:r>
      <w:r>
        <w:fldChar w:fldCharType="separate"/>
      </w:r>
      <w:r w:rsidR="00BC30E2">
        <w:t xml:space="preserve">Figure </w:t>
      </w:r>
      <w:r w:rsidR="00145305">
        <w:t>B</w:t>
      </w:r>
      <w:r w:rsidR="00BC30E2">
        <w:rPr>
          <w:noProof/>
        </w:rPr>
        <w:t>3</w:t>
      </w:r>
      <w:r>
        <w:fldChar w:fldCharType="end"/>
      </w:r>
      <w:r>
        <w:t>.</w:t>
      </w:r>
    </w:p>
    <w:p w14:paraId="0E2172C3" w14:textId="77777777" w:rsidR="00C601E4" w:rsidRDefault="00C601E4" w:rsidP="00C601E4">
      <w:pPr>
        <w:pStyle w:val="CGCParaNumber"/>
        <w:numPr>
          <w:ilvl w:val="0"/>
          <w:numId w:val="0"/>
        </w:numPr>
        <w:tabs>
          <w:tab w:val="clear" w:pos="567"/>
        </w:tabs>
        <w:ind w:left="360" w:right="-121"/>
        <w:rPr>
          <w:rStyle w:val="Heading2Char"/>
          <w:rFonts w:eastAsiaTheme="minorHAnsi" w:cstheme="minorBidi"/>
          <w:b w:val="0"/>
          <w:bCs w:val="0"/>
          <w:color w:val="auto"/>
          <w:sz w:val="20"/>
          <w:szCs w:val="20"/>
        </w:rPr>
        <w:sectPr w:rsidR="00C601E4" w:rsidSect="004F0684">
          <w:pgSz w:w="11906" w:h="16838" w:code="9"/>
          <w:pgMar w:top="1440" w:right="1440" w:bottom="1440" w:left="1440" w:header="720" w:footer="720" w:gutter="0"/>
          <w:cols w:space="720"/>
          <w:docGrid w:linePitch="272"/>
        </w:sectPr>
      </w:pPr>
    </w:p>
    <w:p w14:paraId="5A86B3C5" w14:textId="1CB20BA0" w:rsidR="006E3A5C" w:rsidRDefault="006E3A5C" w:rsidP="00294D2F">
      <w:pPr>
        <w:pStyle w:val="CGC2025Heading2AttachmentFollower"/>
      </w:pPr>
      <w:bookmarkStart w:id="105" w:name="C"/>
      <w:bookmarkStart w:id="106" w:name="_Toc138158980"/>
      <w:bookmarkEnd w:id="105"/>
      <w:r w:rsidRPr="00294D2F">
        <w:rPr>
          <w:rStyle w:val="Heading2Char"/>
        </w:rPr>
        <w:lastRenderedPageBreak/>
        <w:t xml:space="preserve">Attachment </w:t>
      </w:r>
      <w:r>
        <w:rPr>
          <w:rStyle w:val="Heading2Char"/>
        </w:rPr>
        <w:t>C</w:t>
      </w:r>
      <w:r w:rsidRPr="00294D2F">
        <w:rPr>
          <w:rStyle w:val="Heading2Char"/>
        </w:rPr>
        <w:t>:</w:t>
      </w:r>
      <w:r w:rsidRPr="00DB7A2E">
        <w:t xml:space="preserve"> </w:t>
      </w:r>
      <w:r>
        <w:t xml:space="preserve">Comparing model </w:t>
      </w:r>
      <w:proofErr w:type="gramStart"/>
      <w:r>
        <w:t>specifications</w:t>
      </w:r>
      <w:bookmarkEnd w:id="106"/>
      <w:proofErr w:type="gramEnd"/>
    </w:p>
    <w:p w14:paraId="2CA4E344" w14:textId="73A7497A" w:rsidR="0097410D" w:rsidRPr="0097410D" w:rsidRDefault="0097410D" w:rsidP="001E4D47">
      <w:pPr>
        <w:pStyle w:val="CGC2025ParaNumbers"/>
      </w:pPr>
      <w:r w:rsidRPr="0097410D">
        <w:t xml:space="preserve">Models were validated by testing </w:t>
      </w:r>
      <w:r w:rsidRPr="0097410D" w:rsidDel="009A33E4">
        <w:t xml:space="preserve">on </w:t>
      </w:r>
      <w:r w:rsidRPr="0097410D">
        <w:t>a 5-year pooled sample, containing observations from 2018 to 2022. Year dummy variables account for inflation. Pooling the data may be inappropriate for accurate estimation of parameters, due to possible structural breaks. Here it was pooled simply to create a representative set of data for testing model specifications.</w:t>
      </w:r>
    </w:p>
    <w:p w14:paraId="4CAF7C4C" w14:textId="5FB87153" w:rsidR="0097410D" w:rsidRDefault="0097410D" w:rsidP="0097410D">
      <w:pPr>
        <w:pStyle w:val="CGC2025ParaNumbers"/>
      </w:pPr>
      <w:r>
        <w:t xml:space="preserve">Changes are recommended </w:t>
      </w:r>
      <w:proofErr w:type="gramStart"/>
      <w:r>
        <w:t>on the basis of</w:t>
      </w:r>
      <w:proofErr w:type="gramEnd"/>
      <w:r>
        <w:t xml:space="preserve"> explanatory power when tested on the 5</w:t>
      </w:r>
      <w:r w:rsidR="00EB0691">
        <w:noBreakHyphen/>
      </w:r>
      <w:r>
        <w:t xml:space="preserve">year sample as well as simplicity and conceptual validity. </w:t>
      </w:r>
    </w:p>
    <w:p w14:paraId="03404C3A" w14:textId="581A4401" w:rsidR="0097410D" w:rsidRDefault="0097410D" w:rsidP="0097410D">
      <w:pPr>
        <w:pStyle w:val="Heading3"/>
      </w:pPr>
      <w:bookmarkStart w:id="107" w:name="_Toc135750683"/>
      <w:bookmarkStart w:id="108" w:name="_Toc138158981"/>
      <w:r>
        <w:t>Measuring goodness</w:t>
      </w:r>
      <w:r w:rsidR="00CF2FFE">
        <w:t xml:space="preserve"> </w:t>
      </w:r>
      <w:r>
        <w:t>of</w:t>
      </w:r>
      <w:r w:rsidR="00CF2FFE">
        <w:t xml:space="preserve"> </w:t>
      </w:r>
      <w:r>
        <w:t>fit</w:t>
      </w:r>
      <w:bookmarkEnd w:id="107"/>
      <w:bookmarkEnd w:id="108"/>
    </w:p>
    <w:p w14:paraId="54B8EDAA" w14:textId="41E0538B" w:rsidR="0097410D" w:rsidRPr="0097410D" w:rsidRDefault="0097410D" w:rsidP="008D60AF">
      <w:pPr>
        <w:pStyle w:val="CGC2025ParaNumbers"/>
      </w:pPr>
      <w:r w:rsidRPr="0097410D">
        <w:t>Five statistics have been used to compare the performance of candidate models: R</w:t>
      </w:r>
      <w:r w:rsidR="004B007D">
        <w:noBreakHyphen/>
      </w:r>
      <w:r w:rsidRPr="0097410D">
        <w:t xml:space="preserve">squared, adjusted R-squared, log likelihood, </w:t>
      </w:r>
      <w:proofErr w:type="gramStart"/>
      <w:r w:rsidRPr="0097410D">
        <w:t>AIC</w:t>
      </w:r>
      <w:proofErr w:type="gramEnd"/>
      <w:r w:rsidRPr="0097410D">
        <w:t xml:space="preserve"> and BIC.</w:t>
      </w:r>
    </w:p>
    <w:p w14:paraId="55826D1F" w14:textId="77777777" w:rsidR="0097410D" w:rsidRPr="0097410D" w:rsidRDefault="0097410D" w:rsidP="008D60AF">
      <w:pPr>
        <w:pStyle w:val="CGC2025ParaNumbers"/>
      </w:pPr>
      <w:r w:rsidRPr="0097410D">
        <w:t>Adjusted R-squared measures the</w:t>
      </w:r>
      <w:r w:rsidRPr="0097410D" w:rsidDel="00752B16">
        <w:t xml:space="preserve"> </w:t>
      </w:r>
      <w:r w:rsidRPr="0097410D">
        <w:t>proportion of variation in the dependent variable which can be explained by variation in the independent variables, controlling for the number of variables in the model.</w:t>
      </w:r>
    </w:p>
    <w:p w14:paraId="07A1315B" w14:textId="77777777" w:rsidR="0097410D" w:rsidRPr="0097410D" w:rsidRDefault="0097410D" w:rsidP="008D60AF">
      <w:pPr>
        <w:pStyle w:val="CGC2025ParaNumbers"/>
      </w:pPr>
      <w:r w:rsidRPr="0097410D">
        <w:t>Log likelihood measures the degree to which the observed data reflects the function predicted by regression, where a higher value indicates better fit. This statistic has no interpretation in isolation; it is only useful when comparing between different models predicting the same variable from the same sample.</w:t>
      </w:r>
    </w:p>
    <w:p w14:paraId="4DEF2389" w14:textId="77777777" w:rsidR="0097410D" w:rsidRPr="0097410D" w:rsidRDefault="0097410D" w:rsidP="008D60AF">
      <w:pPr>
        <w:pStyle w:val="CGC2025ParaNumbers"/>
      </w:pPr>
      <w:r w:rsidRPr="0097410D">
        <w:t>AIC and BIC combine likelihood values with a penalty for overfitting. They have the opposite interpretation, where a lower value indicates better fit. Like log likelihood, they only have an interpretation when comparing models.</w:t>
      </w:r>
    </w:p>
    <w:p w14:paraId="6A331070" w14:textId="77777777" w:rsidR="0097410D" w:rsidRDefault="0097410D" w:rsidP="0097410D">
      <w:pPr>
        <w:pStyle w:val="Heading3"/>
      </w:pPr>
      <w:bookmarkStart w:id="109" w:name="_Toc135750684"/>
      <w:bookmarkStart w:id="110" w:name="_Toc138158982"/>
      <w:r>
        <w:t>Comparing the different specifications</w:t>
      </w:r>
      <w:bookmarkEnd w:id="109"/>
      <w:bookmarkEnd w:id="110"/>
    </w:p>
    <w:p w14:paraId="11D4D2BA" w14:textId="02AFB21C" w:rsidR="0097410D" w:rsidRDefault="0097410D" w:rsidP="008D60AF">
      <w:pPr>
        <w:pStyle w:val="CGC2025ParaNumbers"/>
      </w:pPr>
      <w:r>
        <w:t xml:space="preserve">The regression results for each proposed change in specifications are shown in </w:t>
      </w:r>
      <w:r>
        <w:fldChar w:fldCharType="begin"/>
      </w:r>
      <w:r>
        <w:instrText xml:space="preserve"> REF _Ref134101804 \h </w:instrText>
      </w:r>
      <w:r w:rsidR="008D60AF">
        <w:instrText xml:space="preserve"> \* MERGEFORMAT </w:instrText>
      </w:r>
      <w:r>
        <w:fldChar w:fldCharType="separate"/>
      </w:r>
      <w:r w:rsidR="001D69B4">
        <w:t>Table C</w:t>
      </w:r>
      <w:r w:rsidR="001D69B4">
        <w:rPr>
          <w:noProof/>
        </w:rPr>
        <w:t>1</w:t>
      </w:r>
      <w:r>
        <w:fldChar w:fldCharType="end"/>
      </w:r>
      <w:r>
        <w:t xml:space="preserve">. These all use pooled data and the usual hours variable for hours worked, unless otherwise indicated. </w:t>
      </w:r>
    </w:p>
    <w:p w14:paraId="1C79C88A" w14:textId="3378398E" w:rsidR="00B347BB" w:rsidRDefault="00B347BB" w:rsidP="001F0567">
      <w:pPr>
        <w:pStyle w:val="CGC2025Caption"/>
        <w:keepNext/>
        <w:keepLines/>
        <w:tabs>
          <w:tab w:val="left" w:pos="1134"/>
        </w:tabs>
      </w:pPr>
      <w:bookmarkStart w:id="111" w:name="_Ref134101804"/>
      <w:r>
        <w:lastRenderedPageBreak/>
        <w:t xml:space="preserve">Table </w:t>
      </w:r>
      <w:r w:rsidR="008C5B21">
        <w:t>C</w:t>
      </w:r>
      <w:r>
        <w:fldChar w:fldCharType="begin"/>
      </w:r>
      <w:r>
        <w:instrText>SEQ Table \* ARABIC</w:instrText>
      </w:r>
      <w:r w:rsidR="0078538B">
        <w:instrText xml:space="preserve"> \r 1</w:instrText>
      </w:r>
      <w:r>
        <w:fldChar w:fldCharType="separate"/>
      </w:r>
      <w:r w:rsidR="00BC30E2">
        <w:rPr>
          <w:noProof/>
        </w:rPr>
        <w:t>1</w:t>
      </w:r>
      <w:r>
        <w:fldChar w:fldCharType="end"/>
      </w:r>
      <w:bookmarkEnd w:id="111"/>
      <w:r w:rsidR="001F0567">
        <w:tab/>
      </w:r>
      <w:r>
        <w:t xml:space="preserve">Regression results for alternative specifications using pooled </w:t>
      </w:r>
      <w:proofErr w:type="gramStart"/>
      <w:r>
        <w:t>data</w:t>
      </w:r>
      <w:proofErr w:type="gramEnd"/>
    </w:p>
    <w:tbl>
      <w:tblPr>
        <w:tblW w:w="8959" w:type="dxa"/>
        <w:tblLook w:val="04A0" w:firstRow="1" w:lastRow="0" w:firstColumn="1" w:lastColumn="0" w:noHBand="0" w:noVBand="1"/>
      </w:tblPr>
      <w:tblGrid>
        <w:gridCol w:w="1537"/>
        <w:gridCol w:w="799"/>
        <w:gridCol w:w="840"/>
        <w:gridCol w:w="1120"/>
        <w:gridCol w:w="882"/>
        <w:gridCol w:w="997"/>
        <w:gridCol w:w="840"/>
        <w:gridCol w:w="1049"/>
        <w:gridCol w:w="895"/>
      </w:tblGrid>
      <w:tr w:rsidR="00B347BB" w:rsidRPr="00A2480B" w14:paraId="7AA0AF2C" w14:textId="77777777" w:rsidTr="002B38EB">
        <w:trPr>
          <w:trHeight w:val="480"/>
        </w:trPr>
        <w:tc>
          <w:tcPr>
            <w:tcW w:w="1560" w:type="dxa"/>
            <w:tcBorders>
              <w:top w:val="nil"/>
              <w:left w:val="nil"/>
              <w:bottom w:val="nil"/>
              <w:right w:val="nil"/>
            </w:tcBorders>
            <w:shd w:val="clear" w:color="000000" w:fill="006991"/>
            <w:vAlign w:val="center"/>
            <w:hideMark/>
          </w:tcPr>
          <w:p w14:paraId="070F1347" w14:textId="77777777" w:rsidR="00B347BB" w:rsidRPr="00A2480B" w:rsidRDefault="00B347BB" w:rsidP="00B347B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2480B">
              <w:rPr>
                <w:rFonts w:ascii="Open Sans Semibold" w:eastAsia="Times New Roman" w:hAnsi="Open Sans Semibold" w:cs="Open Sans Semibold"/>
                <w:color w:val="FFFFFF"/>
                <w:sz w:val="16"/>
                <w:szCs w:val="16"/>
                <w:lang w:eastAsia="en-AU"/>
              </w:rPr>
              <w:t> </w:t>
            </w:r>
          </w:p>
        </w:tc>
        <w:tc>
          <w:tcPr>
            <w:tcW w:w="759" w:type="dxa"/>
            <w:tcBorders>
              <w:top w:val="nil"/>
              <w:left w:val="nil"/>
              <w:bottom w:val="nil"/>
              <w:right w:val="nil"/>
            </w:tcBorders>
            <w:shd w:val="clear" w:color="000000" w:fill="006991"/>
            <w:vAlign w:val="center"/>
            <w:hideMark/>
          </w:tcPr>
          <w:p w14:paraId="686346A9" w14:textId="77777777" w:rsidR="00B347BB" w:rsidRPr="00A2480B" w:rsidRDefault="00B347BB" w:rsidP="00B347B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2480B">
              <w:rPr>
                <w:rFonts w:ascii="Open Sans Semibold" w:eastAsia="Times New Roman" w:hAnsi="Open Sans Semibold" w:cs="Open Sans Semibold"/>
                <w:color w:val="FFFFFF"/>
                <w:sz w:val="16"/>
                <w:szCs w:val="16"/>
                <w:lang w:eastAsia="en-AU"/>
              </w:rPr>
              <w:t>2020 Model</w:t>
            </w:r>
          </w:p>
        </w:tc>
        <w:tc>
          <w:tcPr>
            <w:tcW w:w="842" w:type="dxa"/>
            <w:tcBorders>
              <w:top w:val="nil"/>
              <w:left w:val="nil"/>
              <w:bottom w:val="nil"/>
              <w:right w:val="nil"/>
            </w:tcBorders>
            <w:shd w:val="clear" w:color="000000" w:fill="006991"/>
            <w:vAlign w:val="center"/>
            <w:hideMark/>
          </w:tcPr>
          <w:p w14:paraId="439AA041" w14:textId="77777777" w:rsidR="00B347BB" w:rsidRPr="00A2480B" w:rsidRDefault="00B347BB" w:rsidP="00B347B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2480B">
              <w:rPr>
                <w:rFonts w:ascii="Open Sans Semibold" w:eastAsia="Times New Roman" w:hAnsi="Open Sans Semibold" w:cs="Open Sans Semibold"/>
                <w:color w:val="FFFFFF"/>
                <w:sz w:val="16"/>
                <w:szCs w:val="16"/>
                <w:lang w:eastAsia="en-AU"/>
              </w:rPr>
              <w:t>Tenure</w:t>
            </w:r>
          </w:p>
        </w:tc>
        <w:tc>
          <w:tcPr>
            <w:tcW w:w="1123" w:type="dxa"/>
            <w:tcBorders>
              <w:top w:val="nil"/>
              <w:left w:val="nil"/>
              <w:bottom w:val="nil"/>
              <w:right w:val="nil"/>
            </w:tcBorders>
            <w:shd w:val="clear" w:color="000000" w:fill="006991"/>
            <w:vAlign w:val="center"/>
            <w:hideMark/>
          </w:tcPr>
          <w:p w14:paraId="1E02B5CE" w14:textId="77777777" w:rsidR="00B347BB" w:rsidRPr="00A2480B" w:rsidRDefault="00B347BB" w:rsidP="00B347B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2480B">
              <w:rPr>
                <w:rFonts w:ascii="Open Sans Semibold" w:eastAsia="Times New Roman" w:hAnsi="Open Sans Semibold" w:cs="Open Sans Semibold"/>
                <w:color w:val="FFFFFF"/>
                <w:sz w:val="16"/>
                <w:szCs w:val="16"/>
                <w:lang w:eastAsia="en-AU"/>
              </w:rPr>
              <w:t>Experience</w:t>
            </w:r>
          </w:p>
        </w:tc>
        <w:tc>
          <w:tcPr>
            <w:tcW w:w="886" w:type="dxa"/>
            <w:tcBorders>
              <w:top w:val="nil"/>
              <w:left w:val="nil"/>
              <w:bottom w:val="nil"/>
              <w:right w:val="nil"/>
            </w:tcBorders>
            <w:shd w:val="clear" w:color="000000" w:fill="006991"/>
            <w:vAlign w:val="center"/>
            <w:hideMark/>
          </w:tcPr>
          <w:p w14:paraId="690571A8" w14:textId="77777777" w:rsidR="00B347BB" w:rsidRPr="00A2480B" w:rsidRDefault="00B347BB" w:rsidP="00B347B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2480B">
              <w:rPr>
                <w:rFonts w:ascii="Open Sans Semibold" w:eastAsia="Times New Roman" w:hAnsi="Open Sans Semibold" w:cs="Open Sans Semibold"/>
                <w:color w:val="FFFFFF"/>
                <w:sz w:val="16"/>
                <w:szCs w:val="16"/>
                <w:lang w:eastAsia="en-AU"/>
              </w:rPr>
              <w:t xml:space="preserve">Paid </w:t>
            </w:r>
            <w:r>
              <w:rPr>
                <w:rFonts w:ascii="Open Sans Semibold" w:eastAsia="Times New Roman" w:hAnsi="Open Sans Semibold" w:cs="Open Sans Semibold"/>
                <w:color w:val="FFFFFF"/>
                <w:sz w:val="16"/>
                <w:szCs w:val="16"/>
                <w:lang w:eastAsia="en-AU"/>
              </w:rPr>
              <w:t>H</w:t>
            </w:r>
            <w:r w:rsidRPr="00A2480B">
              <w:rPr>
                <w:rFonts w:ascii="Open Sans Semibold" w:eastAsia="Times New Roman" w:hAnsi="Open Sans Semibold" w:cs="Open Sans Semibold"/>
                <w:color w:val="FFFFFF"/>
                <w:sz w:val="16"/>
                <w:szCs w:val="16"/>
                <w:lang w:eastAsia="en-AU"/>
              </w:rPr>
              <w:t>ours</w:t>
            </w:r>
          </w:p>
        </w:tc>
        <w:tc>
          <w:tcPr>
            <w:tcW w:w="999" w:type="dxa"/>
            <w:tcBorders>
              <w:top w:val="nil"/>
              <w:left w:val="nil"/>
              <w:bottom w:val="nil"/>
              <w:right w:val="nil"/>
            </w:tcBorders>
            <w:shd w:val="clear" w:color="000000" w:fill="006991"/>
            <w:vAlign w:val="center"/>
            <w:hideMark/>
          </w:tcPr>
          <w:p w14:paraId="10E6215C" w14:textId="77777777" w:rsidR="00B347BB" w:rsidRPr="00A2480B" w:rsidRDefault="00B347BB" w:rsidP="00B347B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2480B">
              <w:rPr>
                <w:rFonts w:ascii="Open Sans Semibold" w:eastAsia="Times New Roman" w:hAnsi="Open Sans Semibold" w:cs="Open Sans Semibold"/>
                <w:color w:val="FFFFFF"/>
                <w:sz w:val="16"/>
                <w:szCs w:val="16"/>
                <w:lang w:eastAsia="en-AU"/>
              </w:rPr>
              <w:t>Respecify Hours</w:t>
            </w:r>
          </w:p>
        </w:tc>
        <w:tc>
          <w:tcPr>
            <w:tcW w:w="842" w:type="dxa"/>
            <w:tcBorders>
              <w:top w:val="nil"/>
              <w:left w:val="nil"/>
              <w:bottom w:val="nil"/>
              <w:right w:val="nil"/>
            </w:tcBorders>
            <w:shd w:val="clear" w:color="000000" w:fill="006991"/>
            <w:vAlign w:val="center"/>
            <w:hideMark/>
          </w:tcPr>
          <w:p w14:paraId="679A8C67" w14:textId="77777777" w:rsidR="00B347BB" w:rsidRPr="00A2480B" w:rsidRDefault="00B347BB" w:rsidP="00B347B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2480B">
              <w:rPr>
                <w:rFonts w:ascii="Open Sans Semibold" w:eastAsia="Times New Roman" w:hAnsi="Open Sans Semibold" w:cs="Open Sans Semibold"/>
                <w:color w:val="FFFFFF"/>
                <w:sz w:val="16"/>
                <w:szCs w:val="16"/>
                <w:lang w:eastAsia="en-AU"/>
              </w:rPr>
              <w:t>Hourly wages</w:t>
            </w:r>
          </w:p>
        </w:tc>
        <w:tc>
          <w:tcPr>
            <w:tcW w:w="1051" w:type="dxa"/>
            <w:tcBorders>
              <w:top w:val="nil"/>
              <w:left w:val="nil"/>
              <w:bottom w:val="nil"/>
              <w:right w:val="nil"/>
            </w:tcBorders>
            <w:shd w:val="clear" w:color="000000" w:fill="006991"/>
            <w:vAlign w:val="center"/>
            <w:hideMark/>
          </w:tcPr>
          <w:p w14:paraId="2F093E49" w14:textId="77777777" w:rsidR="00B347BB" w:rsidRPr="00A2480B" w:rsidRDefault="00B347BB" w:rsidP="00B347B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2480B">
              <w:rPr>
                <w:rFonts w:ascii="Open Sans Semibold" w:eastAsia="Times New Roman" w:hAnsi="Open Sans Semibold" w:cs="Open Sans Semibold"/>
                <w:color w:val="FFFFFF"/>
                <w:sz w:val="16"/>
                <w:szCs w:val="16"/>
                <w:lang w:eastAsia="en-AU"/>
              </w:rPr>
              <w:t>No log(hours)</w:t>
            </w:r>
          </w:p>
        </w:tc>
        <w:tc>
          <w:tcPr>
            <w:tcW w:w="897" w:type="dxa"/>
            <w:tcBorders>
              <w:top w:val="nil"/>
              <w:left w:val="nil"/>
              <w:bottom w:val="nil"/>
              <w:right w:val="nil"/>
            </w:tcBorders>
            <w:shd w:val="clear" w:color="000000" w:fill="006991"/>
            <w:vAlign w:val="center"/>
            <w:hideMark/>
          </w:tcPr>
          <w:p w14:paraId="10A73B75" w14:textId="77777777" w:rsidR="00B347BB" w:rsidRPr="00A2480B" w:rsidRDefault="00B347BB" w:rsidP="00B347B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2480B">
              <w:rPr>
                <w:rFonts w:ascii="Open Sans Semibold" w:eastAsia="Times New Roman" w:hAnsi="Open Sans Semibold" w:cs="Open Sans Semibold"/>
                <w:color w:val="FFFFFF"/>
                <w:sz w:val="16"/>
                <w:szCs w:val="16"/>
                <w:lang w:eastAsia="en-AU"/>
              </w:rPr>
              <w:t>All changes</w:t>
            </w:r>
          </w:p>
        </w:tc>
      </w:tr>
      <w:tr w:rsidR="00B347BB" w:rsidRPr="00A2480B" w14:paraId="7039C85B"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016D299E"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bookmarkStart w:id="112" w:name="RANGE!N2:V44"/>
            <w:r w:rsidRPr="00A2480B">
              <w:rPr>
                <w:rFonts w:eastAsia="Times New Roman" w:cs="Open Sans Light"/>
                <w:color w:val="000000"/>
                <w:sz w:val="16"/>
                <w:szCs w:val="16"/>
                <w:lang w:eastAsia="en-AU"/>
              </w:rPr>
              <w:t>(Intercept)</w:t>
            </w:r>
            <w:bookmarkEnd w:id="112"/>
          </w:p>
        </w:tc>
        <w:tc>
          <w:tcPr>
            <w:tcW w:w="759" w:type="dxa"/>
            <w:tcBorders>
              <w:top w:val="single" w:sz="4" w:space="0" w:color="ADD6EA"/>
              <w:left w:val="nil"/>
              <w:bottom w:val="nil"/>
              <w:right w:val="nil"/>
            </w:tcBorders>
            <w:shd w:val="clear" w:color="auto" w:fill="auto"/>
            <w:vAlign w:val="bottom"/>
            <w:hideMark/>
          </w:tcPr>
          <w:p w14:paraId="53E244F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2.4718</w:t>
            </w:r>
          </w:p>
        </w:tc>
        <w:tc>
          <w:tcPr>
            <w:tcW w:w="842" w:type="dxa"/>
            <w:tcBorders>
              <w:top w:val="single" w:sz="4" w:space="0" w:color="ADD6EA"/>
              <w:left w:val="nil"/>
              <w:bottom w:val="nil"/>
              <w:right w:val="nil"/>
            </w:tcBorders>
            <w:shd w:val="clear" w:color="auto" w:fill="auto"/>
            <w:vAlign w:val="bottom"/>
            <w:hideMark/>
          </w:tcPr>
          <w:p w14:paraId="2A7CF59A"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2.4568</w:t>
            </w:r>
          </w:p>
        </w:tc>
        <w:tc>
          <w:tcPr>
            <w:tcW w:w="1123" w:type="dxa"/>
            <w:tcBorders>
              <w:top w:val="single" w:sz="4" w:space="0" w:color="ADD6EA"/>
              <w:left w:val="nil"/>
              <w:bottom w:val="nil"/>
              <w:right w:val="nil"/>
            </w:tcBorders>
            <w:shd w:val="clear" w:color="auto" w:fill="auto"/>
            <w:vAlign w:val="bottom"/>
            <w:hideMark/>
          </w:tcPr>
          <w:p w14:paraId="16E6DE87"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2.4642</w:t>
            </w:r>
          </w:p>
        </w:tc>
        <w:tc>
          <w:tcPr>
            <w:tcW w:w="886" w:type="dxa"/>
            <w:tcBorders>
              <w:top w:val="single" w:sz="4" w:space="0" w:color="ADD6EA"/>
              <w:left w:val="nil"/>
              <w:bottom w:val="nil"/>
              <w:right w:val="nil"/>
            </w:tcBorders>
            <w:shd w:val="clear" w:color="auto" w:fill="auto"/>
            <w:vAlign w:val="bottom"/>
            <w:hideMark/>
          </w:tcPr>
          <w:p w14:paraId="31F3A2C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2.6458</w:t>
            </w:r>
          </w:p>
        </w:tc>
        <w:tc>
          <w:tcPr>
            <w:tcW w:w="999" w:type="dxa"/>
            <w:tcBorders>
              <w:top w:val="single" w:sz="4" w:space="0" w:color="ADD6EA"/>
              <w:left w:val="nil"/>
              <w:bottom w:val="nil"/>
              <w:right w:val="nil"/>
            </w:tcBorders>
            <w:shd w:val="clear" w:color="auto" w:fill="auto"/>
            <w:vAlign w:val="bottom"/>
            <w:hideMark/>
          </w:tcPr>
          <w:p w14:paraId="6AB7AB6A"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2.2585</w:t>
            </w:r>
          </w:p>
        </w:tc>
        <w:tc>
          <w:tcPr>
            <w:tcW w:w="842" w:type="dxa"/>
            <w:tcBorders>
              <w:top w:val="single" w:sz="4" w:space="0" w:color="ADD6EA"/>
              <w:left w:val="nil"/>
              <w:bottom w:val="nil"/>
              <w:right w:val="nil"/>
            </w:tcBorders>
            <w:shd w:val="clear" w:color="auto" w:fill="auto"/>
            <w:vAlign w:val="bottom"/>
            <w:hideMark/>
          </w:tcPr>
          <w:p w14:paraId="2337F187"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2.2583</w:t>
            </w:r>
          </w:p>
        </w:tc>
        <w:tc>
          <w:tcPr>
            <w:tcW w:w="1051" w:type="dxa"/>
            <w:tcBorders>
              <w:top w:val="single" w:sz="4" w:space="0" w:color="ADD6EA"/>
              <w:left w:val="nil"/>
              <w:bottom w:val="nil"/>
              <w:right w:val="nil"/>
            </w:tcBorders>
            <w:shd w:val="clear" w:color="auto" w:fill="auto"/>
            <w:vAlign w:val="bottom"/>
            <w:hideMark/>
          </w:tcPr>
          <w:p w14:paraId="343990B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2.2462</w:t>
            </w:r>
          </w:p>
        </w:tc>
        <w:tc>
          <w:tcPr>
            <w:tcW w:w="897" w:type="dxa"/>
            <w:tcBorders>
              <w:top w:val="single" w:sz="4" w:space="0" w:color="ADD6EA"/>
              <w:left w:val="nil"/>
              <w:bottom w:val="nil"/>
              <w:right w:val="nil"/>
            </w:tcBorders>
            <w:shd w:val="clear" w:color="auto" w:fill="auto"/>
            <w:vAlign w:val="bottom"/>
            <w:hideMark/>
          </w:tcPr>
          <w:p w14:paraId="1F71EA64"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2.2287</w:t>
            </w:r>
          </w:p>
        </w:tc>
      </w:tr>
      <w:tr w:rsidR="00B347BB" w:rsidRPr="00A2480B" w14:paraId="772FFBE5" w14:textId="77777777" w:rsidTr="002B38EB">
        <w:trPr>
          <w:trHeight w:val="240"/>
        </w:trPr>
        <w:tc>
          <w:tcPr>
            <w:tcW w:w="1560" w:type="dxa"/>
            <w:tcBorders>
              <w:top w:val="single" w:sz="4" w:space="0" w:color="ADD6EA"/>
              <w:left w:val="nil"/>
              <w:bottom w:val="nil"/>
              <w:right w:val="nil"/>
            </w:tcBorders>
            <w:shd w:val="clear" w:color="auto" w:fill="auto"/>
            <w:vAlign w:val="bottom"/>
            <w:hideMark/>
          </w:tcPr>
          <w:p w14:paraId="73C83694"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proofErr w:type="spellStart"/>
            <w:r w:rsidRPr="00A2480B">
              <w:rPr>
                <w:rFonts w:eastAsia="Times New Roman" w:cs="Open Sans Light"/>
                <w:color w:val="000000"/>
                <w:sz w:val="14"/>
                <w:szCs w:val="14"/>
                <w:lang w:eastAsia="en-AU"/>
              </w:rPr>
              <w:t>s.e.</w:t>
            </w:r>
            <w:proofErr w:type="spellEnd"/>
          </w:p>
        </w:tc>
        <w:tc>
          <w:tcPr>
            <w:tcW w:w="759" w:type="dxa"/>
            <w:tcBorders>
              <w:top w:val="single" w:sz="4" w:space="0" w:color="ADD6EA"/>
              <w:left w:val="nil"/>
              <w:bottom w:val="nil"/>
              <w:right w:val="nil"/>
            </w:tcBorders>
            <w:shd w:val="clear" w:color="auto" w:fill="auto"/>
            <w:vAlign w:val="bottom"/>
            <w:hideMark/>
          </w:tcPr>
          <w:p w14:paraId="62E2BEC7"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-0.9552</w:t>
            </w:r>
          </w:p>
        </w:tc>
        <w:tc>
          <w:tcPr>
            <w:tcW w:w="842" w:type="dxa"/>
            <w:tcBorders>
              <w:top w:val="single" w:sz="4" w:space="0" w:color="ADD6EA"/>
              <w:left w:val="nil"/>
              <w:bottom w:val="nil"/>
              <w:right w:val="nil"/>
            </w:tcBorders>
            <w:shd w:val="clear" w:color="auto" w:fill="auto"/>
            <w:vAlign w:val="bottom"/>
            <w:hideMark/>
          </w:tcPr>
          <w:p w14:paraId="2FBDD19A"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-0.9551</w:t>
            </w:r>
          </w:p>
        </w:tc>
        <w:tc>
          <w:tcPr>
            <w:tcW w:w="1123" w:type="dxa"/>
            <w:tcBorders>
              <w:top w:val="single" w:sz="4" w:space="0" w:color="ADD6EA"/>
              <w:left w:val="nil"/>
              <w:bottom w:val="nil"/>
              <w:right w:val="nil"/>
            </w:tcBorders>
            <w:shd w:val="clear" w:color="auto" w:fill="auto"/>
            <w:vAlign w:val="bottom"/>
            <w:hideMark/>
          </w:tcPr>
          <w:p w14:paraId="201EDDB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-0.9540</w:t>
            </w:r>
          </w:p>
        </w:tc>
        <w:tc>
          <w:tcPr>
            <w:tcW w:w="886" w:type="dxa"/>
            <w:tcBorders>
              <w:top w:val="single" w:sz="4" w:space="0" w:color="ADD6EA"/>
              <w:left w:val="nil"/>
              <w:bottom w:val="nil"/>
              <w:right w:val="nil"/>
            </w:tcBorders>
            <w:shd w:val="clear" w:color="auto" w:fill="auto"/>
            <w:vAlign w:val="bottom"/>
            <w:hideMark/>
          </w:tcPr>
          <w:p w14:paraId="5B2C3DA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-0.8012</w:t>
            </w:r>
          </w:p>
        </w:tc>
        <w:tc>
          <w:tcPr>
            <w:tcW w:w="999" w:type="dxa"/>
            <w:tcBorders>
              <w:top w:val="single" w:sz="4" w:space="0" w:color="ADD6EA"/>
              <w:left w:val="nil"/>
              <w:bottom w:val="nil"/>
              <w:right w:val="nil"/>
            </w:tcBorders>
            <w:shd w:val="clear" w:color="auto" w:fill="auto"/>
            <w:vAlign w:val="bottom"/>
            <w:hideMark/>
          </w:tcPr>
          <w:p w14:paraId="4B45DB6D"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-0.7850</w:t>
            </w:r>
          </w:p>
        </w:tc>
        <w:tc>
          <w:tcPr>
            <w:tcW w:w="842" w:type="dxa"/>
            <w:tcBorders>
              <w:top w:val="single" w:sz="4" w:space="0" w:color="ADD6EA"/>
              <w:left w:val="nil"/>
              <w:bottom w:val="nil"/>
              <w:right w:val="nil"/>
            </w:tcBorders>
            <w:shd w:val="clear" w:color="auto" w:fill="auto"/>
            <w:vAlign w:val="bottom"/>
            <w:hideMark/>
          </w:tcPr>
          <w:p w14:paraId="51FFC16F"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-0.7849</w:t>
            </w:r>
          </w:p>
        </w:tc>
        <w:tc>
          <w:tcPr>
            <w:tcW w:w="1051" w:type="dxa"/>
            <w:tcBorders>
              <w:top w:val="single" w:sz="4" w:space="0" w:color="ADD6EA"/>
              <w:left w:val="nil"/>
              <w:bottom w:val="nil"/>
              <w:right w:val="nil"/>
            </w:tcBorders>
            <w:shd w:val="clear" w:color="auto" w:fill="auto"/>
            <w:vAlign w:val="bottom"/>
            <w:hideMark/>
          </w:tcPr>
          <w:p w14:paraId="5BAC9B2F"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-0.7849</w:t>
            </w:r>
          </w:p>
        </w:tc>
        <w:tc>
          <w:tcPr>
            <w:tcW w:w="897" w:type="dxa"/>
            <w:tcBorders>
              <w:top w:val="single" w:sz="4" w:space="0" w:color="ADD6EA"/>
              <w:left w:val="nil"/>
              <w:bottom w:val="nil"/>
              <w:right w:val="nil"/>
            </w:tcBorders>
            <w:shd w:val="clear" w:color="auto" w:fill="auto"/>
            <w:vAlign w:val="bottom"/>
            <w:hideMark/>
          </w:tcPr>
          <w:p w14:paraId="07CA4E7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-0.7834</w:t>
            </w:r>
          </w:p>
        </w:tc>
      </w:tr>
      <w:tr w:rsidR="00B347BB" w:rsidRPr="00A2480B" w14:paraId="55C3EA48"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06DF7EE6"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r w:rsidRPr="00A2480B">
              <w:rPr>
                <w:rFonts w:eastAsia="Times New Roman" w:cs="Open Sans Light"/>
                <w:color w:val="000000"/>
                <w:sz w:val="16"/>
                <w:szCs w:val="16"/>
                <w:lang w:eastAsia="en-AU"/>
              </w:rPr>
              <w:t>NSW</w:t>
            </w:r>
          </w:p>
        </w:tc>
        <w:tc>
          <w:tcPr>
            <w:tcW w:w="759" w:type="dxa"/>
            <w:tcBorders>
              <w:top w:val="single" w:sz="4" w:space="0" w:color="ADD6EA"/>
              <w:left w:val="nil"/>
              <w:bottom w:val="nil"/>
              <w:right w:val="nil"/>
            </w:tcBorders>
            <w:shd w:val="clear" w:color="auto" w:fill="auto"/>
            <w:vAlign w:val="bottom"/>
            <w:hideMark/>
          </w:tcPr>
          <w:p w14:paraId="4713F70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0.0027</w:t>
            </w:r>
          </w:p>
        </w:tc>
        <w:tc>
          <w:tcPr>
            <w:tcW w:w="842" w:type="dxa"/>
            <w:tcBorders>
              <w:top w:val="single" w:sz="4" w:space="0" w:color="ADD6EA"/>
              <w:left w:val="nil"/>
              <w:bottom w:val="nil"/>
              <w:right w:val="nil"/>
            </w:tcBorders>
            <w:shd w:val="clear" w:color="auto" w:fill="auto"/>
            <w:vAlign w:val="bottom"/>
            <w:hideMark/>
          </w:tcPr>
          <w:p w14:paraId="63F8873B"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0.0025</w:t>
            </w:r>
          </w:p>
        </w:tc>
        <w:tc>
          <w:tcPr>
            <w:tcW w:w="1123" w:type="dxa"/>
            <w:tcBorders>
              <w:top w:val="single" w:sz="4" w:space="0" w:color="ADD6EA"/>
              <w:left w:val="nil"/>
              <w:bottom w:val="nil"/>
              <w:right w:val="nil"/>
            </w:tcBorders>
            <w:shd w:val="clear" w:color="auto" w:fill="auto"/>
            <w:vAlign w:val="bottom"/>
            <w:hideMark/>
          </w:tcPr>
          <w:p w14:paraId="5068CB6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0.0027</w:t>
            </w:r>
          </w:p>
        </w:tc>
        <w:tc>
          <w:tcPr>
            <w:tcW w:w="886" w:type="dxa"/>
            <w:tcBorders>
              <w:top w:val="single" w:sz="4" w:space="0" w:color="ADD6EA"/>
              <w:left w:val="nil"/>
              <w:bottom w:val="nil"/>
              <w:right w:val="nil"/>
            </w:tcBorders>
            <w:shd w:val="clear" w:color="auto" w:fill="auto"/>
            <w:vAlign w:val="bottom"/>
            <w:hideMark/>
          </w:tcPr>
          <w:p w14:paraId="5F5040FA"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0.0092</w:t>
            </w:r>
          </w:p>
        </w:tc>
        <w:tc>
          <w:tcPr>
            <w:tcW w:w="999" w:type="dxa"/>
            <w:tcBorders>
              <w:top w:val="single" w:sz="4" w:space="0" w:color="ADD6EA"/>
              <w:left w:val="nil"/>
              <w:bottom w:val="nil"/>
              <w:right w:val="nil"/>
            </w:tcBorders>
            <w:shd w:val="clear" w:color="auto" w:fill="auto"/>
            <w:vAlign w:val="bottom"/>
            <w:hideMark/>
          </w:tcPr>
          <w:p w14:paraId="24D99BC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0.0079</w:t>
            </w:r>
          </w:p>
        </w:tc>
        <w:tc>
          <w:tcPr>
            <w:tcW w:w="842" w:type="dxa"/>
            <w:tcBorders>
              <w:top w:val="single" w:sz="4" w:space="0" w:color="ADD6EA"/>
              <w:left w:val="nil"/>
              <w:bottom w:val="nil"/>
              <w:right w:val="nil"/>
            </w:tcBorders>
            <w:shd w:val="clear" w:color="auto" w:fill="auto"/>
            <w:vAlign w:val="bottom"/>
            <w:hideMark/>
          </w:tcPr>
          <w:p w14:paraId="4B38E1ED"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0.0079</w:t>
            </w:r>
          </w:p>
        </w:tc>
        <w:tc>
          <w:tcPr>
            <w:tcW w:w="1051" w:type="dxa"/>
            <w:tcBorders>
              <w:top w:val="single" w:sz="4" w:space="0" w:color="ADD6EA"/>
              <w:left w:val="nil"/>
              <w:bottom w:val="nil"/>
              <w:right w:val="nil"/>
            </w:tcBorders>
            <w:shd w:val="clear" w:color="auto" w:fill="auto"/>
            <w:vAlign w:val="bottom"/>
            <w:hideMark/>
          </w:tcPr>
          <w:p w14:paraId="60401E6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0.0078</w:t>
            </w:r>
          </w:p>
        </w:tc>
        <w:tc>
          <w:tcPr>
            <w:tcW w:w="897" w:type="dxa"/>
            <w:tcBorders>
              <w:top w:val="single" w:sz="4" w:space="0" w:color="ADD6EA"/>
              <w:left w:val="nil"/>
              <w:bottom w:val="nil"/>
              <w:right w:val="nil"/>
            </w:tcBorders>
            <w:shd w:val="clear" w:color="auto" w:fill="auto"/>
            <w:vAlign w:val="bottom"/>
            <w:hideMark/>
          </w:tcPr>
          <w:p w14:paraId="16DA74EA"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0.0077</w:t>
            </w:r>
          </w:p>
        </w:tc>
      </w:tr>
      <w:tr w:rsidR="00B347BB" w:rsidRPr="00A2480B" w14:paraId="5D68020B" w14:textId="77777777" w:rsidTr="002B38EB">
        <w:trPr>
          <w:trHeight w:val="240"/>
        </w:trPr>
        <w:tc>
          <w:tcPr>
            <w:tcW w:w="1560" w:type="dxa"/>
            <w:tcBorders>
              <w:top w:val="single" w:sz="4" w:space="0" w:color="ADD6EA"/>
              <w:left w:val="nil"/>
              <w:bottom w:val="nil"/>
              <w:right w:val="nil"/>
            </w:tcBorders>
            <w:shd w:val="clear" w:color="auto" w:fill="auto"/>
            <w:vAlign w:val="bottom"/>
            <w:hideMark/>
          </w:tcPr>
          <w:p w14:paraId="57FFAB9D"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proofErr w:type="spellStart"/>
            <w:r w:rsidRPr="00A2480B">
              <w:rPr>
                <w:rFonts w:eastAsia="Times New Roman" w:cs="Open Sans Light"/>
                <w:color w:val="000000"/>
                <w:sz w:val="14"/>
                <w:szCs w:val="14"/>
                <w:lang w:eastAsia="en-AU"/>
              </w:rPr>
              <w:t>s.e.</w:t>
            </w:r>
            <w:proofErr w:type="spellEnd"/>
          </w:p>
        </w:tc>
        <w:tc>
          <w:tcPr>
            <w:tcW w:w="759" w:type="dxa"/>
            <w:tcBorders>
              <w:top w:val="single" w:sz="4" w:space="0" w:color="ADD6EA"/>
              <w:left w:val="nil"/>
              <w:bottom w:val="nil"/>
              <w:right w:val="nil"/>
            </w:tcBorders>
            <w:shd w:val="clear" w:color="auto" w:fill="auto"/>
            <w:vAlign w:val="bottom"/>
            <w:hideMark/>
          </w:tcPr>
          <w:p w14:paraId="06678F9D"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-0.0045</w:t>
            </w:r>
          </w:p>
        </w:tc>
        <w:tc>
          <w:tcPr>
            <w:tcW w:w="842" w:type="dxa"/>
            <w:tcBorders>
              <w:top w:val="single" w:sz="4" w:space="0" w:color="ADD6EA"/>
              <w:left w:val="nil"/>
              <w:bottom w:val="nil"/>
              <w:right w:val="nil"/>
            </w:tcBorders>
            <w:shd w:val="clear" w:color="auto" w:fill="auto"/>
            <w:vAlign w:val="bottom"/>
            <w:hideMark/>
          </w:tcPr>
          <w:p w14:paraId="4DFD2AE3"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-0.0045</w:t>
            </w:r>
          </w:p>
        </w:tc>
        <w:tc>
          <w:tcPr>
            <w:tcW w:w="1123" w:type="dxa"/>
            <w:tcBorders>
              <w:top w:val="single" w:sz="4" w:space="0" w:color="ADD6EA"/>
              <w:left w:val="nil"/>
              <w:bottom w:val="nil"/>
              <w:right w:val="nil"/>
            </w:tcBorders>
            <w:shd w:val="clear" w:color="auto" w:fill="auto"/>
            <w:vAlign w:val="bottom"/>
            <w:hideMark/>
          </w:tcPr>
          <w:p w14:paraId="046330CB"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-0.0045</w:t>
            </w:r>
          </w:p>
        </w:tc>
        <w:tc>
          <w:tcPr>
            <w:tcW w:w="886" w:type="dxa"/>
            <w:tcBorders>
              <w:top w:val="single" w:sz="4" w:space="0" w:color="ADD6EA"/>
              <w:left w:val="nil"/>
              <w:bottom w:val="nil"/>
              <w:right w:val="nil"/>
            </w:tcBorders>
            <w:shd w:val="clear" w:color="auto" w:fill="auto"/>
            <w:vAlign w:val="bottom"/>
            <w:hideMark/>
          </w:tcPr>
          <w:p w14:paraId="6C53858E"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-0.0038</w:t>
            </w:r>
          </w:p>
        </w:tc>
        <w:tc>
          <w:tcPr>
            <w:tcW w:w="999" w:type="dxa"/>
            <w:tcBorders>
              <w:top w:val="single" w:sz="4" w:space="0" w:color="ADD6EA"/>
              <w:left w:val="nil"/>
              <w:bottom w:val="nil"/>
              <w:right w:val="nil"/>
            </w:tcBorders>
            <w:shd w:val="clear" w:color="auto" w:fill="auto"/>
            <w:vAlign w:val="bottom"/>
            <w:hideMark/>
          </w:tcPr>
          <w:p w14:paraId="5B37801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-0.0037</w:t>
            </w:r>
          </w:p>
        </w:tc>
        <w:tc>
          <w:tcPr>
            <w:tcW w:w="842" w:type="dxa"/>
            <w:tcBorders>
              <w:top w:val="single" w:sz="4" w:space="0" w:color="ADD6EA"/>
              <w:left w:val="nil"/>
              <w:bottom w:val="nil"/>
              <w:right w:val="nil"/>
            </w:tcBorders>
            <w:shd w:val="clear" w:color="auto" w:fill="auto"/>
            <w:vAlign w:val="bottom"/>
            <w:hideMark/>
          </w:tcPr>
          <w:p w14:paraId="7B38B9CE"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-0.0037</w:t>
            </w:r>
          </w:p>
        </w:tc>
        <w:tc>
          <w:tcPr>
            <w:tcW w:w="1051" w:type="dxa"/>
            <w:tcBorders>
              <w:top w:val="single" w:sz="4" w:space="0" w:color="ADD6EA"/>
              <w:left w:val="nil"/>
              <w:bottom w:val="nil"/>
              <w:right w:val="nil"/>
            </w:tcBorders>
            <w:shd w:val="clear" w:color="auto" w:fill="auto"/>
            <w:vAlign w:val="bottom"/>
            <w:hideMark/>
          </w:tcPr>
          <w:p w14:paraId="4A3D056D"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-0.0037</w:t>
            </w:r>
          </w:p>
        </w:tc>
        <w:tc>
          <w:tcPr>
            <w:tcW w:w="897" w:type="dxa"/>
            <w:tcBorders>
              <w:top w:val="single" w:sz="4" w:space="0" w:color="ADD6EA"/>
              <w:left w:val="nil"/>
              <w:bottom w:val="nil"/>
              <w:right w:val="nil"/>
            </w:tcBorders>
            <w:shd w:val="clear" w:color="auto" w:fill="auto"/>
            <w:vAlign w:val="bottom"/>
            <w:hideMark/>
          </w:tcPr>
          <w:p w14:paraId="22060E8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-0.0037</w:t>
            </w:r>
          </w:p>
        </w:tc>
      </w:tr>
      <w:tr w:rsidR="00B347BB" w:rsidRPr="00A2480B" w14:paraId="2DBD7100"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7A235841"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r w:rsidRPr="00A2480B">
              <w:rPr>
                <w:rFonts w:eastAsia="Times New Roman" w:cs="Open Sans Light"/>
                <w:color w:val="000000"/>
                <w:sz w:val="16"/>
                <w:szCs w:val="16"/>
                <w:lang w:eastAsia="en-AU"/>
              </w:rPr>
              <w:t>VIC</w:t>
            </w:r>
          </w:p>
        </w:tc>
        <w:tc>
          <w:tcPr>
            <w:tcW w:w="759" w:type="dxa"/>
            <w:tcBorders>
              <w:top w:val="single" w:sz="4" w:space="0" w:color="ADD6EA"/>
              <w:left w:val="nil"/>
              <w:bottom w:val="nil"/>
              <w:right w:val="nil"/>
            </w:tcBorders>
            <w:shd w:val="clear" w:color="auto" w:fill="auto"/>
            <w:vAlign w:val="bottom"/>
            <w:hideMark/>
          </w:tcPr>
          <w:p w14:paraId="38FDA3E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-0.0135</w:t>
            </w:r>
          </w:p>
        </w:tc>
        <w:tc>
          <w:tcPr>
            <w:tcW w:w="842" w:type="dxa"/>
            <w:tcBorders>
              <w:top w:val="single" w:sz="4" w:space="0" w:color="ADD6EA"/>
              <w:left w:val="nil"/>
              <w:bottom w:val="nil"/>
              <w:right w:val="nil"/>
            </w:tcBorders>
            <w:shd w:val="clear" w:color="auto" w:fill="auto"/>
            <w:vAlign w:val="bottom"/>
            <w:hideMark/>
          </w:tcPr>
          <w:p w14:paraId="7585E38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-0.0135</w:t>
            </w:r>
          </w:p>
        </w:tc>
        <w:tc>
          <w:tcPr>
            <w:tcW w:w="1123" w:type="dxa"/>
            <w:tcBorders>
              <w:top w:val="single" w:sz="4" w:space="0" w:color="ADD6EA"/>
              <w:left w:val="nil"/>
              <w:bottom w:val="nil"/>
              <w:right w:val="nil"/>
            </w:tcBorders>
            <w:shd w:val="clear" w:color="auto" w:fill="auto"/>
            <w:vAlign w:val="bottom"/>
            <w:hideMark/>
          </w:tcPr>
          <w:p w14:paraId="2C75BF1B"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-0.0132</w:t>
            </w:r>
          </w:p>
        </w:tc>
        <w:tc>
          <w:tcPr>
            <w:tcW w:w="886" w:type="dxa"/>
            <w:tcBorders>
              <w:top w:val="single" w:sz="4" w:space="0" w:color="ADD6EA"/>
              <w:left w:val="nil"/>
              <w:bottom w:val="nil"/>
              <w:right w:val="nil"/>
            </w:tcBorders>
            <w:shd w:val="clear" w:color="auto" w:fill="auto"/>
            <w:vAlign w:val="bottom"/>
            <w:hideMark/>
          </w:tcPr>
          <w:p w14:paraId="3C31305F"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-0.0032</w:t>
            </w:r>
          </w:p>
        </w:tc>
        <w:tc>
          <w:tcPr>
            <w:tcW w:w="999" w:type="dxa"/>
            <w:tcBorders>
              <w:top w:val="single" w:sz="4" w:space="0" w:color="ADD6EA"/>
              <w:left w:val="nil"/>
              <w:bottom w:val="nil"/>
              <w:right w:val="nil"/>
            </w:tcBorders>
            <w:shd w:val="clear" w:color="auto" w:fill="auto"/>
            <w:vAlign w:val="bottom"/>
            <w:hideMark/>
          </w:tcPr>
          <w:p w14:paraId="461983E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-0.0026</w:t>
            </w:r>
          </w:p>
        </w:tc>
        <w:tc>
          <w:tcPr>
            <w:tcW w:w="842" w:type="dxa"/>
            <w:tcBorders>
              <w:top w:val="single" w:sz="4" w:space="0" w:color="ADD6EA"/>
              <w:left w:val="nil"/>
              <w:bottom w:val="nil"/>
              <w:right w:val="nil"/>
            </w:tcBorders>
            <w:shd w:val="clear" w:color="auto" w:fill="auto"/>
            <w:vAlign w:val="bottom"/>
            <w:hideMark/>
          </w:tcPr>
          <w:p w14:paraId="5BE520A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-0.0026</w:t>
            </w:r>
          </w:p>
        </w:tc>
        <w:tc>
          <w:tcPr>
            <w:tcW w:w="1051" w:type="dxa"/>
            <w:tcBorders>
              <w:top w:val="single" w:sz="4" w:space="0" w:color="ADD6EA"/>
              <w:left w:val="nil"/>
              <w:bottom w:val="nil"/>
              <w:right w:val="nil"/>
            </w:tcBorders>
            <w:shd w:val="clear" w:color="auto" w:fill="auto"/>
            <w:vAlign w:val="bottom"/>
            <w:hideMark/>
          </w:tcPr>
          <w:p w14:paraId="0021D52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-0.0026</w:t>
            </w:r>
          </w:p>
        </w:tc>
        <w:tc>
          <w:tcPr>
            <w:tcW w:w="897" w:type="dxa"/>
            <w:tcBorders>
              <w:top w:val="single" w:sz="4" w:space="0" w:color="ADD6EA"/>
              <w:left w:val="nil"/>
              <w:bottom w:val="nil"/>
              <w:right w:val="nil"/>
            </w:tcBorders>
            <w:shd w:val="clear" w:color="auto" w:fill="auto"/>
            <w:vAlign w:val="bottom"/>
            <w:hideMark/>
          </w:tcPr>
          <w:p w14:paraId="2CFAD4AB"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-0.0023</w:t>
            </w:r>
          </w:p>
        </w:tc>
      </w:tr>
      <w:tr w:rsidR="00B347BB" w:rsidRPr="00A2480B" w14:paraId="130FD39A" w14:textId="77777777" w:rsidTr="002B38EB">
        <w:trPr>
          <w:trHeight w:val="240"/>
        </w:trPr>
        <w:tc>
          <w:tcPr>
            <w:tcW w:w="1560" w:type="dxa"/>
            <w:tcBorders>
              <w:top w:val="single" w:sz="4" w:space="0" w:color="ADD6EA"/>
              <w:left w:val="nil"/>
              <w:bottom w:val="nil"/>
              <w:right w:val="nil"/>
            </w:tcBorders>
            <w:shd w:val="clear" w:color="auto" w:fill="auto"/>
            <w:vAlign w:val="bottom"/>
            <w:hideMark/>
          </w:tcPr>
          <w:p w14:paraId="57A4DCC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proofErr w:type="spellStart"/>
            <w:r w:rsidRPr="00A2480B">
              <w:rPr>
                <w:rFonts w:eastAsia="Times New Roman" w:cs="Open Sans Light"/>
                <w:color w:val="000000"/>
                <w:sz w:val="14"/>
                <w:szCs w:val="14"/>
                <w:lang w:eastAsia="en-AU"/>
              </w:rPr>
              <w:t>s.e.</w:t>
            </w:r>
            <w:proofErr w:type="spellEnd"/>
          </w:p>
        </w:tc>
        <w:tc>
          <w:tcPr>
            <w:tcW w:w="759" w:type="dxa"/>
            <w:tcBorders>
              <w:top w:val="single" w:sz="4" w:space="0" w:color="ADD6EA"/>
              <w:left w:val="nil"/>
              <w:bottom w:val="nil"/>
              <w:right w:val="nil"/>
            </w:tcBorders>
            <w:shd w:val="clear" w:color="auto" w:fill="auto"/>
            <w:vAlign w:val="bottom"/>
            <w:hideMark/>
          </w:tcPr>
          <w:p w14:paraId="6AB7691B"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-0.0046</w:t>
            </w:r>
          </w:p>
        </w:tc>
        <w:tc>
          <w:tcPr>
            <w:tcW w:w="842" w:type="dxa"/>
            <w:tcBorders>
              <w:top w:val="single" w:sz="4" w:space="0" w:color="ADD6EA"/>
              <w:left w:val="nil"/>
              <w:bottom w:val="nil"/>
              <w:right w:val="nil"/>
            </w:tcBorders>
            <w:shd w:val="clear" w:color="auto" w:fill="auto"/>
            <w:vAlign w:val="bottom"/>
            <w:hideMark/>
          </w:tcPr>
          <w:p w14:paraId="1948195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-0.0046</w:t>
            </w:r>
          </w:p>
        </w:tc>
        <w:tc>
          <w:tcPr>
            <w:tcW w:w="1123" w:type="dxa"/>
            <w:tcBorders>
              <w:top w:val="single" w:sz="4" w:space="0" w:color="ADD6EA"/>
              <w:left w:val="nil"/>
              <w:bottom w:val="nil"/>
              <w:right w:val="nil"/>
            </w:tcBorders>
            <w:shd w:val="clear" w:color="auto" w:fill="auto"/>
            <w:vAlign w:val="bottom"/>
            <w:hideMark/>
          </w:tcPr>
          <w:p w14:paraId="7E00BAA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-0.0046</w:t>
            </w:r>
          </w:p>
        </w:tc>
        <w:tc>
          <w:tcPr>
            <w:tcW w:w="886" w:type="dxa"/>
            <w:tcBorders>
              <w:top w:val="single" w:sz="4" w:space="0" w:color="ADD6EA"/>
              <w:left w:val="nil"/>
              <w:bottom w:val="nil"/>
              <w:right w:val="nil"/>
            </w:tcBorders>
            <w:shd w:val="clear" w:color="auto" w:fill="auto"/>
            <w:vAlign w:val="bottom"/>
            <w:hideMark/>
          </w:tcPr>
          <w:p w14:paraId="7D0489C7"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-0.0039</w:t>
            </w:r>
          </w:p>
        </w:tc>
        <w:tc>
          <w:tcPr>
            <w:tcW w:w="999" w:type="dxa"/>
            <w:tcBorders>
              <w:top w:val="single" w:sz="4" w:space="0" w:color="ADD6EA"/>
              <w:left w:val="nil"/>
              <w:bottom w:val="nil"/>
              <w:right w:val="nil"/>
            </w:tcBorders>
            <w:shd w:val="clear" w:color="auto" w:fill="auto"/>
            <w:vAlign w:val="bottom"/>
            <w:hideMark/>
          </w:tcPr>
          <w:p w14:paraId="322688A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-0.0038</w:t>
            </w:r>
          </w:p>
        </w:tc>
        <w:tc>
          <w:tcPr>
            <w:tcW w:w="842" w:type="dxa"/>
            <w:tcBorders>
              <w:top w:val="single" w:sz="4" w:space="0" w:color="ADD6EA"/>
              <w:left w:val="nil"/>
              <w:bottom w:val="nil"/>
              <w:right w:val="nil"/>
            </w:tcBorders>
            <w:shd w:val="clear" w:color="auto" w:fill="auto"/>
            <w:vAlign w:val="bottom"/>
            <w:hideMark/>
          </w:tcPr>
          <w:p w14:paraId="0B558E7E"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-0.0038</w:t>
            </w:r>
          </w:p>
        </w:tc>
        <w:tc>
          <w:tcPr>
            <w:tcW w:w="1051" w:type="dxa"/>
            <w:tcBorders>
              <w:top w:val="single" w:sz="4" w:space="0" w:color="ADD6EA"/>
              <w:left w:val="nil"/>
              <w:bottom w:val="nil"/>
              <w:right w:val="nil"/>
            </w:tcBorders>
            <w:shd w:val="clear" w:color="auto" w:fill="auto"/>
            <w:vAlign w:val="bottom"/>
            <w:hideMark/>
          </w:tcPr>
          <w:p w14:paraId="6C483C1B"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-0.0038</w:t>
            </w:r>
          </w:p>
        </w:tc>
        <w:tc>
          <w:tcPr>
            <w:tcW w:w="897" w:type="dxa"/>
            <w:tcBorders>
              <w:top w:val="single" w:sz="4" w:space="0" w:color="ADD6EA"/>
              <w:left w:val="nil"/>
              <w:bottom w:val="nil"/>
              <w:right w:val="nil"/>
            </w:tcBorders>
            <w:shd w:val="clear" w:color="auto" w:fill="auto"/>
            <w:vAlign w:val="bottom"/>
            <w:hideMark/>
          </w:tcPr>
          <w:p w14:paraId="2A36CAD3"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-0.0038</w:t>
            </w:r>
          </w:p>
        </w:tc>
      </w:tr>
      <w:tr w:rsidR="00B347BB" w:rsidRPr="00A2480B" w14:paraId="70E585F3"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61357157"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r w:rsidRPr="00A2480B">
              <w:rPr>
                <w:rFonts w:eastAsia="Times New Roman" w:cs="Open Sans Light"/>
                <w:color w:val="000000"/>
                <w:sz w:val="16"/>
                <w:szCs w:val="16"/>
                <w:lang w:eastAsia="en-AU"/>
              </w:rPr>
              <w:t>QLD</w:t>
            </w:r>
          </w:p>
        </w:tc>
        <w:tc>
          <w:tcPr>
            <w:tcW w:w="759" w:type="dxa"/>
            <w:tcBorders>
              <w:top w:val="single" w:sz="4" w:space="0" w:color="ADD6EA"/>
              <w:left w:val="nil"/>
              <w:bottom w:val="nil"/>
              <w:right w:val="nil"/>
            </w:tcBorders>
            <w:shd w:val="clear" w:color="auto" w:fill="auto"/>
            <w:vAlign w:val="bottom"/>
            <w:hideMark/>
          </w:tcPr>
          <w:p w14:paraId="5A4A11D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-0.0159</w:t>
            </w:r>
          </w:p>
        </w:tc>
        <w:tc>
          <w:tcPr>
            <w:tcW w:w="842" w:type="dxa"/>
            <w:tcBorders>
              <w:top w:val="single" w:sz="4" w:space="0" w:color="ADD6EA"/>
              <w:left w:val="nil"/>
              <w:bottom w:val="nil"/>
              <w:right w:val="nil"/>
            </w:tcBorders>
            <w:shd w:val="clear" w:color="auto" w:fill="auto"/>
            <w:vAlign w:val="bottom"/>
            <w:hideMark/>
          </w:tcPr>
          <w:p w14:paraId="669C1D6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-0.0160</w:t>
            </w:r>
          </w:p>
        </w:tc>
        <w:tc>
          <w:tcPr>
            <w:tcW w:w="1123" w:type="dxa"/>
            <w:tcBorders>
              <w:top w:val="single" w:sz="4" w:space="0" w:color="ADD6EA"/>
              <w:left w:val="nil"/>
              <w:bottom w:val="nil"/>
              <w:right w:val="nil"/>
            </w:tcBorders>
            <w:shd w:val="clear" w:color="auto" w:fill="auto"/>
            <w:vAlign w:val="bottom"/>
            <w:hideMark/>
          </w:tcPr>
          <w:p w14:paraId="0E20FB9F"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-0.0165</w:t>
            </w:r>
          </w:p>
        </w:tc>
        <w:tc>
          <w:tcPr>
            <w:tcW w:w="886" w:type="dxa"/>
            <w:tcBorders>
              <w:top w:val="single" w:sz="4" w:space="0" w:color="ADD6EA"/>
              <w:left w:val="nil"/>
              <w:bottom w:val="nil"/>
              <w:right w:val="nil"/>
            </w:tcBorders>
            <w:shd w:val="clear" w:color="auto" w:fill="auto"/>
            <w:vAlign w:val="bottom"/>
            <w:hideMark/>
          </w:tcPr>
          <w:p w14:paraId="2261B843"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-0.0196</w:t>
            </w:r>
          </w:p>
        </w:tc>
        <w:tc>
          <w:tcPr>
            <w:tcW w:w="999" w:type="dxa"/>
            <w:tcBorders>
              <w:top w:val="single" w:sz="4" w:space="0" w:color="ADD6EA"/>
              <w:left w:val="nil"/>
              <w:bottom w:val="nil"/>
              <w:right w:val="nil"/>
            </w:tcBorders>
            <w:shd w:val="clear" w:color="auto" w:fill="auto"/>
            <w:vAlign w:val="bottom"/>
            <w:hideMark/>
          </w:tcPr>
          <w:p w14:paraId="19E6B05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-0.0226</w:t>
            </w:r>
          </w:p>
        </w:tc>
        <w:tc>
          <w:tcPr>
            <w:tcW w:w="842" w:type="dxa"/>
            <w:tcBorders>
              <w:top w:val="single" w:sz="4" w:space="0" w:color="ADD6EA"/>
              <w:left w:val="nil"/>
              <w:bottom w:val="nil"/>
              <w:right w:val="nil"/>
            </w:tcBorders>
            <w:shd w:val="clear" w:color="auto" w:fill="auto"/>
            <w:vAlign w:val="bottom"/>
            <w:hideMark/>
          </w:tcPr>
          <w:p w14:paraId="4207D6D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-0.0226</w:t>
            </w:r>
          </w:p>
        </w:tc>
        <w:tc>
          <w:tcPr>
            <w:tcW w:w="1051" w:type="dxa"/>
            <w:tcBorders>
              <w:top w:val="single" w:sz="4" w:space="0" w:color="ADD6EA"/>
              <w:left w:val="nil"/>
              <w:bottom w:val="nil"/>
              <w:right w:val="nil"/>
            </w:tcBorders>
            <w:shd w:val="clear" w:color="auto" w:fill="auto"/>
            <w:vAlign w:val="bottom"/>
            <w:hideMark/>
          </w:tcPr>
          <w:p w14:paraId="41C8E844"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-0.0225</w:t>
            </w:r>
          </w:p>
        </w:tc>
        <w:tc>
          <w:tcPr>
            <w:tcW w:w="897" w:type="dxa"/>
            <w:tcBorders>
              <w:top w:val="single" w:sz="4" w:space="0" w:color="ADD6EA"/>
              <w:left w:val="nil"/>
              <w:bottom w:val="nil"/>
              <w:right w:val="nil"/>
            </w:tcBorders>
            <w:shd w:val="clear" w:color="auto" w:fill="auto"/>
            <w:vAlign w:val="bottom"/>
            <w:hideMark/>
          </w:tcPr>
          <w:p w14:paraId="5383587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-0.0232</w:t>
            </w:r>
          </w:p>
        </w:tc>
      </w:tr>
      <w:tr w:rsidR="00B347BB" w:rsidRPr="00A2480B" w14:paraId="67000E49" w14:textId="77777777" w:rsidTr="002B38EB">
        <w:trPr>
          <w:trHeight w:val="240"/>
        </w:trPr>
        <w:tc>
          <w:tcPr>
            <w:tcW w:w="1560" w:type="dxa"/>
            <w:tcBorders>
              <w:top w:val="single" w:sz="4" w:space="0" w:color="ADD6EA"/>
              <w:left w:val="nil"/>
              <w:bottom w:val="nil"/>
              <w:right w:val="nil"/>
            </w:tcBorders>
            <w:shd w:val="clear" w:color="auto" w:fill="auto"/>
            <w:vAlign w:val="bottom"/>
            <w:hideMark/>
          </w:tcPr>
          <w:p w14:paraId="3050A86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proofErr w:type="spellStart"/>
            <w:r w:rsidRPr="00A2480B">
              <w:rPr>
                <w:rFonts w:eastAsia="Times New Roman" w:cs="Open Sans Light"/>
                <w:color w:val="000000"/>
                <w:sz w:val="14"/>
                <w:szCs w:val="14"/>
                <w:lang w:eastAsia="en-AU"/>
              </w:rPr>
              <w:t>s.e.</w:t>
            </w:r>
            <w:proofErr w:type="spellEnd"/>
          </w:p>
        </w:tc>
        <w:tc>
          <w:tcPr>
            <w:tcW w:w="759" w:type="dxa"/>
            <w:tcBorders>
              <w:top w:val="single" w:sz="4" w:space="0" w:color="ADD6EA"/>
              <w:left w:val="nil"/>
              <w:bottom w:val="nil"/>
              <w:right w:val="nil"/>
            </w:tcBorders>
            <w:shd w:val="clear" w:color="auto" w:fill="auto"/>
            <w:vAlign w:val="bottom"/>
            <w:hideMark/>
          </w:tcPr>
          <w:p w14:paraId="2158305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-0.0049</w:t>
            </w:r>
          </w:p>
        </w:tc>
        <w:tc>
          <w:tcPr>
            <w:tcW w:w="842" w:type="dxa"/>
            <w:tcBorders>
              <w:top w:val="single" w:sz="4" w:space="0" w:color="ADD6EA"/>
              <w:left w:val="nil"/>
              <w:bottom w:val="nil"/>
              <w:right w:val="nil"/>
            </w:tcBorders>
            <w:shd w:val="clear" w:color="auto" w:fill="auto"/>
            <w:vAlign w:val="bottom"/>
            <w:hideMark/>
          </w:tcPr>
          <w:p w14:paraId="4F431554"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-0.0049</w:t>
            </w:r>
          </w:p>
        </w:tc>
        <w:tc>
          <w:tcPr>
            <w:tcW w:w="1123" w:type="dxa"/>
            <w:tcBorders>
              <w:top w:val="single" w:sz="4" w:space="0" w:color="ADD6EA"/>
              <w:left w:val="nil"/>
              <w:bottom w:val="nil"/>
              <w:right w:val="nil"/>
            </w:tcBorders>
            <w:shd w:val="clear" w:color="auto" w:fill="auto"/>
            <w:vAlign w:val="bottom"/>
            <w:hideMark/>
          </w:tcPr>
          <w:p w14:paraId="5B96194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-0.0049</w:t>
            </w:r>
          </w:p>
        </w:tc>
        <w:tc>
          <w:tcPr>
            <w:tcW w:w="886" w:type="dxa"/>
            <w:tcBorders>
              <w:top w:val="single" w:sz="4" w:space="0" w:color="ADD6EA"/>
              <w:left w:val="nil"/>
              <w:bottom w:val="nil"/>
              <w:right w:val="nil"/>
            </w:tcBorders>
            <w:shd w:val="clear" w:color="auto" w:fill="auto"/>
            <w:vAlign w:val="bottom"/>
            <w:hideMark/>
          </w:tcPr>
          <w:p w14:paraId="2855540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-0.0041</w:t>
            </w:r>
          </w:p>
        </w:tc>
        <w:tc>
          <w:tcPr>
            <w:tcW w:w="999" w:type="dxa"/>
            <w:tcBorders>
              <w:top w:val="single" w:sz="4" w:space="0" w:color="ADD6EA"/>
              <w:left w:val="nil"/>
              <w:bottom w:val="nil"/>
              <w:right w:val="nil"/>
            </w:tcBorders>
            <w:shd w:val="clear" w:color="auto" w:fill="auto"/>
            <w:vAlign w:val="bottom"/>
            <w:hideMark/>
          </w:tcPr>
          <w:p w14:paraId="6C8534BB"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-0.0041</w:t>
            </w:r>
          </w:p>
        </w:tc>
        <w:tc>
          <w:tcPr>
            <w:tcW w:w="842" w:type="dxa"/>
            <w:tcBorders>
              <w:top w:val="single" w:sz="4" w:space="0" w:color="ADD6EA"/>
              <w:left w:val="nil"/>
              <w:bottom w:val="nil"/>
              <w:right w:val="nil"/>
            </w:tcBorders>
            <w:shd w:val="clear" w:color="auto" w:fill="auto"/>
            <w:vAlign w:val="bottom"/>
            <w:hideMark/>
          </w:tcPr>
          <w:p w14:paraId="4D44DFDF"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-0.0041</w:t>
            </w:r>
          </w:p>
        </w:tc>
        <w:tc>
          <w:tcPr>
            <w:tcW w:w="1051" w:type="dxa"/>
            <w:tcBorders>
              <w:top w:val="single" w:sz="4" w:space="0" w:color="ADD6EA"/>
              <w:left w:val="nil"/>
              <w:bottom w:val="nil"/>
              <w:right w:val="nil"/>
            </w:tcBorders>
            <w:shd w:val="clear" w:color="auto" w:fill="auto"/>
            <w:vAlign w:val="bottom"/>
            <w:hideMark/>
          </w:tcPr>
          <w:p w14:paraId="664D444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-0.0041</w:t>
            </w:r>
          </w:p>
        </w:tc>
        <w:tc>
          <w:tcPr>
            <w:tcW w:w="897" w:type="dxa"/>
            <w:tcBorders>
              <w:top w:val="single" w:sz="4" w:space="0" w:color="ADD6EA"/>
              <w:left w:val="nil"/>
              <w:bottom w:val="nil"/>
              <w:right w:val="nil"/>
            </w:tcBorders>
            <w:shd w:val="clear" w:color="auto" w:fill="auto"/>
            <w:vAlign w:val="bottom"/>
            <w:hideMark/>
          </w:tcPr>
          <w:p w14:paraId="3D404E13"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-0.0040</w:t>
            </w:r>
          </w:p>
        </w:tc>
      </w:tr>
      <w:tr w:rsidR="00B347BB" w:rsidRPr="00A2480B" w14:paraId="4AA20F7F"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0830E921"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r w:rsidRPr="00A2480B">
              <w:rPr>
                <w:rFonts w:eastAsia="Times New Roman" w:cs="Open Sans Light"/>
                <w:color w:val="000000"/>
                <w:sz w:val="16"/>
                <w:szCs w:val="16"/>
                <w:lang w:eastAsia="en-AU"/>
              </w:rPr>
              <w:t>WA</w:t>
            </w:r>
          </w:p>
        </w:tc>
        <w:tc>
          <w:tcPr>
            <w:tcW w:w="759" w:type="dxa"/>
            <w:tcBorders>
              <w:top w:val="single" w:sz="4" w:space="0" w:color="ADD6EA"/>
              <w:left w:val="nil"/>
              <w:bottom w:val="nil"/>
              <w:right w:val="nil"/>
            </w:tcBorders>
            <w:shd w:val="clear" w:color="auto" w:fill="auto"/>
            <w:vAlign w:val="bottom"/>
            <w:hideMark/>
          </w:tcPr>
          <w:p w14:paraId="576C4BF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0.0377</w:t>
            </w:r>
          </w:p>
        </w:tc>
        <w:tc>
          <w:tcPr>
            <w:tcW w:w="842" w:type="dxa"/>
            <w:tcBorders>
              <w:top w:val="single" w:sz="4" w:space="0" w:color="ADD6EA"/>
              <w:left w:val="nil"/>
              <w:bottom w:val="nil"/>
              <w:right w:val="nil"/>
            </w:tcBorders>
            <w:shd w:val="clear" w:color="auto" w:fill="auto"/>
            <w:vAlign w:val="bottom"/>
            <w:hideMark/>
          </w:tcPr>
          <w:p w14:paraId="70AB065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0.0378</w:t>
            </w:r>
          </w:p>
        </w:tc>
        <w:tc>
          <w:tcPr>
            <w:tcW w:w="1123" w:type="dxa"/>
            <w:tcBorders>
              <w:top w:val="single" w:sz="4" w:space="0" w:color="ADD6EA"/>
              <w:left w:val="nil"/>
              <w:bottom w:val="nil"/>
              <w:right w:val="nil"/>
            </w:tcBorders>
            <w:shd w:val="clear" w:color="auto" w:fill="auto"/>
            <w:vAlign w:val="bottom"/>
            <w:hideMark/>
          </w:tcPr>
          <w:p w14:paraId="6C1E251E"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0.0373</w:t>
            </w:r>
          </w:p>
        </w:tc>
        <w:tc>
          <w:tcPr>
            <w:tcW w:w="886" w:type="dxa"/>
            <w:tcBorders>
              <w:top w:val="single" w:sz="4" w:space="0" w:color="ADD6EA"/>
              <w:left w:val="nil"/>
              <w:bottom w:val="nil"/>
              <w:right w:val="nil"/>
            </w:tcBorders>
            <w:shd w:val="clear" w:color="auto" w:fill="auto"/>
            <w:vAlign w:val="bottom"/>
            <w:hideMark/>
          </w:tcPr>
          <w:p w14:paraId="5B82EC0E"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0.0284</w:t>
            </w:r>
          </w:p>
        </w:tc>
        <w:tc>
          <w:tcPr>
            <w:tcW w:w="999" w:type="dxa"/>
            <w:tcBorders>
              <w:top w:val="single" w:sz="4" w:space="0" w:color="ADD6EA"/>
              <w:left w:val="nil"/>
              <w:bottom w:val="nil"/>
              <w:right w:val="nil"/>
            </w:tcBorders>
            <w:shd w:val="clear" w:color="auto" w:fill="auto"/>
            <w:vAlign w:val="bottom"/>
            <w:hideMark/>
          </w:tcPr>
          <w:p w14:paraId="48A6AE2D"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0.0304</w:t>
            </w:r>
          </w:p>
        </w:tc>
        <w:tc>
          <w:tcPr>
            <w:tcW w:w="842" w:type="dxa"/>
            <w:tcBorders>
              <w:top w:val="single" w:sz="4" w:space="0" w:color="ADD6EA"/>
              <w:left w:val="nil"/>
              <w:bottom w:val="nil"/>
              <w:right w:val="nil"/>
            </w:tcBorders>
            <w:shd w:val="clear" w:color="auto" w:fill="auto"/>
            <w:vAlign w:val="bottom"/>
            <w:hideMark/>
          </w:tcPr>
          <w:p w14:paraId="3D74CD1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0.0304</w:t>
            </w:r>
          </w:p>
        </w:tc>
        <w:tc>
          <w:tcPr>
            <w:tcW w:w="1051" w:type="dxa"/>
            <w:tcBorders>
              <w:top w:val="single" w:sz="4" w:space="0" w:color="ADD6EA"/>
              <w:left w:val="nil"/>
              <w:bottom w:val="nil"/>
              <w:right w:val="nil"/>
            </w:tcBorders>
            <w:shd w:val="clear" w:color="auto" w:fill="auto"/>
            <w:vAlign w:val="bottom"/>
            <w:hideMark/>
          </w:tcPr>
          <w:p w14:paraId="44EBBB0D"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0.0304</w:t>
            </w:r>
          </w:p>
        </w:tc>
        <w:tc>
          <w:tcPr>
            <w:tcW w:w="897" w:type="dxa"/>
            <w:tcBorders>
              <w:top w:val="single" w:sz="4" w:space="0" w:color="ADD6EA"/>
              <w:left w:val="nil"/>
              <w:bottom w:val="nil"/>
              <w:right w:val="nil"/>
            </w:tcBorders>
            <w:shd w:val="clear" w:color="auto" w:fill="auto"/>
            <w:vAlign w:val="bottom"/>
            <w:hideMark/>
          </w:tcPr>
          <w:p w14:paraId="2273AC34"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0.0301</w:t>
            </w:r>
          </w:p>
        </w:tc>
      </w:tr>
      <w:tr w:rsidR="00B347BB" w:rsidRPr="00A2480B" w14:paraId="421A4120" w14:textId="77777777" w:rsidTr="002B38EB">
        <w:trPr>
          <w:trHeight w:val="240"/>
        </w:trPr>
        <w:tc>
          <w:tcPr>
            <w:tcW w:w="1560" w:type="dxa"/>
            <w:tcBorders>
              <w:top w:val="single" w:sz="4" w:space="0" w:color="ADD6EA"/>
              <w:left w:val="nil"/>
              <w:bottom w:val="nil"/>
              <w:right w:val="nil"/>
            </w:tcBorders>
            <w:shd w:val="clear" w:color="auto" w:fill="auto"/>
            <w:vAlign w:val="bottom"/>
            <w:hideMark/>
          </w:tcPr>
          <w:p w14:paraId="4639555A"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proofErr w:type="spellStart"/>
            <w:r w:rsidRPr="00A2480B">
              <w:rPr>
                <w:rFonts w:eastAsia="Times New Roman" w:cs="Open Sans Light"/>
                <w:color w:val="000000"/>
                <w:sz w:val="14"/>
                <w:szCs w:val="14"/>
                <w:lang w:eastAsia="en-AU"/>
              </w:rPr>
              <w:t>s.e.</w:t>
            </w:r>
            <w:proofErr w:type="spellEnd"/>
          </w:p>
        </w:tc>
        <w:tc>
          <w:tcPr>
            <w:tcW w:w="759" w:type="dxa"/>
            <w:tcBorders>
              <w:top w:val="single" w:sz="4" w:space="0" w:color="ADD6EA"/>
              <w:left w:val="nil"/>
              <w:bottom w:val="nil"/>
              <w:right w:val="nil"/>
            </w:tcBorders>
            <w:shd w:val="clear" w:color="auto" w:fill="auto"/>
            <w:vAlign w:val="bottom"/>
            <w:hideMark/>
          </w:tcPr>
          <w:p w14:paraId="208C2BD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-0.0059</w:t>
            </w:r>
          </w:p>
        </w:tc>
        <w:tc>
          <w:tcPr>
            <w:tcW w:w="842" w:type="dxa"/>
            <w:tcBorders>
              <w:top w:val="single" w:sz="4" w:space="0" w:color="ADD6EA"/>
              <w:left w:val="nil"/>
              <w:bottom w:val="nil"/>
              <w:right w:val="nil"/>
            </w:tcBorders>
            <w:shd w:val="clear" w:color="auto" w:fill="auto"/>
            <w:vAlign w:val="bottom"/>
            <w:hideMark/>
          </w:tcPr>
          <w:p w14:paraId="3C7AE89E"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-0.0059</w:t>
            </w:r>
          </w:p>
        </w:tc>
        <w:tc>
          <w:tcPr>
            <w:tcW w:w="1123" w:type="dxa"/>
            <w:tcBorders>
              <w:top w:val="single" w:sz="4" w:space="0" w:color="ADD6EA"/>
              <w:left w:val="nil"/>
              <w:bottom w:val="nil"/>
              <w:right w:val="nil"/>
            </w:tcBorders>
            <w:shd w:val="clear" w:color="auto" w:fill="auto"/>
            <w:vAlign w:val="bottom"/>
            <w:hideMark/>
          </w:tcPr>
          <w:p w14:paraId="523AC57F"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-0.0059</w:t>
            </w:r>
          </w:p>
        </w:tc>
        <w:tc>
          <w:tcPr>
            <w:tcW w:w="886" w:type="dxa"/>
            <w:tcBorders>
              <w:top w:val="single" w:sz="4" w:space="0" w:color="ADD6EA"/>
              <w:left w:val="nil"/>
              <w:bottom w:val="nil"/>
              <w:right w:val="nil"/>
            </w:tcBorders>
            <w:shd w:val="clear" w:color="auto" w:fill="auto"/>
            <w:vAlign w:val="bottom"/>
            <w:hideMark/>
          </w:tcPr>
          <w:p w14:paraId="33B779A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-0.0049</w:t>
            </w:r>
          </w:p>
        </w:tc>
        <w:tc>
          <w:tcPr>
            <w:tcW w:w="999" w:type="dxa"/>
            <w:tcBorders>
              <w:top w:val="single" w:sz="4" w:space="0" w:color="ADD6EA"/>
              <w:left w:val="nil"/>
              <w:bottom w:val="nil"/>
              <w:right w:val="nil"/>
            </w:tcBorders>
            <w:shd w:val="clear" w:color="auto" w:fill="auto"/>
            <w:vAlign w:val="bottom"/>
            <w:hideMark/>
          </w:tcPr>
          <w:p w14:paraId="20C286F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-0.0048</w:t>
            </w:r>
          </w:p>
        </w:tc>
        <w:tc>
          <w:tcPr>
            <w:tcW w:w="842" w:type="dxa"/>
            <w:tcBorders>
              <w:top w:val="single" w:sz="4" w:space="0" w:color="ADD6EA"/>
              <w:left w:val="nil"/>
              <w:bottom w:val="nil"/>
              <w:right w:val="nil"/>
            </w:tcBorders>
            <w:shd w:val="clear" w:color="auto" w:fill="auto"/>
            <w:vAlign w:val="bottom"/>
            <w:hideMark/>
          </w:tcPr>
          <w:p w14:paraId="61C1356E"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-0.0048</w:t>
            </w:r>
          </w:p>
        </w:tc>
        <w:tc>
          <w:tcPr>
            <w:tcW w:w="1051" w:type="dxa"/>
            <w:tcBorders>
              <w:top w:val="single" w:sz="4" w:space="0" w:color="ADD6EA"/>
              <w:left w:val="nil"/>
              <w:bottom w:val="nil"/>
              <w:right w:val="nil"/>
            </w:tcBorders>
            <w:shd w:val="clear" w:color="auto" w:fill="auto"/>
            <w:vAlign w:val="bottom"/>
            <w:hideMark/>
          </w:tcPr>
          <w:p w14:paraId="4C2BAC87"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-0.0048</w:t>
            </w:r>
          </w:p>
        </w:tc>
        <w:tc>
          <w:tcPr>
            <w:tcW w:w="897" w:type="dxa"/>
            <w:tcBorders>
              <w:top w:val="single" w:sz="4" w:space="0" w:color="ADD6EA"/>
              <w:left w:val="nil"/>
              <w:bottom w:val="nil"/>
              <w:right w:val="nil"/>
            </w:tcBorders>
            <w:shd w:val="clear" w:color="auto" w:fill="auto"/>
            <w:vAlign w:val="bottom"/>
            <w:hideMark/>
          </w:tcPr>
          <w:p w14:paraId="4286A2A4"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-0.0048</w:t>
            </w:r>
          </w:p>
        </w:tc>
      </w:tr>
      <w:tr w:rsidR="00B347BB" w:rsidRPr="00A2480B" w14:paraId="29909F02"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04413069"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r w:rsidRPr="00A2480B">
              <w:rPr>
                <w:rFonts w:eastAsia="Times New Roman" w:cs="Open Sans Light"/>
                <w:color w:val="000000"/>
                <w:sz w:val="16"/>
                <w:szCs w:val="16"/>
                <w:lang w:eastAsia="en-AU"/>
              </w:rPr>
              <w:t>SA</w:t>
            </w:r>
          </w:p>
        </w:tc>
        <w:tc>
          <w:tcPr>
            <w:tcW w:w="759" w:type="dxa"/>
            <w:tcBorders>
              <w:top w:val="single" w:sz="4" w:space="0" w:color="ADD6EA"/>
              <w:left w:val="nil"/>
              <w:bottom w:val="nil"/>
              <w:right w:val="nil"/>
            </w:tcBorders>
            <w:shd w:val="clear" w:color="auto" w:fill="auto"/>
            <w:vAlign w:val="bottom"/>
            <w:hideMark/>
          </w:tcPr>
          <w:p w14:paraId="53EAE01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-0.0471</w:t>
            </w:r>
          </w:p>
        </w:tc>
        <w:tc>
          <w:tcPr>
            <w:tcW w:w="842" w:type="dxa"/>
            <w:tcBorders>
              <w:top w:val="single" w:sz="4" w:space="0" w:color="ADD6EA"/>
              <w:left w:val="nil"/>
              <w:bottom w:val="nil"/>
              <w:right w:val="nil"/>
            </w:tcBorders>
            <w:shd w:val="clear" w:color="auto" w:fill="auto"/>
            <w:vAlign w:val="bottom"/>
            <w:hideMark/>
          </w:tcPr>
          <w:p w14:paraId="74A2E7A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-0.0472</w:t>
            </w:r>
          </w:p>
        </w:tc>
        <w:tc>
          <w:tcPr>
            <w:tcW w:w="1123" w:type="dxa"/>
            <w:tcBorders>
              <w:top w:val="single" w:sz="4" w:space="0" w:color="ADD6EA"/>
              <w:left w:val="nil"/>
              <w:bottom w:val="nil"/>
              <w:right w:val="nil"/>
            </w:tcBorders>
            <w:shd w:val="clear" w:color="auto" w:fill="auto"/>
            <w:vAlign w:val="bottom"/>
            <w:hideMark/>
          </w:tcPr>
          <w:p w14:paraId="289DFF0F"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-0.0469</w:t>
            </w:r>
          </w:p>
        </w:tc>
        <w:tc>
          <w:tcPr>
            <w:tcW w:w="886" w:type="dxa"/>
            <w:tcBorders>
              <w:top w:val="single" w:sz="4" w:space="0" w:color="ADD6EA"/>
              <w:left w:val="nil"/>
              <w:bottom w:val="nil"/>
              <w:right w:val="nil"/>
            </w:tcBorders>
            <w:shd w:val="clear" w:color="auto" w:fill="auto"/>
            <w:vAlign w:val="bottom"/>
            <w:hideMark/>
          </w:tcPr>
          <w:p w14:paraId="504EB2FF"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-0.0446</w:t>
            </w:r>
          </w:p>
        </w:tc>
        <w:tc>
          <w:tcPr>
            <w:tcW w:w="999" w:type="dxa"/>
            <w:tcBorders>
              <w:top w:val="single" w:sz="4" w:space="0" w:color="ADD6EA"/>
              <w:left w:val="nil"/>
              <w:bottom w:val="nil"/>
              <w:right w:val="nil"/>
            </w:tcBorders>
            <w:shd w:val="clear" w:color="auto" w:fill="auto"/>
            <w:vAlign w:val="bottom"/>
            <w:hideMark/>
          </w:tcPr>
          <w:p w14:paraId="7635C497"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-0.0441</w:t>
            </w:r>
          </w:p>
        </w:tc>
        <w:tc>
          <w:tcPr>
            <w:tcW w:w="842" w:type="dxa"/>
            <w:tcBorders>
              <w:top w:val="single" w:sz="4" w:space="0" w:color="ADD6EA"/>
              <w:left w:val="nil"/>
              <w:bottom w:val="nil"/>
              <w:right w:val="nil"/>
            </w:tcBorders>
            <w:shd w:val="clear" w:color="auto" w:fill="auto"/>
            <w:vAlign w:val="bottom"/>
            <w:hideMark/>
          </w:tcPr>
          <w:p w14:paraId="07C3BA8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-0.0441</w:t>
            </w:r>
          </w:p>
        </w:tc>
        <w:tc>
          <w:tcPr>
            <w:tcW w:w="1051" w:type="dxa"/>
            <w:tcBorders>
              <w:top w:val="single" w:sz="4" w:space="0" w:color="ADD6EA"/>
              <w:left w:val="nil"/>
              <w:bottom w:val="nil"/>
              <w:right w:val="nil"/>
            </w:tcBorders>
            <w:shd w:val="clear" w:color="auto" w:fill="auto"/>
            <w:vAlign w:val="bottom"/>
            <w:hideMark/>
          </w:tcPr>
          <w:p w14:paraId="7AD7DFF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-0.0440</w:t>
            </w:r>
          </w:p>
        </w:tc>
        <w:tc>
          <w:tcPr>
            <w:tcW w:w="897" w:type="dxa"/>
            <w:tcBorders>
              <w:top w:val="single" w:sz="4" w:space="0" w:color="ADD6EA"/>
              <w:left w:val="nil"/>
              <w:bottom w:val="nil"/>
              <w:right w:val="nil"/>
            </w:tcBorders>
            <w:shd w:val="clear" w:color="auto" w:fill="auto"/>
            <w:vAlign w:val="bottom"/>
            <w:hideMark/>
          </w:tcPr>
          <w:p w14:paraId="46B85B3A"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-0.0438</w:t>
            </w:r>
          </w:p>
        </w:tc>
      </w:tr>
      <w:tr w:rsidR="00B347BB" w:rsidRPr="00A2480B" w14:paraId="06063AD3" w14:textId="77777777" w:rsidTr="002B38EB">
        <w:trPr>
          <w:trHeight w:val="240"/>
        </w:trPr>
        <w:tc>
          <w:tcPr>
            <w:tcW w:w="1560" w:type="dxa"/>
            <w:tcBorders>
              <w:top w:val="single" w:sz="4" w:space="0" w:color="ADD6EA"/>
              <w:left w:val="nil"/>
              <w:bottom w:val="nil"/>
              <w:right w:val="nil"/>
            </w:tcBorders>
            <w:shd w:val="clear" w:color="auto" w:fill="auto"/>
            <w:vAlign w:val="bottom"/>
            <w:hideMark/>
          </w:tcPr>
          <w:p w14:paraId="2C30C88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proofErr w:type="spellStart"/>
            <w:r w:rsidRPr="00A2480B">
              <w:rPr>
                <w:rFonts w:eastAsia="Times New Roman" w:cs="Open Sans Light"/>
                <w:color w:val="000000"/>
                <w:sz w:val="14"/>
                <w:szCs w:val="14"/>
                <w:lang w:eastAsia="en-AU"/>
              </w:rPr>
              <w:t>s.e.</w:t>
            </w:r>
            <w:proofErr w:type="spellEnd"/>
          </w:p>
        </w:tc>
        <w:tc>
          <w:tcPr>
            <w:tcW w:w="759" w:type="dxa"/>
            <w:tcBorders>
              <w:top w:val="single" w:sz="4" w:space="0" w:color="ADD6EA"/>
              <w:left w:val="nil"/>
              <w:bottom w:val="nil"/>
              <w:right w:val="nil"/>
            </w:tcBorders>
            <w:shd w:val="clear" w:color="auto" w:fill="auto"/>
            <w:vAlign w:val="bottom"/>
            <w:hideMark/>
          </w:tcPr>
          <w:p w14:paraId="66898A6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-0.0068</w:t>
            </w:r>
          </w:p>
        </w:tc>
        <w:tc>
          <w:tcPr>
            <w:tcW w:w="842" w:type="dxa"/>
            <w:tcBorders>
              <w:top w:val="single" w:sz="4" w:space="0" w:color="ADD6EA"/>
              <w:left w:val="nil"/>
              <w:bottom w:val="nil"/>
              <w:right w:val="nil"/>
            </w:tcBorders>
            <w:shd w:val="clear" w:color="auto" w:fill="auto"/>
            <w:vAlign w:val="bottom"/>
            <w:hideMark/>
          </w:tcPr>
          <w:p w14:paraId="458E92F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-0.0068</w:t>
            </w:r>
          </w:p>
        </w:tc>
        <w:tc>
          <w:tcPr>
            <w:tcW w:w="1123" w:type="dxa"/>
            <w:tcBorders>
              <w:top w:val="single" w:sz="4" w:space="0" w:color="ADD6EA"/>
              <w:left w:val="nil"/>
              <w:bottom w:val="nil"/>
              <w:right w:val="nil"/>
            </w:tcBorders>
            <w:shd w:val="clear" w:color="auto" w:fill="auto"/>
            <w:vAlign w:val="bottom"/>
            <w:hideMark/>
          </w:tcPr>
          <w:p w14:paraId="09A7EA04"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-0.0068</w:t>
            </w:r>
          </w:p>
        </w:tc>
        <w:tc>
          <w:tcPr>
            <w:tcW w:w="886" w:type="dxa"/>
            <w:tcBorders>
              <w:top w:val="single" w:sz="4" w:space="0" w:color="ADD6EA"/>
              <w:left w:val="nil"/>
              <w:bottom w:val="nil"/>
              <w:right w:val="nil"/>
            </w:tcBorders>
            <w:shd w:val="clear" w:color="auto" w:fill="auto"/>
            <w:vAlign w:val="bottom"/>
            <w:hideMark/>
          </w:tcPr>
          <w:p w14:paraId="09C9535A"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-0.0057</w:t>
            </w:r>
          </w:p>
        </w:tc>
        <w:tc>
          <w:tcPr>
            <w:tcW w:w="999" w:type="dxa"/>
            <w:tcBorders>
              <w:top w:val="single" w:sz="4" w:space="0" w:color="ADD6EA"/>
              <w:left w:val="nil"/>
              <w:bottom w:val="nil"/>
              <w:right w:val="nil"/>
            </w:tcBorders>
            <w:shd w:val="clear" w:color="auto" w:fill="auto"/>
            <w:vAlign w:val="bottom"/>
            <w:hideMark/>
          </w:tcPr>
          <w:p w14:paraId="0B8F6A8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-0.0056</w:t>
            </w:r>
          </w:p>
        </w:tc>
        <w:tc>
          <w:tcPr>
            <w:tcW w:w="842" w:type="dxa"/>
            <w:tcBorders>
              <w:top w:val="single" w:sz="4" w:space="0" w:color="ADD6EA"/>
              <w:left w:val="nil"/>
              <w:bottom w:val="nil"/>
              <w:right w:val="nil"/>
            </w:tcBorders>
            <w:shd w:val="clear" w:color="auto" w:fill="auto"/>
            <w:vAlign w:val="bottom"/>
            <w:hideMark/>
          </w:tcPr>
          <w:p w14:paraId="17F5A34B"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-0.0056</w:t>
            </w:r>
          </w:p>
        </w:tc>
        <w:tc>
          <w:tcPr>
            <w:tcW w:w="1051" w:type="dxa"/>
            <w:tcBorders>
              <w:top w:val="single" w:sz="4" w:space="0" w:color="ADD6EA"/>
              <w:left w:val="nil"/>
              <w:bottom w:val="nil"/>
              <w:right w:val="nil"/>
            </w:tcBorders>
            <w:shd w:val="clear" w:color="auto" w:fill="auto"/>
            <w:vAlign w:val="bottom"/>
            <w:hideMark/>
          </w:tcPr>
          <w:p w14:paraId="4586323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-0.0056</w:t>
            </w:r>
          </w:p>
        </w:tc>
        <w:tc>
          <w:tcPr>
            <w:tcW w:w="897" w:type="dxa"/>
            <w:tcBorders>
              <w:top w:val="single" w:sz="4" w:space="0" w:color="ADD6EA"/>
              <w:left w:val="nil"/>
              <w:bottom w:val="nil"/>
              <w:right w:val="nil"/>
            </w:tcBorders>
            <w:shd w:val="clear" w:color="auto" w:fill="auto"/>
            <w:vAlign w:val="bottom"/>
            <w:hideMark/>
          </w:tcPr>
          <w:p w14:paraId="484123C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-0.0056</w:t>
            </w:r>
          </w:p>
        </w:tc>
      </w:tr>
      <w:tr w:rsidR="00B347BB" w:rsidRPr="00A2480B" w14:paraId="30EE7CC2"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380B669A"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r w:rsidRPr="00A2480B">
              <w:rPr>
                <w:rFonts w:eastAsia="Times New Roman" w:cs="Open Sans Light"/>
                <w:color w:val="000000"/>
                <w:sz w:val="16"/>
                <w:szCs w:val="16"/>
                <w:lang w:eastAsia="en-AU"/>
              </w:rPr>
              <w:t>TAS</w:t>
            </w:r>
          </w:p>
        </w:tc>
        <w:tc>
          <w:tcPr>
            <w:tcW w:w="759" w:type="dxa"/>
            <w:tcBorders>
              <w:top w:val="single" w:sz="4" w:space="0" w:color="ADD6EA"/>
              <w:left w:val="nil"/>
              <w:bottom w:val="nil"/>
              <w:right w:val="nil"/>
            </w:tcBorders>
            <w:shd w:val="clear" w:color="auto" w:fill="auto"/>
            <w:vAlign w:val="bottom"/>
            <w:hideMark/>
          </w:tcPr>
          <w:p w14:paraId="286BF36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-0.0660</w:t>
            </w:r>
          </w:p>
        </w:tc>
        <w:tc>
          <w:tcPr>
            <w:tcW w:w="842" w:type="dxa"/>
            <w:tcBorders>
              <w:top w:val="single" w:sz="4" w:space="0" w:color="ADD6EA"/>
              <w:left w:val="nil"/>
              <w:bottom w:val="nil"/>
              <w:right w:val="nil"/>
            </w:tcBorders>
            <w:shd w:val="clear" w:color="auto" w:fill="auto"/>
            <w:vAlign w:val="bottom"/>
            <w:hideMark/>
          </w:tcPr>
          <w:p w14:paraId="50652E2D"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-0.0661</w:t>
            </w:r>
          </w:p>
        </w:tc>
        <w:tc>
          <w:tcPr>
            <w:tcW w:w="1123" w:type="dxa"/>
            <w:tcBorders>
              <w:top w:val="single" w:sz="4" w:space="0" w:color="ADD6EA"/>
              <w:left w:val="nil"/>
              <w:bottom w:val="nil"/>
              <w:right w:val="nil"/>
            </w:tcBorders>
            <w:shd w:val="clear" w:color="auto" w:fill="auto"/>
            <w:vAlign w:val="bottom"/>
            <w:hideMark/>
          </w:tcPr>
          <w:p w14:paraId="54A94EEF"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-0.0646</w:t>
            </w:r>
          </w:p>
        </w:tc>
        <w:tc>
          <w:tcPr>
            <w:tcW w:w="886" w:type="dxa"/>
            <w:tcBorders>
              <w:top w:val="single" w:sz="4" w:space="0" w:color="ADD6EA"/>
              <w:left w:val="nil"/>
              <w:bottom w:val="nil"/>
              <w:right w:val="nil"/>
            </w:tcBorders>
            <w:shd w:val="clear" w:color="auto" w:fill="auto"/>
            <w:vAlign w:val="bottom"/>
            <w:hideMark/>
          </w:tcPr>
          <w:p w14:paraId="7E4617D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-0.0597</w:t>
            </w:r>
          </w:p>
        </w:tc>
        <w:tc>
          <w:tcPr>
            <w:tcW w:w="999" w:type="dxa"/>
            <w:tcBorders>
              <w:top w:val="single" w:sz="4" w:space="0" w:color="ADD6EA"/>
              <w:left w:val="nil"/>
              <w:bottom w:val="nil"/>
              <w:right w:val="nil"/>
            </w:tcBorders>
            <w:shd w:val="clear" w:color="auto" w:fill="auto"/>
            <w:vAlign w:val="bottom"/>
            <w:hideMark/>
          </w:tcPr>
          <w:p w14:paraId="620C8377"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-0.0547</w:t>
            </w:r>
          </w:p>
        </w:tc>
        <w:tc>
          <w:tcPr>
            <w:tcW w:w="842" w:type="dxa"/>
            <w:tcBorders>
              <w:top w:val="single" w:sz="4" w:space="0" w:color="ADD6EA"/>
              <w:left w:val="nil"/>
              <w:bottom w:val="nil"/>
              <w:right w:val="nil"/>
            </w:tcBorders>
            <w:shd w:val="clear" w:color="auto" w:fill="auto"/>
            <w:vAlign w:val="bottom"/>
            <w:hideMark/>
          </w:tcPr>
          <w:p w14:paraId="151C64A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-0.0547</w:t>
            </w:r>
          </w:p>
        </w:tc>
        <w:tc>
          <w:tcPr>
            <w:tcW w:w="1051" w:type="dxa"/>
            <w:tcBorders>
              <w:top w:val="single" w:sz="4" w:space="0" w:color="ADD6EA"/>
              <w:left w:val="nil"/>
              <w:bottom w:val="nil"/>
              <w:right w:val="nil"/>
            </w:tcBorders>
            <w:shd w:val="clear" w:color="auto" w:fill="auto"/>
            <w:vAlign w:val="bottom"/>
            <w:hideMark/>
          </w:tcPr>
          <w:p w14:paraId="7D4DBD7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-0.0546</w:t>
            </w:r>
          </w:p>
        </w:tc>
        <w:tc>
          <w:tcPr>
            <w:tcW w:w="897" w:type="dxa"/>
            <w:tcBorders>
              <w:top w:val="single" w:sz="4" w:space="0" w:color="ADD6EA"/>
              <w:left w:val="nil"/>
              <w:bottom w:val="nil"/>
              <w:right w:val="nil"/>
            </w:tcBorders>
            <w:shd w:val="clear" w:color="auto" w:fill="auto"/>
            <w:vAlign w:val="bottom"/>
            <w:hideMark/>
          </w:tcPr>
          <w:p w14:paraId="2A699E6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-0.0533</w:t>
            </w:r>
          </w:p>
        </w:tc>
      </w:tr>
      <w:tr w:rsidR="00B347BB" w:rsidRPr="00A2480B" w14:paraId="6371508C" w14:textId="77777777" w:rsidTr="002B38EB">
        <w:trPr>
          <w:trHeight w:val="240"/>
        </w:trPr>
        <w:tc>
          <w:tcPr>
            <w:tcW w:w="1560" w:type="dxa"/>
            <w:tcBorders>
              <w:top w:val="single" w:sz="4" w:space="0" w:color="ADD6EA"/>
              <w:left w:val="nil"/>
              <w:bottom w:val="nil"/>
              <w:right w:val="nil"/>
            </w:tcBorders>
            <w:shd w:val="clear" w:color="auto" w:fill="auto"/>
            <w:vAlign w:val="bottom"/>
            <w:hideMark/>
          </w:tcPr>
          <w:p w14:paraId="4834DFD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proofErr w:type="spellStart"/>
            <w:r w:rsidRPr="00A2480B">
              <w:rPr>
                <w:rFonts w:eastAsia="Times New Roman" w:cs="Open Sans Light"/>
                <w:color w:val="000000"/>
                <w:sz w:val="14"/>
                <w:szCs w:val="14"/>
                <w:lang w:eastAsia="en-AU"/>
              </w:rPr>
              <w:t>s.e.</w:t>
            </w:r>
            <w:proofErr w:type="spellEnd"/>
          </w:p>
        </w:tc>
        <w:tc>
          <w:tcPr>
            <w:tcW w:w="759" w:type="dxa"/>
            <w:tcBorders>
              <w:top w:val="single" w:sz="4" w:space="0" w:color="ADD6EA"/>
              <w:left w:val="nil"/>
              <w:bottom w:val="nil"/>
              <w:right w:val="nil"/>
            </w:tcBorders>
            <w:shd w:val="clear" w:color="auto" w:fill="auto"/>
            <w:vAlign w:val="bottom"/>
            <w:hideMark/>
          </w:tcPr>
          <w:p w14:paraId="2F7B1763"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-0.0115</w:t>
            </w:r>
          </w:p>
        </w:tc>
        <w:tc>
          <w:tcPr>
            <w:tcW w:w="842" w:type="dxa"/>
            <w:tcBorders>
              <w:top w:val="single" w:sz="4" w:space="0" w:color="ADD6EA"/>
              <w:left w:val="nil"/>
              <w:bottom w:val="nil"/>
              <w:right w:val="nil"/>
            </w:tcBorders>
            <w:shd w:val="clear" w:color="auto" w:fill="auto"/>
            <w:vAlign w:val="bottom"/>
            <w:hideMark/>
          </w:tcPr>
          <w:p w14:paraId="203D0F3A"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-0.0115</w:t>
            </w:r>
          </w:p>
        </w:tc>
        <w:tc>
          <w:tcPr>
            <w:tcW w:w="1123" w:type="dxa"/>
            <w:tcBorders>
              <w:top w:val="single" w:sz="4" w:space="0" w:color="ADD6EA"/>
              <w:left w:val="nil"/>
              <w:bottom w:val="nil"/>
              <w:right w:val="nil"/>
            </w:tcBorders>
            <w:shd w:val="clear" w:color="auto" w:fill="auto"/>
            <w:vAlign w:val="bottom"/>
            <w:hideMark/>
          </w:tcPr>
          <w:p w14:paraId="617DEAE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-0.0115</w:t>
            </w:r>
          </w:p>
        </w:tc>
        <w:tc>
          <w:tcPr>
            <w:tcW w:w="886" w:type="dxa"/>
            <w:tcBorders>
              <w:top w:val="single" w:sz="4" w:space="0" w:color="ADD6EA"/>
              <w:left w:val="nil"/>
              <w:bottom w:val="nil"/>
              <w:right w:val="nil"/>
            </w:tcBorders>
            <w:shd w:val="clear" w:color="auto" w:fill="auto"/>
            <w:vAlign w:val="bottom"/>
            <w:hideMark/>
          </w:tcPr>
          <w:p w14:paraId="36A8862B"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-0.0096</w:t>
            </w:r>
          </w:p>
        </w:tc>
        <w:tc>
          <w:tcPr>
            <w:tcW w:w="999" w:type="dxa"/>
            <w:tcBorders>
              <w:top w:val="single" w:sz="4" w:space="0" w:color="ADD6EA"/>
              <w:left w:val="nil"/>
              <w:bottom w:val="nil"/>
              <w:right w:val="nil"/>
            </w:tcBorders>
            <w:shd w:val="clear" w:color="auto" w:fill="auto"/>
            <w:vAlign w:val="bottom"/>
            <w:hideMark/>
          </w:tcPr>
          <w:p w14:paraId="7A2FDD9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-0.0094</w:t>
            </w:r>
          </w:p>
        </w:tc>
        <w:tc>
          <w:tcPr>
            <w:tcW w:w="842" w:type="dxa"/>
            <w:tcBorders>
              <w:top w:val="single" w:sz="4" w:space="0" w:color="ADD6EA"/>
              <w:left w:val="nil"/>
              <w:bottom w:val="nil"/>
              <w:right w:val="nil"/>
            </w:tcBorders>
            <w:shd w:val="clear" w:color="auto" w:fill="auto"/>
            <w:vAlign w:val="bottom"/>
            <w:hideMark/>
          </w:tcPr>
          <w:p w14:paraId="1954A5A7"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-0.0094</w:t>
            </w:r>
          </w:p>
        </w:tc>
        <w:tc>
          <w:tcPr>
            <w:tcW w:w="1051" w:type="dxa"/>
            <w:tcBorders>
              <w:top w:val="single" w:sz="4" w:space="0" w:color="ADD6EA"/>
              <w:left w:val="nil"/>
              <w:bottom w:val="nil"/>
              <w:right w:val="nil"/>
            </w:tcBorders>
            <w:shd w:val="clear" w:color="auto" w:fill="auto"/>
            <w:vAlign w:val="bottom"/>
            <w:hideMark/>
          </w:tcPr>
          <w:p w14:paraId="5F63A95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-0.0094</w:t>
            </w:r>
          </w:p>
        </w:tc>
        <w:tc>
          <w:tcPr>
            <w:tcW w:w="897" w:type="dxa"/>
            <w:tcBorders>
              <w:top w:val="single" w:sz="4" w:space="0" w:color="ADD6EA"/>
              <w:left w:val="nil"/>
              <w:bottom w:val="nil"/>
              <w:right w:val="nil"/>
            </w:tcBorders>
            <w:shd w:val="clear" w:color="auto" w:fill="auto"/>
            <w:vAlign w:val="bottom"/>
            <w:hideMark/>
          </w:tcPr>
          <w:p w14:paraId="0D647F3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-0.0094</w:t>
            </w:r>
          </w:p>
        </w:tc>
      </w:tr>
      <w:tr w:rsidR="00B347BB" w:rsidRPr="00A2480B" w14:paraId="13C494C1"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0D2BF676"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r w:rsidRPr="00A2480B">
              <w:rPr>
                <w:rFonts w:eastAsia="Times New Roman" w:cs="Open Sans Light"/>
                <w:color w:val="000000"/>
                <w:sz w:val="16"/>
                <w:szCs w:val="16"/>
                <w:lang w:eastAsia="en-AU"/>
              </w:rPr>
              <w:t>ACT</w:t>
            </w:r>
          </w:p>
        </w:tc>
        <w:tc>
          <w:tcPr>
            <w:tcW w:w="759" w:type="dxa"/>
            <w:tcBorders>
              <w:top w:val="single" w:sz="4" w:space="0" w:color="ADD6EA"/>
              <w:left w:val="nil"/>
              <w:bottom w:val="nil"/>
              <w:right w:val="nil"/>
            </w:tcBorders>
            <w:shd w:val="clear" w:color="auto" w:fill="auto"/>
            <w:vAlign w:val="bottom"/>
            <w:hideMark/>
          </w:tcPr>
          <w:p w14:paraId="6A9ABA0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0.0619</w:t>
            </w:r>
          </w:p>
        </w:tc>
        <w:tc>
          <w:tcPr>
            <w:tcW w:w="842" w:type="dxa"/>
            <w:tcBorders>
              <w:top w:val="single" w:sz="4" w:space="0" w:color="ADD6EA"/>
              <w:left w:val="nil"/>
              <w:bottom w:val="nil"/>
              <w:right w:val="nil"/>
            </w:tcBorders>
            <w:shd w:val="clear" w:color="auto" w:fill="auto"/>
            <w:vAlign w:val="bottom"/>
            <w:hideMark/>
          </w:tcPr>
          <w:p w14:paraId="4CE04C8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0.0621</w:t>
            </w:r>
          </w:p>
        </w:tc>
        <w:tc>
          <w:tcPr>
            <w:tcW w:w="1123" w:type="dxa"/>
            <w:tcBorders>
              <w:top w:val="single" w:sz="4" w:space="0" w:color="ADD6EA"/>
              <w:left w:val="nil"/>
              <w:bottom w:val="nil"/>
              <w:right w:val="nil"/>
            </w:tcBorders>
            <w:shd w:val="clear" w:color="auto" w:fill="auto"/>
            <w:vAlign w:val="bottom"/>
            <w:hideMark/>
          </w:tcPr>
          <w:p w14:paraId="53E3CB27"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0.0617</w:t>
            </w:r>
          </w:p>
        </w:tc>
        <w:tc>
          <w:tcPr>
            <w:tcW w:w="886" w:type="dxa"/>
            <w:tcBorders>
              <w:top w:val="single" w:sz="4" w:space="0" w:color="ADD6EA"/>
              <w:left w:val="nil"/>
              <w:bottom w:val="nil"/>
              <w:right w:val="nil"/>
            </w:tcBorders>
            <w:shd w:val="clear" w:color="auto" w:fill="auto"/>
            <w:vAlign w:val="bottom"/>
            <w:hideMark/>
          </w:tcPr>
          <w:p w14:paraId="64F56C4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0.0632</w:t>
            </w:r>
          </w:p>
        </w:tc>
        <w:tc>
          <w:tcPr>
            <w:tcW w:w="999" w:type="dxa"/>
            <w:tcBorders>
              <w:top w:val="single" w:sz="4" w:space="0" w:color="ADD6EA"/>
              <w:left w:val="nil"/>
              <w:bottom w:val="nil"/>
              <w:right w:val="nil"/>
            </w:tcBorders>
            <w:shd w:val="clear" w:color="auto" w:fill="auto"/>
            <w:vAlign w:val="bottom"/>
            <w:hideMark/>
          </w:tcPr>
          <w:p w14:paraId="3648138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0.0640</w:t>
            </w:r>
          </w:p>
        </w:tc>
        <w:tc>
          <w:tcPr>
            <w:tcW w:w="842" w:type="dxa"/>
            <w:tcBorders>
              <w:top w:val="single" w:sz="4" w:space="0" w:color="ADD6EA"/>
              <w:left w:val="nil"/>
              <w:bottom w:val="nil"/>
              <w:right w:val="nil"/>
            </w:tcBorders>
            <w:shd w:val="clear" w:color="auto" w:fill="auto"/>
            <w:vAlign w:val="bottom"/>
            <w:hideMark/>
          </w:tcPr>
          <w:p w14:paraId="0622B25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0.0640</w:t>
            </w:r>
          </w:p>
        </w:tc>
        <w:tc>
          <w:tcPr>
            <w:tcW w:w="1051" w:type="dxa"/>
            <w:tcBorders>
              <w:top w:val="single" w:sz="4" w:space="0" w:color="ADD6EA"/>
              <w:left w:val="nil"/>
              <w:bottom w:val="nil"/>
              <w:right w:val="nil"/>
            </w:tcBorders>
            <w:shd w:val="clear" w:color="auto" w:fill="auto"/>
            <w:vAlign w:val="bottom"/>
            <w:hideMark/>
          </w:tcPr>
          <w:p w14:paraId="7C2043DD"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0.0640</w:t>
            </w:r>
          </w:p>
        </w:tc>
        <w:tc>
          <w:tcPr>
            <w:tcW w:w="897" w:type="dxa"/>
            <w:tcBorders>
              <w:top w:val="single" w:sz="4" w:space="0" w:color="ADD6EA"/>
              <w:left w:val="nil"/>
              <w:bottom w:val="nil"/>
              <w:right w:val="nil"/>
            </w:tcBorders>
            <w:shd w:val="clear" w:color="auto" w:fill="auto"/>
            <w:vAlign w:val="bottom"/>
            <w:hideMark/>
          </w:tcPr>
          <w:p w14:paraId="7CD85F1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0.0635</w:t>
            </w:r>
          </w:p>
        </w:tc>
      </w:tr>
      <w:tr w:rsidR="00B347BB" w:rsidRPr="00A2480B" w14:paraId="6DAE1A8E" w14:textId="77777777" w:rsidTr="002B38EB">
        <w:trPr>
          <w:trHeight w:val="240"/>
        </w:trPr>
        <w:tc>
          <w:tcPr>
            <w:tcW w:w="1560" w:type="dxa"/>
            <w:tcBorders>
              <w:top w:val="single" w:sz="4" w:space="0" w:color="ADD6EA"/>
              <w:left w:val="nil"/>
              <w:bottom w:val="nil"/>
              <w:right w:val="nil"/>
            </w:tcBorders>
            <w:shd w:val="clear" w:color="auto" w:fill="auto"/>
            <w:vAlign w:val="bottom"/>
            <w:hideMark/>
          </w:tcPr>
          <w:p w14:paraId="778B67C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proofErr w:type="spellStart"/>
            <w:r w:rsidRPr="00A2480B">
              <w:rPr>
                <w:rFonts w:eastAsia="Times New Roman" w:cs="Open Sans Light"/>
                <w:color w:val="000000"/>
                <w:sz w:val="14"/>
                <w:szCs w:val="14"/>
                <w:lang w:eastAsia="en-AU"/>
              </w:rPr>
              <w:t>s.e.</w:t>
            </w:r>
            <w:proofErr w:type="spellEnd"/>
          </w:p>
        </w:tc>
        <w:tc>
          <w:tcPr>
            <w:tcW w:w="759" w:type="dxa"/>
            <w:tcBorders>
              <w:top w:val="single" w:sz="4" w:space="0" w:color="ADD6EA"/>
              <w:left w:val="nil"/>
              <w:bottom w:val="nil"/>
              <w:right w:val="nil"/>
            </w:tcBorders>
            <w:shd w:val="clear" w:color="auto" w:fill="auto"/>
            <w:vAlign w:val="bottom"/>
            <w:hideMark/>
          </w:tcPr>
          <w:p w14:paraId="3A19624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-0.0132</w:t>
            </w:r>
          </w:p>
        </w:tc>
        <w:tc>
          <w:tcPr>
            <w:tcW w:w="842" w:type="dxa"/>
            <w:tcBorders>
              <w:top w:val="single" w:sz="4" w:space="0" w:color="ADD6EA"/>
              <w:left w:val="nil"/>
              <w:bottom w:val="nil"/>
              <w:right w:val="nil"/>
            </w:tcBorders>
            <w:shd w:val="clear" w:color="auto" w:fill="auto"/>
            <w:vAlign w:val="bottom"/>
            <w:hideMark/>
          </w:tcPr>
          <w:p w14:paraId="7ADC637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-0.0132</w:t>
            </w:r>
          </w:p>
        </w:tc>
        <w:tc>
          <w:tcPr>
            <w:tcW w:w="1123" w:type="dxa"/>
            <w:tcBorders>
              <w:top w:val="single" w:sz="4" w:space="0" w:color="ADD6EA"/>
              <w:left w:val="nil"/>
              <w:bottom w:val="nil"/>
              <w:right w:val="nil"/>
            </w:tcBorders>
            <w:shd w:val="clear" w:color="auto" w:fill="auto"/>
            <w:vAlign w:val="bottom"/>
            <w:hideMark/>
          </w:tcPr>
          <w:p w14:paraId="73E070A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-0.0132</w:t>
            </w:r>
          </w:p>
        </w:tc>
        <w:tc>
          <w:tcPr>
            <w:tcW w:w="886" w:type="dxa"/>
            <w:tcBorders>
              <w:top w:val="single" w:sz="4" w:space="0" w:color="ADD6EA"/>
              <w:left w:val="nil"/>
              <w:bottom w:val="nil"/>
              <w:right w:val="nil"/>
            </w:tcBorders>
            <w:shd w:val="clear" w:color="auto" w:fill="auto"/>
            <w:vAlign w:val="bottom"/>
            <w:hideMark/>
          </w:tcPr>
          <w:p w14:paraId="044E4E93"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-0.0111</w:t>
            </w:r>
          </w:p>
        </w:tc>
        <w:tc>
          <w:tcPr>
            <w:tcW w:w="999" w:type="dxa"/>
            <w:tcBorders>
              <w:top w:val="single" w:sz="4" w:space="0" w:color="ADD6EA"/>
              <w:left w:val="nil"/>
              <w:bottom w:val="nil"/>
              <w:right w:val="nil"/>
            </w:tcBorders>
            <w:shd w:val="clear" w:color="auto" w:fill="auto"/>
            <w:vAlign w:val="bottom"/>
            <w:hideMark/>
          </w:tcPr>
          <w:p w14:paraId="4B290EC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-0.0108</w:t>
            </w:r>
          </w:p>
        </w:tc>
        <w:tc>
          <w:tcPr>
            <w:tcW w:w="842" w:type="dxa"/>
            <w:tcBorders>
              <w:top w:val="single" w:sz="4" w:space="0" w:color="ADD6EA"/>
              <w:left w:val="nil"/>
              <w:bottom w:val="nil"/>
              <w:right w:val="nil"/>
            </w:tcBorders>
            <w:shd w:val="clear" w:color="auto" w:fill="auto"/>
            <w:vAlign w:val="bottom"/>
            <w:hideMark/>
          </w:tcPr>
          <w:p w14:paraId="0128DD0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-0.0108</w:t>
            </w:r>
          </w:p>
        </w:tc>
        <w:tc>
          <w:tcPr>
            <w:tcW w:w="1051" w:type="dxa"/>
            <w:tcBorders>
              <w:top w:val="single" w:sz="4" w:space="0" w:color="ADD6EA"/>
              <w:left w:val="nil"/>
              <w:bottom w:val="nil"/>
              <w:right w:val="nil"/>
            </w:tcBorders>
            <w:shd w:val="clear" w:color="auto" w:fill="auto"/>
            <w:vAlign w:val="bottom"/>
            <w:hideMark/>
          </w:tcPr>
          <w:p w14:paraId="17B4559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-0.0108</w:t>
            </w:r>
          </w:p>
        </w:tc>
        <w:tc>
          <w:tcPr>
            <w:tcW w:w="897" w:type="dxa"/>
            <w:tcBorders>
              <w:top w:val="single" w:sz="4" w:space="0" w:color="ADD6EA"/>
              <w:left w:val="nil"/>
              <w:bottom w:val="nil"/>
              <w:right w:val="nil"/>
            </w:tcBorders>
            <w:shd w:val="clear" w:color="auto" w:fill="auto"/>
            <w:vAlign w:val="bottom"/>
            <w:hideMark/>
          </w:tcPr>
          <w:p w14:paraId="7C44925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-0.0108</w:t>
            </w:r>
          </w:p>
        </w:tc>
      </w:tr>
      <w:tr w:rsidR="00B347BB" w:rsidRPr="00A2480B" w14:paraId="4F23451A"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4B3DBC30"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r w:rsidRPr="00A2480B">
              <w:rPr>
                <w:rFonts w:eastAsia="Times New Roman" w:cs="Open Sans Light"/>
                <w:color w:val="000000"/>
                <w:sz w:val="16"/>
                <w:szCs w:val="16"/>
                <w:lang w:eastAsia="en-AU"/>
              </w:rPr>
              <w:t>male</w:t>
            </w:r>
          </w:p>
        </w:tc>
        <w:tc>
          <w:tcPr>
            <w:tcW w:w="759" w:type="dxa"/>
            <w:tcBorders>
              <w:top w:val="single" w:sz="4" w:space="0" w:color="ADD6EA"/>
              <w:left w:val="nil"/>
              <w:bottom w:val="nil"/>
              <w:right w:val="nil"/>
            </w:tcBorders>
            <w:shd w:val="clear" w:color="auto" w:fill="auto"/>
            <w:vAlign w:val="bottom"/>
            <w:hideMark/>
          </w:tcPr>
          <w:p w14:paraId="1A6947FE"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0.4394</w:t>
            </w:r>
          </w:p>
        </w:tc>
        <w:tc>
          <w:tcPr>
            <w:tcW w:w="842" w:type="dxa"/>
            <w:tcBorders>
              <w:top w:val="single" w:sz="4" w:space="0" w:color="ADD6EA"/>
              <w:left w:val="nil"/>
              <w:bottom w:val="nil"/>
              <w:right w:val="nil"/>
            </w:tcBorders>
            <w:shd w:val="clear" w:color="auto" w:fill="auto"/>
            <w:vAlign w:val="bottom"/>
            <w:hideMark/>
          </w:tcPr>
          <w:p w14:paraId="53FBAAD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0.4512</w:t>
            </w:r>
          </w:p>
        </w:tc>
        <w:tc>
          <w:tcPr>
            <w:tcW w:w="1123" w:type="dxa"/>
            <w:tcBorders>
              <w:top w:val="single" w:sz="4" w:space="0" w:color="ADD6EA"/>
              <w:left w:val="nil"/>
              <w:bottom w:val="nil"/>
              <w:right w:val="nil"/>
            </w:tcBorders>
            <w:shd w:val="clear" w:color="auto" w:fill="auto"/>
            <w:vAlign w:val="bottom"/>
            <w:hideMark/>
          </w:tcPr>
          <w:p w14:paraId="78D61CE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0.4748</w:t>
            </w:r>
          </w:p>
        </w:tc>
        <w:tc>
          <w:tcPr>
            <w:tcW w:w="886" w:type="dxa"/>
            <w:tcBorders>
              <w:top w:val="single" w:sz="4" w:space="0" w:color="ADD6EA"/>
              <w:left w:val="nil"/>
              <w:bottom w:val="nil"/>
              <w:right w:val="nil"/>
            </w:tcBorders>
            <w:shd w:val="clear" w:color="auto" w:fill="auto"/>
            <w:vAlign w:val="bottom"/>
            <w:hideMark/>
          </w:tcPr>
          <w:p w14:paraId="49207E9F"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0.0315</w:t>
            </w:r>
          </w:p>
        </w:tc>
        <w:tc>
          <w:tcPr>
            <w:tcW w:w="999" w:type="dxa"/>
            <w:tcBorders>
              <w:top w:val="single" w:sz="4" w:space="0" w:color="ADD6EA"/>
              <w:left w:val="nil"/>
              <w:bottom w:val="nil"/>
              <w:right w:val="nil"/>
            </w:tcBorders>
            <w:shd w:val="clear" w:color="auto" w:fill="auto"/>
            <w:vAlign w:val="bottom"/>
            <w:hideMark/>
          </w:tcPr>
          <w:p w14:paraId="7EA6816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-0.0274</w:t>
            </w:r>
          </w:p>
        </w:tc>
        <w:tc>
          <w:tcPr>
            <w:tcW w:w="842" w:type="dxa"/>
            <w:tcBorders>
              <w:top w:val="single" w:sz="4" w:space="0" w:color="ADD6EA"/>
              <w:left w:val="nil"/>
              <w:bottom w:val="nil"/>
              <w:right w:val="nil"/>
            </w:tcBorders>
            <w:shd w:val="clear" w:color="auto" w:fill="auto"/>
            <w:vAlign w:val="bottom"/>
            <w:hideMark/>
          </w:tcPr>
          <w:p w14:paraId="54BE94D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-0.0271</w:t>
            </w:r>
          </w:p>
        </w:tc>
        <w:tc>
          <w:tcPr>
            <w:tcW w:w="1051" w:type="dxa"/>
            <w:tcBorders>
              <w:top w:val="single" w:sz="4" w:space="0" w:color="ADD6EA"/>
              <w:left w:val="nil"/>
              <w:bottom w:val="nil"/>
              <w:right w:val="nil"/>
            </w:tcBorders>
            <w:shd w:val="clear" w:color="auto" w:fill="auto"/>
            <w:vAlign w:val="bottom"/>
            <w:hideMark/>
          </w:tcPr>
          <w:p w14:paraId="2E601ED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0.0883</w:t>
            </w:r>
          </w:p>
        </w:tc>
        <w:tc>
          <w:tcPr>
            <w:tcW w:w="897" w:type="dxa"/>
            <w:tcBorders>
              <w:top w:val="single" w:sz="4" w:space="0" w:color="ADD6EA"/>
              <w:left w:val="nil"/>
              <w:bottom w:val="nil"/>
              <w:right w:val="nil"/>
            </w:tcBorders>
            <w:shd w:val="clear" w:color="auto" w:fill="auto"/>
            <w:vAlign w:val="bottom"/>
            <w:hideMark/>
          </w:tcPr>
          <w:p w14:paraId="388B32A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0.0917</w:t>
            </w:r>
          </w:p>
        </w:tc>
      </w:tr>
      <w:tr w:rsidR="00B347BB" w:rsidRPr="00A2480B" w14:paraId="7F05E2F5" w14:textId="77777777" w:rsidTr="002B38EB">
        <w:trPr>
          <w:trHeight w:val="240"/>
        </w:trPr>
        <w:tc>
          <w:tcPr>
            <w:tcW w:w="1560" w:type="dxa"/>
            <w:tcBorders>
              <w:top w:val="single" w:sz="4" w:space="0" w:color="ADD6EA"/>
              <w:left w:val="nil"/>
              <w:bottom w:val="nil"/>
              <w:right w:val="nil"/>
            </w:tcBorders>
            <w:shd w:val="clear" w:color="auto" w:fill="auto"/>
            <w:vAlign w:val="bottom"/>
            <w:hideMark/>
          </w:tcPr>
          <w:p w14:paraId="171EC9C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proofErr w:type="spellStart"/>
            <w:r w:rsidRPr="00A2480B">
              <w:rPr>
                <w:rFonts w:eastAsia="Times New Roman" w:cs="Open Sans Light"/>
                <w:color w:val="000000"/>
                <w:sz w:val="14"/>
                <w:szCs w:val="14"/>
                <w:lang w:eastAsia="en-AU"/>
              </w:rPr>
              <w:t>s.e.</w:t>
            </w:r>
            <w:proofErr w:type="spellEnd"/>
          </w:p>
        </w:tc>
        <w:tc>
          <w:tcPr>
            <w:tcW w:w="759" w:type="dxa"/>
            <w:tcBorders>
              <w:top w:val="single" w:sz="4" w:space="0" w:color="ADD6EA"/>
              <w:left w:val="nil"/>
              <w:bottom w:val="nil"/>
              <w:right w:val="nil"/>
            </w:tcBorders>
            <w:shd w:val="clear" w:color="auto" w:fill="auto"/>
            <w:vAlign w:val="bottom"/>
            <w:hideMark/>
          </w:tcPr>
          <w:p w14:paraId="132F3D7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-0.6273</w:t>
            </w:r>
          </w:p>
        </w:tc>
        <w:tc>
          <w:tcPr>
            <w:tcW w:w="842" w:type="dxa"/>
            <w:tcBorders>
              <w:top w:val="single" w:sz="4" w:space="0" w:color="ADD6EA"/>
              <w:left w:val="nil"/>
              <w:bottom w:val="nil"/>
              <w:right w:val="nil"/>
            </w:tcBorders>
            <w:shd w:val="clear" w:color="auto" w:fill="auto"/>
            <w:vAlign w:val="bottom"/>
            <w:hideMark/>
          </w:tcPr>
          <w:p w14:paraId="1654FEB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-0.6273</w:t>
            </w:r>
          </w:p>
        </w:tc>
        <w:tc>
          <w:tcPr>
            <w:tcW w:w="1123" w:type="dxa"/>
            <w:tcBorders>
              <w:top w:val="single" w:sz="4" w:space="0" w:color="ADD6EA"/>
              <w:left w:val="nil"/>
              <w:bottom w:val="nil"/>
              <w:right w:val="nil"/>
            </w:tcBorders>
            <w:shd w:val="clear" w:color="auto" w:fill="auto"/>
            <w:vAlign w:val="bottom"/>
            <w:hideMark/>
          </w:tcPr>
          <w:p w14:paraId="55BC136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-0.6271</w:t>
            </w:r>
          </w:p>
        </w:tc>
        <w:tc>
          <w:tcPr>
            <w:tcW w:w="886" w:type="dxa"/>
            <w:tcBorders>
              <w:top w:val="single" w:sz="4" w:space="0" w:color="ADD6EA"/>
              <w:left w:val="nil"/>
              <w:bottom w:val="nil"/>
              <w:right w:val="nil"/>
            </w:tcBorders>
            <w:shd w:val="clear" w:color="auto" w:fill="auto"/>
            <w:vAlign w:val="bottom"/>
            <w:hideMark/>
          </w:tcPr>
          <w:p w14:paraId="2B40883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-0.5257</w:t>
            </w:r>
          </w:p>
        </w:tc>
        <w:tc>
          <w:tcPr>
            <w:tcW w:w="999" w:type="dxa"/>
            <w:tcBorders>
              <w:top w:val="single" w:sz="4" w:space="0" w:color="ADD6EA"/>
              <w:left w:val="nil"/>
              <w:bottom w:val="nil"/>
              <w:right w:val="nil"/>
            </w:tcBorders>
            <w:shd w:val="clear" w:color="auto" w:fill="auto"/>
            <w:vAlign w:val="bottom"/>
            <w:hideMark/>
          </w:tcPr>
          <w:p w14:paraId="65B5A7B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-0.5153</w:t>
            </w:r>
          </w:p>
        </w:tc>
        <w:tc>
          <w:tcPr>
            <w:tcW w:w="842" w:type="dxa"/>
            <w:tcBorders>
              <w:top w:val="single" w:sz="4" w:space="0" w:color="ADD6EA"/>
              <w:left w:val="nil"/>
              <w:bottom w:val="nil"/>
              <w:right w:val="nil"/>
            </w:tcBorders>
            <w:shd w:val="clear" w:color="auto" w:fill="auto"/>
            <w:vAlign w:val="bottom"/>
            <w:hideMark/>
          </w:tcPr>
          <w:p w14:paraId="04F061F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-0.5153</w:t>
            </w:r>
          </w:p>
        </w:tc>
        <w:tc>
          <w:tcPr>
            <w:tcW w:w="1051" w:type="dxa"/>
            <w:tcBorders>
              <w:top w:val="single" w:sz="4" w:space="0" w:color="ADD6EA"/>
              <w:left w:val="nil"/>
              <w:bottom w:val="nil"/>
              <w:right w:val="nil"/>
            </w:tcBorders>
            <w:shd w:val="clear" w:color="auto" w:fill="auto"/>
            <w:vAlign w:val="bottom"/>
            <w:hideMark/>
          </w:tcPr>
          <w:p w14:paraId="14EA061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-0.5148</w:t>
            </w:r>
          </w:p>
        </w:tc>
        <w:tc>
          <w:tcPr>
            <w:tcW w:w="897" w:type="dxa"/>
            <w:tcBorders>
              <w:top w:val="single" w:sz="4" w:space="0" w:color="ADD6EA"/>
              <w:left w:val="nil"/>
              <w:bottom w:val="nil"/>
              <w:right w:val="nil"/>
            </w:tcBorders>
            <w:shd w:val="clear" w:color="auto" w:fill="auto"/>
            <w:vAlign w:val="bottom"/>
            <w:hideMark/>
          </w:tcPr>
          <w:p w14:paraId="70F841E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-0.5142</w:t>
            </w:r>
          </w:p>
        </w:tc>
      </w:tr>
      <w:tr w:rsidR="00B347BB" w:rsidRPr="00A2480B" w14:paraId="7144EFF3"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1FE0C452"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r w:rsidRPr="00A2480B">
              <w:rPr>
                <w:rFonts w:eastAsia="Times New Roman" w:cs="Open Sans Light"/>
                <w:color w:val="000000"/>
                <w:sz w:val="16"/>
                <w:szCs w:val="16"/>
                <w:lang w:eastAsia="en-AU"/>
              </w:rPr>
              <w:t>log(hours)</w:t>
            </w:r>
          </w:p>
        </w:tc>
        <w:tc>
          <w:tcPr>
            <w:tcW w:w="759" w:type="dxa"/>
            <w:tcBorders>
              <w:top w:val="single" w:sz="4" w:space="0" w:color="ADD6EA"/>
              <w:left w:val="nil"/>
              <w:bottom w:val="nil"/>
              <w:right w:val="nil"/>
            </w:tcBorders>
            <w:shd w:val="clear" w:color="auto" w:fill="auto"/>
            <w:vAlign w:val="bottom"/>
            <w:hideMark/>
          </w:tcPr>
          <w:p w14:paraId="0CD8464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0.8648</w:t>
            </w:r>
          </w:p>
        </w:tc>
        <w:tc>
          <w:tcPr>
            <w:tcW w:w="842" w:type="dxa"/>
            <w:tcBorders>
              <w:top w:val="single" w:sz="4" w:space="0" w:color="ADD6EA"/>
              <w:left w:val="nil"/>
              <w:bottom w:val="nil"/>
              <w:right w:val="nil"/>
            </w:tcBorders>
            <w:shd w:val="clear" w:color="auto" w:fill="auto"/>
            <w:vAlign w:val="bottom"/>
            <w:hideMark/>
          </w:tcPr>
          <w:p w14:paraId="600BAB2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0.8650</w:t>
            </w:r>
          </w:p>
        </w:tc>
        <w:tc>
          <w:tcPr>
            <w:tcW w:w="1123" w:type="dxa"/>
            <w:tcBorders>
              <w:top w:val="single" w:sz="4" w:space="0" w:color="ADD6EA"/>
              <w:left w:val="nil"/>
              <w:bottom w:val="nil"/>
              <w:right w:val="nil"/>
            </w:tcBorders>
            <w:shd w:val="clear" w:color="auto" w:fill="auto"/>
            <w:vAlign w:val="bottom"/>
            <w:hideMark/>
          </w:tcPr>
          <w:p w14:paraId="3AB240A7"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0.8650</w:t>
            </w:r>
          </w:p>
        </w:tc>
        <w:tc>
          <w:tcPr>
            <w:tcW w:w="886" w:type="dxa"/>
            <w:tcBorders>
              <w:top w:val="single" w:sz="4" w:space="0" w:color="ADD6EA"/>
              <w:left w:val="nil"/>
              <w:bottom w:val="nil"/>
              <w:right w:val="nil"/>
            </w:tcBorders>
            <w:shd w:val="clear" w:color="auto" w:fill="auto"/>
            <w:vAlign w:val="bottom"/>
            <w:hideMark/>
          </w:tcPr>
          <w:p w14:paraId="63670AB3"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0.8606</w:t>
            </w:r>
          </w:p>
        </w:tc>
        <w:tc>
          <w:tcPr>
            <w:tcW w:w="999" w:type="dxa"/>
            <w:tcBorders>
              <w:top w:val="single" w:sz="4" w:space="0" w:color="ADD6EA"/>
              <w:left w:val="nil"/>
              <w:bottom w:val="nil"/>
              <w:right w:val="nil"/>
            </w:tcBorders>
            <w:shd w:val="clear" w:color="auto" w:fill="auto"/>
            <w:vAlign w:val="bottom"/>
            <w:hideMark/>
          </w:tcPr>
          <w:p w14:paraId="0312728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0.9900</w:t>
            </w:r>
          </w:p>
        </w:tc>
        <w:tc>
          <w:tcPr>
            <w:tcW w:w="842" w:type="dxa"/>
            <w:tcBorders>
              <w:top w:val="single" w:sz="4" w:space="0" w:color="ADD6EA"/>
              <w:left w:val="nil"/>
              <w:bottom w:val="nil"/>
              <w:right w:val="nil"/>
            </w:tcBorders>
            <w:shd w:val="clear" w:color="auto" w:fill="auto"/>
            <w:vAlign w:val="bottom"/>
            <w:hideMark/>
          </w:tcPr>
          <w:p w14:paraId="75C0AEC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-0.0100</w:t>
            </w:r>
          </w:p>
        </w:tc>
        <w:tc>
          <w:tcPr>
            <w:tcW w:w="1051" w:type="dxa"/>
            <w:tcBorders>
              <w:top w:val="single" w:sz="4" w:space="0" w:color="ADD6EA"/>
              <w:left w:val="nil"/>
              <w:bottom w:val="nil"/>
              <w:right w:val="nil"/>
            </w:tcBorders>
            <w:shd w:val="clear" w:color="auto" w:fill="auto"/>
            <w:vAlign w:val="bottom"/>
            <w:hideMark/>
          </w:tcPr>
          <w:p w14:paraId="7BFD432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97" w:type="dxa"/>
            <w:tcBorders>
              <w:top w:val="single" w:sz="4" w:space="0" w:color="ADD6EA"/>
              <w:left w:val="nil"/>
              <w:bottom w:val="nil"/>
              <w:right w:val="nil"/>
            </w:tcBorders>
            <w:shd w:val="clear" w:color="auto" w:fill="auto"/>
            <w:vAlign w:val="bottom"/>
            <w:hideMark/>
          </w:tcPr>
          <w:p w14:paraId="3E056D7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r>
      <w:tr w:rsidR="00B347BB" w:rsidRPr="00A2480B" w14:paraId="212449AC" w14:textId="77777777" w:rsidTr="002B38EB">
        <w:trPr>
          <w:trHeight w:val="240"/>
        </w:trPr>
        <w:tc>
          <w:tcPr>
            <w:tcW w:w="1560" w:type="dxa"/>
            <w:tcBorders>
              <w:top w:val="single" w:sz="4" w:space="0" w:color="ADD6EA"/>
              <w:left w:val="nil"/>
              <w:bottom w:val="nil"/>
              <w:right w:val="nil"/>
            </w:tcBorders>
            <w:shd w:val="clear" w:color="auto" w:fill="auto"/>
            <w:vAlign w:val="bottom"/>
            <w:hideMark/>
          </w:tcPr>
          <w:p w14:paraId="7CB6444B"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proofErr w:type="spellStart"/>
            <w:r w:rsidRPr="00A2480B">
              <w:rPr>
                <w:rFonts w:eastAsia="Times New Roman" w:cs="Open Sans Light"/>
                <w:color w:val="000000"/>
                <w:sz w:val="14"/>
                <w:szCs w:val="14"/>
                <w:lang w:eastAsia="en-AU"/>
              </w:rPr>
              <w:t>s.e.</w:t>
            </w:r>
            <w:proofErr w:type="spellEnd"/>
          </w:p>
        </w:tc>
        <w:tc>
          <w:tcPr>
            <w:tcW w:w="759" w:type="dxa"/>
            <w:tcBorders>
              <w:top w:val="single" w:sz="4" w:space="0" w:color="ADD6EA"/>
              <w:left w:val="nil"/>
              <w:bottom w:val="nil"/>
              <w:right w:val="nil"/>
            </w:tcBorders>
            <w:shd w:val="clear" w:color="auto" w:fill="auto"/>
            <w:vAlign w:val="bottom"/>
            <w:hideMark/>
          </w:tcPr>
          <w:p w14:paraId="7766FDB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-0.0077</w:t>
            </w:r>
          </w:p>
        </w:tc>
        <w:tc>
          <w:tcPr>
            <w:tcW w:w="842" w:type="dxa"/>
            <w:tcBorders>
              <w:top w:val="single" w:sz="4" w:space="0" w:color="ADD6EA"/>
              <w:left w:val="nil"/>
              <w:bottom w:val="nil"/>
              <w:right w:val="nil"/>
            </w:tcBorders>
            <w:shd w:val="clear" w:color="auto" w:fill="auto"/>
            <w:vAlign w:val="bottom"/>
            <w:hideMark/>
          </w:tcPr>
          <w:p w14:paraId="4521055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-0.0077</w:t>
            </w:r>
          </w:p>
        </w:tc>
        <w:tc>
          <w:tcPr>
            <w:tcW w:w="1123" w:type="dxa"/>
            <w:tcBorders>
              <w:top w:val="single" w:sz="4" w:space="0" w:color="ADD6EA"/>
              <w:left w:val="nil"/>
              <w:bottom w:val="nil"/>
              <w:right w:val="nil"/>
            </w:tcBorders>
            <w:shd w:val="clear" w:color="auto" w:fill="auto"/>
            <w:vAlign w:val="bottom"/>
            <w:hideMark/>
          </w:tcPr>
          <w:p w14:paraId="1ED5BD2F"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-0.0077</w:t>
            </w:r>
          </w:p>
        </w:tc>
        <w:tc>
          <w:tcPr>
            <w:tcW w:w="886" w:type="dxa"/>
            <w:tcBorders>
              <w:top w:val="single" w:sz="4" w:space="0" w:color="ADD6EA"/>
              <w:left w:val="nil"/>
              <w:bottom w:val="nil"/>
              <w:right w:val="nil"/>
            </w:tcBorders>
            <w:shd w:val="clear" w:color="auto" w:fill="auto"/>
            <w:vAlign w:val="bottom"/>
            <w:hideMark/>
          </w:tcPr>
          <w:p w14:paraId="08C775DD"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-0.0050</w:t>
            </w:r>
          </w:p>
        </w:tc>
        <w:tc>
          <w:tcPr>
            <w:tcW w:w="999" w:type="dxa"/>
            <w:tcBorders>
              <w:top w:val="single" w:sz="4" w:space="0" w:color="ADD6EA"/>
              <w:left w:val="nil"/>
              <w:bottom w:val="nil"/>
              <w:right w:val="nil"/>
            </w:tcBorders>
            <w:shd w:val="clear" w:color="auto" w:fill="auto"/>
            <w:vAlign w:val="bottom"/>
            <w:hideMark/>
          </w:tcPr>
          <w:p w14:paraId="6701653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-0.0127</w:t>
            </w:r>
          </w:p>
        </w:tc>
        <w:tc>
          <w:tcPr>
            <w:tcW w:w="842" w:type="dxa"/>
            <w:tcBorders>
              <w:top w:val="single" w:sz="4" w:space="0" w:color="ADD6EA"/>
              <w:left w:val="nil"/>
              <w:bottom w:val="nil"/>
              <w:right w:val="nil"/>
            </w:tcBorders>
            <w:shd w:val="clear" w:color="auto" w:fill="auto"/>
            <w:vAlign w:val="bottom"/>
            <w:hideMark/>
          </w:tcPr>
          <w:p w14:paraId="3B93F4B3"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-0.0127</w:t>
            </w:r>
          </w:p>
        </w:tc>
        <w:tc>
          <w:tcPr>
            <w:tcW w:w="1051" w:type="dxa"/>
            <w:tcBorders>
              <w:top w:val="single" w:sz="4" w:space="0" w:color="ADD6EA"/>
              <w:left w:val="nil"/>
              <w:bottom w:val="nil"/>
              <w:right w:val="nil"/>
            </w:tcBorders>
            <w:shd w:val="clear" w:color="auto" w:fill="auto"/>
            <w:vAlign w:val="bottom"/>
            <w:hideMark/>
          </w:tcPr>
          <w:p w14:paraId="361F401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w:t>
            </w:r>
          </w:p>
        </w:tc>
        <w:tc>
          <w:tcPr>
            <w:tcW w:w="897" w:type="dxa"/>
            <w:tcBorders>
              <w:top w:val="single" w:sz="4" w:space="0" w:color="ADD6EA"/>
              <w:left w:val="nil"/>
              <w:bottom w:val="nil"/>
              <w:right w:val="nil"/>
            </w:tcBorders>
            <w:shd w:val="clear" w:color="auto" w:fill="auto"/>
            <w:vAlign w:val="bottom"/>
            <w:hideMark/>
          </w:tcPr>
          <w:p w14:paraId="67EA434A"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w:t>
            </w:r>
          </w:p>
        </w:tc>
      </w:tr>
      <w:tr w:rsidR="00B347BB" w:rsidRPr="00A2480B" w14:paraId="617E87FB"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082B1285"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proofErr w:type="gramStart"/>
            <w:r w:rsidRPr="00A2480B">
              <w:rPr>
                <w:rFonts w:eastAsia="Times New Roman" w:cs="Open Sans Light"/>
                <w:color w:val="000000"/>
                <w:sz w:val="16"/>
                <w:szCs w:val="16"/>
                <w:lang w:eastAsia="en-AU"/>
              </w:rPr>
              <w:t>log(</w:t>
            </w:r>
            <w:proofErr w:type="gramEnd"/>
            <w:r w:rsidRPr="00A2480B">
              <w:rPr>
                <w:rFonts w:eastAsia="Times New Roman" w:cs="Open Sans Light"/>
                <w:color w:val="000000"/>
                <w:sz w:val="16"/>
                <w:szCs w:val="16"/>
                <w:lang w:eastAsia="en-AU"/>
              </w:rPr>
              <w:t>hours &lt; 16)</w:t>
            </w:r>
          </w:p>
        </w:tc>
        <w:tc>
          <w:tcPr>
            <w:tcW w:w="759" w:type="dxa"/>
            <w:tcBorders>
              <w:top w:val="single" w:sz="4" w:space="0" w:color="ADD6EA"/>
              <w:left w:val="nil"/>
              <w:bottom w:val="nil"/>
              <w:right w:val="nil"/>
            </w:tcBorders>
            <w:shd w:val="clear" w:color="auto" w:fill="auto"/>
            <w:vAlign w:val="bottom"/>
            <w:hideMark/>
          </w:tcPr>
          <w:p w14:paraId="7772334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-0.0111</w:t>
            </w:r>
          </w:p>
        </w:tc>
        <w:tc>
          <w:tcPr>
            <w:tcW w:w="842" w:type="dxa"/>
            <w:tcBorders>
              <w:top w:val="single" w:sz="4" w:space="0" w:color="ADD6EA"/>
              <w:left w:val="nil"/>
              <w:bottom w:val="nil"/>
              <w:right w:val="nil"/>
            </w:tcBorders>
            <w:shd w:val="clear" w:color="auto" w:fill="auto"/>
            <w:vAlign w:val="bottom"/>
            <w:hideMark/>
          </w:tcPr>
          <w:p w14:paraId="73264F7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-0.0109</w:t>
            </w:r>
          </w:p>
        </w:tc>
        <w:tc>
          <w:tcPr>
            <w:tcW w:w="1123" w:type="dxa"/>
            <w:tcBorders>
              <w:top w:val="single" w:sz="4" w:space="0" w:color="ADD6EA"/>
              <w:left w:val="nil"/>
              <w:bottom w:val="nil"/>
              <w:right w:val="nil"/>
            </w:tcBorders>
            <w:shd w:val="clear" w:color="auto" w:fill="auto"/>
            <w:vAlign w:val="bottom"/>
            <w:hideMark/>
          </w:tcPr>
          <w:p w14:paraId="1FC42B7B"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-0.0105</w:t>
            </w:r>
          </w:p>
        </w:tc>
        <w:tc>
          <w:tcPr>
            <w:tcW w:w="886" w:type="dxa"/>
            <w:tcBorders>
              <w:top w:val="single" w:sz="4" w:space="0" w:color="ADD6EA"/>
              <w:left w:val="nil"/>
              <w:bottom w:val="nil"/>
              <w:right w:val="nil"/>
            </w:tcBorders>
            <w:shd w:val="clear" w:color="auto" w:fill="auto"/>
            <w:vAlign w:val="bottom"/>
            <w:hideMark/>
          </w:tcPr>
          <w:p w14:paraId="43C4C2A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0.0132</w:t>
            </w:r>
          </w:p>
        </w:tc>
        <w:tc>
          <w:tcPr>
            <w:tcW w:w="999" w:type="dxa"/>
            <w:tcBorders>
              <w:top w:val="single" w:sz="4" w:space="0" w:color="ADD6EA"/>
              <w:left w:val="nil"/>
              <w:bottom w:val="nil"/>
              <w:right w:val="nil"/>
            </w:tcBorders>
            <w:shd w:val="clear" w:color="auto" w:fill="auto"/>
            <w:vAlign w:val="bottom"/>
            <w:hideMark/>
          </w:tcPr>
          <w:p w14:paraId="6E6C90FA"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42" w:type="dxa"/>
            <w:tcBorders>
              <w:top w:val="single" w:sz="4" w:space="0" w:color="ADD6EA"/>
              <w:left w:val="nil"/>
              <w:bottom w:val="nil"/>
              <w:right w:val="nil"/>
            </w:tcBorders>
            <w:shd w:val="clear" w:color="auto" w:fill="auto"/>
            <w:vAlign w:val="bottom"/>
            <w:hideMark/>
          </w:tcPr>
          <w:p w14:paraId="5602C0E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1051" w:type="dxa"/>
            <w:tcBorders>
              <w:top w:val="single" w:sz="4" w:space="0" w:color="ADD6EA"/>
              <w:left w:val="nil"/>
              <w:bottom w:val="nil"/>
              <w:right w:val="nil"/>
            </w:tcBorders>
            <w:shd w:val="clear" w:color="auto" w:fill="auto"/>
            <w:vAlign w:val="bottom"/>
            <w:hideMark/>
          </w:tcPr>
          <w:p w14:paraId="42AE4D8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97" w:type="dxa"/>
            <w:tcBorders>
              <w:top w:val="single" w:sz="4" w:space="0" w:color="ADD6EA"/>
              <w:left w:val="nil"/>
              <w:bottom w:val="nil"/>
              <w:right w:val="nil"/>
            </w:tcBorders>
            <w:shd w:val="clear" w:color="auto" w:fill="auto"/>
            <w:vAlign w:val="bottom"/>
            <w:hideMark/>
          </w:tcPr>
          <w:p w14:paraId="33E1336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r>
      <w:tr w:rsidR="00B347BB" w:rsidRPr="00A2480B" w14:paraId="12ECDEF8" w14:textId="77777777" w:rsidTr="002B38EB">
        <w:trPr>
          <w:trHeight w:val="240"/>
        </w:trPr>
        <w:tc>
          <w:tcPr>
            <w:tcW w:w="1560" w:type="dxa"/>
            <w:tcBorders>
              <w:top w:val="single" w:sz="4" w:space="0" w:color="ADD6EA"/>
              <w:left w:val="nil"/>
              <w:bottom w:val="nil"/>
              <w:right w:val="nil"/>
            </w:tcBorders>
            <w:shd w:val="clear" w:color="auto" w:fill="auto"/>
            <w:vAlign w:val="bottom"/>
            <w:hideMark/>
          </w:tcPr>
          <w:p w14:paraId="4E33888A"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proofErr w:type="spellStart"/>
            <w:r w:rsidRPr="00A2480B">
              <w:rPr>
                <w:rFonts w:eastAsia="Times New Roman" w:cs="Open Sans Light"/>
                <w:color w:val="000000"/>
                <w:sz w:val="14"/>
                <w:szCs w:val="14"/>
                <w:lang w:eastAsia="en-AU"/>
              </w:rPr>
              <w:t>s.e.</w:t>
            </w:r>
            <w:proofErr w:type="spellEnd"/>
          </w:p>
        </w:tc>
        <w:tc>
          <w:tcPr>
            <w:tcW w:w="759" w:type="dxa"/>
            <w:tcBorders>
              <w:top w:val="single" w:sz="4" w:space="0" w:color="ADD6EA"/>
              <w:left w:val="nil"/>
              <w:bottom w:val="nil"/>
              <w:right w:val="nil"/>
            </w:tcBorders>
            <w:shd w:val="clear" w:color="auto" w:fill="auto"/>
            <w:vAlign w:val="bottom"/>
            <w:hideMark/>
          </w:tcPr>
          <w:p w14:paraId="2A0A069A"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-0.0046</w:t>
            </w:r>
          </w:p>
        </w:tc>
        <w:tc>
          <w:tcPr>
            <w:tcW w:w="842" w:type="dxa"/>
            <w:tcBorders>
              <w:top w:val="single" w:sz="4" w:space="0" w:color="ADD6EA"/>
              <w:left w:val="nil"/>
              <w:bottom w:val="nil"/>
              <w:right w:val="nil"/>
            </w:tcBorders>
            <w:shd w:val="clear" w:color="auto" w:fill="auto"/>
            <w:vAlign w:val="bottom"/>
            <w:hideMark/>
          </w:tcPr>
          <w:p w14:paraId="5DAC0E1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-0.0046</w:t>
            </w:r>
          </w:p>
        </w:tc>
        <w:tc>
          <w:tcPr>
            <w:tcW w:w="1123" w:type="dxa"/>
            <w:tcBorders>
              <w:top w:val="single" w:sz="4" w:space="0" w:color="ADD6EA"/>
              <w:left w:val="nil"/>
              <w:bottom w:val="nil"/>
              <w:right w:val="nil"/>
            </w:tcBorders>
            <w:shd w:val="clear" w:color="auto" w:fill="auto"/>
            <w:vAlign w:val="bottom"/>
            <w:hideMark/>
          </w:tcPr>
          <w:p w14:paraId="2CA4B75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-0.0046</w:t>
            </w:r>
          </w:p>
        </w:tc>
        <w:tc>
          <w:tcPr>
            <w:tcW w:w="886" w:type="dxa"/>
            <w:tcBorders>
              <w:top w:val="single" w:sz="4" w:space="0" w:color="ADD6EA"/>
              <w:left w:val="nil"/>
              <w:bottom w:val="nil"/>
              <w:right w:val="nil"/>
            </w:tcBorders>
            <w:shd w:val="clear" w:color="auto" w:fill="auto"/>
            <w:vAlign w:val="bottom"/>
            <w:hideMark/>
          </w:tcPr>
          <w:p w14:paraId="461B10B3"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-0.0034</w:t>
            </w:r>
          </w:p>
        </w:tc>
        <w:tc>
          <w:tcPr>
            <w:tcW w:w="999" w:type="dxa"/>
            <w:tcBorders>
              <w:top w:val="single" w:sz="4" w:space="0" w:color="ADD6EA"/>
              <w:left w:val="nil"/>
              <w:bottom w:val="nil"/>
              <w:right w:val="nil"/>
            </w:tcBorders>
            <w:shd w:val="clear" w:color="auto" w:fill="auto"/>
            <w:vAlign w:val="bottom"/>
            <w:hideMark/>
          </w:tcPr>
          <w:p w14:paraId="175C796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w:t>
            </w:r>
          </w:p>
        </w:tc>
        <w:tc>
          <w:tcPr>
            <w:tcW w:w="842" w:type="dxa"/>
            <w:tcBorders>
              <w:top w:val="single" w:sz="4" w:space="0" w:color="ADD6EA"/>
              <w:left w:val="nil"/>
              <w:bottom w:val="nil"/>
              <w:right w:val="nil"/>
            </w:tcBorders>
            <w:shd w:val="clear" w:color="auto" w:fill="auto"/>
            <w:vAlign w:val="bottom"/>
            <w:hideMark/>
          </w:tcPr>
          <w:p w14:paraId="51AAE84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w:t>
            </w:r>
          </w:p>
        </w:tc>
        <w:tc>
          <w:tcPr>
            <w:tcW w:w="1051" w:type="dxa"/>
            <w:tcBorders>
              <w:top w:val="single" w:sz="4" w:space="0" w:color="ADD6EA"/>
              <w:left w:val="nil"/>
              <w:bottom w:val="nil"/>
              <w:right w:val="nil"/>
            </w:tcBorders>
            <w:shd w:val="clear" w:color="auto" w:fill="auto"/>
            <w:vAlign w:val="bottom"/>
            <w:hideMark/>
          </w:tcPr>
          <w:p w14:paraId="249D763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w:t>
            </w:r>
          </w:p>
        </w:tc>
        <w:tc>
          <w:tcPr>
            <w:tcW w:w="897" w:type="dxa"/>
            <w:tcBorders>
              <w:top w:val="single" w:sz="4" w:space="0" w:color="ADD6EA"/>
              <w:left w:val="nil"/>
              <w:bottom w:val="nil"/>
              <w:right w:val="nil"/>
            </w:tcBorders>
            <w:shd w:val="clear" w:color="auto" w:fill="auto"/>
            <w:vAlign w:val="bottom"/>
            <w:hideMark/>
          </w:tcPr>
          <w:p w14:paraId="47CCB29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w:t>
            </w:r>
          </w:p>
        </w:tc>
      </w:tr>
      <w:tr w:rsidR="00B347BB" w:rsidRPr="00A2480B" w14:paraId="19DE215F"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243290D5"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proofErr w:type="gramStart"/>
            <w:r w:rsidRPr="00A2480B">
              <w:rPr>
                <w:rFonts w:eastAsia="Times New Roman" w:cs="Open Sans Light"/>
                <w:color w:val="000000"/>
                <w:sz w:val="16"/>
                <w:szCs w:val="16"/>
                <w:lang w:eastAsia="en-AU"/>
              </w:rPr>
              <w:t>log(</w:t>
            </w:r>
            <w:proofErr w:type="gramEnd"/>
            <w:r w:rsidRPr="00A2480B">
              <w:rPr>
                <w:rFonts w:eastAsia="Times New Roman" w:cs="Open Sans Light"/>
                <w:color w:val="000000"/>
                <w:sz w:val="16"/>
                <w:szCs w:val="16"/>
                <w:lang w:eastAsia="en-AU"/>
              </w:rPr>
              <w:t>hours &gt; 59)</w:t>
            </w:r>
          </w:p>
        </w:tc>
        <w:tc>
          <w:tcPr>
            <w:tcW w:w="759" w:type="dxa"/>
            <w:tcBorders>
              <w:top w:val="single" w:sz="4" w:space="0" w:color="ADD6EA"/>
              <w:left w:val="nil"/>
              <w:bottom w:val="nil"/>
              <w:right w:val="nil"/>
            </w:tcBorders>
            <w:shd w:val="clear" w:color="auto" w:fill="auto"/>
            <w:vAlign w:val="bottom"/>
            <w:hideMark/>
          </w:tcPr>
          <w:p w14:paraId="42EB12D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-0.0443</w:t>
            </w:r>
          </w:p>
        </w:tc>
        <w:tc>
          <w:tcPr>
            <w:tcW w:w="842" w:type="dxa"/>
            <w:tcBorders>
              <w:top w:val="single" w:sz="4" w:space="0" w:color="ADD6EA"/>
              <w:left w:val="nil"/>
              <w:bottom w:val="nil"/>
              <w:right w:val="nil"/>
            </w:tcBorders>
            <w:shd w:val="clear" w:color="auto" w:fill="auto"/>
            <w:vAlign w:val="bottom"/>
            <w:hideMark/>
          </w:tcPr>
          <w:p w14:paraId="4F3DDB27"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-0.0445</w:t>
            </w:r>
          </w:p>
        </w:tc>
        <w:tc>
          <w:tcPr>
            <w:tcW w:w="1123" w:type="dxa"/>
            <w:tcBorders>
              <w:top w:val="single" w:sz="4" w:space="0" w:color="ADD6EA"/>
              <w:left w:val="nil"/>
              <w:bottom w:val="nil"/>
              <w:right w:val="nil"/>
            </w:tcBorders>
            <w:shd w:val="clear" w:color="auto" w:fill="auto"/>
            <w:vAlign w:val="bottom"/>
            <w:hideMark/>
          </w:tcPr>
          <w:p w14:paraId="130D515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-0.0452</w:t>
            </w:r>
          </w:p>
        </w:tc>
        <w:tc>
          <w:tcPr>
            <w:tcW w:w="886" w:type="dxa"/>
            <w:tcBorders>
              <w:top w:val="single" w:sz="4" w:space="0" w:color="ADD6EA"/>
              <w:left w:val="nil"/>
              <w:bottom w:val="nil"/>
              <w:right w:val="nil"/>
            </w:tcBorders>
            <w:shd w:val="clear" w:color="auto" w:fill="auto"/>
            <w:vAlign w:val="bottom"/>
            <w:hideMark/>
          </w:tcPr>
          <w:p w14:paraId="00F65F3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-0.0349</w:t>
            </w:r>
          </w:p>
        </w:tc>
        <w:tc>
          <w:tcPr>
            <w:tcW w:w="999" w:type="dxa"/>
            <w:tcBorders>
              <w:top w:val="single" w:sz="4" w:space="0" w:color="ADD6EA"/>
              <w:left w:val="nil"/>
              <w:bottom w:val="nil"/>
              <w:right w:val="nil"/>
            </w:tcBorders>
            <w:shd w:val="clear" w:color="auto" w:fill="auto"/>
            <w:vAlign w:val="bottom"/>
            <w:hideMark/>
          </w:tcPr>
          <w:p w14:paraId="06AF3D9D"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42" w:type="dxa"/>
            <w:tcBorders>
              <w:top w:val="single" w:sz="4" w:space="0" w:color="ADD6EA"/>
              <w:left w:val="nil"/>
              <w:bottom w:val="nil"/>
              <w:right w:val="nil"/>
            </w:tcBorders>
            <w:shd w:val="clear" w:color="auto" w:fill="auto"/>
            <w:vAlign w:val="bottom"/>
            <w:hideMark/>
          </w:tcPr>
          <w:p w14:paraId="0BDB5CD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1051" w:type="dxa"/>
            <w:tcBorders>
              <w:top w:val="single" w:sz="4" w:space="0" w:color="ADD6EA"/>
              <w:left w:val="nil"/>
              <w:bottom w:val="nil"/>
              <w:right w:val="nil"/>
            </w:tcBorders>
            <w:shd w:val="clear" w:color="auto" w:fill="auto"/>
            <w:vAlign w:val="bottom"/>
            <w:hideMark/>
          </w:tcPr>
          <w:p w14:paraId="7985A14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97" w:type="dxa"/>
            <w:tcBorders>
              <w:top w:val="single" w:sz="4" w:space="0" w:color="ADD6EA"/>
              <w:left w:val="nil"/>
              <w:bottom w:val="nil"/>
              <w:right w:val="nil"/>
            </w:tcBorders>
            <w:shd w:val="clear" w:color="auto" w:fill="auto"/>
            <w:vAlign w:val="bottom"/>
            <w:hideMark/>
          </w:tcPr>
          <w:p w14:paraId="1688D19D"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r>
      <w:tr w:rsidR="00B347BB" w:rsidRPr="00A2480B" w14:paraId="3648DA5B" w14:textId="77777777" w:rsidTr="002B38EB">
        <w:trPr>
          <w:trHeight w:val="240"/>
        </w:trPr>
        <w:tc>
          <w:tcPr>
            <w:tcW w:w="1560" w:type="dxa"/>
            <w:tcBorders>
              <w:top w:val="single" w:sz="4" w:space="0" w:color="ADD6EA"/>
              <w:left w:val="nil"/>
              <w:bottom w:val="nil"/>
              <w:right w:val="nil"/>
            </w:tcBorders>
            <w:shd w:val="clear" w:color="auto" w:fill="auto"/>
            <w:vAlign w:val="bottom"/>
            <w:hideMark/>
          </w:tcPr>
          <w:p w14:paraId="79B2E8DD"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proofErr w:type="spellStart"/>
            <w:r w:rsidRPr="00A2480B">
              <w:rPr>
                <w:rFonts w:eastAsia="Times New Roman" w:cs="Open Sans Light"/>
                <w:color w:val="000000"/>
                <w:sz w:val="14"/>
                <w:szCs w:val="14"/>
                <w:lang w:eastAsia="en-AU"/>
              </w:rPr>
              <w:t>s.e.</w:t>
            </w:r>
            <w:proofErr w:type="spellEnd"/>
          </w:p>
        </w:tc>
        <w:tc>
          <w:tcPr>
            <w:tcW w:w="759" w:type="dxa"/>
            <w:tcBorders>
              <w:top w:val="single" w:sz="4" w:space="0" w:color="ADD6EA"/>
              <w:left w:val="nil"/>
              <w:bottom w:val="nil"/>
              <w:right w:val="nil"/>
            </w:tcBorders>
            <w:shd w:val="clear" w:color="auto" w:fill="auto"/>
            <w:vAlign w:val="bottom"/>
            <w:hideMark/>
          </w:tcPr>
          <w:p w14:paraId="5F9C5EB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-0.0056</w:t>
            </w:r>
          </w:p>
        </w:tc>
        <w:tc>
          <w:tcPr>
            <w:tcW w:w="842" w:type="dxa"/>
            <w:tcBorders>
              <w:top w:val="single" w:sz="4" w:space="0" w:color="ADD6EA"/>
              <w:left w:val="nil"/>
              <w:bottom w:val="nil"/>
              <w:right w:val="nil"/>
            </w:tcBorders>
            <w:shd w:val="clear" w:color="auto" w:fill="auto"/>
            <w:vAlign w:val="bottom"/>
            <w:hideMark/>
          </w:tcPr>
          <w:p w14:paraId="0CE9A89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-0.0056</w:t>
            </w:r>
          </w:p>
        </w:tc>
        <w:tc>
          <w:tcPr>
            <w:tcW w:w="1123" w:type="dxa"/>
            <w:tcBorders>
              <w:top w:val="single" w:sz="4" w:space="0" w:color="ADD6EA"/>
              <w:left w:val="nil"/>
              <w:bottom w:val="nil"/>
              <w:right w:val="nil"/>
            </w:tcBorders>
            <w:shd w:val="clear" w:color="auto" w:fill="auto"/>
            <w:vAlign w:val="bottom"/>
            <w:hideMark/>
          </w:tcPr>
          <w:p w14:paraId="7AF6294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-0.0056</w:t>
            </w:r>
          </w:p>
        </w:tc>
        <w:tc>
          <w:tcPr>
            <w:tcW w:w="886" w:type="dxa"/>
            <w:tcBorders>
              <w:top w:val="single" w:sz="4" w:space="0" w:color="ADD6EA"/>
              <w:left w:val="nil"/>
              <w:bottom w:val="nil"/>
              <w:right w:val="nil"/>
            </w:tcBorders>
            <w:shd w:val="clear" w:color="auto" w:fill="auto"/>
            <w:vAlign w:val="bottom"/>
            <w:hideMark/>
          </w:tcPr>
          <w:p w14:paraId="5099B8D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-0.0056</w:t>
            </w:r>
          </w:p>
        </w:tc>
        <w:tc>
          <w:tcPr>
            <w:tcW w:w="999" w:type="dxa"/>
            <w:tcBorders>
              <w:top w:val="single" w:sz="4" w:space="0" w:color="ADD6EA"/>
              <w:left w:val="nil"/>
              <w:bottom w:val="nil"/>
              <w:right w:val="nil"/>
            </w:tcBorders>
            <w:shd w:val="clear" w:color="auto" w:fill="auto"/>
            <w:vAlign w:val="bottom"/>
            <w:hideMark/>
          </w:tcPr>
          <w:p w14:paraId="345517A7"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42" w:type="dxa"/>
            <w:tcBorders>
              <w:top w:val="single" w:sz="4" w:space="0" w:color="ADD6EA"/>
              <w:left w:val="nil"/>
              <w:bottom w:val="nil"/>
              <w:right w:val="nil"/>
            </w:tcBorders>
            <w:shd w:val="clear" w:color="auto" w:fill="auto"/>
            <w:vAlign w:val="bottom"/>
            <w:hideMark/>
          </w:tcPr>
          <w:p w14:paraId="3F792BB3"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1051" w:type="dxa"/>
            <w:tcBorders>
              <w:top w:val="single" w:sz="4" w:space="0" w:color="ADD6EA"/>
              <w:left w:val="nil"/>
              <w:bottom w:val="nil"/>
              <w:right w:val="nil"/>
            </w:tcBorders>
            <w:shd w:val="clear" w:color="auto" w:fill="auto"/>
            <w:vAlign w:val="bottom"/>
            <w:hideMark/>
          </w:tcPr>
          <w:p w14:paraId="268E373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97" w:type="dxa"/>
            <w:tcBorders>
              <w:top w:val="single" w:sz="4" w:space="0" w:color="ADD6EA"/>
              <w:left w:val="nil"/>
              <w:bottom w:val="nil"/>
              <w:right w:val="nil"/>
            </w:tcBorders>
            <w:shd w:val="clear" w:color="auto" w:fill="auto"/>
            <w:vAlign w:val="bottom"/>
            <w:hideMark/>
          </w:tcPr>
          <w:p w14:paraId="38E7F904"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r>
      <w:tr w:rsidR="00B347BB" w:rsidRPr="00A2480B" w14:paraId="286B7B14"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23EDAEF9"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r w:rsidRPr="00A2480B">
              <w:rPr>
                <w:rFonts w:eastAsia="Times New Roman" w:cs="Open Sans Light"/>
                <w:color w:val="000000"/>
                <w:sz w:val="16"/>
                <w:szCs w:val="16"/>
                <w:lang w:eastAsia="en-AU"/>
              </w:rPr>
              <w:t>Usual hours</w:t>
            </w:r>
          </w:p>
        </w:tc>
        <w:tc>
          <w:tcPr>
            <w:tcW w:w="759" w:type="dxa"/>
            <w:tcBorders>
              <w:top w:val="single" w:sz="4" w:space="0" w:color="ADD6EA"/>
              <w:left w:val="nil"/>
              <w:bottom w:val="nil"/>
              <w:right w:val="nil"/>
            </w:tcBorders>
            <w:shd w:val="clear" w:color="auto" w:fill="auto"/>
            <w:vAlign w:val="bottom"/>
            <w:hideMark/>
          </w:tcPr>
          <w:p w14:paraId="705E5F1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42" w:type="dxa"/>
            <w:tcBorders>
              <w:top w:val="single" w:sz="4" w:space="0" w:color="ADD6EA"/>
              <w:left w:val="nil"/>
              <w:bottom w:val="nil"/>
              <w:right w:val="nil"/>
            </w:tcBorders>
            <w:shd w:val="clear" w:color="auto" w:fill="auto"/>
            <w:vAlign w:val="bottom"/>
            <w:hideMark/>
          </w:tcPr>
          <w:p w14:paraId="6F73175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1123" w:type="dxa"/>
            <w:tcBorders>
              <w:top w:val="single" w:sz="4" w:space="0" w:color="ADD6EA"/>
              <w:left w:val="nil"/>
              <w:bottom w:val="nil"/>
              <w:right w:val="nil"/>
            </w:tcBorders>
            <w:shd w:val="clear" w:color="auto" w:fill="auto"/>
            <w:vAlign w:val="bottom"/>
            <w:hideMark/>
          </w:tcPr>
          <w:p w14:paraId="2D53A67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86" w:type="dxa"/>
            <w:tcBorders>
              <w:top w:val="single" w:sz="4" w:space="0" w:color="ADD6EA"/>
              <w:left w:val="nil"/>
              <w:bottom w:val="nil"/>
              <w:right w:val="nil"/>
            </w:tcBorders>
            <w:shd w:val="clear" w:color="auto" w:fill="auto"/>
            <w:vAlign w:val="bottom"/>
            <w:hideMark/>
          </w:tcPr>
          <w:p w14:paraId="7D2539A7"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999" w:type="dxa"/>
            <w:tcBorders>
              <w:top w:val="single" w:sz="4" w:space="0" w:color="ADD6EA"/>
              <w:left w:val="nil"/>
              <w:bottom w:val="nil"/>
              <w:right w:val="nil"/>
            </w:tcBorders>
            <w:shd w:val="clear" w:color="auto" w:fill="auto"/>
            <w:vAlign w:val="bottom"/>
            <w:hideMark/>
          </w:tcPr>
          <w:p w14:paraId="1821BE7F"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0.0203</w:t>
            </w:r>
          </w:p>
        </w:tc>
        <w:tc>
          <w:tcPr>
            <w:tcW w:w="842" w:type="dxa"/>
            <w:tcBorders>
              <w:top w:val="single" w:sz="4" w:space="0" w:color="ADD6EA"/>
              <w:left w:val="nil"/>
              <w:bottom w:val="nil"/>
              <w:right w:val="nil"/>
            </w:tcBorders>
            <w:shd w:val="clear" w:color="auto" w:fill="auto"/>
            <w:vAlign w:val="bottom"/>
            <w:hideMark/>
          </w:tcPr>
          <w:p w14:paraId="6195C74E"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0.0203</w:t>
            </w:r>
          </w:p>
        </w:tc>
        <w:tc>
          <w:tcPr>
            <w:tcW w:w="1051" w:type="dxa"/>
            <w:tcBorders>
              <w:top w:val="single" w:sz="4" w:space="0" w:color="ADD6EA"/>
              <w:left w:val="nil"/>
              <w:bottom w:val="nil"/>
              <w:right w:val="nil"/>
            </w:tcBorders>
            <w:shd w:val="clear" w:color="auto" w:fill="auto"/>
            <w:vAlign w:val="bottom"/>
            <w:hideMark/>
          </w:tcPr>
          <w:p w14:paraId="4A0BEBE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0.0202</w:t>
            </w:r>
          </w:p>
        </w:tc>
        <w:tc>
          <w:tcPr>
            <w:tcW w:w="897" w:type="dxa"/>
            <w:tcBorders>
              <w:top w:val="single" w:sz="4" w:space="0" w:color="ADD6EA"/>
              <w:left w:val="nil"/>
              <w:bottom w:val="nil"/>
              <w:right w:val="nil"/>
            </w:tcBorders>
            <w:shd w:val="clear" w:color="auto" w:fill="auto"/>
            <w:vAlign w:val="bottom"/>
            <w:hideMark/>
          </w:tcPr>
          <w:p w14:paraId="4664E9D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0.0203</w:t>
            </w:r>
          </w:p>
        </w:tc>
      </w:tr>
      <w:tr w:rsidR="00B347BB" w:rsidRPr="00A2480B" w14:paraId="73E63E2F" w14:textId="77777777" w:rsidTr="002B38EB">
        <w:trPr>
          <w:trHeight w:val="240"/>
        </w:trPr>
        <w:tc>
          <w:tcPr>
            <w:tcW w:w="1560" w:type="dxa"/>
            <w:tcBorders>
              <w:top w:val="single" w:sz="4" w:space="0" w:color="ADD6EA"/>
              <w:left w:val="nil"/>
              <w:bottom w:val="nil"/>
              <w:right w:val="nil"/>
            </w:tcBorders>
            <w:shd w:val="clear" w:color="auto" w:fill="auto"/>
            <w:vAlign w:val="bottom"/>
            <w:hideMark/>
          </w:tcPr>
          <w:p w14:paraId="3E5D7AEB"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proofErr w:type="spellStart"/>
            <w:r w:rsidRPr="00A2480B">
              <w:rPr>
                <w:rFonts w:eastAsia="Times New Roman" w:cs="Open Sans Light"/>
                <w:color w:val="000000"/>
                <w:sz w:val="14"/>
                <w:szCs w:val="14"/>
                <w:lang w:eastAsia="en-AU"/>
              </w:rPr>
              <w:t>s.e.</w:t>
            </w:r>
            <w:proofErr w:type="spellEnd"/>
          </w:p>
        </w:tc>
        <w:tc>
          <w:tcPr>
            <w:tcW w:w="759" w:type="dxa"/>
            <w:tcBorders>
              <w:top w:val="single" w:sz="4" w:space="0" w:color="ADD6EA"/>
              <w:left w:val="nil"/>
              <w:bottom w:val="nil"/>
              <w:right w:val="nil"/>
            </w:tcBorders>
            <w:shd w:val="clear" w:color="auto" w:fill="auto"/>
            <w:vAlign w:val="bottom"/>
            <w:hideMark/>
          </w:tcPr>
          <w:p w14:paraId="23415C3E"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42" w:type="dxa"/>
            <w:tcBorders>
              <w:top w:val="single" w:sz="4" w:space="0" w:color="ADD6EA"/>
              <w:left w:val="nil"/>
              <w:bottom w:val="nil"/>
              <w:right w:val="nil"/>
            </w:tcBorders>
            <w:shd w:val="clear" w:color="auto" w:fill="auto"/>
            <w:vAlign w:val="bottom"/>
            <w:hideMark/>
          </w:tcPr>
          <w:p w14:paraId="1D7C8C5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1123" w:type="dxa"/>
            <w:tcBorders>
              <w:top w:val="single" w:sz="4" w:space="0" w:color="ADD6EA"/>
              <w:left w:val="nil"/>
              <w:bottom w:val="nil"/>
              <w:right w:val="nil"/>
            </w:tcBorders>
            <w:shd w:val="clear" w:color="auto" w:fill="auto"/>
            <w:vAlign w:val="bottom"/>
            <w:hideMark/>
          </w:tcPr>
          <w:p w14:paraId="4E1FD87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86" w:type="dxa"/>
            <w:tcBorders>
              <w:top w:val="single" w:sz="4" w:space="0" w:color="ADD6EA"/>
              <w:left w:val="nil"/>
              <w:bottom w:val="nil"/>
              <w:right w:val="nil"/>
            </w:tcBorders>
            <w:shd w:val="clear" w:color="auto" w:fill="auto"/>
            <w:vAlign w:val="bottom"/>
            <w:hideMark/>
          </w:tcPr>
          <w:p w14:paraId="36BF38C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999" w:type="dxa"/>
            <w:tcBorders>
              <w:top w:val="single" w:sz="4" w:space="0" w:color="ADD6EA"/>
              <w:left w:val="nil"/>
              <w:bottom w:val="nil"/>
              <w:right w:val="nil"/>
            </w:tcBorders>
            <w:shd w:val="clear" w:color="auto" w:fill="auto"/>
            <w:vAlign w:val="bottom"/>
            <w:hideMark/>
          </w:tcPr>
          <w:p w14:paraId="60F2CA77"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-0.0007</w:t>
            </w:r>
          </w:p>
        </w:tc>
        <w:tc>
          <w:tcPr>
            <w:tcW w:w="842" w:type="dxa"/>
            <w:tcBorders>
              <w:top w:val="single" w:sz="4" w:space="0" w:color="ADD6EA"/>
              <w:left w:val="nil"/>
              <w:bottom w:val="nil"/>
              <w:right w:val="nil"/>
            </w:tcBorders>
            <w:shd w:val="clear" w:color="auto" w:fill="auto"/>
            <w:vAlign w:val="bottom"/>
            <w:hideMark/>
          </w:tcPr>
          <w:p w14:paraId="5D4E27B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-0.0007</w:t>
            </w:r>
          </w:p>
        </w:tc>
        <w:tc>
          <w:tcPr>
            <w:tcW w:w="1051" w:type="dxa"/>
            <w:tcBorders>
              <w:top w:val="single" w:sz="4" w:space="0" w:color="ADD6EA"/>
              <w:left w:val="nil"/>
              <w:bottom w:val="nil"/>
              <w:right w:val="nil"/>
            </w:tcBorders>
            <w:shd w:val="clear" w:color="auto" w:fill="auto"/>
            <w:vAlign w:val="bottom"/>
            <w:hideMark/>
          </w:tcPr>
          <w:p w14:paraId="1A55CA2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-0.0007</w:t>
            </w:r>
          </w:p>
        </w:tc>
        <w:tc>
          <w:tcPr>
            <w:tcW w:w="897" w:type="dxa"/>
            <w:tcBorders>
              <w:top w:val="single" w:sz="4" w:space="0" w:color="ADD6EA"/>
              <w:left w:val="nil"/>
              <w:bottom w:val="nil"/>
              <w:right w:val="nil"/>
            </w:tcBorders>
            <w:shd w:val="clear" w:color="auto" w:fill="auto"/>
            <w:vAlign w:val="bottom"/>
            <w:hideMark/>
          </w:tcPr>
          <w:p w14:paraId="683928F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-0.0007</w:t>
            </w:r>
          </w:p>
        </w:tc>
      </w:tr>
      <w:tr w:rsidR="00B347BB" w:rsidRPr="00A2480B" w14:paraId="04DD16CC"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62EC8DD4"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r w:rsidRPr="00A2480B">
              <w:rPr>
                <w:rFonts w:eastAsia="Times New Roman" w:cs="Open Sans Light"/>
                <w:color w:val="000000"/>
                <w:sz w:val="16"/>
                <w:szCs w:val="16"/>
                <w:lang w:eastAsia="en-AU"/>
              </w:rPr>
              <w:t>Paid hours</w:t>
            </w:r>
          </w:p>
        </w:tc>
        <w:tc>
          <w:tcPr>
            <w:tcW w:w="759" w:type="dxa"/>
            <w:tcBorders>
              <w:top w:val="single" w:sz="4" w:space="0" w:color="ADD6EA"/>
              <w:left w:val="nil"/>
              <w:bottom w:val="nil"/>
              <w:right w:val="nil"/>
            </w:tcBorders>
            <w:shd w:val="clear" w:color="auto" w:fill="auto"/>
            <w:vAlign w:val="bottom"/>
            <w:hideMark/>
          </w:tcPr>
          <w:p w14:paraId="2809E87E"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42" w:type="dxa"/>
            <w:tcBorders>
              <w:top w:val="single" w:sz="4" w:space="0" w:color="ADD6EA"/>
              <w:left w:val="nil"/>
              <w:bottom w:val="nil"/>
              <w:right w:val="nil"/>
            </w:tcBorders>
            <w:shd w:val="clear" w:color="auto" w:fill="auto"/>
            <w:vAlign w:val="bottom"/>
            <w:hideMark/>
          </w:tcPr>
          <w:p w14:paraId="1F28E18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1123" w:type="dxa"/>
            <w:tcBorders>
              <w:top w:val="single" w:sz="4" w:space="0" w:color="ADD6EA"/>
              <w:left w:val="nil"/>
              <w:bottom w:val="nil"/>
              <w:right w:val="nil"/>
            </w:tcBorders>
            <w:shd w:val="clear" w:color="auto" w:fill="auto"/>
            <w:vAlign w:val="bottom"/>
            <w:hideMark/>
          </w:tcPr>
          <w:p w14:paraId="7E608A8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86" w:type="dxa"/>
            <w:tcBorders>
              <w:top w:val="single" w:sz="4" w:space="0" w:color="ADD6EA"/>
              <w:left w:val="nil"/>
              <w:bottom w:val="nil"/>
              <w:right w:val="nil"/>
            </w:tcBorders>
            <w:shd w:val="clear" w:color="auto" w:fill="auto"/>
            <w:vAlign w:val="bottom"/>
            <w:hideMark/>
          </w:tcPr>
          <w:p w14:paraId="58B017E4"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999" w:type="dxa"/>
            <w:tcBorders>
              <w:top w:val="single" w:sz="4" w:space="0" w:color="ADD6EA"/>
              <w:left w:val="nil"/>
              <w:bottom w:val="nil"/>
              <w:right w:val="nil"/>
            </w:tcBorders>
            <w:shd w:val="clear" w:color="auto" w:fill="auto"/>
            <w:vAlign w:val="bottom"/>
            <w:hideMark/>
          </w:tcPr>
          <w:p w14:paraId="7691698E"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-0.0214</w:t>
            </w:r>
          </w:p>
        </w:tc>
        <w:tc>
          <w:tcPr>
            <w:tcW w:w="842" w:type="dxa"/>
            <w:tcBorders>
              <w:top w:val="single" w:sz="4" w:space="0" w:color="ADD6EA"/>
              <w:left w:val="nil"/>
              <w:bottom w:val="nil"/>
              <w:right w:val="nil"/>
            </w:tcBorders>
            <w:shd w:val="clear" w:color="auto" w:fill="auto"/>
            <w:vAlign w:val="bottom"/>
            <w:hideMark/>
          </w:tcPr>
          <w:p w14:paraId="438B63B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-0.0213</w:t>
            </w:r>
          </w:p>
        </w:tc>
        <w:tc>
          <w:tcPr>
            <w:tcW w:w="1051" w:type="dxa"/>
            <w:tcBorders>
              <w:top w:val="single" w:sz="4" w:space="0" w:color="ADD6EA"/>
              <w:left w:val="nil"/>
              <w:bottom w:val="nil"/>
              <w:right w:val="nil"/>
            </w:tcBorders>
            <w:shd w:val="clear" w:color="auto" w:fill="auto"/>
            <w:vAlign w:val="bottom"/>
            <w:hideMark/>
          </w:tcPr>
          <w:p w14:paraId="557D82DA"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-0.0222</w:t>
            </w:r>
          </w:p>
        </w:tc>
        <w:tc>
          <w:tcPr>
            <w:tcW w:w="897" w:type="dxa"/>
            <w:tcBorders>
              <w:top w:val="single" w:sz="4" w:space="0" w:color="ADD6EA"/>
              <w:left w:val="nil"/>
              <w:bottom w:val="nil"/>
              <w:right w:val="nil"/>
            </w:tcBorders>
            <w:shd w:val="clear" w:color="auto" w:fill="auto"/>
            <w:vAlign w:val="bottom"/>
            <w:hideMark/>
          </w:tcPr>
          <w:p w14:paraId="4B11CC7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-0.0221</w:t>
            </w:r>
          </w:p>
        </w:tc>
      </w:tr>
      <w:tr w:rsidR="00B347BB" w:rsidRPr="00A2480B" w14:paraId="1E23D364" w14:textId="77777777" w:rsidTr="002B38EB">
        <w:trPr>
          <w:trHeight w:val="240"/>
        </w:trPr>
        <w:tc>
          <w:tcPr>
            <w:tcW w:w="1560" w:type="dxa"/>
            <w:tcBorders>
              <w:top w:val="single" w:sz="4" w:space="0" w:color="ADD6EA"/>
              <w:left w:val="nil"/>
              <w:bottom w:val="nil"/>
              <w:right w:val="nil"/>
            </w:tcBorders>
            <w:shd w:val="clear" w:color="auto" w:fill="auto"/>
            <w:vAlign w:val="bottom"/>
            <w:hideMark/>
          </w:tcPr>
          <w:p w14:paraId="30C03A5F"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proofErr w:type="spellStart"/>
            <w:r w:rsidRPr="00A2480B">
              <w:rPr>
                <w:rFonts w:eastAsia="Times New Roman" w:cs="Open Sans Light"/>
                <w:color w:val="000000"/>
                <w:sz w:val="14"/>
                <w:szCs w:val="14"/>
                <w:lang w:eastAsia="en-AU"/>
              </w:rPr>
              <w:t>s.e.</w:t>
            </w:r>
            <w:proofErr w:type="spellEnd"/>
          </w:p>
        </w:tc>
        <w:tc>
          <w:tcPr>
            <w:tcW w:w="759" w:type="dxa"/>
            <w:tcBorders>
              <w:top w:val="single" w:sz="4" w:space="0" w:color="ADD6EA"/>
              <w:left w:val="nil"/>
              <w:bottom w:val="nil"/>
              <w:right w:val="nil"/>
            </w:tcBorders>
            <w:shd w:val="clear" w:color="auto" w:fill="auto"/>
            <w:vAlign w:val="bottom"/>
            <w:hideMark/>
          </w:tcPr>
          <w:p w14:paraId="598C131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42" w:type="dxa"/>
            <w:tcBorders>
              <w:top w:val="single" w:sz="4" w:space="0" w:color="ADD6EA"/>
              <w:left w:val="nil"/>
              <w:bottom w:val="nil"/>
              <w:right w:val="nil"/>
            </w:tcBorders>
            <w:shd w:val="clear" w:color="auto" w:fill="auto"/>
            <w:vAlign w:val="bottom"/>
            <w:hideMark/>
          </w:tcPr>
          <w:p w14:paraId="6DC47B1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1123" w:type="dxa"/>
            <w:tcBorders>
              <w:top w:val="single" w:sz="4" w:space="0" w:color="ADD6EA"/>
              <w:left w:val="nil"/>
              <w:bottom w:val="nil"/>
              <w:right w:val="nil"/>
            </w:tcBorders>
            <w:shd w:val="clear" w:color="auto" w:fill="auto"/>
            <w:vAlign w:val="bottom"/>
            <w:hideMark/>
          </w:tcPr>
          <w:p w14:paraId="25B33497"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86" w:type="dxa"/>
            <w:tcBorders>
              <w:top w:val="single" w:sz="4" w:space="0" w:color="ADD6EA"/>
              <w:left w:val="nil"/>
              <w:bottom w:val="nil"/>
              <w:right w:val="nil"/>
            </w:tcBorders>
            <w:shd w:val="clear" w:color="auto" w:fill="auto"/>
            <w:vAlign w:val="bottom"/>
            <w:hideMark/>
          </w:tcPr>
          <w:p w14:paraId="66F55BD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999" w:type="dxa"/>
            <w:tcBorders>
              <w:top w:val="single" w:sz="4" w:space="0" w:color="ADD6EA"/>
              <w:left w:val="nil"/>
              <w:bottom w:val="nil"/>
              <w:right w:val="nil"/>
            </w:tcBorders>
            <w:shd w:val="clear" w:color="auto" w:fill="auto"/>
            <w:vAlign w:val="bottom"/>
            <w:hideMark/>
          </w:tcPr>
          <w:p w14:paraId="6DD1693F"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-0.0013</w:t>
            </w:r>
          </w:p>
        </w:tc>
        <w:tc>
          <w:tcPr>
            <w:tcW w:w="842" w:type="dxa"/>
            <w:tcBorders>
              <w:top w:val="single" w:sz="4" w:space="0" w:color="ADD6EA"/>
              <w:left w:val="nil"/>
              <w:bottom w:val="nil"/>
              <w:right w:val="nil"/>
            </w:tcBorders>
            <w:shd w:val="clear" w:color="auto" w:fill="auto"/>
            <w:vAlign w:val="bottom"/>
            <w:hideMark/>
          </w:tcPr>
          <w:p w14:paraId="15BF98CA"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-0.0013</w:t>
            </w:r>
          </w:p>
        </w:tc>
        <w:tc>
          <w:tcPr>
            <w:tcW w:w="1051" w:type="dxa"/>
            <w:tcBorders>
              <w:top w:val="single" w:sz="4" w:space="0" w:color="ADD6EA"/>
              <w:left w:val="nil"/>
              <w:bottom w:val="nil"/>
              <w:right w:val="nil"/>
            </w:tcBorders>
            <w:shd w:val="clear" w:color="auto" w:fill="auto"/>
            <w:vAlign w:val="bottom"/>
            <w:hideMark/>
          </w:tcPr>
          <w:p w14:paraId="72553D7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-0.0007</w:t>
            </w:r>
          </w:p>
        </w:tc>
        <w:tc>
          <w:tcPr>
            <w:tcW w:w="897" w:type="dxa"/>
            <w:tcBorders>
              <w:top w:val="single" w:sz="4" w:space="0" w:color="ADD6EA"/>
              <w:left w:val="nil"/>
              <w:bottom w:val="nil"/>
              <w:right w:val="nil"/>
            </w:tcBorders>
            <w:shd w:val="clear" w:color="auto" w:fill="auto"/>
            <w:vAlign w:val="bottom"/>
            <w:hideMark/>
          </w:tcPr>
          <w:p w14:paraId="4B2323DE"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-0.0007</w:t>
            </w:r>
          </w:p>
        </w:tc>
      </w:tr>
      <w:tr w:rsidR="00B347BB" w:rsidRPr="00A2480B" w14:paraId="4F0C821C"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5F7171B4"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r w:rsidRPr="00A2480B">
              <w:rPr>
                <w:rFonts w:eastAsia="Times New Roman" w:cs="Open Sans Light"/>
                <w:color w:val="000000"/>
                <w:sz w:val="16"/>
                <w:szCs w:val="16"/>
                <w:lang w:eastAsia="en-AU"/>
              </w:rPr>
              <w:t>Usual hours</w:t>
            </w:r>
            <w:r w:rsidRPr="00A2480B">
              <w:rPr>
                <w:rFonts w:eastAsia="Times New Roman" w:cs="Open Sans Light"/>
                <w:color w:val="000000"/>
                <w:sz w:val="16"/>
                <w:szCs w:val="16"/>
                <w:vertAlign w:val="superscript"/>
                <w:lang w:eastAsia="en-AU"/>
              </w:rPr>
              <w:t>2</w:t>
            </w:r>
          </w:p>
        </w:tc>
        <w:tc>
          <w:tcPr>
            <w:tcW w:w="759" w:type="dxa"/>
            <w:tcBorders>
              <w:top w:val="single" w:sz="4" w:space="0" w:color="ADD6EA"/>
              <w:left w:val="nil"/>
              <w:bottom w:val="nil"/>
              <w:right w:val="nil"/>
            </w:tcBorders>
            <w:shd w:val="clear" w:color="auto" w:fill="auto"/>
            <w:vAlign w:val="bottom"/>
            <w:hideMark/>
          </w:tcPr>
          <w:p w14:paraId="1E23E01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42" w:type="dxa"/>
            <w:tcBorders>
              <w:top w:val="single" w:sz="4" w:space="0" w:color="ADD6EA"/>
              <w:left w:val="nil"/>
              <w:bottom w:val="nil"/>
              <w:right w:val="nil"/>
            </w:tcBorders>
            <w:shd w:val="clear" w:color="auto" w:fill="auto"/>
            <w:vAlign w:val="bottom"/>
            <w:hideMark/>
          </w:tcPr>
          <w:p w14:paraId="6158495D"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1123" w:type="dxa"/>
            <w:tcBorders>
              <w:top w:val="single" w:sz="4" w:space="0" w:color="ADD6EA"/>
              <w:left w:val="nil"/>
              <w:bottom w:val="nil"/>
              <w:right w:val="nil"/>
            </w:tcBorders>
            <w:shd w:val="clear" w:color="auto" w:fill="auto"/>
            <w:vAlign w:val="bottom"/>
            <w:hideMark/>
          </w:tcPr>
          <w:p w14:paraId="1303566B"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86" w:type="dxa"/>
            <w:tcBorders>
              <w:top w:val="single" w:sz="4" w:space="0" w:color="ADD6EA"/>
              <w:left w:val="nil"/>
              <w:bottom w:val="nil"/>
              <w:right w:val="nil"/>
            </w:tcBorders>
            <w:shd w:val="clear" w:color="auto" w:fill="auto"/>
            <w:vAlign w:val="bottom"/>
            <w:hideMark/>
          </w:tcPr>
          <w:p w14:paraId="0217145A"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999" w:type="dxa"/>
            <w:tcBorders>
              <w:top w:val="single" w:sz="4" w:space="0" w:color="ADD6EA"/>
              <w:left w:val="nil"/>
              <w:bottom w:val="nil"/>
              <w:right w:val="nil"/>
            </w:tcBorders>
            <w:shd w:val="clear" w:color="auto" w:fill="auto"/>
            <w:vAlign w:val="bottom"/>
            <w:hideMark/>
          </w:tcPr>
          <w:p w14:paraId="4A746D2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-0.0001</w:t>
            </w:r>
          </w:p>
        </w:tc>
        <w:tc>
          <w:tcPr>
            <w:tcW w:w="842" w:type="dxa"/>
            <w:tcBorders>
              <w:top w:val="single" w:sz="4" w:space="0" w:color="ADD6EA"/>
              <w:left w:val="nil"/>
              <w:bottom w:val="nil"/>
              <w:right w:val="nil"/>
            </w:tcBorders>
            <w:shd w:val="clear" w:color="auto" w:fill="auto"/>
            <w:vAlign w:val="bottom"/>
            <w:hideMark/>
          </w:tcPr>
          <w:p w14:paraId="6F8B59D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-0.0001</w:t>
            </w:r>
          </w:p>
        </w:tc>
        <w:tc>
          <w:tcPr>
            <w:tcW w:w="1051" w:type="dxa"/>
            <w:tcBorders>
              <w:top w:val="single" w:sz="4" w:space="0" w:color="ADD6EA"/>
              <w:left w:val="nil"/>
              <w:bottom w:val="nil"/>
              <w:right w:val="nil"/>
            </w:tcBorders>
            <w:shd w:val="clear" w:color="auto" w:fill="auto"/>
            <w:vAlign w:val="bottom"/>
            <w:hideMark/>
          </w:tcPr>
          <w:p w14:paraId="500174B3"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-0.0001</w:t>
            </w:r>
          </w:p>
        </w:tc>
        <w:tc>
          <w:tcPr>
            <w:tcW w:w="897" w:type="dxa"/>
            <w:tcBorders>
              <w:top w:val="single" w:sz="4" w:space="0" w:color="ADD6EA"/>
              <w:left w:val="nil"/>
              <w:bottom w:val="nil"/>
              <w:right w:val="nil"/>
            </w:tcBorders>
            <w:shd w:val="clear" w:color="auto" w:fill="auto"/>
            <w:vAlign w:val="bottom"/>
            <w:hideMark/>
          </w:tcPr>
          <w:p w14:paraId="62E6E5D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-0.0001</w:t>
            </w:r>
          </w:p>
        </w:tc>
      </w:tr>
      <w:tr w:rsidR="00B347BB" w:rsidRPr="00A2480B" w14:paraId="469D65A4" w14:textId="77777777" w:rsidTr="002B38EB">
        <w:trPr>
          <w:trHeight w:val="240"/>
        </w:trPr>
        <w:tc>
          <w:tcPr>
            <w:tcW w:w="1560" w:type="dxa"/>
            <w:tcBorders>
              <w:top w:val="single" w:sz="4" w:space="0" w:color="ADD6EA"/>
              <w:left w:val="nil"/>
              <w:bottom w:val="nil"/>
              <w:right w:val="nil"/>
            </w:tcBorders>
            <w:shd w:val="clear" w:color="auto" w:fill="auto"/>
            <w:vAlign w:val="bottom"/>
            <w:hideMark/>
          </w:tcPr>
          <w:p w14:paraId="2DE8429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proofErr w:type="spellStart"/>
            <w:r w:rsidRPr="00A2480B">
              <w:rPr>
                <w:rFonts w:eastAsia="Times New Roman" w:cs="Open Sans Light"/>
                <w:color w:val="000000"/>
                <w:sz w:val="14"/>
                <w:szCs w:val="14"/>
                <w:lang w:eastAsia="en-AU"/>
              </w:rPr>
              <w:t>s.e.</w:t>
            </w:r>
            <w:proofErr w:type="spellEnd"/>
          </w:p>
        </w:tc>
        <w:tc>
          <w:tcPr>
            <w:tcW w:w="759" w:type="dxa"/>
            <w:tcBorders>
              <w:top w:val="single" w:sz="4" w:space="0" w:color="ADD6EA"/>
              <w:left w:val="nil"/>
              <w:bottom w:val="nil"/>
              <w:right w:val="nil"/>
            </w:tcBorders>
            <w:shd w:val="clear" w:color="auto" w:fill="auto"/>
            <w:vAlign w:val="bottom"/>
            <w:hideMark/>
          </w:tcPr>
          <w:p w14:paraId="424E78B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42" w:type="dxa"/>
            <w:tcBorders>
              <w:top w:val="single" w:sz="4" w:space="0" w:color="ADD6EA"/>
              <w:left w:val="nil"/>
              <w:bottom w:val="nil"/>
              <w:right w:val="nil"/>
            </w:tcBorders>
            <w:shd w:val="clear" w:color="auto" w:fill="auto"/>
            <w:vAlign w:val="bottom"/>
            <w:hideMark/>
          </w:tcPr>
          <w:p w14:paraId="5779B54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1123" w:type="dxa"/>
            <w:tcBorders>
              <w:top w:val="single" w:sz="4" w:space="0" w:color="ADD6EA"/>
              <w:left w:val="nil"/>
              <w:bottom w:val="nil"/>
              <w:right w:val="nil"/>
            </w:tcBorders>
            <w:shd w:val="clear" w:color="auto" w:fill="auto"/>
            <w:vAlign w:val="bottom"/>
            <w:hideMark/>
          </w:tcPr>
          <w:p w14:paraId="732B8854"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86" w:type="dxa"/>
            <w:tcBorders>
              <w:top w:val="single" w:sz="4" w:space="0" w:color="ADD6EA"/>
              <w:left w:val="nil"/>
              <w:bottom w:val="nil"/>
              <w:right w:val="nil"/>
            </w:tcBorders>
            <w:shd w:val="clear" w:color="auto" w:fill="auto"/>
            <w:vAlign w:val="bottom"/>
            <w:hideMark/>
          </w:tcPr>
          <w:p w14:paraId="6819F92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999" w:type="dxa"/>
            <w:tcBorders>
              <w:top w:val="single" w:sz="4" w:space="0" w:color="ADD6EA"/>
              <w:left w:val="nil"/>
              <w:bottom w:val="nil"/>
              <w:right w:val="nil"/>
            </w:tcBorders>
            <w:shd w:val="clear" w:color="auto" w:fill="auto"/>
            <w:vAlign w:val="bottom"/>
            <w:hideMark/>
          </w:tcPr>
          <w:p w14:paraId="4778F42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0.0000</w:t>
            </w:r>
          </w:p>
        </w:tc>
        <w:tc>
          <w:tcPr>
            <w:tcW w:w="842" w:type="dxa"/>
            <w:tcBorders>
              <w:top w:val="single" w:sz="4" w:space="0" w:color="ADD6EA"/>
              <w:left w:val="nil"/>
              <w:bottom w:val="nil"/>
              <w:right w:val="nil"/>
            </w:tcBorders>
            <w:shd w:val="clear" w:color="auto" w:fill="auto"/>
            <w:vAlign w:val="bottom"/>
            <w:hideMark/>
          </w:tcPr>
          <w:p w14:paraId="063BA74F"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0.0000</w:t>
            </w:r>
          </w:p>
        </w:tc>
        <w:tc>
          <w:tcPr>
            <w:tcW w:w="1051" w:type="dxa"/>
            <w:tcBorders>
              <w:top w:val="single" w:sz="4" w:space="0" w:color="ADD6EA"/>
              <w:left w:val="nil"/>
              <w:bottom w:val="nil"/>
              <w:right w:val="nil"/>
            </w:tcBorders>
            <w:shd w:val="clear" w:color="auto" w:fill="auto"/>
            <w:vAlign w:val="bottom"/>
            <w:hideMark/>
          </w:tcPr>
          <w:p w14:paraId="398E301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0.0000</w:t>
            </w:r>
          </w:p>
        </w:tc>
        <w:tc>
          <w:tcPr>
            <w:tcW w:w="897" w:type="dxa"/>
            <w:tcBorders>
              <w:top w:val="single" w:sz="4" w:space="0" w:color="ADD6EA"/>
              <w:left w:val="nil"/>
              <w:bottom w:val="nil"/>
              <w:right w:val="nil"/>
            </w:tcBorders>
            <w:shd w:val="clear" w:color="auto" w:fill="auto"/>
            <w:vAlign w:val="bottom"/>
            <w:hideMark/>
          </w:tcPr>
          <w:p w14:paraId="1ED759D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0.0000</w:t>
            </w:r>
          </w:p>
        </w:tc>
      </w:tr>
      <w:tr w:rsidR="00B347BB" w:rsidRPr="00A2480B" w14:paraId="3EA18DE9"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1F511FB1"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r w:rsidRPr="00A2480B">
              <w:rPr>
                <w:rFonts w:eastAsia="Times New Roman" w:cs="Open Sans Light"/>
                <w:color w:val="000000"/>
                <w:sz w:val="16"/>
                <w:szCs w:val="16"/>
                <w:lang w:eastAsia="en-AU"/>
              </w:rPr>
              <w:t>Paid hours</w:t>
            </w:r>
            <w:r w:rsidRPr="00A2480B">
              <w:rPr>
                <w:rFonts w:eastAsia="Times New Roman" w:cs="Open Sans Light"/>
                <w:color w:val="000000"/>
                <w:sz w:val="16"/>
                <w:szCs w:val="16"/>
                <w:vertAlign w:val="superscript"/>
                <w:lang w:eastAsia="en-AU"/>
              </w:rPr>
              <w:t>2</w:t>
            </w:r>
          </w:p>
        </w:tc>
        <w:tc>
          <w:tcPr>
            <w:tcW w:w="759" w:type="dxa"/>
            <w:tcBorders>
              <w:top w:val="single" w:sz="4" w:space="0" w:color="ADD6EA"/>
              <w:left w:val="nil"/>
              <w:bottom w:val="nil"/>
              <w:right w:val="nil"/>
            </w:tcBorders>
            <w:shd w:val="clear" w:color="auto" w:fill="auto"/>
            <w:vAlign w:val="bottom"/>
            <w:hideMark/>
          </w:tcPr>
          <w:p w14:paraId="06399E5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42" w:type="dxa"/>
            <w:tcBorders>
              <w:top w:val="single" w:sz="4" w:space="0" w:color="ADD6EA"/>
              <w:left w:val="nil"/>
              <w:bottom w:val="nil"/>
              <w:right w:val="nil"/>
            </w:tcBorders>
            <w:shd w:val="clear" w:color="auto" w:fill="auto"/>
            <w:vAlign w:val="bottom"/>
            <w:hideMark/>
          </w:tcPr>
          <w:p w14:paraId="6B7C760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1123" w:type="dxa"/>
            <w:tcBorders>
              <w:top w:val="single" w:sz="4" w:space="0" w:color="ADD6EA"/>
              <w:left w:val="nil"/>
              <w:bottom w:val="nil"/>
              <w:right w:val="nil"/>
            </w:tcBorders>
            <w:shd w:val="clear" w:color="auto" w:fill="auto"/>
            <w:vAlign w:val="bottom"/>
            <w:hideMark/>
          </w:tcPr>
          <w:p w14:paraId="20C8BF24"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86" w:type="dxa"/>
            <w:tcBorders>
              <w:top w:val="single" w:sz="4" w:space="0" w:color="ADD6EA"/>
              <w:left w:val="nil"/>
              <w:bottom w:val="nil"/>
              <w:right w:val="nil"/>
            </w:tcBorders>
            <w:shd w:val="clear" w:color="auto" w:fill="auto"/>
            <w:vAlign w:val="bottom"/>
            <w:hideMark/>
          </w:tcPr>
          <w:p w14:paraId="50597E67"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999" w:type="dxa"/>
            <w:tcBorders>
              <w:top w:val="single" w:sz="4" w:space="0" w:color="ADD6EA"/>
              <w:left w:val="nil"/>
              <w:bottom w:val="nil"/>
              <w:right w:val="nil"/>
            </w:tcBorders>
            <w:shd w:val="clear" w:color="auto" w:fill="auto"/>
            <w:vAlign w:val="bottom"/>
            <w:hideMark/>
          </w:tcPr>
          <w:p w14:paraId="1453035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0.0001</w:t>
            </w:r>
          </w:p>
        </w:tc>
        <w:tc>
          <w:tcPr>
            <w:tcW w:w="842" w:type="dxa"/>
            <w:tcBorders>
              <w:top w:val="single" w:sz="4" w:space="0" w:color="ADD6EA"/>
              <w:left w:val="nil"/>
              <w:bottom w:val="nil"/>
              <w:right w:val="nil"/>
            </w:tcBorders>
            <w:shd w:val="clear" w:color="auto" w:fill="auto"/>
            <w:vAlign w:val="bottom"/>
            <w:hideMark/>
          </w:tcPr>
          <w:p w14:paraId="4FB41D3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0.0001</w:t>
            </w:r>
          </w:p>
        </w:tc>
        <w:tc>
          <w:tcPr>
            <w:tcW w:w="1051" w:type="dxa"/>
            <w:tcBorders>
              <w:top w:val="single" w:sz="4" w:space="0" w:color="ADD6EA"/>
              <w:left w:val="nil"/>
              <w:bottom w:val="nil"/>
              <w:right w:val="nil"/>
            </w:tcBorders>
            <w:shd w:val="clear" w:color="auto" w:fill="auto"/>
            <w:vAlign w:val="bottom"/>
            <w:hideMark/>
          </w:tcPr>
          <w:p w14:paraId="4BD17D14"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0.0001</w:t>
            </w:r>
          </w:p>
        </w:tc>
        <w:tc>
          <w:tcPr>
            <w:tcW w:w="897" w:type="dxa"/>
            <w:tcBorders>
              <w:top w:val="single" w:sz="4" w:space="0" w:color="ADD6EA"/>
              <w:left w:val="nil"/>
              <w:bottom w:val="nil"/>
              <w:right w:val="nil"/>
            </w:tcBorders>
            <w:shd w:val="clear" w:color="auto" w:fill="auto"/>
            <w:vAlign w:val="bottom"/>
            <w:hideMark/>
          </w:tcPr>
          <w:p w14:paraId="3EB847A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0.0001</w:t>
            </w:r>
          </w:p>
        </w:tc>
      </w:tr>
      <w:tr w:rsidR="00B347BB" w:rsidRPr="00A2480B" w14:paraId="41E84558" w14:textId="77777777" w:rsidTr="002B38EB">
        <w:trPr>
          <w:trHeight w:val="240"/>
        </w:trPr>
        <w:tc>
          <w:tcPr>
            <w:tcW w:w="1560" w:type="dxa"/>
            <w:tcBorders>
              <w:top w:val="single" w:sz="4" w:space="0" w:color="ADD6EA"/>
              <w:left w:val="nil"/>
              <w:bottom w:val="nil"/>
              <w:right w:val="nil"/>
            </w:tcBorders>
            <w:shd w:val="clear" w:color="auto" w:fill="auto"/>
            <w:vAlign w:val="bottom"/>
            <w:hideMark/>
          </w:tcPr>
          <w:p w14:paraId="56CDFEFB"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proofErr w:type="spellStart"/>
            <w:r w:rsidRPr="00A2480B">
              <w:rPr>
                <w:rFonts w:eastAsia="Times New Roman" w:cs="Open Sans Light"/>
                <w:color w:val="000000"/>
                <w:sz w:val="14"/>
                <w:szCs w:val="14"/>
                <w:lang w:eastAsia="en-AU"/>
              </w:rPr>
              <w:t>s.e.</w:t>
            </w:r>
            <w:proofErr w:type="spellEnd"/>
          </w:p>
        </w:tc>
        <w:tc>
          <w:tcPr>
            <w:tcW w:w="759" w:type="dxa"/>
            <w:tcBorders>
              <w:top w:val="single" w:sz="4" w:space="0" w:color="ADD6EA"/>
              <w:left w:val="nil"/>
              <w:bottom w:val="nil"/>
              <w:right w:val="nil"/>
            </w:tcBorders>
            <w:shd w:val="clear" w:color="auto" w:fill="auto"/>
            <w:vAlign w:val="bottom"/>
            <w:hideMark/>
          </w:tcPr>
          <w:p w14:paraId="37BBCD2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42" w:type="dxa"/>
            <w:tcBorders>
              <w:top w:val="single" w:sz="4" w:space="0" w:color="ADD6EA"/>
              <w:left w:val="nil"/>
              <w:bottom w:val="nil"/>
              <w:right w:val="nil"/>
            </w:tcBorders>
            <w:shd w:val="clear" w:color="auto" w:fill="auto"/>
            <w:vAlign w:val="bottom"/>
            <w:hideMark/>
          </w:tcPr>
          <w:p w14:paraId="3AB9650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1123" w:type="dxa"/>
            <w:tcBorders>
              <w:top w:val="single" w:sz="4" w:space="0" w:color="ADD6EA"/>
              <w:left w:val="nil"/>
              <w:bottom w:val="nil"/>
              <w:right w:val="nil"/>
            </w:tcBorders>
            <w:shd w:val="clear" w:color="auto" w:fill="auto"/>
            <w:vAlign w:val="bottom"/>
            <w:hideMark/>
          </w:tcPr>
          <w:p w14:paraId="75665313"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86" w:type="dxa"/>
            <w:tcBorders>
              <w:top w:val="single" w:sz="4" w:space="0" w:color="ADD6EA"/>
              <w:left w:val="nil"/>
              <w:bottom w:val="nil"/>
              <w:right w:val="nil"/>
            </w:tcBorders>
            <w:shd w:val="clear" w:color="auto" w:fill="auto"/>
            <w:vAlign w:val="bottom"/>
            <w:hideMark/>
          </w:tcPr>
          <w:p w14:paraId="718DF84F"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999" w:type="dxa"/>
            <w:tcBorders>
              <w:top w:val="single" w:sz="4" w:space="0" w:color="ADD6EA"/>
              <w:left w:val="nil"/>
              <w:bottom w:val="nil"/>
              <w:right w:val="nil"/>
            </w:tcBorders>
            <w:shd w:val="clear" w:color="auto" w:fill="auto"/>
            <w:vAlign w:val="bottom"/>
            <w:hideMark/>
          </w:tcPr>
          <w:p w14:paraId="6E7BEB0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0.0000</w:t>
            </w:r>
          </w:p>
        </w:tc>
        <w:tc>
          <w:tcPr>
            <w:tcW w:w="842" w:type="dxa"/>
            <w:tcBorders>
              <w:top w:val="single" w:sz="4" w:space="0" w:color="ADD6EA"/>
              <w:left w:val="nil"/>
              <w:bottom w:val="nil"/>
              <w:right w:val="nil"/>
            </w:tcBorders>
            <w:shd w:val="clear" w:color="auto" w:fill="auto"/>
            <w:vAlign w:val="bottom"/>
            <w:hideMark/>
          </w:tcPr>
          <w:p w14:paraId="22F36C64"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0.0000</w:t>
            </w:r>
          </w:p>
        </w:tc>
        <w:tc>
          <w:tcPr>
            <w:tcW w:w="1051" w:type="dxa"/>
            <w:tcBorders>
              <w:top w:val="single" w:sz="4" w:space="0" w:color="ADD6EA"/>
              <w:left w:val="nil"/>
              <w:bottom w:val="nil"/>
              <w:right w:val="nil"/>
            </w:tcBorders>
            <w:shd w:val="clear" w:color="auto" w:fill="auto"/>
            <w:vAlign w:val="bottom"/>
            <w:hideMark/>
          </w:tcPr>
          <w:p w14:paraId="6F9208E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0.0000</w:t>
            </w:r>
          </w:p>
        </w:tc>
        <w:tc>
          <w:tcPr>
            <w:tcW w:w="897" w:type="dxa"/>
            <w:tcBorders>
              <w:top w:val="single" w:sz="4" w:space="0" w:color="ADD6EA"/>
              <w:left w:val="nil"/>
              <w:bottom w:val="nil"/>
              <w:right w:val="nil"/>
            </w:tcBorders>
            <w:shd w:val="clear" w:color="auto" w:fill="auto"/>
            <w:vAlign w:val="bottom"/>
            <w:hideMark/>
          </w:tcPr>
          <w:p w14:paraId="506B5D54"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0.0000</w:t>
            </w:r>
          </w:p>
        </w:tc>
      </w:tr>
      <w:tr w:rsidR="00B347BB" w:rsidRPr="00A2480B" w14:paraId="6E73D324"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06B9150B"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r w:rsidRPr="00A2480B">
              <w:rPr>
                <w:rFonts w:eastAsia="Times New Roman" w:cs="Open Sans Light"/>
                <w:color w:val="000000"/>
                <w:sz w:val="16"/>
                <w:szCs w:val="16"/>
                <w:lang w:eastAsia="en-AU"/>
              </w:rPr>
              <w:t>Male*usual hours</w:t>
            </w:r>
          </w:p>
        </w:tc>
        <w:tc>
          <w:tcPr>
            <w:tcW w:w="759" w:type="dxa"/>
            <w:tcBorders>
              <w:top w:val="single" w:sz="4" w:space="0" w:color="ADD6EA"/>
              <w:left w:val="nil"/>
              <w:bottom w:val="nil"/>
              <w:right w:val="nil"/>
            </w:tcBorders>
            <w:shd w:val="clear" w:color="auto" w:fill="auto"/>
            <w:vAlign w:val="bottom"/>
            <w:hideMark/>
          </w:tcPr>
          <w:p w14:paraId="0568F2D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42" w:type="dxa"/>
            <w:tcBorders>
              <w:top w:val="single" w:sz="4" w:space="0" w:color="ADD6EA"/>
              <w:left w:val="nil"/>
              <w:bottom w:val="nil"/>
              <w:right w:val="nil"/>
            </w:tcBorders>
            <w:shd w:val="clear" w:color="auto" w:fill="auto"/>
            <w:vAlign w:val="bottom"/>
            <w:hideMark/>
          </w:tcPr>
          <w:p w14:paraId="263892D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1123" w:type="dxa"/>
            <w:tcBorders>
              <w:top w:val="single" w:sz="4" w:space="0" w:color="ADD6EA"/>
              <w:left w:val="nil"/>
              <w:bottom w:val="nil"/>
              <w:right w:val="nil"/>
            </w:tcBorders>
            <w:shd w:val="clear" w:color="auto" w:fill="auto"/>
            <w:vAlign w:val="bottom"/>
            <w:hideMark/>
          </w:tcPr>
          <w:p w14:paraId="63655A07"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86" w:type="dxa"/>
            <w:tcBorders>
              <w:top w:val="single" w:sz="4" w:space="0" w:color="ADD6EA"/>
              <w:left w:val="nil"/>
              <w:bottom w:val="nil"/>
              <w:right w:val="nil"/>
            </w:tcBorders>
            <w:shd w:val="clear" w:color="auto" w:fill="auto"/>
            <w:vAlign w:val="bottom"/>
            <w:hideMark/>
          </w:tcPr>
          <w:p w14:paraId="423BB34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999" w:type="dxa"/>
            <w:tcBorders>
              <w:top w:val="single" w:sz="4" w:space="0" w:color="ADD6EA"/>
              <w:left w:val="nil"/>
              <w:bottom w:val="nil"/>
              <w:right w:val="nil"/>
            </w:tcBorders>
            <w:shd w:val="clear" w:color="auto" w:fill="auto"/>
            <w:vAlign w:val="bottom"/>
            <w:hideMark/>
          </w:tcPr>
          <w:p w14:paraId="0759AAD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-0.0041</w:t>
            </w:r>
          </w:p>
        </w:tc>
        <w:tc>
          <w:tcPr>
            <w:tcW w:w="842" w:type="dxa"/>
            <w:tcBorders>
              <w:top w:val="single" w:sz="4" w:space="0" w:color="ADD6EA"/>
              <w:left w:val="nil"/>
              <w:bottom w:val="nil"/>
              <w:right w:val="nil"/>
            </w:tcBorders>
            <w:shd w:val="clear" w:color="auto" w:fill="auto"/>
            <w:vAlign w:val="bottom"/>
            <w:hideMark/>
          </w:tcPr>
          <w:p w14:paraId="15FC0A9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-0.0041</w:t>
            </w:r>
          </w:p>
        </w:tc>
        <w:tc>
          <w:tcPr>
            <w:tcW w:w="1051" w:type="dxa"/>
            <w:tcBorders>
              <w:top w:val="single" w:sz="4" w:space="0" w:color="ADD6EA"/>
              <w:left w:val="nil"/>
              <w:bottom w:val="nil"/>
              <w:right w:val="nil"/>
            </w:tcBorders>
            <w:shd w:val="clear" w:color="auto" w:fill="auto"/>
            <w:vAlign w:val="bottom"/>
            <w:hideMark/>
          </w:tcPr>
          <w:p w14:paraId="012E3E5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-0.0041</w:t>
            </w:r>
          </w:p>
        </w:tc>
        <w:tc>
          <w:tcPr>
            <w:tcW w:w="897" w:type="dxa"/>
            <w:tcBorders>
              <w:top w:val="single" w:sz="4" w:space="0" w:color="ADD6EA"/>
              <w:left w:val="nil"/>
              <w:bottom w:val="nil"/>
              <w:right w:val="nil"/>
            </w:tcBorders>
            <w:shd w:val="clear" w:color="auto" w:fill="auto"/>
            <w:vAlign w:val="bottom"/>
            <w:hideMark/>
          </w:tcPr>
          <w:p w14:paraId="66192A2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-0.0041</w:t>
            </w:r>
          </w:p>
        </w:tc>
      </w:tr>
      <w:tr w:rsidR="00B347BB" w:rsidRPr="00A2480B" w14:paraId="53C7BAAD" w14:textId="77777777" w:rsidTr="002B38EB">
        <w:trPr>
          <w:trHeight w:val="240"/>
        </w:trPr>
        <w:tc>
          <w:tcPr>
            <w:tcW w:w="1560" w:type="dxa"/>
            <w:tcBorders>
              <w:top w:val="single" w:sz="4" w:space="0" w:color="ADD6EA"/>
              <w:left w:val="nil"/>
              <w:bottom w:val="nil"/>
              <w:right w:val="nil"/>
            </w:tcBorders>
            <w:shd w:val="clear" w:color="auto" w:fill="auto"/>
            <w:vAlign w:val="bottom"/>
            <w:hideMark/>
          </w:tcPr>
          <w:p w14:paraId="6C780CBA"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proofErr w:type="spellStart"/>
            <w:r w:rsidRPr="00A2480B">
              <w:rPr>
                <w:rFonts w:eastAsia="Times New Roman" w:cs="Open Sans Light"/>
                <w:color w:val="000000"/>
                <w:sz w:val="14"/>
                <w:szCs w:val="14"/>
                <w:lang w:eastAsia="en-AU"/>
              </w:rPr>
              <w:t>s.e.</w:t>
            </w:r>
            <w:proofErr w:type="spellEnd"/>
          </w:p>
        </w:tc>
        <w:tc>
          <w:tcPr>
            <w:tcW w:w="759" w:type="dxa"/>
            <w:tcBorders>
              <w:top w:val="single" w:sz="4" w:space="0" w:color="ADD6EA"/>
              <w:left w:val="nil"/>
              <w:bottom w:val="nil"/>
              <w:right w:val="nil"/>
            </w:tcBorders>
            <w:shd w:val="clear" w:color="auto" w:fill="auto"/>
            <w:vAlign w:val="bottom"/>
            <w:hideMark/>
          </w:tcPr>
          <w:p w14:paraId="548D372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42" w:type="dxa"/>
            <w:tcBorders>
              <w:top w:val="single" w:sz="4" w:space="0" w:color="ADD6EA"/>
              <w:left w:val="nil"/>
              <w:bottom w:val="nil"/>
              <w:right w:val="nil"/>
            </w:tcBorders>
            <w:shd w:val="clear" w:color="auto" w:fill="auto"/>
            <w:vAlign w:val="bottom"/>
            <w:hideMark/>
          </w:tcPr>
          <w:p w14:paraId="4888B4B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1123" w:type="dxa"/>
            <w:tcBorders>
              <w:top w:val="single" w:sz="4" w:space="0" w:color="ADD6EA"/>
              <w:left w:val="nil"/>
              <w:bottom w:val="nil"/>
              <w:right w:val="nil"/>
            </w:tcBorders>
            <w:shd w:val="clear" w:color="auto" w:fill="auto"/>
            <w:vAlign w:val="bottom"/>
            <w:hideMark/>
          </w:tcPr>
          <w:p w14:paraId="3F88E3F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86" w:type="dxa"/>
            <w:tcBorders>
              <w:top w:val="single" w:sz="4" w:space="0" w:color="ADD6EA"/>
              <w:left w:val="nil"/>
              <w:bottom w:val="nil"/>
              <w:right w:val="nil"/>
            </w:tcBorders>
            <w:shd w:val="clear" w:color="auto" w:fill="auto"/>
            <w:vAlign w:val="bottom"/>
            <w:hideMark/>
          </w:tcPr>
          <w:p w14:paraId="019F13CA"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999" w:type="dxa"/>
            <w:tcBorders>
              <w:top w:val="single" w:sz="4" w:space="0" w:color="ADD6EA"/>
              <w:left w:val="nil"/>
              <w:bottom w:val="nil"/>
              <w:right w:val="nil"/>
            </w:tcBorders>
            <w:shd w:val="clear" w:color="auto" w:fill="auto"/>
            <w:vAlign w:val="bottom"/>
            <w:hideMark/>
          </w:tcPr>
          <w:p w14:paraId="4EC6ECA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-0.0009</w:t>
            </w:r>
          </w:p>
        </w:tc>
        <w:tc>
          <w:tcPr>
            <w:tcW w:w="842" w:type="dxa"/>
            <w:tcBorders>
              <w:top w:val="single" w:sz="4" w:space="0" w:color="ADD6EA"/>
              <w:left w:val="nil"/>
              <w:bottom w:val="nil"/>
              <w:right w:val="nil"/>
            </w:tcBorders>
            <w:shd w:val="clear" w:color="auto" w:fill="auto"/>
            <w:vAlign w:val="bottom"/>
            <w:hideMark/>
          </w:tcPr>
          <w:p w14:paraId="4072567B"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-0.0009</w:t>
            </w:r>
          </w:p>
        </w:tc>
        <w:tc>
          <w:tcPr>
            <w:tcW w:w="1051" w:type="dxa"/>
            <w:tcBorders>
              <w:top w:val="single" w:sz="4" w:space="0" w:color="ADD6EA"/>
              <w:left w:val="nil"/>
              <w:bottom w:val="nil"/>
              <w:right w:val="nil"/>
            </w:tcBorders>
            <w:shd w:val="clear" w:color="auto" w:fill="auto"/>
            <w:vAlign w:val="bottom"/>
            <w:hideMark/>
          </w:tcPr>
          <w:p w14:paraId="7D6C835F"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-0.0009</w:t>
            </w:r>
          </w:p>
        </w:tc>
        <w:tc>
          <w:tcPr>
            <w:tcW w:w="897" w:type="dxa"/>
            <w:tcBorders>
              <w:top w:val="single" w:sz="4" w:space="0" w:color="ADD6EA"/>
              <w:left w:val="nil"/>
              <w:bottom w:val="nil"/>
              <w:right w:val="nil"/>
            </w:tcBorders>
            <w:shd w:val="clear" w:color="auto" w:fill="auto"/>
            <w:vAlign w:val="bottom"/>
            <w:hideMark/>
          </w:tcPr>
          <w:p w14:paraId="46F8D9C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-0.0009</w:t>
            </w:r>
          </w:p>
        </w:tc>
      </w:tr>
      <w:tr w:rsidR="00B347BB" w:rsidRPr="00A2480B" w14:paraId="2D486C5F"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305163B4"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r w:rsidRPr="00A2480B">
              <w:rPr>
                <w:rFonts w:eastAsia="Times New Roman" w:cs="Open Sans Light"/>
                <w:color w:val="000000"/>
                <w:sz w:val="16"/>
                <w:szCs w:val="16"/>
                <w:lang w:eastAsia="en-AU"/>
              </w:rPr>
              <w:t>Male*paid hours</w:t>
            </w:r>
          </w:p>
        </w:tc>
        <w:tc>
          <w:tcPr>
            <w:tcW w:w="759" w:type="dxa"/>
            <w:tcBorders>
              <w:top w:val="single" w:sz="4" w:space="0" w:color="ADD6EA"/>
              <w:left w:val="nil"/>
              <w:bottom w:val="nil"/>
              <w:right w:val="nil"/>
            </w:tcBorders>
            <w:shd w:val="clear" w:color="auto" w:fill="auto"/>
            <w:vAlign w:val="bottom"/>
            <w:hideMark/>
          </w:tcPr>
          <w:p w14:paraId="3D6AB69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42" w:type="dxa"/>
            <w:tcBorders>
              <w:top w:val="single" w:sz="4" w:space="0" w:color="ADD6EA"/>
              <w:left w:val="nil"/>
              <w:bottom w:val="nil"/>
              <w:right w:val="nil"/>
            </w:tcBorders>
            <w:shd w:val="clear" w:color="auto" w:fill="auto"/>
            <w:vAlign w:val="bottom"/>
            <w:hideMark/>
          </w:tcPr>
          <w:p w14:paraId="41EBECFD"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1123" w:type="dxa"/>
            <w:tcBorders>
              <w:top w:val="single" w:sz="4" w:space="0" w:color="ADD6EA"/>
              <w:left w:val="nil"/>
              <w:bottom w:val="nil"/>
              <w:right w:val="nil"/>
            </w:tcBorders>
            <w:shd w:val="clear" w:color="auto" w:fill="auto"/>
            <w:vAlign w:val="bottom"/>
            <w:hideMark/>
          </w:tcPr>
          <w:p w14:paraId="12EF84D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86" w:type="dxa"/>
            <w:tcBorders>
              <w:top w:val="single" w:sz="4" w:space="0" w:color="ADD6EA"/>
              <w:left w:val="nil"/>
              <w:bottom w:val="nil"/>
              <w:right w:val="nil"/>
            </w:tcBorders>
            <w:shd w:val="clear" w:color="auto" w:fill="auto"/>
            <w:vAlign w:val="bottom"/>
            <w:hideMark/>
          </w:tcPr>
          <w:p w14:paraId="09C831A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999" w:type="dxa"/>
            <w:tcBorders>
              <w:top w:val="single" w:sz="4" w:space="0" w:color="ADD6EA"/>
              <w:left w:val="nil"/>
              <w:bottom w:val="nil"/>
              <w:right w:val="nil"/>
            </w:tcBorders>
            <w:shd w:val="clear" w:color="auto" w:fill="auto"/>
            <w:vAlign w:val="bottom"/>
            <w:hideMark/>
          </w:tcPr>
          <w:p w14:paraId="6024BB3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-0.0022</w:t>
            </w:r>
          </w:p>
        </w:tc>
        <w:tc>
          <w:tcPr>
            <w:tcW w:w="842" w:type="dxa"/>
            <w:tcBorders>
              <w:top w:val="single" w:sz="4" w:space="0" w:color="ADD6EA"/>
              <w:left w:val="nil"/>
              <w:bottom w:val="nil"/>
              <w:right w:val="nil"/>
            </w:tcBorders>
            <w:shd w:val="clear" w:color="auto" w:fill="auto"/>
            <w:vAlign w:val="bottom"/>
            <w:hideMark/>
          </w:tcPr>
          <w:p w14:paraId="7C2E0823"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-0.0022</w:t>
            </w:r>
          </w:p>
        </w:tc>
        <w:tc>
          <w:tcPr>
            <w:tcW w:w="1051" w:type="dxa"/>
            <w:tcBorders>
              <w:top w:val="single" w:sz="4" w:space="0" w:color="ADD6EA"/>
              <w:left w:val="nil"/>
              <w:bottom w:val="nil"/>
              <w:right w:val="nil"/>
            </w:tcBorders>
            <w:shd w:val="clear" w:color="auto" w:fill="auto"/>
            <w:vAlign w:val="bottom"/>
            <w:hideMark/>
          </w:tcPr>
          <w:p w14:paraId="0CFB0F8B"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0.0035</w:t>
            </w:r>
          </w:p>
        </w:tc>
        <w:tc>
          <w:tcPr>
            <w:tcW w:w="897" w:type="dxa"/>
            <w:tcBorders>
              <w:top w:val="single" w:sz="4" w:space="0" w:color="ADD6EA"/>
              <w:left w:val="nil"/>
              <w:bottom w:val="nil"/>
              <w:right w:val="nil"/>
            </w:tcBorders>
            <w:shd w:val="clear" w:color="auto" w:fill="auto"/>
            <w:vAlign w:val="bottom"/>
            <w:hideMark/>
          </w:tcPr>
          <w:p w14:paraId="168FFF7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0.0033</w:t>
            </w:r>
          </w:p>
        </w:tc>
      </w:tr>
      <w:tr w:rsidR="00B347BB" w:rsidRPr="00A2480B" w14:paraId="6D4B135F" w14:textId="77777777" w:rsidTr="002B38EB">
        <w:trPr>
          <w:trHeight w:val="240"/>
        </w:trPr>
        <w:tc>
          <w:tcPr>
            <w:tcW w:w="1560" w:type="dxa"/>
            <w:tcBorders>
              <w:top w:val="single" w:sz="4" w:space="0" w:color="ADD6EA"/>
              <w:left w:val="nil"/>
              <w:bottom w:val="nil"/>
              <w:right w:val="nil"/>
            </w:tcBorders>
            <w:shd w:val="clear" w:color="auto" w:fill="auto"/>
            <w:vAlign w:val="bottom"/>
            <w:hideMark/>
          </w:tcPr>
          <w:p w14:paraId="4E7240D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proofErr w:type="spellStart"/>
            <w:r w:rsidRPr="00A2480B">
              <w:rPr>
                <w:rFonts w:eastAsia="Times New Roman" w:cs="Open Sans Light"/>
                <w:color w:val="000000"/>
                <w:sz w:val="14"/>
                <w:szCs w:val="14"/>
                <w:lang w:eastAsia="en-AU"/>
              </w:rPr>
              <w:t>s.e.</w:t>
            </w:r>
            <w:proofErr w:type="spellEnd"/>
          </w:p>
        </w:tc>
        <w:tc>
          <w:tcPr>
            <w:tcW w:w="759" w:type="dxa"/>
            <w:tcBorders>
              <w:top w:val="single" w:sz="4" w:space="0" w:color="ADD6EA"/>
              <w:left w:val="nil"/>
              <w:bottom w:val="nil"/>
              <w:right w:val="nil"/>
            </w:tcBorders>
            <w:shd w:val="clear" w:color="auto" w:fill="auto"/>
            <w:vAlign w:val="bottom"/>
            <w:hideMark/>
          </w:tcPr>
          <w:p w14:paraId="102D76A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42" w:type="dxa"/>
            <w:tcBorders>
              <w:top w:val="single" w:sz="4" w:space="0" w:color="ADD6EA"/>
              <w:left w:val="nil"/>
              <w:bottom w:val="nil"/>
              <w:right w:val="nil"/>
            </w:tcBorders>
            <w:shd w:val="clear" w:color="auto" w:fill="auto"/>
            <w:vAlign w:val="bottom"/>
            <w:hideMark/>
          </w:tcPr>
          <w:p w14:paraId="3B2CDD2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1123" w:type="dxa"/>
            <w:tcBorders>
              <w:top w:val="single" w:sz="4" w:space="0" w:color="ADD6EA"/>
              <w:left w:val="nil"/>
              <w:bottom w:val="nil"/>
              <w:right w:val="nil"/>
            </w:tcBorders>
            <w:shd w:val="clear" w:color="auto" w:fill="auto"/>
            <w:vAlign w:val="bottom"/>
            <w:hideMark/>
          </w:tcPr>
          <w:p w14:paraId="432BD7E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886" w:type="dxa"/>
            <w:tcBorders>
              <w:top w:val="single" w:sz="4" w:space="0" w:color="ADD6EA"/>
              <w:left w:val="nil"/>
              <w:bottom w:val="nil"/>
              <w:right w:val="nil"/>
            </w:tcBorders>
            <w:shd w:val="clear" w:color="auto" w:fill="auto"/>
            <w:vAlign w:val="bottom"/>
            <w:hideMark/>
          </w:tcPr>
          <w:p w14:paraId="0406E3D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w:t>
            </w:r>
          </w:p>
        </w:tc>
        <w:tc>
          <w:tcPr>
            <w:tcW w:w="999" w:type="dxa"/>
            <w:tcBorders>
              <w:top w:val="single" w:sz="4" w:space="0" w:color="ADD6EA"/>
              <w:left w:val="nil"/>
              <w:bottom w:val="nil"/>
              <w:right w:val="nil"/>
            </w:tcBorders>
            <w:shd w:val="clear" w:color="auto" w:fill="auto"/>
            <w:vAlign w:val="bottom"/>
            <w:hideMark/>
          </w:tcPr>
          <w:p w14:paraId="175F223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-0.0017</w:t>
            </w:r>
          </w:p>
        </w:tc>
        <w:tc>
          <w:tcPr>
            <w:tcW w:w="842" w:type="dxa"/>
            <w:tcBorders>
              <w:top w:val="single" w:sz="4" w:space="0" w:color="ADD6EA"/>
              <w:left w:val="nil"/>
              <w:bottom w:val="nil"/>
              <w:right w:val="nil"/>
            </w:tcBorders>
            <w:shd w:val="clear" w:color="auto" w:fill="auto"/>
            <w:vAlign w:val="bottom"/>
            <w:hideMark/>
          </w:tcPr>
          <w:p w14:paraId="37B08EE4"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-0.0017</w:t>
            </w:r>
          </w:p>
        </w:tc>
        <w:tc>
          <w:tcPr>
            <w:tcW w:w="1051" w:type="dxa"/>
            <w:tcBorders>
              <w:top w:val="single" w:sz="4" w:space="0" w:color="ADD6EA"/>
              <w:left w:val="nil"/>
              <w:bottom w:val="nil"/>
              <w:right w:val="nil"/>
            </w:tcBorders>
            <w:shd w:val="clear" w:color="auto" w:fill="auto"/>
            <w:vAlign w:val="bottom"/>
            <w:hideMark/>
          </w:tcPr>
          <w:p w14:paraId="0B66A4C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-0.0009</w:t>
            </w:r>
          </w:p>
        </w:tc>
        <w:tc>
          <w:tcPr>
            <w:tcW w:w="897" w:type="dxa"/>
            <w:tcBorders>
              <w:top w:val="single" w:sz="4" w:space="0" w:color="ADD6EA"/>
              <w:left w:val="nil"/>
              <w:bottom w:val="nil"/>
              <w:right w:val="nil"/>
            </w:tcBorders>
            <w:shd w:val="clear" w:color="auto" w:fill="auto"/>
            <w:vAlign w:val="bottom"/>
            <w:hideMark/>
          </w:tcPr>
          <w:p w14:paraId="7BCC725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4"/>
                <w:szCs w:val="14"/>
                <w:lang w:eastAsia="en-AU"/>
              </w:rPr>
            </w:pPr>
            <w:r w:rsidRPr="00A2480B">
              <w:rPr>
                <w:rFonts w:eastAsia="Times New Roman" w:cs="Open Sans Light"/>
                <w:color w:val="000000"/>
                <w:sz w:val="14"/>
                <w:szCs w:val="14"/>
                <w:lang w:eastAsia="en-AU"/>
              </w:rPr>
              <w:t>-0.0009</w:t>
            </w:r>
          </w:p>
        </w:tc>
      </w:tr>
      <w:tr w:rsidR="00B347BB" w:rsidRPr="00A2480B" w14:paraId="6C7FE971"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74332450"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proofErr w:type="spellStart"/>
            <w:r w:rsidRPr="00A2480B">
              <w:rPr>
                <w:rFonts w:eastAsia="Times New Roman" w:cs="Open Sans Light"/>
                <w:color w:val="000000"/>
                <w:sz w:val="16"/>
                <w:szCs w:val="16"/>
                <w:lang w:eastAsia="en-AU"/>
              </w:rPr>
              <w:t>Num.Obs</w:t>
            </w:r>
            <w:proofErr w:type="spellEnd"/>
            <w:r w:rsidRPr="00A2480B">
              <w:rPr>
                <w:rFonts w:eastAsia="Times New Roman" w:cs="Open Sans Light"/>
                <w:color w:val="000000"/>
                <w:sz w:val="16"/>
                <w:szCs w:val="16"/>
                <w:lang w:eastAsia="en-AU"/>
              </w:rPr>
              <w:t>.</w:t>
            </w:r>
          </w:p>
        </w:tc>
        <w:tc>
          <w:tcPr>
            <w:tcW w:w="759" w:type="dxa"/>
            <w:tcBorders>
              <w:top w:val="single" w:sz="4" w:space="0" w:color="ADD6EA"/>
              <w:left w:val="nil"/>
              <w:bottom w:val="nil"/>
              <w:right w:val="nil"/>
            </w:tcBorders>
            <w:shd w:val="clear" w:color="auto" w:fill="auto"/>
            <w:vAlign w:val="bottom"/>
            <w:hideMark/>
          </w:tcPr>
          <w:p w14:paraId="6904F43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82,214</w:t>
            </w:r>
          </w:p>
        </w:tc>
        <w:tc>
          <w:tcPr>
            <w:tcW w:w="842" w:type="dxa"/>
            <w:tcBorders>
              <w:top w:val="single" w:sz="4" w:space="0" w:color="ADD6EA"/>
              <w:left w:val="nil"/>
              <w:bottom w:val="nil"/>
              <w:right w:val="nil"/>
            </w:tcBorders>
            <w:shd w:val="clear" w:color="auto" w:fill="auto"/>
            <w:vAlign w:val="bottom"/>
            <w:hideMark/>
          </w:tcPr>
          <w:p w14:paraId="7E18E1A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82,214</w:t>
            </w:r>
          </w:p>
        </w:tc>
        <w:tc>
          <w:tcPr>
            <w:tcW w:w="1123" w:type="dxa"/>
            <w:tcBorders>
              <w:top w:val="single" w:sz="4" w:space="0" w:color="ADD6EA"/>
              <w:left w:val="nil"/>
              <w:bottom w:val="nil"/>
              <w:right w:val="nil"/>
            </w:tcBorders>
            <w:shd w:val="clear" w:color="auto" w:fill="auto"/>
            <w:vAlign w:val="bottom"/>
            <w:hideMark/>
          </w:tcPr>
          <w:p w14:paraId="1B94B18F"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82,214</w:t>
            </w:r>
          </w:p>
        </w:tc>
        <w:tc>
          <w:tcPr>
            <w:tcW w:w="886" w:type="dxa"/>
            <w:tcBorders>
              <w:top w:val="single" w:sz="4" w:space="0" w:color="ADD6EA"/>
              <w:left w:val="nil"/>
              <w:bottom w:val="nil"/>
              <w:right w:val="nil"/>
            </w:tcBorders>
            <w:shd w:val="clear" w:color="auto" w:fill="auto"/>
            <w:vAlign w:val="bottom"/>
            <w:hideMark/>
          </w:tcPr>
          <w:p w14:paraId="326C8D4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82,214</w:t>
            </w:r>
          </w:p>
        </w:tc>
        <w:tc>
          <w:tcPr>
            <w:tcW w:w="999" w:type="dxa"/>
            <w:tcBorders>
              <w:top w:val="single" w:sz="4" w:space="0" w:color="ADD6EA"/>
              <w:left w:val="nil"/>
              <w:bottom w:val="nil"/>
              <w:right w:val="nil"/>
            </w:tcBorders>
            <w:shd w:val="clear" w:color="auto" w:fill="auto"/>
            <w:vAlign w:val="bottom"/>
            <w:hideMark/>
          </w:tcPr>
          <w:p w14:paraId="097567FE"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82,214</w:t>
            </w:r>
          </w:p>
        </w:tc>
        <w:tc>
          <w:tcPr>
            <w:tcW w:w="842" w:type="dxa"/>
            <w:tcBorders>
              <w:top w:val="single" w:sz="4" w:space="0" w:color="ADD6EA"/>
              <w:left w:val="nil"/>
              <w:bottom w:val="nil"/>
              <w:right w:val="nil"/>
            </w:tcBorders>
            <w:shd w:val="clear" w:color="auto" w:fill="auto"/>
            <w:vAlign w:val="bottom"/>
            <w:hideMark/>
          </w:tcPr>
          <w:p w14:paraId="7823246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82,214</w:t>
            </w:r>
          </w:p>
        </w:tc>
        <w:tc>
          <w:tcPr>
            <w:tcW w:w="1051" w:type="dxa"/>
            <w:tcBorders>
              <w:top w:val="single" w:sz="4" w:space="0" w:color="ADD6EA"/>
              <w:left w:val="nil"/>
              <w:bottom w:val="nil"/>
              <w:right w:val="nil"/>
            </w:tcBorders>
            <w:shd w:val="clear" w:color="auto" w:fill="auto"/>
            <w:vAlign w:val="bottom"/>
            <w:hideMark/>
          </w:tcPr>
          <w:p w14:paraId="77389F44"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82,214</w:t>
            </w:r>
          </w:p>
        </w:tc>
        <w:tc>
          <w:tcPr>
            <w:tcW w:w="897" w:type="dxa"/>
            <w:tcBorders>
              <w:top w:val="single" w:sz="4" w:space="0" w:color="ADD6EA"/>
              <w:left w:val="nil"/>
              <w:bottom w:val="nil"/>
              <w:right w:val="nil"/>
            </w:tcBorders>
            <w:shd w:val="clear" w:color="auto" w:fill="auto"/>
            <w:vAlign w:val="bottom"/>
            <w:hideMark/>
          </w:tcPr>
          <w:p w14:paraId="5242ECB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82,214</w:t>
            </w:r>
          </w:p>
        </w:tc>
      </w:tr>
      <w:tr w:rsidR="00B347BB" w:rsidRPr="00A2480B" w14:paraId="40534B56"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022B8067"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r w:rsidRPr="00A2480B">
              <w:rPr>
                <w:rFonts w:eastAsia="Times New Roman" w:cs="Open Sans Light"/>
                <w:color w:val="000000"/>
                <w:sz w:val="16"/>
                <w:szCs w:val="16"/>
                <w:lang w:eastAsia="en-AU"/>
              </w:rPr>
              <w:t>R2</w:t>
            </w:r>
          </w:p>
        </w:tc>
        <w:tc>
          <w:tcPr>
            <w:tcW w:w="759" w:type="dxa"/>
            <w:tcBorders>
              <w:top w:val="single" w:sz="4" w:space="0" w:color="ADD6EA"/>
              <w:left w:val="nil"/>
              <w:bottom w:val="nil"/>
              <w:right w:val="nil"/>
            </w:tcBorders>
            <w:shd w:val="clear" w:color="auto" w:fill="auto"/>
            <w:vAlign w:val="bottom"/>
            <w:hideMark/>
          </w:tcPr>
          <w:p w14:paraId="59E995B4"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0.619</w:t>
            </w:r>
          </w:p>
        </w:tc>
        <w:tc>
          <w:tcPr>
            <w:tcW w:w="842" w:type="dxa"/>
            <w:tcBorders>
              <w:top w:val="single" w:sz="4" w:space="0" w:color="ADD6EA"/>
              <w:left w:val="nil"/>
              <w:bottom w:val="nil"/>
              <w:right w:val="nil"/>
            </w:tcBorders>
            <w:shd w:val="clear" w:color="auto" w:fill="auto"/>
            <w:vAlign w:val="bottom"/>
            <w:hideMark/>
          </w:tcPr>
          <w:p w14:paraId="712113A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0.619</w:t>
            </w:r>
          </w:p>
        </w:tc>
        <w:tc>
          <w:tcPr>
            <w:tcW w:w="1123" w:type="dxa"/>
            <w:tcBorders>
              <w:top w:val="single" w:sz="4" w:space="0" w:color="ADD6EA"/>
              <w:left w:val="nil"/>
              <w:bottom w:val="nil"/>
              <w:right w:val="nil"/>
            </w:tcBorders>
            <w:shd w:val="clear" w:color="auto" w:fill="auto"/>
            <w:vAlign w:val="bottom"/>
            <w:hideMark/>
          </w:tcPr>
          <w:p w14:paraId="1CFACDE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0.620</w:t>
            </w:r>
          </w:p>
        </w:tc>
        <w:tc>
          <w:tcPr>
            <w:tcW w:w="886" w:type="dxa"/>
            <w:tcBorders>
              <w:top w:val="single" w:sz="4" w:space="0" w:color="ADD6EA"/>
              <w:left w:val="nil"/>
              <w:bottom w:val="nil"/>
              <w:right w:val="nil"/>
            </w:tcBorders>
            <w:shd w:val="clear" w:color="auto" w:fill="auto"/>
            <w:vAlign w:val="bottom"/>
            <w:hideMark/>
          </w:tcPr>
          <w:p w14:paraId="5CBAA6AE"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0.732</w:t>
            </w:r>
          </w:p>
        </w:tc>
        <w:tc>
          <w:tcPr>
            <w:tcW w:w="999" w:type="dxa"/>
            <w:tcBorders>
              <w:top w:val="single" w:sz="4" w:space="0" w:color="ADD6EA"/>
              <w:left w:val="nil"/>
              <w:bottom w:val="nil"/>
              <w:right w:val="nil"/>
            </w:tcBorders>
            <w:shd w:val="clear" w:color="auto" w:fill="auto"/>
            <w:vAlign w:val="bottom"/>
            <w:hideMark/>
          </w:tcPr>
          <w:p w14:paraId="7F995A24"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0.743</w:t>
            </w:r>
          </w:p>
        </w:tc>
        <w:tc>
          <w:tcPr>
            <w:tcW w:w="842" w:type="dxa"/>
            <w:tcBorders>
              <w:top w:val="single" w:sz="4" w:space="0" w:color="ADD6EA"/>
              <w:left w:val="nil"/>
              <w:bottom w:val="nil"/>
              <w:right w:val="nil"/>
            </w:tcBorders>
            <w:shd w:val="clear" w:color="auto" w:fill="auto"/>
            <w:vAlign w:val="bottom"/>
            <w:hideMark/>
          </w:tcPr>
          <w:p w14:paraId="39241DBA"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0.419</w:t>
            </w:r>
          </w:p>
        </w:tc>
        <w:tc>
          <w:tcPr>
            <w:tcW w:w="1051" w:type="dxa"/>
            <w:tcBorders>
              <w:top w:val="single" w:sz="4" w:space="0" w:color="ADD6EA"/>
              <w:left w:val="nil"/>
              <w:bottom w:val="nil"/>
              <w:right w:val="nil"/>
            </w:tcBorders>
            <w:shd w:val="clear" w:color="auto" w:fill="auto"/>
            <w:vAlign w:val="bottom"/>
            <w:hideMark/>
          </w:tcPr>
          <w:p w14:paraId="39952BC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0.419</w:t>
            </w:r>
          </w:p>
        </w:tc>
        <w:tc>
          <w:tcPr>
            <w:tcW w:w="897" w:type="dxa"/>
            <w:tcBorders>
              <w:top w:val="single" w:sz="4" w:space="0" w:color="ADD6EA"/>
              <w:left w:val="nil"/>
              <w:bottom w:val="nil"/>
              <w:right w:val="nil"/>
            </w:tcBorders>
            <w:shd w:val="clear" w:color="auto" w:fill="auto"/>
            <w:vAlign w:val="bottom"/>
            <w:hideMark/>
          </w:tcPr>
          <w:p w14:paraId="2ABD6EE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0.422</w:t>
            </w:r>
          </w:p>
        </w:tc>
      </w:tr>
      <w:tr w:rsidR="00B347BB" w:rsidRPr="00A2480B" w14:paraId="3733D99A"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567DF26A"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r w:rsidRPr="00A2480B">
              <w:rPr>
                <w:rFonts w:eastAsia="Times New Roman" w:cs="Open Sans Light"/>
                <w:color w:val="000000"/>
                <w:sz w:val="16"/>
                <w:szCs w:val="16"/>
                <w:lang w:eastAsia="en-AU"/>
              </w:rPr>
              <w:t>R2 Adj.</w:t>
            </w:r>
          </w:p>
        </w:tc>
        <w:tc>
          <w:tcPr>
            <w:tcW w:w="759" w:type="dxa"/>
            <w:tcBorders>
              <w:top w:val="single" w:sz="4" w:space="0" w:color="ADD6EA"/>
              <w:left w:val="nil"/>
              <w:bottom w:val="nil"/>
              <w:right w:val="nil"/>
            </w:tcBorders>
            <w:shd w:val="clear" w:color="auto" w:fill="auto"/>
            <w:vAlign w:val="bottom"/>
            <w:hideMark/>
          </w:tcPr>
          <w:p w14:paraId="38C9B3F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0.615</w:t>
            </w:r>
          </w:p>
        </w:tc>
        <w:tc>
          <w:tcPr>
            <w:tcW w:w="842" w:type="dxa"/>
            <w:tcBorders>
              <w:top w:val="single" w:sz="4" w:space="0" w:color="ADD6EA"/>
              <w:left w:val="nil"/>
              <w:bottom w:val="nil"/>
              <w:right w:val="nil"/>
            </w:tcBorders>
            <w:shd w:val="clear" w:color="auto" w:fill="auto"/>
            <w:vAlign w:val="bottom"/>
            <w:hideMark/>
          </w:tcPr>
          <w:p w14:paraId="2D0A9E7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0.615</w:t>
            </w:r>
          </w:p>
        </w:tc>
        <w:tc>
          <w:tcPr>
            <w:tcW w:w="1123" w:type="dxa"/>
            <w:tcBorders>
              <w:top w:val="single" w:sz="4" w:space="0" w:color="ADD6EA"/>
              <w:left w:val="nil"/>
              <w:bottom w:val="nil"/>
              <w:right w:val="nil"/>
            </w:tcBorders>
            <w:shd w:val="clear" w:color="auto" w:fill="auto"/>
            <w:vAlign w:val="bottom"/>
            <w:hideMark/>
          </w:tcPr>
          <w:p w14:paraId="0B6E25DB"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0.616</w:t>
            </w:r>
          </w:p>
        </w:tc>
        <w:tc>
          <w:tcPr>
            <w:tcW w:w="886" w:type="dxa"/>
            <w:tcBorders>
              <w:top w:val="single" w:sz="4" w:space="0" w:color="ADD6EA"/>
              <w:left w:val="nil"/>
              <w:bottom w:val="nil"/>
              <w:right w:val="nil"/>
            </w:tcBorders>
            <w:shd w:val="clear" w:color="auto" w:fill="auto"/>
            <w:vAlign w:val="bottom"/>
            <w:hideMark/>
          </w:tcPr>
          <w:p w14:paraId="1BAF083F"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0.729</w:t>
            </w:r>
          </w:p>
        </w:tc>
        <w:tc>
          <w:tcPr>
            <w:tcW w:w="999" w:type="dxa"/>
            <w:tcBorders>
              <w:top w:val="single" w:sz="4" w:space="0" w:color="ADD6EA"/>
              <w:left w:val="nil"/>
              <w:bottom w:val="nil"/>
              <w:right w:val="nil"/>
            </w:tcBorders>
            <w:shd w:val="clear" w:color="auto" w:fill="auto"/>
            <w:vAlign w:val="bottom"/>
            <w:hideMark/>
          </w:tcPr>
          <w:p w14:paraId="24DC0984"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0.740</w:t>
            </w:r>
          </w:p>
        </w:tc>
        <w:tc>
          <w:tcPr>
            <w:tcW w:w="842" w:type="dxa"/>
            <w:tcBorders>
              <w:top w:val="single" w:sz="4" w:space="0" w:color="ADD6EA"/>
              <w:left w:val="nil"/>
              <w:bottom w:val="nil"/>
              <w:right w:val="nil"/>
            </w:tcBorders>
            <w:shd w:val="clear" w:color="auto" w:fill="auto"/>
            <w:vAlign w:val="bottom"/>
            <w:hideMark/>
          </w:tcPr>
          <w:p w14:paraId="2865E26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0.413</w:t>
            </w:r>
          </w:p>
        </w:tc>
        <w:tc>
          <w:tcPr>
            <w:tcW w:w="1051" w:type="dxa"/>
            <w:tcBorders>
              <w:top w:val="single" w:sz="4" w:space="0" w:color="ADD6EA"/>
              <w:left w:val="nil"/>
              <w:bottom w:val="nil"/>
              <w:right w:val="nil"/>
            </w:tcBorders>
            <w:shd w:val="clear" w:color="auto" w:fill="auto"/>
            <w:vAlign w:val="bottom"/>
            <w:hideMark/>
          </w:tcPr>
          <w:p w14:paraId="67AA330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0.413</w:t>
            </w:r>
          </w:p>
        </w:tc>
        <w:tc>
          <w:tcPr>
            <w:tcW w:w="897" w:type="dxa"/>
            <w:tcBorders>
              <w:top w:val="single" w:sz="4" w:space="0" w:color="ADD6EA"/>
              <w:left w:val="nil"/>
              <w:bottom w:val="nil"/>
              <w:right w:val="nil"/>
            </w:tcBorders>
            <w:shd w:val="clear" w:color="auto" w:fill="auto"/>
            <w:vAlign w:val="bottom"/>
            <w:hideMark/>
          </w:tcPr>
          <w:p w14:paraId="077539B7"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0.416</w:t>
            </w:r>
          </w:p>
        </w:tc>
      </w:tr>
      <w:tr w:rsidR="00B347BB" w:rsidRPr="00A2480B" w14:paraId="46F1C0B5"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5B2FC4A8"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r w:rsidRPr="00A2480B">
              <w:rPr>
                <w:rFonts w:eastAsia="Times New Roman" w:cs="Open Sans Light"/>
                <w:color w:val="000000"/>
                <w:sz w:val="16"/>
                <w:szCs w:val="16"/>
                <w:lang w:eastAsia="en-AU"/>
              </w:rPr>
              <w:t>AIC</w:t>
            </w:r>
          </w:p>
        </w:tc>
        <w:tc>
          <w:tcPr>
            <w:tcW w:w="759" w:type="dxa"/>
            <w:tcBorders>
              <w:top w:val="single" w:sz="4" w:space="0" w:color="ADD6EA"/>
              <w:left w:val="nil"/>
              <w:bottom w:val="nil"/>
              <w:right w:val="nil"/>
            </w:tcBorders>
            <w:shd w:val="clear" w:color="auto" w:fill="auto"/>
            <w:vAlign w:val="bottom"/>
            <w:hideMark/>
          </w:tcPr>
          <w:p w14:paraId="5298477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127,655</w:t>
            </w:r>
          </w:p>
        </w:tc>
        <w:tc>
          <w:tcPr>
            <w:tcW w:w="842" w:type="dxa"/>
            <w:tcBorders>
              <w:top w:val="single" w:sz="4" w:space="0" w:color="ADD6EA"/>
              <w:left w:val="nil"/>
              <w:bottom w:val="nil"/>
              <w:right w:val="nil"/>
            </w:tcBorders>
            <w:shd w:val="clear" w:color="auto" w:fill="auto"/>
            <w:vAlign w:val="bottom"/>
            <w:hideMark/>
          </w:tcPr>
          <w:p w14:paraId="36FA38F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127,643</w:t>
            </w:r>
          </w:p>
        </w:tc>
        <w:tc>
          <w:tcPr>
            <w:tcW w:w="1123" w:type="dxa"/>
            <w:tcBorders>
              <w:top w:val="single" w:sz="4" w:space="0" w:color="ADD6EA"/>
              <w:left w:val="nil"/>
              <w:bottom w:val="nil"/>
              <w:right w:val="nil"/>
            </w:tcBorders>
            <w:shd w:val="clear" w:color="auto" w:fill="auto"/>
            <w:vAlign w:val="bottom"/>
            <w:hideMark/>
          </w:tcPr>
          <w:p w14:paraId="3867E69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127,405</w:t>
            </w:r>
          </w:p>
        </w:tc>
        <w:tc>
          <w:tcPr>
            <w:tcW w:w="886" w:type="dxa"/>
            <w:tcBorders>
              <w:top w:val="single" w:sz="4" w:space="0" w:color="ADD6EA"/>
              <w:left w:val="nil"/>
              <w:bottom w:val="nil"/>
              <w:right w:val="nil"/>
            </w:tcBorders>
            <w:shd w:val="clear" w:color="auto" w:fill="auto"/>
            <w:vAlign w:val="bottom"/>
            <w:hideMark/>
          </w:tcPr>
          <w:p w14:paraId="05063C06"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98,793</w:t>
            </w:r>
          </w:p>
        </w:tc>
        <w:tc>
          <w:tcPr>
            <w:tcW w:w="999" w:type="dxa"/>
            <w:tcBorders>
              <w:top w:val="single" w:sz="4" w:space="0" w:color="ADD6EA"/>
              <w:left w:val="nil"/>
              <w:bottom w:val="nil"/>
              <w:right w:val="nil"/>
            </w:tcBorders>
            <w:shd w:val="clear" w:color="auto" w:fill="auto"/>
            <w:vAlign w:val="bottom"/>
            <w:hideMark/>
          </w:tcPr>
          <w:p w14:paraId="5B396DBF"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95,402</w:t>
            </w:r>
          </w:p>
        </w:tc>
        <w:tc>
          <w:tcPr>
            <w:tcW w:w="842" w:type="dxa"/>
            <w:tcBorders>
              <w:top w:val="single" w:sz="4" w:space="0" w:color="ADD6EA"/>
              <w:left w:val="nil"/>
              <w:bottom w:val="nil"/>
              <w:right w:val="nil"/>
            </w:tcBorders>
            <w:shd w:val="clear" w:color="auto" w:fill="auto"/>
            <w:vAlign w:val="bottom"/>
            <w:hideMark/>
          </w:tcPr>
          <w:p w14:paraId="453421B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95,400</w:t>
            </w:r>
          </w:p>
        </w:tc>
        <w:tc>
          <w:tcPr>
            <w:tcW w:w="1051" w:type="dxa"/>
            <w:tcBorders>
              <w:top w:val="single" w:sz="4" w:space="0" w:color="ADD6EA"/>
              <w:left w:val="nil"/>
              <w:bottom w:val="nil"/>
              <w:right w:val="nil"/>
            </w:tcBorders>
            <w:shd w:val="clear" w:color="auto" w:fill="auto"/>
            <w:vAlign w:val="bottom"/>
            <w:hideMark/>
          </w:tcPr>
          <w:p w14:paraId="7BFF11F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95,426</w:t>
            </w:r>
          </w:p>
        </w:tc>
        <w:tc>
          <w:tcPr>
            <w:tcW w:w="897" w:type="dxa"/>
            <w:tcBorders>
              <w:top w:val="single" w:sz="4" w:space="0" w:color="ADD6EA"/>
              <w:left w:val="nil"/>
              <w:bottom w:val="nil"/>
              <w:right w:val="nil"/>
            </w:tcBorders>
            <w:shd w:val="clear" w:color="auto" w:fill="auto"/>
            <w:vAlign w:val="bottom"/>
            <w:hideMark/>
          </w:tcPr>
          <w:p w14:paraId="03614DC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95,068</w:t>
            </w:r>
          </w:p>
        </w:tc>
      </w:tr>
      <w:tr w:rsidR="00B347BB" w:rsidRPr="00A2480B" w14:paraId="587E216D"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437AAB6E"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r w:rsidRPr="00A2480B">
              <w:rPr>
                <w:rFonts w:eastAsia="Times New Roman" w:cs="Open Sans Light"/>
                <w:color w:val="000000"/>
                <w:sz w:val="16"/>
                <w:szCs w:val="16"/>
                <w:lang w:eastAsia="en-AU"/>
              </w:rPr>
              <w:t>BIC</w:t>
            </w:r>
          </w:p>
        </w:tc>
        <w:tc>
          <w:tcPr>
            <w:tcW w:w="759" w:type="dxa"/>
            <w:tcBorders>
              <w:top w:val="single" w:sz="4" w:space="0" w:color="ADD6EA"/>
              <w:left w:val="nil"/>
              <w:bottom w:val="nil"/>
              <w:right w:val="nil"/>
            </w:tcBorders>
            <w:shd w:val="clear" w:color="auto" w:fill="auto"/>
            <w:vAlign w:val="bottom"/>
            <w:hideMark/>
          </w:tcPr>
          <w:p w14:paraId="540F865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135,332</w:t>
            </w:r>
          </w:p>
        </w:tc>
        <w:tc>
          <w:tcPr>
            <w:tcW w:w="842" w:type="dxa"/>
            <w:tcBorders>
              <w:top w:val="single" w:sz="4" w:space="0" w:color="ADD6EA"/>
              <w:left w:val="nil"/>
              <w:bottom w:val="nil"/>
              <w:right w:val="nil"/>
            </w:tcBorders>
            <w:shd w:val="clear" w:color="auto" w:fill="auto"/>
            <w:vAlign w:val="bottom"/>
            <w:hideMark/>
          </w:tcPr>
          <w:p w14:paraId="72A14FE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135,265</w:t>
            </w:r>
          </w:p>
        </w:tc>
        <w:tc>
          <w:tcPr>
            <w:tcW w:w="1123" w:type="dxa"/>
            <w:tcBorders>
              <w:top w:val="single" w:sz="4" w:space="0" w:color="ADD6EA"/>
              <w:left w:val="nil"/>
              <w:bottom w:val="nil"/>
              <w:right w:val="nil"/>
            </w:tcBorders>
            <w:shd w:val="clear" w:color="auto" w:fill="auto"/>
            <w:vAlign w:val="bottom"/>
            <w:hideMark/>
          </w:tcPr>
          <w:p w14:paraId="3182653F"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135,343</w:t>
            </w:r>
          </w:p>
        </w:tc>
        <w:tc>
          <w:tcPr>
            <w:tcW w:w="886" w:type="dxa"/>
            <w:tcBorders>
              <w:top w:val="single" w:sz="4" w:space="0" w:color="ADD6EA"/>
              <w:left w:val="nil"/>
              <w:bottom w:val="nil"/>
              <w:right w:val="nil"/>
            </w:tcBorders>
            <w:shd w:val="clear" w:color="auto" w:fill="auto"/>
            <w:vAlign w:val="bottom"/>
            <w:hideMark/>
          </w:tcPr>
          <w:p w14:paraId="7272FB2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106,470</w:t>
            </w:r>
          </w:p>
        </w:tc>
        <w:tc>
          <w:tcPr>
            <w:tcW w:w="999" w:type="dxa"/>
            <w:tcBorders>
              <w:top w:val="single" w:sz="4" w:space="0" w:color="ADD6EA"/>
              <w:left w:val="nil"/>
              <w:bottom w:val="nil"/>
              <w:right w:val="nil"/>
            </w:tcBorders>
            <w:shd w:val="clear" w:color="auto" w:fill="auto"/>
            <w:vAlign w:val="bottom"/>
            <w:hideMark/>
          </w:tcPr>
          <w:p w14:paraId="4018E147"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103,135</w:t>
            </w:r>
          </w:p>
        </w:tc>
        <w:tc>
          <w:tcPr>
            <w:tcW w:w="842" w:type="dxa"/>
            <w:tcBorders>
              <w:top w:val="single" w:sz="4" w:space="0" w:color="ADD6EA"/>
              <w:left w:val="nil"/>
              <w:bottom w:val="nil"/>
              <w:right w:val="nil"/>
            </w:tcBorders>
            <w:shd w:val="clear" w:color="auto" w:fill="auto"/>
            <w:vAlign w:val="bottom"/>
            <w:hideMark/>
          </w:tcPr>
          <w:p w14:paraId="158734F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103,133</w:t>
            </w:r>
          </w:p>
        </w:tc>
        <w:tc>
          <w:tcPr>
            <w:tcW w:w="1051" w:type="dxa"/>
            <w:tcBorders>
              <w:top w:val="single" w:sz="4" w:space="0" w:color="ADD6EA"/>
              <w:left w:val="nil"/>
              <w:bottom w:val="nil"/>
              <w:right w:val="nil"/>
            </w:tcBorders>
            <w:shd w:val="clear" w:color="auto" w:fill="auto"/>
            <w:vAlign w:val="bottom"/>
            <w:hideMark/>
          </w:tcPr>
          <w:p w14:paraId="7F06B45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103,141</w:t>
            </w:r>
          </w:p>
        </w:tc>
        <w:tc>
          <w:tcPr>
            <w:tcW w:w="897" w:type="dxa"/>
            <w:tcBorders>
              <w:top w:val="single" w:sz="4" w:space="0" w:color="ADD6EA"/>
              <w:left w:val="nil"/>
              <w:bottom w:val="nil"/>
              <w:right w:val="nil"/>
            </w:tcBorders>
            <w:shd w:val="clear" w:color="auto" w:fill="auto"/>
            <w:vAlign w:val="bottom"/>
            <w:hideMark/>
          </w:tcPr>
          <w:p w14:paraId="3F41C06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102,988</w:t>
            </w:r>
          </w:p>
        </w:tc>
      </w:tr>
      <w:tr w:rsidR="00B347BB" w:rsidRPr="00A2480B" w14:paraId="7031B0D3" w14:textId="77777777" w:rsidTr="002B38EB">
        <w:trPr>
          <w:trHeight w:val="315"/>
        </w:trPr>
        <w:tc>
          <w:tcPr>
            <w:tcW w:w="1560" w:type="dxa"/>
            <w:tcBorders>
              <w:top w:val="single" w:sz="4" w:space="0" w:color="ADD6EA"/>
              <w:left w:val="nil"/>
              <w:bottom w:val="nil"/>
              <w:right w:val="nil"/>
            </w:tcBorders>
            <w:shd w:val="clear" w:color="auto" w:fill="auto"/>
            <w:vAlign w:val="bottom"/>
            <w:hideMark/>
          </w:tcPr>
          <w:p w14:paraId="79D54AC8"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proofErr w:type="spellStart"/>
            <w:r w:rsidRPr="00A2480B">
              <w:rPr>
                <w:rFonts w:eastAsia="Times New Roman" w:cs="Open Sans Light"/>
                <w:color w:val="000000"/>
                <w:sz w:val="16"/>
                <w:szCs w:val="16"/>
                <w:lang w:eastAsia="en-AU"/>
              </w:rPr>
              <w:t>Log.Lik</w:t>
            </w:r>
            <w:proofErr w:type="spellEnd"/>
            <w:r w:rsidRPr="00A2480B">
              <w:rPr>
                <w:rFonts w:eastAsia="Times New Roman" w:cs="Open Sans Light"/>
                <w:color w:val="000000"/>
                <w:sz w:val="16"/>
                <w:szCs w:val="16"/>
                <w:lang w:eastAsia="en-AU"/>
              </w:rPr>
              <w:t>.</w:t>
            </w:r>
          </w:p>
        </w:tc>
        <w:tc>
          <w:tcPr>
            <w:tcW w:w="759" w:type="dxa"/>
            <w:tcBorders>
              <w:top w:val="single" w:sz="4" w:space="0" w:color="ADD6EA"/>
              <w:left w:val="nil"/>
              <w:bottom w:val="nil"/>
              <w:right w:val="nil"/>
            </w:tcBorders>
            <w:shd w:val="clear" w:color="auto" w:fill="auto"/>
            <w:vAlign w:val="bottom"/>
            <w:hideMark/>
          </w:tcPr>
          <w:p w14:paraId="06A2C1F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-63,003</w:t>
            </w:r>
          </w:p>
        </w:tc>
        <w:tc>
          <w:tcPr>
            <w:tcW w:w="842" w:type="dxa"/>
            <w:tcBorders>
              <w:top w:val="single" w:sz="4" w:space="0" w:color="ADD6EA"/>
              <w:left w:val="nil"/>
              <w:bottom w:val="nil"/>
              <w:right w:val="nil"/>
            </w:tcBorders>
            <w:shd w:val="clear" w:color="auto" w:fill="auto"/>
            <w:vAlign w:val="bottom"/>
            <w:hideMark/>
          </w:tcPr>
          <w:p w14:paraId="2CF8A69B"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-63,004</w:t>
            </w:r>
          </w:p>
        </w:tc>
        <w:tc>
          <w:tcPr>
            <w:tcW w:w="1123" w:type="dxa"/>
            <w:tcBorders>
              <w:top w:val="single" w:sz="4" w:space="0" w:color="ADD6EA"/>
              <w:left w:val="nil"/>
              <w:bottom w:val="nil"/>
              <w:right w:val="nil"/>
            </w:tcBorders>
            <w:shd w:val="clear" w:color="auto" w:fill="auto"/>
            <w:vAlign w:val="bottom"/>
            <w:hideMark/>
          </w:tcPr>
          <w:p w14:paraId="5A1C5BC7"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-62,850</w:t>
            </w:r>
          </w:p>
        </w:tc>
        <w:tc>
          <w:tcPr>
            <w:tcW w:w="886" w:type="dxa"/>
            <w:tcBorders>
              <w:top w:val="single" w:sz="4" w:space="0" w:color="ADD6EA"/>
              <w:left w:val="nil"/>
              <w:bottom w:val="nil"/>
              <w:right w:val="nil"/>
            </w:tcBorders>
            <w:shd w:val="clear" w:color="auto" w:fill="auto"/>
            <w:vAlign w:val="bottom"/>
            <w:hideMark/>
          </w:tcPr>
          <w:p w14:paraId="0CF9C879"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-48,572</w:t>
            </w:r>
          </w:p>
        </w:tc>
        <w:tc>
          <w:tcPr>
            <w:tcW w:w="999" w:type="dxa"/>
            <w:tcBorders>
              <w:top w:val="single" w:sz="4" w:space="0" w:color="ADD6EA"/>
              <w:left w:val="nil"/>
              <w:bottom w:val="nil"/>
              <w:right w:val="nil"/>
            </w:tcBorders>
            <w:shd w:val="clear" w:color="auto" w:fill="auto"/>
            <w:vAlign w:val="bottom"/>
            <w:hideMark/>
          </w:tcPr>
          <w:p w14:paraId="658C820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-46,871</w:t>
            </w:r>
          </w:p>
        </w:tc>
        <w:tc>
          <w:tcPr>
            <w:tcW w:w="842" w:type="dxa"/>
            <w:tcBorders>
              <w:top w:val="single" w:sz="4" w:space="0" w:color="ADD6EA"/>
              <w:left w:val="nil"/>
              <w:bottom w:val="nil"/>
              <w:right w:val="nil"/>
            </w:tcBorders>
            <w:shd w:val="clear" w:color="auto" w:fill="auto"/>
            <w:vAlign w:val="bottom"/>
            <w:hideMark/>
          </w:tcPr>
          <w:p w14:paraId="5A64351B"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-46,870</w:t>
            </w:r>
          </w:p>
        </w:tc>
        <w:tc>
          <w:tcPr>
            <w:tcW w:w="1051" w:type="dxa"/>
            <w:tcBorders>
              <w:top w:val="single" w:sz="4" w:space="0" w:color="ADD6EA"/>
              <w:left w:val="nil"/>
              <w:bottom w:val="nil"/>
              <w:right w:val="nil"/>
            </w:tcBorders>
            <w:shd w:val="clear" w:color="auto" w:fill="auto"/>
            <w:vAlign w:val="bottom"/>
            <w:hideMark/>
          </w:tcPr>
          <w:p w14:paraId="5156375B"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-46,885</w:t>
            </w:r>
          </w:p>
        </w:tc>
        <w:tc>
          <w:tcPr>
            <w:tcW w:w="897" w:type="dxa"/>
            <w:tcBorders>
              <w:top w:val="single" w:sz="4" w:space="0" w:color="ADD6EA"/>
              <w:left w:val="nil"/>
              <w:bottom w:val="nil"/>
              <w:right w:val="nil"/>
            </w:tcBorders>
            <w:shd w:val="clear" w:color="auto" w:fill="auto"/>
            <w:vAlign w:val="bottom"/>
            <w:hideMark/>
          </w:tcPr>
          <w:p w14:paraId="73968322"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-46,684</w:t>
            </w:r>
          </w:p>
        </w:tc>
      </w:tr>
      <w:tr w:rsidR="00B347BB" w:rsidRPr="00A2480B" w14:paraId="7F0A352E" w14:textId="77777777" w:rsidTr="002B38EB">
        <w:trPr>
          <w:trHeight w:val="315"/>
        </w:trPr>
        <w:tc>
          <w:tcPr>
            <w:tcW w:w="1560" w:type="dxa"/>
            <w:tcBorders>
              <w:top w:val="single" w:sz="4" w:space="0" w:color="ADD6EA"/>
              <w:left w:val="nil"/>
              <w:bottom w:val="single" w:sz="4" w:space="0" w:color="ADD6EA"/>
              <w:right w:val="nil"/>
            </w:tcBorders>
            <w:shd w:val="clear" w:color="auto" w:fill="auto"/>
            <w:vAlign w:val="bottom"/>
            <w:hideMark/>
          </w:tcPr>
          <w:p w14:paraId="3D598A0F" w14:textId="77777777" w:rsidR="00B347BB" w:rsidRPr="00A2480B" w:rsidRDefault="00B347BB" w:rsidP="00B347BB">
            <w:pPr>
              <w:keepNext/>
              <w:keepLines/>
              <w:tabs>
                <w:tab w:val="clear" w:pos="567"/>
              </w:tabs>
              <w:spacing w:before="0" w:line="240" w:lineRule="auto"/>
              <w:rPr>
                <w:rFonts w:eastAsia="Times New Roman" w:cs="Open Sans Light"/>
                <w:color w:val="000000"/>
                <w:sz w:val="16"/>
                <w:szCs w:val="16"/>
                <w:lang w:eastAsia="en-AU"/>
              </w:rPr>
            </w:pPr>
            <w:r w:rsidRPr="00A2480B">
              <w:rPr>
                <w:rFonts w:eastAsia="Times New Roman" w:cs="Open Sans Light"/>
                <w:color w:val="000000"/>
                <w:sz w:val="16"/>
                <w:szCs w:val="16"/>
                <w:lang w:eastAsia="en-AU"/>
              </w:rPr>
              <w:t>RMSE</w:t>
            </w:r>
          </w:p>
        </w:tc>
        <w:tc>
          <w:tcPr>
            <w:tcW w:w="759" w:type="dxa"/>
            <w:tcBorders>
              <w:top w:val="single" w:sz="4" w:space="0" w:color="ADD6EA"/>
              <w:left w:val="nil"/>
              <w:bottom w:val="single" w:sz="4" w:space="0" w:color="ADD6EA"/>
              <w:right w:val="nil"/>
            </w:tcBorders>
            <w:shd w:val="clear" w:color="auto" w:fill="auto"/>
            <w:vAlign w:val="bottom"/>
            <w:hideMark/>
          </w:tcPr>
          <w:p w14:paraId="2F124195"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0.48</w:t>
            </w:r>
          </w:p>
        </w:tc>
        <w:tc>
          <w:tcPr>
            <w:tcW w:w="842" w:type="dxa"/>
            <w:tcBorders>
              <w:top w:val="single" w:sz="4" w:space="0" w:color="ADD6EA"/>
              <w:left w:val="nil"/>
              <w:bottom w:val="single" w:sz="4" w:space="0" w:color="ADD6EA"/>
              <w:right w:val="nil"/>
            </w:tcBorders>
            <w:shd w:val="clear" w:color="auto" w:fill="auto"/>
            <w:vAlign w:val="bottom"/>
            <w:hideMark/>
          </w:tcPr>
          <w:p w14:paraId="6A6ACCB0"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0.48</w:t>
            </w:r>
          </w:p>
        </w:tc>
        <w:tc>
          <w:tcPr>
            <w:tcW w:w="1123" w:type="dxa"/>
            <w:tcBorders>
              <w:top w:val="single" w:sz="4" w:space="0" w:color="ADD6EA"/>
              <w:left w:val="nil"/>
              <w:bottom w:val="single" w:sz="4" w:space="0" w:color="ADD6EA"/>
              <w:right w:val="nil"/>
            </w:tcBorders>
            <w:shd w:val="clear" w:color="auto" w:fill="auto"/>
            <w:vAlign w:val="bottom"/>
            <w:hideMark/>
          </w:tcPr>
          <w:p w14:paraId="1E3B7ACB"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0.48</w:t>
            </w:r>
          </w:p>
        </w:tc>
        <w:tc>
          <w:tcPr>
            <w:tcW w:w="886" w:type="dxa"/>
            <w:tcBorders>
              <w:top w:val="single" w:sz="4" w:space="0" w:color="ADD6EA"/>
              <w:left w:val="nil"/>
              <w:bottom w:val="single" w:sz="4" w:space="0" w:color="ADD6EA"/>
              <w:right w:val="nil"/>
            </w:tcBorders>
            <w:shd w:val="clear" w:color="auto" w:fill="auto"/>
            <w:vAlign w:val="bottom"/>
            <w:hideMark/>
          </w:tcPr>
          <w:p w14:paraId="6AE28513"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0.40</w:t>
            </w:r>
          </w:p>
        </w:tc>
        <w:tc>
          <w:tcPr>
            <w:tcW w:w="999" w:type="dxa"/>
            <w:tcBorders>
              <w:top w:val="single" w:sz="4" w:space="0" w:color="ADD6EA"/>
              <w:left w:val="nil"/>
              <w:bottom w:val="single" w:sz="4" w:space="0" w:color="ADD6EA"/>
              <w:right w:val="nil"/>
            </w:tcBorders>
            <w:shd w:val="clear" w:color="auto" w:fill="auto"/>
            <w:vAlign w:val="bottom"/>
            <w:hideMark/>
          </w:tcPr>
          <w:p w14:paraId="0F18271C"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0.40</w:t>
            </w:r>
          </w:p>
        </w:tc>
        <w:tc>
          <w:tcPr>
            <w:tcW w:w="842" w:type="dxa"/>
            <w:tcBorders>
              <w:top w:val="single" w:sz="4" w:space="0" w:color="ADD6EA"/>
              <w:left w:val="nil"/>
              <w:bottom w:val="single" w:sz="4" w:space="0" w:color="ADD6EA"/>
              <w:right w:val="nil"/>
            </w:tcBorders>
            <w:shd w:val="clear" w:color="auto" w:fill="auto"/>
            <w:vAlign w:val="bottom"/>
            <w:hideMark/>
          </w:tcPr>
          <w:p w14:paraId="2CA124BB"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0.40</w:t>
            </w:r>
          </w:p>
        </w:tc>
        <w:tc>
          <w:tcPr>
            <w:tcW w:w="1051" w:type="dxa"/>
            <w:tcBorders>
              <w:top w:val="single" w:sz="4" w:space="0" w:color="ADD6EA"/>
              <w:left w:val="nil"/>
              <w:bottom w:val="single" w:sz="4" w:space="0" w:color="ADD6EA"/>
              <w:right w:val="nil"/>
            </w:tcBorders>
            <w:shd w:val="clear" w:color="auto" w:fill="auto"/>
            <w:vAlign w:val="bottom"/>
            <w:hideMark/>
          </w:tcPr>
          <w:p w14:paraId="3D0ADF51"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0.40</w:t>
            </w:r>
          </w:p>
        </w:tc>
        <w:tc>
          <w:tcPr>
            <w:tcW w:w="897" w:type="dxa"/>
            <w:tcBorders>
              <w:top w:val="single" w:sz="4" w:space="0" w:color="ADD6EA"/>
              <w:left w:val="nil"/>
              <w:bottom w:val="single" w:sz="4" w:space="0" w:color="ADD6EA"/>
              <w:right w:val="nil"/>
            </w:tcBorders>
            <w:shd w:val="clear" w:color="auto" w:fill="auto"/>
            <w:vAlign w:val="bottom"/>
            <w:hideMark/>
          </w:tcPr>
          <w:p w14:paraId="652607E8" w14:textId="77777777" w:rsidR="00B347BB" w:rsidRPr="00A2480B" w:rsidRDefault="00B347BB" w:rsidP="00B347BB">
            <w:pPr>
              <w:keepNext/>
              <w:keepLines/>
              <w:tabs>
                <w:tab w:val="clear" w:pos="567"/>
              </w:tabs>
              <w:spacing w:before="0" w:line="240" w:lineRule="auto"/>
              <w:jc w:val="right"/>
              <w:rPr>
                <w:rFonts w:eastAsia="Times New Roman" w:cs="Open Sans Light"/>
                <w:color w:val="000000"/>
                <w:sz w:val="16"/>
                <w:szCs w:val="16"/>
                <w:lang w:eastAsia="en-AU"/>
              </w:rPr>
            </w:pPr>
            <w:r w:rsidRPr="00A2480B">
              <w:rPr>
                <w:rFonts w:eastAsia="Times New Roman" w:cs="Open Sans Light"/>
                <w:color w:val="000000"/>
                <w:sz w:val="16"/>
                <w:szCs w:val="16"/>
                <w:lang w:eastAsia="en-AU"/>
              </w:rPr>
              <w:t>0.39</w:t>
            </w:r>
          </w:p>
        </w:tc>
      </w:tr>
    </w:tbl>
    <w:p w14:paraId="45A7271D" w14:textId="07EFFE1B" w:rsidR="00B347BB" w:rsidRDefault="00B347BB" w:rsidP="00B347BB">
      <w:pPr>
        <w:pStyle w:val="CGC2025TableNote"/>
      </w:pPr>
      <w:r>
        <w:t>Note:</w:t>
      </w:r>
      <w:r>
        <w:tab/>
      </w:r>
      <w:r>
        <w:tab/>
        <w:t xml:space="preserve">All 8 models contain around 300 additional variables not shown </w:t>
      </w:r>
      <w:r w:rsidR="00997DED">
        <w:t>here but</w:t>
      </w:r>
      <w:r>
        <w:t xml:space="preserve"> described in </w:t>
      </w:r>
      <w:r>
        <w:fldChar w:fldCharType="begin"/>
      </w:r>
      <w:r>
        <w:instrText xml:space="preserve"> REF _Ref134515845 \h  \* MERGEFORMAT </w:instrText>
      </w:r>
      <w:r>
        <w:fldChar w:fldCharType="separate"/>
      </w:r>
      <w:r w:rsidR="00BC30E2">
        <w:t xml:space="preserve">Table </w:t>
      </w:r>
      <w:r w:rsidR="00BC30E2">
        <w:rPr>
          <w:noProof/>
        </w:rPr>
        <w:t>2</w:t>
      </w:r>
      <w:r>
        <w:fldChar w:fldCharType="end"/>
      </w:r>
      <w:r w:rsidR="00097DAA">
        <w:t>.</w:t>
      </w:r>
    </w:p>
    <w:p w14:paraId="76DE2592" w14:textId="49170B63" w:rsidR="00097DAA" w:rsidRDefault="00097DAA" w:rsidP="007441D1">
      <w:pPr>
        <w:pStyle w:val="CGC2025TableNote"/>
      </w:pPr>
      <w:r>
        <w:t xml:space="preserve">Source: Commission calculation. </w:t>
      </w:r>
    </w:p>
    <w:p w14:paraId="5EA4A150" w14:textId="0221D4F1" w:rsidR="008D60AF" w:rsidRPr="00C359C9" w:rsidRDefault="008D60AF" w:rsidP="008D60AF">
      <w:pPr>
        <w:pStyle w:val="CGC2025ParaNumbers"/>
      </w:pPr>
      <w:r>
        <w:lastRenderedPageBreak/>
        <w:t xml:space="preserve">‘Tenure’ refers to the 2020 model but with the categorical tenure variables replaced with the single continuous tenure measure. ‘Experience’ refers to the 2020 model but with the imputed work experience replaced with interactions between age and education. ‘Paid </w:t>
      </w:r>
      <w:r w:rsidR="00341B09">
        <w:t>h</w:t>
      </w:r>
      <w:r>
        <w:t xml:space="preserve">ours’ replaces usual hours with paid hours in the original model. ‘Respecify </w:t>
      </w:r>
      <w:r w:rsidR="00341B09">
        <w:t>h</w:t>
      </w:r>
      <w:r>
        <w:t xml:space="preserve">ours’ replaces the discontinuity in the </w:t>
      </w:r>
      <w:proofErr w:type="gramStart"/>
      <w:r>
        <w:t>hours</w:t>
      </w:r>
      <w:proofErr w:type="gramEnd"/>
      <w:r>
        <w:t xml:space="preserve"> specification with linear, quadratic and interaction terms for both paid and usual hours. ‘Hourly wages’ is the same specification as ‘</w:t>
      </w:r>
      <w:r w:rsidR="003074AC">
        <w:t>R</w:t>
      </w:r>
      <w:r>
        <w:t xml:space="preserve">especify </w:t>
      </w:r>
      <w:r w:rsidR="003074AC">
        <w:t>h</w:t>
      </w:r>
      <w:r>
        <w:t>ours’ except with hourly wage rather than weekly wage as the dependent variable for the model. ‘No log(hours)’ is the same model as ‘</w:t>
      </w:r>
      <w:r w:rsidDel="00037A9B">
        <w:t>H</w:t>
      </w:r>
      <w:r>
        <w:t>ourly wages’, with the log(hours) term dropped. ‘All changes’ is the final proposed model.</w:t>
      </w:r>
    </w:p>
    <w:p w14:paraId="6CCD6B81" w14:textId="77777777" w:rsidR="008D60AF" w:rsidRDefault="008D60AF" w:rsidP="008D60AF">
      <w:pPr>
        <w:pStyle w:val="Heading3"/>
      </w:pPr>
      <w:bookmarkStart w:id="113" w:name="_Toc135750685"/>
      <w:bookmarkStart w:id="114" w:name="_Toc138158983"/>
      <w:r>
        <w:t>Hourly wages specification and R-squared</w:t>
      </w:r>
      <w:bookmarkEnd w:id="113"/>
      <w:bookmarkEnd w:id="114"/>
    </w:p>
    <w:p w14:paraId="1FA21952" w14:textId="3B71BBD3" w:rsidR="008D60AF" w:rsidRDefault="008D60AF" w:rsidP="008D60AF">
      <w:pPr>
        <w:pStyle w:val="CGC2025ParaNumbers"/>
      </w:pPr>
      <w:r>
        <w:t>Replacing the weekly wages with hourly wages as the dependent variable decreases R</w:t>
      </w:r>
      <w:r>
        <w:noBreakHyphen/>
        <w:t>squared, since a large amount of variation in weekly wage is explained by hours paid for. In fact, all variation in logarithmic weekly wage over and above logarithmic hourly wage is perfectly explained by the inclusion of a logarithmic hours paid for term. This does not change other coefficient estimates or predictive performance. This can be clearly seen comparing the ‘</w:t>
      </w:r>
      <w:r w:rsidR="00341B09">
        <w:t>R</w:t>
      </w:r>
      <w:r>
        <w:t xml:space="preserve">especify </w:t>
      </w:r>
      <w:r w:rsidR="00341B09">
        <w:t>h</w:t>
      </w:r>
      <w:r>
        <w:t>ours’ and ‘</w:t>
      </w:r>
      <w:r w:rsidDel="003F2034">
        <w:t>H</w:t>
      </w:r>
      <w:r>
        <w:t xml:space="preserve">ourly wages’ columns of </w:t>
      </w:r>
      <w:r>
        <w:fldChar w:fldCharType="begin"/>
      </w:r>
      <w:r>
        <w:instrText xml:space="preserve"> REF _Ref134101804 \h </w:instrText>
      </w:r>
      <w:r>
        <w:fldChar w:fldCharType="separate"/>
      </w:r>
      <w:r w:rsidR="00BC30E2">
        <w:t xml:space="preserve">Table </w:t>
      </w:r>
      <w:r w:rsidR="003F2034">
        <w:t>C</w:t>
      </w:r>
      <w:r w:rsidR="00BC30E2">
        <w:rPr>
          <w:noProof/>
        </w:rPr>
        <w:t>1</w:t>
      </w:r>
      <w:r>
        <w:fldChar w:fldCharType="end"/>
      </w:r>
      <w:r>
        <w:t>. All the coefficients and standard errors are identical between the two models</w:t>
      </w:r>
      <w:r w:rsidR="002947DC">
        <w:t>;</w:t>
      </w:r>
      <w:r>
        <w:t xml:space="preserve"> only the R</w:t>
      </w:r>
      <w:r>
        <w:noBreakHyphen/>
        <w:t>squared has changed.</w:t>
      </w:r>
    </w:p>
    <w:p w14:paraId="28B2102B" w14:textId="77777777" w:rsidR="008D60AF" w:rsidRDefault="008D60AF" w:rsidP="008D60AF">
      <w:pPr>
        <w:pStyle w:val="CGC2025ParaNumbers"/>
      </w:pPr>
      <w:r>
        <w:t xml:space="preserve">It is incorrect to assume that hourly wage models perform worse than weekly wage models. The decrease in R-squared can be interpreted as the variation in weekly wage over and above hourly wage being accounted for in the data construction, instead of by the model. </w:t>
      </w:r>
    </w:p>
    <w:p w14:paraId="52230FFF" w14:textId="77777777" w:rsidR="008D60AF" w:rsidRPr="00AF1F57" w:rsidRDefault="008D60AF" w:rsidP="008D60AF">
      <w:pPr>
        <w:pStyle w:val="Heading3"/>
      </w:pPr>
      <w:bookmarkStart w:id="115" w:name="_Toc135750686"/>
      <w:bookmarkStart w:id="116" w:name="_Toc138158984"/>
      <w:r>
        <w:t>Improved hours specifications</w:t>
      </w:r>
      <w:bookmarkEnd w:id="115"/>
      <w:bookmarkEnd w:id="116"/>
    </w:p>
    <w:p w14:paraId="26298354" w14:textId="77777777" w:rsidR="008D60AF" w:rsidRDefault="008D60AF" w:rsidP="008D60AF">
      <w:pPr>
        <w:pStyle w:val="CGC2025ParaNumbers"/>
      </w:pPr>
      <w:r>
        <w:t>Using hourly wage or weekly wage with log(hours) as a regressor can equivalently explain the direct link between hours worked and wages (by which hours worked only affects weekly wage). By instead predicting hourly wage, we are free to replace log(hours) with other functional forms which better explain secondary effects by which hours worked affects hourly wage.</w:t>
      </w:r>
    </w:p>
    <w:p w14:paraId="219FF141" w14:textId="77777777" w:rsidR="008D60AF" w:rsidRDefault="008D60AF" w:rsidP="008D60AF">
      <w:pPr>
        <w:pStyle w:val="CGC2025ParaNumbers"/>
      </w:pPr>
      <w:r>
        <w:t xml:space="preserve">The current specification of hours uses discontinuous terms typically used in sharp regression discontinuity and </w:t>
      </w:r>
      <w:r w:rsidRPr="000C5E11">
        <w:t xml:space="preserve">is equivalent to only including the interaction terms between log(hours) and high hours/low hours dummies, without including the main effects of high/low hours. </w:t>
      </w:r>
      <w:r>
        <w:t>There is no reason to believe the specification should use regression discontinuity rather than simple non-linearity, or that the dummies’ main effects, the differences in intercept, should be excluded.</w:t>
      </w:r>
    </w:p>
    <w:p w14:paraId="0FF705E3" w14:textId="77777777" w:rsidR="008D60AF" w:rsidRDefault="008D60AF" w:rsidP="008D60AF">
      <w:pPr>
        <w:pStyle w:val="CGC2025ParaNumbers"/>
      </w:pPr>
      <w:r>
        <w:t>There is, however, a conceptual reason to assume the response to an additional hour of work differs for those working very few or many hours. For this reason, it is appropriate to include non-linear terms.</w:t>
      </w:r>
    </w:p>
    <w:p w14:paraId="12A97C95" w14:textId="637BC76D" w:rsidR="008D60AF" w:rsidRDefault="008D60AF" w:rsidP="008D60AF">
      <w:pPr>
        <w:pStyle w:val="CGC2025ParaNumbers"/>
      </w:pPr>
      <w:r>
        <w:lastRenderedPageBreak/>
        <w:t>A simpler approach which improves explanatory power is to include linear, quadratic and interaction terms. As outlined, there are conceptual reasons to believe both ‘</w:t>
      </w:r>
      <w:r w:rsidR="003471C0">
        <w:t>H</w:t>
      </w:r>
      <w:r>
        <w:t>ours usually worked’ and ‘</w:t>
      </w:r>
      <w:r w:rsidR="00D05DFF">
        <w:t>H</w:t>
      </w:r>
      <w:r>
        <w:t>ours covered by payslip’ affect hourly pay at a decreasing marginal rate, and all linear and quadratic terms are significant. This has the benefit that only log-linear or log-quadratic response to covariates is seen in the model (as in the Mincer earnings function), and no log-log response.</w:t>
      </w:r>
    </w:p>
    <w:p w14:paraId="0B1D0C91" w14:textId="3B072ABB" w:rsidR="008D60AF" w:rsidRDefault="008D60AF" w:rsidP="008D60AF">
      <w:pPr>
        <w:pStyle w:val="CGC2025ParaNumbers"/>
      </w:pPr>
      <w:r>
        <w:t>The improvement of model fit between the ‘</w:t>
      </w:r>
      <w:r w:rsidR="007B44F9">
        <w:t>P</w:t>
      </w:r>
      <w:r>
        <w:t xml:space="preserve">aid </w:t>
      </w:r>
      <w:r w:rsidR="007B44F9">
        <w:t>h</w:t>
      </w:r>
      <w:r>
        <w:t>ours’ and the ‘</w:t>
      </w:r>
      <w:r w:rsidR="007B44F9">
        <w:t>R</w:t>
      </w:r>
      <w:r>
        <w:t xml:space="preserve">especify </w:t>
      </w:r>
      <w:r w:rsidR="007B44F9">
        <w:t>h</w:t>
      </w:r>
      <w:r>
        <w:t xml:space="preserve">ours’ model in </w:t>
      </w:r>
      <w:r>
        <w:fldChar w:fldCharType="begin"/>
      </w:r>
      <w:r>
        <w:instrText xml:space="preserve"> REF _Ref134101804 \h  \* MERGEFORMAT </w:instrText>
      </w:r>
      <w:r>
        <w:fldChar w:fldCharType="separate"/>
      </w:r>
      <w:r w:rsidR="00BC30E2">
        <w:t xml:space="preserve">Table </w:t>
      </w:r>
      <w:r w:rsidR="003965AF">
        <w:t>C</w:t>
      </w:r>
      <w:r w:rsidR="00BC30E2">
        <w:rPr>
          <w:noProof/>
        </w:rPr>
        <w:t>1</w:t>
      </w:r>
      <w:r>
        <w:fldChar w:fldCharType="end"/>
      </w:r>
      <w:r>
        <w:t xml:space="preserve"> demonstrates that this approach is a much better fit of the data. Once the model is switched to hourly wage as the dependent variable in ‘</w:t>
      </w:r>
      <w:r w:rsidDel="000F143B">
        <w:t>H</w:t>
      </w:r>
      <w:r>
        <w:t xml:space="preserve">ourly wages’ the log(hours) term can be dropped. Removing the log(hours) term has almost no detriment to the fit of the model, illustrated in the difference between the fit statistics for </w:t>
      </w:r>
      <w:r w:rsidR="00BE6240">
        <w:t>‘</w:t>
      </w:r>
      <w:r w:rsidDel="00BE6240">
        <w:t>H</w:t>
      </w:r>
      <w:r>
        <w:t>ourly wages’ and ‘</w:t>
      </w:r>
      <w:r w:rsidDel="00BE6240">
        <w:t>N</w:t>
      </w:r>
      <w:r>
        <w:t>o log(hours)’.</w:t>
      </w:r>
    </w:p>
    <w:p w14:paraId="7477BF22" w14:textId="77777777" w:rsidR="008D60AF" w:rsidRDefault="008D60AF" w:rsidP="008D60AF">
      <w:pPr>
        <w:pStyle w:val="CGC2025ParaNumbers"/>
      </w:pPr>
      <w:r>
        <w:t xml:space="preserve">The two measures of hours worked are both conceptually linked to wage levels, and measure distinct concepts. The following examples illustrate some of the potential mechanisms by which the two different aspects of hours worked can affect hourly pay, and hence why the Commission has used both aspects: </w:t>
      </w:r>
    </w:p>
    <w:p w14:paraId="30EC7EDA" w14:textId="1E9E9B2F" w:rsidR="008D60AF" w:rsidRDefault="008D60AF" w:rsidP="008D60AF">
      <w:pPr>
        <w:pStyle w:val="CGC2025Bullet1"/>
      </w:pPr>
      <w:r>
        <w:t>Part-time workers accrue experience at a slower rate than full</w:t>
      </w:r>
      <w:r w:rsidR="00285310">
        <w:t>-</w:t>
      </w:r>
      <w:r>
        <w:t xml:space="preserve">time workers, leading to lower return to part-time work. </w:t>
      </w:r>
    </w:p>
    <w:p w14:paraId="7BCB42A4" w14:textId="77777777" w:rsidR="008D60AF" w:rsidRDefault="008D60AF" w:rsidP="008D60AF">
      <w:pPr>
        <w:pStyle w:val="CGC2025Bullet1"/>
      </w:pPr>
      <w:r>
        <w:t>People who work unpaid overtime may be more likely to be promoted or negotiate higher hourly wages.</w:t>
      </w:r>
    </w:p>
    <w:p w14:paraId="3FC8786D" w14:textId="77777777" w:rsidR="008D60AF" w:rsidRDefault="008D60AF" w:rsidP="008D60AF">
      <w:pPr>
        <w:pStyle w:val="CGC2025Bullet1"/>
      </w:pPr>
      <w:r>
        <w:t>Casual employees who work shifts attracting penalty rates may tend to work fewer weekly hours than those who work standard shifts.</w:t>
      </w:r>
    </w:p>
    <w:p w14:paraId="08C0C857" w14:textId="77777777" w:rsidR="008D60AF" w:rsidRPr="004E4489" w:rsidRDefault="008D60AF" w:rsidP="008D60AF">
      <w:pPr>
        <w:pStyle w:val="CGC2025ParaNumbers"/>
      </w:pPr>
      <w:r>
        <w:t xml:space="preserve">The net overall effect of these different mechanisms is difficult to predict. </w:t>
      </w:r>
    </w:p>
    <w:p w14:paraId="0145679D" w14:textId="02B6D33A" w:rsidR="008D60AF" w:rsidRDefault="008D60AF" w:rsidP="008D60AF">
      <w:pPr>
        <w:pStyle w:val="CGC2025ParaNumbers"/>
      </w:pPr>
      <w:r>
        <w:fldChar w:fldCharType="begin"/>
      </w:r>
      <w:r>
        <w:instrText xml:space="preserve"> REF _Ref136418956 \h  \* MERGEFORMAT </w:instrText>
      </w:r>
      <w:r>
        <w:fldChar w:fldCharType="separate"/>
      </w:r>
      <w:r w:rsidR="00BC30E2">
        <w:t xml:space="preserve">Figure </w:t>
      </w:r>
      <w:r w:rsidR="00481700">
        <w:t>C</w:t>
      </w:r>
      <w:r w:rsidR="00BC30E2">
        <w:rPr>
          <w:noProof/>
        </w:rPr>
        <w:t>1</w:t>
      </w:r>
      <w:r>
        <w:fldChar w:fldCharType="end"/>
      </w:r>
      <w:r>
        <w:t xml:space="preserve"> shows that main effects for both hours variables are significant and stable between years. Being paid for more hours in a period is associated with lower hourly earnings, while usually working more hours is associated with higher hourly earnings. These effects are both more pronounced for females than for males.</w:t>
      </w:r>
    </w:p>
    <w:p w14:paraId="039F3AEA" w14:textId="19C09593" w:rsidR="00B347BB" w:rsidRDefault="00B347BB" w:rsidP="001F0567">
      <w:pPr>
        <w:pStyle w:val="CGC2025Caption"/>
        <w:keepNext/>
        <w:keepLines/>
        <w:tabs>
          <w:tab w:val="left" w:pos="1134"/>
        </w:tabs>
      </w:pPr>
      <w:bookmarkStart w:id="117" w:name="_Ref136418956"/>
      <w:r>
        <w:lastRenderedPageBreak/>
        <w:t xml:space="preserve">Figure </w:t>
      </w:r>
      <w:r w:rsidR="0034245F">
        <w:t>C</w:t>
      </w:r>
      <w:r>
        <w:fldChar w:fldCharType="begin"/>
      </w:r>
      <w:r>
        <w:instrText xml:space="preserve"> SEQ Figure \* ARABIC </w:instrText>
      </w:r>
      <w:r w:rsidR="0078538B">
        <w:instrText>\r 1</w:instrText>
      </w:r>
      <w:r>
        <w:fldChar w:fldCharType="separate"/>
      </w:r>
      <w:r w:rsidR="00BC30E2">
        <w:rPr>
          <w:noProof/>
        </w:rPr>
        <w:t>1</w:t>
      </w:r>
      <w:r>
        <w:rPr>
          <w:noProof/>
        </w:rPr>
        <w:fldChar w:fldCharType="end"/>
      </w:r>
      <w:bookmarkEnd w:id="117"/>
      <w:r>
        <w:tab/>
        <w:t xml:space="preserve">Annual survey estimates of hours main </w:t>
      </w:r>
      <w:proofErr w:type="gramStart"/>
      <w:r>
        <w:t>effects</w:t>
      </w:r>
      <w:proofErr w:type="gramEnd"/>
    </w:p>
    <w:p w14:paraId="0EA3C7A7" w14:textId="77777777" w:rsidR="00B347BB" w:rsidRDefault="00B347BB" w:rsidP="00B347BB">
      <w:pPr>
        <w:keepNext/>
        <w:keepLines/>
      </w:pPr>
      <w:r w:rsidRPr="00AD20C1">
        <w:rPr>
          <w:noProof/>
        </w:rPr>
        <w:drawing>
          <wp:inline distT="0" distB="0" distL="0" distR="0" wp14:anchorId="71DF99E1" wp14:editId="2A1F43E0">
            <wp:extent cx="5688000" cy="33372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88000" cy="3337200"/>
                    </a:xfrm>
                    <a:prstGeom prst="rect">
                      <a:avLst/>
                    </a:prstGeom>
                    <a:noFill/>
                    <a:ln>
                      <a:noFill/>
                    </a:ln>
                  </pic:spPr>
                </pic:pic>
              </a:graphicData>
            </a:graphic>
          </wp:inline>
        </w:drawing>
      </w:r>
    </w:p>
    <w:p w14:paraId="3C2EFE53" w14:textId="321DD237" w:rsidR="00B347BB" w:rsidRDefault="00B347BB" w:rsidP="00B347BB">
      <w:pPr>
        <w:pStyle w:val="CGC2025TableNote"/>
      </w:pPr>
      <w:r>
        <w:t>Note:</w:t>
      </w:r>
      <w:r>
        <w:tab/>
      </w:r>
      <w:r w:rsidR="002B6328">
        <w:tab/>
      </w:r>
      <w:r>
        <w:t>Error bars show 95% confidence intervals</w:t>
      </w:r>
      <w:r w:rsidR="007441D1">
        <w:t>.</w:t>
      </w:r>
    </w:p>
    <w:p w14:paraId="6918B278" w14:textId="22E49629" w:rsidR="007441D1" w:rsidRDefault="007441D1" w:rsidP="007441D1">
      <w:pPr>
        <w:pStyle w:val="CGC2025TableNote"/>
      </w:pPr>
      <w:r>
        <w:t xml:space="preserve">Source: Commission calculation. </w:t>
      </w:r>
    </w:p>
    <w:p w14:paraId="154CB981" w14:textId="1F39165E" w:rsidR="008D60AF" w:rsidRDefault="008D60AF" w:rsidP="008D60AF">
      <w:pPr>
        <w:pStyle w:val="CGC2025ParaNumbers"/>
      </w:pPr>
      <w:r>
        <w:t>Coefficients for paid hours and for usual hours worked are consistent across each annual sample and the coefficients for the quadratic terms of both hours variables consistently reflect diminishing marginal effects. This indicates that these coefficients are measuring consistent effects and the specification chosen for hours worked is appropriate to predict the effect of hours worked on wage levels.</w:t>
      </w:r>
    </w:p>
    <w:p w14:paraId="3B753FF6" w14:textId="77777777" w:rsidR="008D60AF" w:rsidRDefault="008D60AF" w:rsidP="008D60AF">
      <w:pPr>
        <w:pStyle w:val="Heading3"/>
      </w:pPr>
      <w:bookmarkStart w:id="118" w:name="_Toc135750687"/>
      <w:bookmarkStart w:id="119" w:name="_Toc138158985"/>
      <w:r>
        <w:t>Other regressors</w:t>
      </w:r>
      <w:bookmarkEnd w:id="118"/>
      <w:bookmarkEnd w:id="119"/>
    </w:p>
    <w:p w14:paraId="1C239FC1" w14:textId="77777777" w:rsidR="008D60AF" w:rsidRDefault="008D60AF" w:rsidP="008D60AF">
      <w:pPr>
        <w:pStyle w:val="CGC2025ParaNumbers"/>
      </w:pPr>
      <w:r>
        <w:t xml:space="preserve">The proposed specification of education and work experience is to include a categorical variable for education level (unchanged), work experience as age minus 15, and all </w:t>
      </w:r>
      <w:r w:rsidDel="0025159A">
        <w:t>two-w</w:t>
      </w:r>
      <w:r>
        <w:t>ay interactions between education level, work experience (linear and quadratic), and sex. This predicts a quadratic age-earnings profile based on education level and sex, with returns beginning at the age of 15. This has 2 advantages over the 2020 specification. First, we no longer need to impute a separate variable for work experience based on assumptions about the individuals in the sample. Second, the fit of the model is improved based on all the diagnostic statistics.</w:t>
      </w:r>
    </w:p>
    <w:p w14:paraId="1DB46B5C" w14:textId="77777777" w:rsidR="008D60AF" w:rsidRDefault="008D60AF" w:rsidP="008D60AF">
      <w:pPr>
        <w:pStyle w:val="CGC2025ParaNumbers"/>
      </w:pPr>
      <w:r>
        <w:t>Job tenure is included in the COES as a continuous variable. The current method constructs a categorical variable based on ranges which is parameterised with a set of dummy variables. This effectively removes information and increases the number of parameters. It is only of potential value if the wage response to tenure cannot be appropriately modelled with a continuous variable, that is if the error term is correlated with tenure, for linear and/or non-linear specifications.</w:t>
      </w:r>
    </w:p>
    <w:p w14:paraId="20C6D1AC" w14:textId="6190BF0C" w:rsidR="008D60AF" w:rsidRDefault="008D60AF" w:rsidP="008D60AF">
      <w:pPr>
        <w:pStyle w:val="CGC2025ParaNumbers"/>
      </w:pPr>
      <w:r>
        <w:lastRenderedPageBreak/>
        <w:t>The coefficient estimates for categorical tenure appear roughly linear, and the use of a linear term marginally increases model performance by all metrics, justifying the use of continuous tenure as given.</w:t>
      </w:r>
    </w:p>
    <w:p w14:paraId="45756EC0" w14:textId="22D648FE" w:rsidR="00DB66C5" w:rsidRDefault="00DB66C5" w:rsidP="001F0567">
      <w:pPr>
        <w:pStyle w:val="CGC2025Caption"/>
        <w:tabs>
          <w:tab w:val="left" w:pos="1134"/>
        </w:tabs>
      </w:pPr>
      <w:bookmarkStart w:id="120" w:name="_Ref134515845"/>
      <w:r>
        <w:t xml:space="preserve">Table </w:t>
      </w:r>
      <w:r w:rsidR="003B3799">
        <w:t>C</w:t>
      </w:r>
      <w:r>
        <w:fldChar w:fldCharType="begin"/>
      </w:r>
      <w:r>
        <w:instrText>SEQ Table \* ARABIC</w:instrText>
      </w:r>
      <w:r>
        <w:fldChar w:fldCharType="separate"/>
      </w:r>
      <w:r w:rsidR="00BC30E2">
        <w:rPr>
          <w:noProof/>
        </w:rPr>
        <w:t>2</w:t>
      </w:r>
      <w:r>
        <w:fldChar w:fldCharType="end"/>
      </w:r>
      <w:bookmarkEnd w:id="120"/>
      <w:r>
        <w:tab/>
        <w:t>Full model specification</w:t>
      </w:r>
    </w:p>
    <w:tbl>
      <w:tblPr>
        <w:tblW w:w="8959" w:type="dxa"/>
        <w:tblLook w:val="04A0" w:firstRow="1" w:lastRow="0" w:firstColumn="1" w:lastColumn="0" w:noHBand="0" w:noVBand="1"/>
      </w:tblPr>
      <w:tblGrid>
        <w:gridCol w:w="2557"/>
        <w:gridCol w:w="3652"/>
        <w:gridCol w:w="2750"/>
      </w:tblGrid>
      <w:tr w:rsidR="00DB66C5" w:rsidRPr="00631ACC" w14:paraId="24388DDB" w14:textId="77777777" w:rsidTr="007441D1">
        <w:trPr>
          <w:trHeight w:val="315"/>
        </w:trPr>
        <w:tc>
          <w:tcPr>
            <w:tcW w:w="2557" w:type="dxa"/>
            <w:tcBorders>
              <w:top w:val="nil"/>
              <w:left w:val="nil"/>
              <w:bottom w:val="nil"/>
              <w:right w:val="nil"/>
            </w:tcBorders>
            <w:shd w:val="clear" w:color="000000" w:fill="006991"/>
            <w:vAlign w:val="center"/>
            <w:hideMark/>
          </w:tcPr>
          <w:p w14:paraId="4526A6AC" w14:textId="77777777" w:rsidR="00DB66C5" w:rsidRPr="00631ACC" w:rsidRDefault="00DB66C5" w:rsidP="002B38E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121" w:name="RANGE!Q1:S12"/>
            <w:r w:rsidRPr="00631ACC">
              <w:rPr>
                <w:rFonts w:ascii="Open Sans Semibold" w:eastAsia="Times New Roman" w:hAnsi="Open Sans Semibold" w:cs="Open Sans Semibold"/>
                <w:color w:val="FFFFFF"/>
                <w:sz w:val="16"/>
                <w:szCs w:val="16"/>
                <w:lang w:eastAsia="en-AU"/>
              </w:rPr>
              <w:t> </w:t>
            </w:r>
            <w:bookmarkEnd w:id="121"/>
          </w:p>
        </w:tc>
        <w:tc>
          <w:tcPr>
            <w:tcW w:w="3652" w:type="dxa"/>
            <w:tcBorders>
              <w:top w:val="nil"/>
              <w:left w:val="nil"/>
              <w:bottom w:val="nil"/>
              <w:right w:val="nil"/>
            </w:tcBorders>
            <w:shd w:val="clear" w:color="000000" w:fill="006991"/>
            <w:vAlign w:val="center"/>
            <w:hideMark/>
          </w:tcPr>
          <w:p w14:paraId="76D4F60A" w14:textId="77777777" w:rsidR="00DB66C5" w:rsidRPr="00631ACC" w:rsidRDefault="00DB66C5" w:rsidP="002B38E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31ACC">
              <w:rPr>
                <w:rFonts w:ascii="Open Sans Semibold" w:eastAsia="Times New Roman" w:hAnsi="Open Sans Semibold" w:cs="Open Sans Semibold"/>
                <w:color w:val="FFFFFF"/>
                <w:sz w:val="16"/>
                <w:szCs w:val="16"/>
                <w:lang w:eastAsia="en-AU"/>
              </w:rPr>
              <w:t>R2020</w:t>
            </w:r>
          </w:p>
        </w:tc>
        <w:tc>
          <w:tcPr>
            <w:tcW w:w="2750" w:type="dxa"/>
            <w:tcBorders>
              <w:top w:val="nil"/>
              <w:left w:val="nil"/>
              <w:bottom w:val="nil"/>
              <w:right w:val="nil"/>
            </w:tcBorders>
            <w:shd w:val="clear" w:color="000000" w:fill="006991"/>
            <w:vAlign w:val="center"/>
            <w:hideMark/>
          </w:tcPr>
          <w:p w14:paraId="62EFCA80" w14:textId="77777777" w:rsidR="00DB66C5" w:rsidRPr="00631ACC" w:rsidRDefault="00DB66C5" w:rsidP="002B38E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31ACC">
              <w:rPr>
                <w:rFonts w:ascii="Open Sans Semibold" w:eastAsia="Times New Roman" w:hAnsi="Open Sans Semibold" w:cs="Open Sans Semibold"/>
                <w:color w:val="FFFFFF"/>
                <w:sz w:val="16"/>
                <w:szCs w:val="16"/>
                <w:lang w:eastAsia="en-AU"/>
              </w:rPr>
              <w:t>Proposed</w:t>
            </w:r>
          </w:p>
        </w:tc>
      </w:tr>
      <w:tr w:rsidR="00DB66C5" w:rsidRPr="00631ACC" w14:paraId="495AE5A1" w14:textId="77777777" w:rsidTr="007441D1">
        <w:trPr>
          <w:trHeight w:val="315"/>
        </w:trPr>
        <w:tc>
          <w:tcPr>
            <w:tcW w:w="2557" w:type="dxa"/>
            <w:tcBorders>
              <w:top w:val="single" w:sz="4" w:space="0" w:color="ADD6EA"/>
              <w:left w:val="nil"/>
              <w:bottom w:val="nil"/>
              <w:right w:val="nil"/>
            </w:tcBorders>
            <w:shd w:val="clear" w:color="auto" w:fill="auto"/>
            <w:vAlign w:val="bottom"/>
            <w:hideMark/>
          </w:tcPr>
          <w:p w14:paraId="28A6DFFB" w14:textId="77777777" w:rsidR="00DB66C5" w:rsidRPr="00631ACC" w:rsidRDefault="00DB66C5" w:rsidP="002B38EB">
            <w:pPr>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Dependent variable</w:t>
            </w:r>
          </w:p>
        </w:tc>
        <w:tc>
          <w:tcPr>
            <w:tcW w:w="3652" w:type="dxa"/>
            <w:tcBorders>
              <w:top w:val="single" w:sz="4" w:space="0" w:color="ADD6EA"/>
              <w:left w:val="nil"/>
              <w:bottom w:val="nil"/>
              <w:right w:val="nil"/>
            </w:tcBorders>
            <w:shd w:val="clear" w:color="auto" w:fill="auto"/>
            <w:noWrap/>
            <w:vAlign w:val="bottom"/>
            <w:hideMark/>
          </w:tcPr>
          <w:p w14:paraId="24EB565C"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Log of weekly wage</w:t>
            </w:r>
          </w:p>
        </w:tc>
        <w:tc>
          <w:tcPr>
            <w:tcW w:w="2750" w:type="dxa"/>
            <w:tcBorders>
              <w:top w:val="single" w:sz="4" w:space="0" w:color="ADD6EA"/>
              <w:left w:val="nil"/>
              <w:bottom w:val="nil"/>
              <w:right w:val="nil"/>
            </w:tcBorders>
            <w:shd w:val="clear" w:color="auto" w:fill="auto"/>
            <w:noWrap/>
            <w:vAlign w:val="bottom"/>
            <w:hideMark/>
          </w:tcPr>
          <w:p w14:paraId="735CC768"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Log of hourly wages</w:t>
            </w:r>
          </w:p>
        </w:tc>
      </w:tr>
      <w:tr w:rsidR="00DB66C5" w:rsidRPr="00631ACC" w14:paraId="6FCBD983" w14:textId="77777777" w:rsidTr="007441D1">
        <w:trPr>
          <w:trHeight w:val="75"/>
        </w:trPr>
        <w:tc>
          <w:tcPr>
            <w:tcW w:w="2557" w:type="dxa"/>
            <w:tcBorders>
              <w:top w:val="single" w:sz="4" w:space="0" w:color="ADD6EA"/>
              <w:left w:val="nil"/>
              <w:bottom w:val="nil"/>
              <w:right w:val="nil"/>
            </w:tcBorders>
            <w:shd w:val="clear" w:color="auto" w:fill="auto"/>
            <w:vAlign w:val="bottom"/>
            <w:hideMark/>
          </w:tcPr>
          <w:p w14:paraId="3F282D47" w14:textId="77777777" w:rsidR="00DB66C5" w:rsidRPr="00631ACC" w:rsidRDefault="00DB66C5" w:rsidP="002B38EB">
            <w:pPr>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c>
          <w:tcPr>
            <w:tcW w:w="3652" w:type="dxa"/>
            <w:tcBorders>
              <w:top w:val="single" w:sz="4" w:space="0" w:color="ADD6EA"/>
              <w:left w:val="nil"/>
              <w:bottom w:val="nil"/>
              <w:right w:val="nil"/>
            </w:tcBorders>
            <w:shd w:val="clear" w:color="auto" w:fill="auto"/>
            <w:noWrap/>
            <w:vAlign w:val="bottom"/>
            <w:hideMark/>
          </w:tcPr>
          <w:p w14:paraId="035DC3D4"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c>
          <w:tcPr>
            <w:tcW w:w="2750" w:type="dxa"/>
            <w:tcBorders>
              <w:top w:val="single" w:sz="4" w:space="0" w:color="ADD6EA"/>
              <w:left w:val="nil"/>
              <w:bottom w:val="nil"/>
              <w:right w:val="nil"/>
            </w:tcBorders>
            <w:shd w:val="clear" w:color="auto" w:fill="auto"/>
            <w:noWrap/>
            <w:vAlign w:val="bottom"/>
            <w:hideMark/>
          </w:tcPr>
          <w:p w14:paraId="3F2E56FC"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r>
      <w:tr w:rsidR="00DB66C5" w:rsidRPr="00631ACC" w14:paraId="197B8123" w14:textId="77777777" w:rsidTr="007441D1">
        <w:trPr>
          <w:trHeight w:val="315"/>
        </w:trPr>
        <w:tc>
          <w:tcPr>
            <w:tcW w:w="2557" w:type="dxa"/>
            <w:tcBorders>
              <w:top w:val="single" w:sz="4" w:space="0" w:color="ADD6EA"/>
              <w:left w:val="nil"/>
              <w:bottom w:val="nil"/>
              <w:right w:val="nil"/>
            </w:tcBorders>
            <w:shd w:val="clear" w:color="auto" w:fill="auto"/>
            <w:vAlign w:val="bottom"/>
            <w:hideMark/>
          </w:tcPr>
          <w:p w14:paraId="7A6459DE" w14:textId="77777777" w:rsidR="00DB66C5" w:rsidRPr="00631ACC" w:rsidRDefault="00DB66C5" w:rsidP="002B38EB">
            <w:pPr>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Variable of interest</w:t>
            </w:r>
          </w:p>
        </w:tc>
        <w:tc>
          <w:tcPr>
            <w:tcW w:w="3652" w:type="dxa"/>
            <w:tcBorders>
              <w:top w:val="single" w:sz="4" w:space="0" w:color="ADD6EA"/>
              <w:left w:val="nil"/>
              <w:bottom w:val="nil"/>
              <w:right w:val="nil"/>
            </w:tcBorders>
            <w:shd w:val="clear" w:color="auto" w:fill="auto"/>
            <w:noWrap/>
            <w:vAlign w:val="bottom"/>
            <w:hideMark/>
          </w:tcPr>
          <w:p w14:paraId="76D88D69"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State of usual residence</w:t>
            </w:r>
          </w:p>
        </w:tc>
        <w:tc>
          <w:tcPr>
            <w:tcW w:w="2750" w:type="dxa"/>
            <w:tcBorders>
              <w:top w:val="single" w:sz="4" w:space="0" w:color="ADD6EA"/>
              <w:left w:val="nil"/>
              <w:bottom w:val="nil"/>
              <w:right w:val="nil"/>
            </w:tcBorders>
            <w:shd w:val="clear" w:color="auto" w:fill="auto"/>
            <w:noWrap/>
            <w:vAlign w:val="bottom"/>
            <w:hideMark/>
          </w:tcPr>
          <w:p w14:paraId="6CB5E768"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State of usual residence</w:t>
            </w:r>
          </w:p>
        </w:tc>
      </w:tr>
      <w:tr w:rsidR="00DB66C5" w:rsidRPr="00631ACC" w14:paraId="6D1BFF5F" w14:textId="77777777" w:rsidTr="007441D1">
        <w:trPr>
          <w:trHeight w:val="60"/>
        </w:trPr>
        <w:tc>
          <w:tcPr>
            <w:tcW w:w="2557" w:type="dxa"/>
            <w:tcBorders>
              <w:top w:val="single" w:sz="4" w:space="0" w:color="ADD6EA"/>
              <w:left w:val="nil"/>
              <w:bottom w:val="nil"/>
              <w:right w:val="nil"/>
            </w:tcBorders>
            <w:shd w:val="clear" w:color="auto" w:fill="auto"/>
            <w:vAlign w:val="bottom"/>
            <w:hideMark/>
          </w:tcPr>
          <w:p w14:paraId="3215D509" w14:textId="77777777" w:rsidR="00DB66C5" w:rsidRPr="00631ACC" w:rsidRDefault="00DB66C5" w:rsidP="002B38EB">
            <w:pPr>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652" w:type="dxa"/>
            <w:tcBorders>
              <w:top w:val="single" w:sz="4" w:space="0" w:color="ADD6EA"/>
              <w:left w:val="nil"/>
              <w:bottom w:val="nil"/>
              <w:right w:val="nil"/>
            </w:tcBorders>
            <w:shd w:val="clear" w:color="auto" w:fill="auto"/>
            <w:noWrap/>
            <w:vAlign w:val="bottom"/>
            <w:hideMark/>
          </w:tcPr>
          <w:p w14:paraId="0A9A9264"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c>
          <w:tcPr>
            <w:tcW w:w="2750" w:type="dxa"/>
            <w:tcBorders>
              <w:top w:val="single" w:sz="4" w:space="0" w:color="ADD6EA"/>
              <w:left w:val="nil"/>
              <w:bottom w:val="nil"/>
              <w:right w:val="nil"/>
            </w:tcBorders>
            <w:shd w:val="clear" w:color="auto" w:fill="auto"/>
            <w:noWrap/>
            <w:vAlign w:val="bottom"/>
            <w:hideMark/>
          </w:tcPr>
          <w:p w14:paraId="66EEAAD1"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r>
      <w:tr w:rsidR="00DB66C5" w:rsidRPr="00631ACC" w14:paraId="6F376551" w14:textId="77777777" w:rsidTr="007441D1">
        <w:trPr>
          <w:trHeight w:val="315"/>
        </w:trPr>
        <w:tc>
          <w:tcPr>
            <w:tcW w:w="2557" w:type="dxa"/>
            <w:tcBorders>
              <w:top w:val="single" w:sz="4" w:space="0" w:color="ADD6EA"/>
              <w:left w:val="nil"/>
              <w:bottom w:val="nil"/>
              <w:right w:val="nil"/>
            </w:tcBorders>
            <w:shd w:val="clear" w:color="auto" w:fill="auto"/>
            <w:vAlign w:val="bottom"/>
            <w:hideMark/>
          </w:tcPr>
          <w:p w14:paraId="6620CB7B" w14:textId="77777777" w:rsidR="00DB66C5" w:rsidRPr="00631ACC" w:rsidRDefault="00DB66C5" w:rsidP="002B38EB">
            <w:pPr>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Control variables</w:t>
            </w:r>
          </w:p>
        </w:tc>
        <w:tc>
          <w:tcPr>
            <w:tcW w:w="3652" w:type="dxa"/>
            <w:tcBorders>
              <w:top w:val="single" w:sz="4" w:space="0" w:color="ADD6EA"/>
              <w:left w:val="nil"/>
              <w:bottom w:val="nil"/>
              <w:right w:val="nil"/>
            </w:tcBorders>
            <w:shd w:val="clear" w:color="auto" w:fill="auto"/>
            <w:noWrap/>
            <w:vAlign w:val="bottom"/>
            <w:hideMark/>
          </w:tcPr>
          <w:p w14:paraId="132B2426"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Log of usual hours</w:t>
            </w:r>
          </w:p>
        </w:tc>
        <w:tc>
          <w:tcPr>
            <w:tcW w:w="2750" w:type="dxa"/>
            <w:tcBorders>
              <w:top w:val="single" w:sz="4" w:space="0" w:color="ADD6EA"/>
              <w:left w:val="nil"/>
              <w:bottom w:val="nil"/>
              <w:right w:val="nil"/>
            </w:tcBorders>
            <w:shd w:val="clear" w:color="auto" w:fill="auto"/>
            <w:noWrap/>
            <w:vAlign w:val="bottom"/>
            <w:hideMark/>
          </w:tcPr>
          <w:p w14:paraId="79167FF2"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usual hours</w:t>
            </w:r>
          </w:p>
        </w:tc>
      </w:tr>
      <w:tr w:rsidR="00DB66C5" w:rsidRPr="00631ACC" w14:paraId="4C4B196D" w14:textId="77777777" w:rsidTr="007441D1">
        <w:trPr>
          <w:trHeight w:val="315"/>
        </w:trPr>
        <w:tc>
          <w:tcPr>
            <w:tcW w:w="2557" w:type="dxa"/>
            <w:tcBorders>
              <w:top w:val="single" w:sz="4" w:space="0" w:color="ADD6EA"/>
              <w:left w:val="nil"/>
              <w:bottom w:val="nil"/>
              <w:right w:val="nil"/>
            </w:tcBorders>
            <w:shd w:val="clear" w:color="auto" w:fill="auto"/>
            <w:vAlign w:val="bottom"/>
            <w:hideMark/>
          </w:tcPr>
          <w:p w14:paraId="3B36BEC0" w14:textId="77777777" w:rsidR="00DB66C5" w:rsidRPr="00631ACC" w:rsidRDefault="00DB66C5" w:rsidP="002B38EB">
            <w:pPr>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652" w:type="dxa"/>
            <w:tcBorders>
              <w:top w:val="single" w:sz="4" w:space="0" w:color="ADD6EA"/>
              <w:left w:val="nil"/>
              <w:bottom w:val="nil"/>
              <w:right w:val="nil"/>
            </w:tcBorders>
            <w:shd w:val="clear" w:color="auto" w:fill="auto"/>
            <w:noWrap/>
            <w:vAlign w:val="bottom"/>
            <w:hideMark/>
          </w:tcPr>
          <w:p w14:paraId="3E409C00"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Log of usual hours if usual hours &lt;16</w:t>
            </w:r>
          </w:p>
        </w:tc>
        <w:tc>
          <w:tcPr>
            <w:tcW w:w="2750" w:type="dxa"/>
            <w:tcBorders>
              <w:top w:val="single" w:sz="4" w:space="0" w:color="ADD6EA"/>
              <w:left w:val="nil"/>
              <w:bottom w:val="nil"/>
              <w:right w:val="nil"/>
            </w:tcBorders>
            <w:shd w:val="clear" w:color="auto" w:fill="auto"/>
            <w:noWrap/>
            <w:vAlign w:val="bottom"/>
            <w:hideMark/>
          </w:tcPr>
          <w:p w14:paraId="4FAD7415"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paid hours</w:t>
            </w:r>
          </w:p>
        </w:tc>
      </w:tr>
      <w:tr w:rsidR="00DB66C5" w:rsidRPr="00631ACC" w14:paraId="17C3B018" w14:textId="77777777" w:rsidTr="007441D1">
        <w:trPr>
          <w:trHeight w:val="315"/>
        </w:trPr>
        <w:tc>
          <w:tcPr>
            <w:tcW w:w="2557" w:type="dxa"/>
            <w:tcBorders>
              <w:top w:val="single" w:sz="4" w:space="0" w:color="ADD6EA"/>
              <w:left w:val="nil"/>
              <w:bottom w:val="nil"/>
              <w:right w:val="nil"/>
            </w:tcBorders>
            <w:shd w:val="clear" w:color="auto" w:fill="auto"/>
            <w:vAlign w:val="bottom"/>
            <w:hideMark/>
          </w:tcPr>
          <w:p w14:paraId="781B5598" w14:textId="77777777" w:rsidR="00DB66C5" w:rsidRPr="00631ACC" w:rsidRDefault="00DB66C5" w:rsidP="002B38EB">
            <w:pPr>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652" w:type="dxa"/>
            <w:tcBorders>
              <w:top w:val="single" w:sz="4" w:space="0" w:color="ADD6EA"/>
              <w:left w:val="nil"/>
              <w:bottom w:val="nil"/>
              <w:right w:val="nil"/>
            </w:tcBorders>
            <w:shd w:val="clear" w:color="auto" w:fill="auto"/>
            <w:noWrap/>
            <w:vAlign w:val="bottom"/>
            <w:hideMark/>
          </w:tcPr>
          <w:p w14:paraId="4BAF90BE"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Log of usual hours if usual hours &gt;59</w:t>
            </w:r>
          </w:p>
        </w:tc>
        <w:tc>
          <w:tcPr>
            <w:tcW w:w="2750" w:type="dxa"/>
            <w:tcBorders>
              <w:top w:val="single" w:sz="4" w:space="0" w:color="ADD6EA"/>
              <w:left w:val="nil"/>
              <w:bottom w:val="nil"/>
              <w:right w:val="nil"/>
            </w:tcBorders>
            <w:shd w:val="clear" w:color="auto" w:fill="auto"/>
            <w:noWrap/>
            <w:vAlign w:val="bottom"/>
            <w:hideMark/>
          </w:tcPr>
          <w:p w14:paraId="2950B1DA"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usual hours squared</w:t>
            </w:r>
          </w:p>
        </w:tc>
      </w:tr>
      <w:tr w:rsidR="00DB66C5" w:rsidRPr="00631ACC" w14:paraId="33B74CE4" w14:textId="77777777" w:rsidTr="007441D1">
        <w:trPr>
          <w:trHeight w:val="315"/>
        </w:trPr>
        <w:tc>
          <w:tcPr>
            <w:tcW w:w="2557" w:type="dxa"/>
            <w:tcBorders>
              <w:top w:val="single" w:sz="4" w:space="0" w:color="ADD6EA"/>
              <w:left w:val="nil"/>
              <w:bottom w:val="nil"/>
              <w:right w:val="nil"/>
            </w:tcBorders>
            <w:shd w:val="clear" w:color="auto" w:fill="auto"/>
            <w:vAlign w:val="bottom"/>
            <w:hideMark/>
          </w:tcPr>
          <w:p w14:paraId="49474F87" w14:textId="77777777" w:rsidR="00DB66C5" w:rsidRPr="00631ACC" w:rsidRDefault="00DB66C5" w:rsidP="002B38EB">
            <w:pPr>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652" w:type="dxa"/>
            <w:tcBorders>
              <w:top w:val="single" w:sz="4" w:space="0" w:color="ADD6EA"/>
              <w:left w:val="nil"/>
              <w:bottom w:val="nil"/>
              <w:right w:val="nil"/>
            </w:tcBorders>
            <w:shd w:val="clear" w:color="auto" w:fill="auto"/>
            <w:noWrap/>
            <w:vAlign w:val="bottom"/>
            <w:hideMark/>
          </w:tcPr>
          <w:p w14:paraId="4FC2BA78"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c>
          <w:tcPr>
            <w:tcW w:w="2750" w:type="dxa"/>
            <w:tcBorders>
              <w:top w:val="single" w:sz="4" w:space="0" w:color="ADD6EA"/>
              <w:left w:val="nil"/>
              <w:bottom w:val="nil"/>
              <w:right w:val="nil"/>
            </w:tcBorders>
            <w:shd w:val="clear" w:color="auto" w:fill="auto"/>
            <w:noWrap/>
            <w:vAlign w:val="bottom"/>
            <w:hideMark/>
          </w:tcPr>
          <w:p w14:paraId="7C7871EB"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Paid hours squared</w:t>
            </w:r>
          </w:p>
        </w:tc>
      </w:tr>
      <w:tr w:rsidR="00DB66C5" w:rsidRPr="00631ACC" w14:paraId="1FC07213" w14:textId="77777777" w:rsidTr="007441D1">
        <w:trPr>
          <w:trHeight w:val="270"/>
        </w:trPr>
        <w:tc>
          <w:tcPr>
            <w:tcW w:w="2557" w:type="dxa"/>
            <w:tcBorders>
              <w:top w:val="single" w:sz="4" w:space="0" w:color="ADD6EA"/>
              <w:left w:val="nil"/>
              <w:bottom w:val="nil"/>
              <w:right w:val="nil"/>
            </w:tcBorders>
            <w:shd w:val="clear" w:color="auto" w:fill="auto"/>
            <w:vAlign w:val="bottom"/>
            <w:hideMark/>
          </w:tcPr>
          <w:p w14:paraId="1A0D9EDF" w14:textId="77777777" w:rsidR="00DB66C5" w:rsidRPr="00631ACC" w:rsidRDefault="00DB66C5" w:rsidP="002B38EB">
            <w:pPr>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652" w:type="dxa"/>
            <w:tcBorders>
              <w:top w:val="single" w:sz="4" w:space="0" w:color="ADD6EA"/>
              <w:left w:val="nil"/>
              <w:bottom w:val="nil"/>
              <w:right w:val="nil"/>
            </w:tcBorders>
            <w:shd w:val="clear" w:color="auto" w:fill="auto"/>
            <w:noWrap/>
            <w:vAlign w:val="bottom"/>
            <w:hideMark/>
          </w:tcPr>
          <w:p w14:paraId="179494E6"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c>
          <w:tcPr>
            <w:tcW w:w="2750" w:type="dxa"/>
            <w:tcBorders>
              <w:top w:val="single" w:sz="4" w:space="0" w:color="ADD6EA"/>
              <w:left w:val="nil"/>
              <w:bottom w:val="nil"/>
              <w:right w:val="nil"/>
            </w:tcBorders>
            <w:shd w:val="clear" w:color="auto" w:fill="auto"/>
            <w:noWrap/>
            <w:vAlign w:val="bottom"/>
            <w:hideMark/>
          </w:tcPr>
          <w:p w14:paraId="3A2104C3"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Usual hours * Paid hours</w:t>
            </w:r>
          </w:p>
        </w:tc>
      </w:tr>
      <w:tr w:rsidR="00DB66C5" w:rsidRPr="00631ACC" w14:paraId="60AAEA47" w14:textId="77777777" w:rsidTr="007441D1">
        <w:trPr>
          <w:trHeight w:val="60"/>
        </w:trPr>
        <w:tc>
          <w:tcPr>
            <w:tcW w:w="2557" w:type="dxa"/>
            <w:tcBorders>
              <w:top w:val="single" w:sz="4" w:space="0" w:color="ADD6EA"/>
              <w:left w:val="nil"/>
              <w:bottom w:val="nil"/>
              <w:right w:val="nil"/>
            </w:tcBorders>
            <w:shd w:val="clear" w:color="auto" w:fill="auto"/>
            <w:vAlign w:val="bottom"/>
            <w:hideMark/>
          </w:tcPr>
          <w:p w14:paraId="34E51673" w14:textId="77777777" w:rsidR="00DB66C5" w:rsidRPr="00631ACC" w:rsidRDefault="00DB66C5" w:rsidP="002B38EB">
            <w:pPr>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652" w:type="dxa"/>
            <w:tcBorders>
              <w:top w:val="single" w:sz="4" w:space="0" w:color="ADD6EA"/>
              <w:left w:val="nil"/>
              <w:bottom w:val="nil"/>
              <w:right w:val="nil"/>
            </w:tcBorders>
            <w:shd w:val="clear" w:color="auto" w:fill="auto"/>
            <w:noWrap/>
            <w:vAlign w:val="bottom"/>
            <w:hideMark/>
          </w:tcPr>
          <w:p w14:paraId="539B018F"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c>
          <w:tcPr>
            <w:tcW w:w="2750" w:type="dxa"/>
            <w:tcBorders>
              <w:top w:val="single" w:sz="4" w:space="0" w:color="ADD6EA"/>
              <w:left w:val="nil"/>
              <w:bottom w:val="nil"/>
              <w:right w:val="nil"/>
            </w:tcBorders>
            <w:shd w:val="clear" w:color="auto" w:fill="auto"/>
            <w:noWrap/>
            <w:vAlign w:val="bottom"/>
            <w:hideMark/>
          </w:tcPr>
          <w:p w14:paraId="7C97A53C"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r>
      <w:tr w:rsidR="00DB66C5" w:rsidRPr="00631ACC" w14:paraId="10756D74" w14:textId="77777777" w:rsidTr="007441D1">
        <w:trPr>
          <w:trHeight w:val="270"/>
        </w:trPr>
        <w:tc>
          <w:tcPr>
            <w:tcW w:w="2557" w:type="dxa"/>
            <w:tcBorders>
              <w:top w:val="single" w:sz="4" w:space="0" w:color="ADD6EA"/>
              <w:left w:val="nil"/>
              <w:bottom w:val="nil"/>
              <w:right w:val="nil"/>
            </w:tcBorders>
            <w:shd w:val="clear" w:color="auto" w:fill="auto"/>
            <w:vAlign w:val="bottom"/>
            <w:hideMark/>
          </w:tcPr>
          <w:p w14:paraId="17EA8CD2" w14:textId="77777777" w:rsidR="00DB66C5" w:rsidRPr="00631ACC" w:rsidRDefault="00DB66C5" w:rsidP="002B38EB">
            <w:pPr>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652" w:type="dxa"/>
            <w:tcBorders>
              <w:top w:val="single" w:sz="4" w:space="0" w:color="ADD6EA"/>
              <w:left w:val="nil"/>
              <w:bottom w:val="nil"/>
              <w:right w:val="nil"/>
            </w:tcBorders>
            <w:shd w:val="clear" w:color="auto" w:fill="auto"/>
            <w:noWrap/>
            <w:vAlign w:val="bottom"/>
            <w:hideMark/>
          </w:tcPr>
          <w:p w14:paraId="1C2924C4"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Education (7 categories)</w:t>
            </w:r>
          </w:p>
        </w:tc>
        <w:tc>
          <w:tcPr>
            <w:tcW w:w="2750" w:type="dxa"/>
            <w:tcBorders>
              <w:top w:val="single" w:sz="4" w:space="0" w:color="ADD6EA"/>
              <w:left w:val="nil"/>
              <w:bottom w:val="nil"/>
              <w:right w:val="nil"/>
            </w:tcBorders>
            <w:shd w:val="clear" w:color="auto" w:fill="auto"/>
            <w:noWrap/>
            <w:vAlign w:val="bottom"/>
            <w:hideMark/>
          </w:tcPr>
          <w:p w14:paraId="717429D3"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Education (7 categories)</w:t>
            </w:r>
          </w:p>
        </w:tc>
      </w:tr>
      <w:tr w:rsidR="00DB66C5" w:rsidRPr="00631ACC" w14:paraId="0B56862A" w14:textId="77777777" w:rsidTr="007441D1">
        <w:trPr>
          <w:trHeight w:val="270"/>
        </w:trPr>
        <w:tc>
          <w:tcPr>
            <w:tcW w:w="2557" w:type="dxa"/>
            <w:tcBorders>
              <w:top w:val="single" w:sz="4" w:space="0" w:color="ADD6EA"/>
              <w:left w:val="nil"/>
              <w:bottom w:val="nil"/>
              <w:right w:val="nil"/>
            </w:tcBorders>
            <w:shd w:val="clear" w:color="auto" w:fill="auto"/>
            <w:vAlign w:val="bottom"/>
            <w:hideMark/>
          </w:tcPr>
          <w:p w14:paraId="03F4C0E7" w14:textId="77777777" w:rsidR="00DB66C5" w:rsidRPr="00631ACC" w:rsidRDefault="00DB66C5" w:rsidP="002B38EB">
            <w:pPr>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652" w:type="dxa"/>
            <w:tcBorders>
              <w:top w:val="single" w:sz="4" w:space="0" w:color="ADD6EA"/>
              <w:left w:val="nil"/>
              <w:bottom w:val="nil"/>
              <w:right w:val="nil"/>
            </w:tcBorders>
            <w:shd w:val="clear" w:color="auto" w:fill="auto"/>
            <w:noWrap/>
            <w:vAlign w:val="bottom"/>
            <w:hideMark/>
          </w:tcPr>
          <w:p w14:paraId="5F991583"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Imputed work experience</w:t>
            </w:r>
          </w:p>
        </w:tc>
        <w:tc>
          <w:tcPr>
            <w:tcW w:w="2750" w:type="dxa"/>
            <w:tcBorders>
              <w:top w:val="single" w:sz="4" w:space="0" w:color="ADD6EA"/>
              <w:left w:val="nil"/>
              <w:bottom w:val="nil"/>
              <w:right w:val="nil"/>
            </w:tcBorders>
            <w:shd w:val="clear" w:color="auto" w:fill="auto"/>
            <w:noWrap/>
            <w:vAlign w:val="bottom"/>
            <w:hideMark/>
          </w:tcPr>
          <w:p w14:paraId="0EDB3A41"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 xml:space="preserve">Age </w:t>
            </w:r>
            <w:r>
              <w:rPr>
                <w:rFonts w:eastAsia="Times New Roman" w:cs="Open Sans Light"/>
                <w:color w:val="000000"/>
                <w:sz w:val="16"/>
                <w:szCs w:val="16"/>
                <w:lang w:eastAsia="en-AU"/>
              </w:rPr>
              <w:t xml:space="preserve">minus </w:t>
            </w:r>
            <w:r w:rsidRPr="00631ACC">
              <w:rPr>
                <w:rFonts w:eastAsia="Times New Roman" w:cs="Open Sans Light"/>
                <w:color w:val="000000"/>
                <w:sz w:val="16"/>
                <w:szCs w:val="16"/>
                <w:lang w:eastAsia="en-AU"/>
              </w:rPr>
              <w:t>15</w:t>
            </w:r>
          </w:p>
        </w:tc>
      </w:tr>
      <w:tr w:rsidR="00DB66C5" w:rsidRPr="00631ACC" w14:paraId="56D6139A" w14:textId="77777777" w:rsidTr="007441D1">
        <w:trPr>
          <w:trHeight w:val="270"/>
        </w:trPr>
        <w:tc>
          <w:tcPr>
            <w:tcW w:w="2557" w:type="dxa"/>
            <w:tcBorders>
              <w:top w:val="single" w:sz="4" w:space="0" w:color="ADD6EA"/>
              <w:left w:val="nil"/>
              <w:bottom w:val="nil"/>
              <w:right w:val="nil"/>
            </w:tcBorders>
            <w:shd w:val="clear" w:color="auto" w:fill="auto"/>
            <w:vAlign w:val="bottom"/>
            <w:hideMark/>
          </w:tcPr>
          <w:p w14:paraId="1165B5BA" w14:textId="77777777" w:rsidR="00DB66C5" w:rsidRPr="00631ACC" w:rsidRDefault="00DB66C5" w:rsidP="002B38EB">
            <w:pPr>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652" w:type="dxa"/>
            <w:tcBorders>
              <w:top w:val="single" w:sz="4" w:space="0" w:color="ADD6EA"/>
              <w:left w:val="nil"/>
              <w:bottom w:val="nil"/>
              <w:right w:val="nil"/>
            </w:tcBorders>
            <w:shd w:val="clear" w:color="auto" w:fill="auto"/>
            <w:noWrap/>
            <w:vAlign w:val="bottom"/>
            <w:hideMark/>
          </w:tcPr>
          <w:p w14:paraId="05F96A74"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Imputed work experience squared</w:t>
            </w:r>
          </w:p>
        </w:tc>
        <w:tc>
          <w:tcPr>
            <w:tcW w:w="2750" w:type="dxa"/>
            <w:tcBorders>
              <w:top w:val="single" w:sz="4" w:space="0" w:color="ADD6EA"/>
              <w:left w:val="nil"/>
              <w:bottom w:val="nil"/>
              <w:right w:val="nil"/>
            </w:tcBorders>
            <w:shd w:val="clear" w:color="auto" w:fill="auto"/>
            <w:noWrap/>
            <w:vAlign w:val="bottom"/>
            <w:hideMark/>
          </w:tcPr>
          <w:p w14:paraId="4C759B5D"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 xml:space="preserve">(Age </w:t>
            </w:r>
            <w:r>
              <w:rPr>
                <w:rFonts w:eastAsia="Times New Roman" w:cs="Open Sans Light"/>
                <w:color w:val="000000"/>
                <w:sz w:val="16"/>
                <w:szCs w:val="16"/>
                <w:lang w:eastAsia="en-AU"/>
              </w:rPr>
              <w:t xml:space="preserve">minus </w:t>
            </w:r>
            <w:r w:rsidRPr="00631ACC">
              <w:rPr>
                <w:rFonts w:eastAsia="Times New Roman" w:cs="Open Sans Light"/>
                <w:color w:val="000000"/>
                <w:sz w:val="16"/>
                <w:szCs w:val="16"/>
                <w:lang w:eastAsia="en-AU"/>
              </w:rPr>
              <w:t>15) squared</w:t>
            </w:r>
          </w:p>
        </w:tc>
      </w:tr>
      <w:tr w:rsidR="00DB66C5" w:rsidRPr="00631ACC" w14:paraId="50F42B57" w14:textId="77777777" w:rsidTr="007441D1">
        <w:trPr>
          <w:trHeight w:val="270"/>
        </w:trPr>
        <w:tc>
          <w:tcPr>
            <w:tcW w:w="2557" w:type="dxa"/>
            <w:tcBorders>
              <w:top w:val="single" w:sz="4" w:space="0" w:color="ADD6EA"/>
              <w:left w:val="nil"/>
              <w:bottom w:val="nil"/>
              <w:right w:val="nil"/>
            </w:tcBorders>
            <w:shd w:val="clear" w:color="auto" w:fill="auto"/>
            <w:vAlign w:val="bottom"/>
            <w:hideMark/>
          </w:tcPr>
          <w:p w14:paraId="6DBAEC76" w14:textId="77777777" w:rsidR="00DB66C5" w:rsidRPr="00631ACC" w:rsidRDefault="00DB66C5" w:rsidP="002B38EB">
            <w:pPr>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652" w:type="dxa"/>
            <w:tcBorders>
              <w:top w:val="single" w:sz="4" w:space="0" w:color="ADD6EA"/>
              <w:left w:val="nil"/>
              <w:bottom w:val="nil"/>
              <w:right w:val="nil"/>
            </w:tcBorders>
            <w:shd w:val="clear" w:color="auto" w:fill="auto"/>
            <w:noWrap/>
            <w:vAlign w:val="bottom"/>
            <w:hideMark/>
          </w:tcPr>
          <w:p w14:paraId="370E4BD3"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c>
          <w:tcPr>
            <w:tcW w:w="2750" w:type="dxa"/>
            <w:tcBorders>
              <w:top w:val="single" w:sz="4" w:space="0" w:color="ADD6EA"/>
              <w:left w:val="nil"/>
              <w:bottom w:val="nil"/>
              <w:right w:val="nil"/>
            </w:tcBorders>
            <w:shd w:val="clear" w:color="auto" w:fill="auto"/>
            <w:noWrap/>
            <w:vAlign w:val="bottom"/>
            <w:hideMark/>
          </w:tcPr>
          <w:p w14:paraId="3A7FB94A"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Education*(</w:t>
            </w:r>
            <w:r>
              <w:rPr>
                <w:rFonts w:eastAsia="Times New Roman" w:cs="Open Sans Light"/>
                <w:color w:val="000000"/>
                <w:sz w:val="16"/>
                <w:szCs w:val="16"/>
                <w:lang w:eastAsia="en-AU"/>
              </w:rPr>
              <w:t>a</w:t>
            </w:r>
            <w:r w:rsidRPr="00631ACC">
              <w:rPr>
                <w:rFonts w:eastAsia="Times New Roman" w:cs="Open Sans Light"/>
                <w:color w:val="000000"/>
                <w:sz w:val="16"/>
                <w:szCs w:val="16"/>
                <w:lang w:eastAsia="en-AU"/>
              </w:rPr>
              <w:t xml:space="preserve">ge </w:t>
            </w:r>
            <w:r>
              <w:rPr>
                <w:rFonts w:eastAsia="Times New Roman" w:cs="Open Sans Light"/>
                <w:color w:val="000000"/>
                <w:sz w:val="16"/>
                <w:szCs w:val="16"/>
                <w:lang w:eastAsia="en-AU"/>
              </w:rPr>
              <w:t xml:space="preserve">minus </w:t>
            </w:r>
            <w:r w:rsidRPr="00631ACC">
              <w:rPr>
                <w:rFonts w:eastAsia="Times New Roman" w:cs="Open Sans Light"/>
                <w:color w:val="000000"/>
                <w:sz w:val="16"/>
                <w:szCs w:val="16"/>
                <w:lang w:eastAsia="en-AU"/>
              </w:rPr>
              <w:t>15)</w:t>
            </w:r>
          </w:p>
        </w:tc>
      </w:tr>
      <w:tr w:rsidR="00DB66C5" w:rsidRPr="00631ACC" w14:paraId="4F93A268" w14:textId="77777777" w:rsidTr="007441D1">
        <w:trPr>
          <w:trHeight w:val="270"/>
        </w:trPr>
        <w:tc>
          <w:tcPr>
            <w:tcW w:w="2557" w:type="dxa"/>
            <w:tcBorders>
              <w:top w:val="single" w:sz="4" w:space="0" w:color="ADD6EA"/>
              <w:left w:val="nil"/>
              <w:bottom w:val="nil"/>
              <w:right w:val="nil"/>
            </w:tcBorders>
            <w:shd w:val="clear" w:color="auto" w:fill="auto"/>
            <w:vAlign w:val="bottom"/>
            <w:hideMark/>
          </w:tcPr>
          <w:p w14:paraId="422F922E" w14:textId="77777777" w:rsidR="00DB66C5" w:rsidRPr="00631ACC" w:rsidRDefault="00DB66C5" w:rsidP="002B38EB">
            <w:pPr>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652" w:type="dxa"/>
            <w:tcBorders>
              <w:top w:val="single" w:sz="4" w:space="0" w:color="ADD6EA"/>
              <w:left w:val="nil"/>
              <w:bottom w:val="nil"/>
              <w:right w:val="nil"/>
            </w:tcBorders>
            <w:shd w:val="clear" w:color="auto" w:fill="auto"/>
            <w:noWrap/>
            <w:vAlign w:val="bottom"/>
            <w:hideMark/>
          </w:tcPr>
          <w:p w14:paraId="3607C5EE"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c>
          <w:tcPr>
            <w:tcW w:w="2750" w:type="dxa"/>
            <w:tcBorders>
              <w:top w:val="single" w:sz="4" w:space="0" w:color="ADD6EA"/>
              <w:left w:val="nil"/>
              <w:bottom w:val="nil"/>
              <w:right w:val="nil"/>
            </w:tcBorders>
            <w:shd w:val="clear" w:color="auto" w:fill="auto"/>
            <w:noWrap/>
            <w:vAlign w:val="bottom"/>
            <w:hideMark/>
          </w:tcPr>
          <w:p w14:paraId="6340FF6B"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Education*(age</w:t>
            </w:r>
            <w:r>
              <w:rPr>
                <w:rFonts w:eastAsia="Times New Roman" w:cs="Open Sans Light"/>
                <w:color w:val="000000"/>
                <w:sz w:val="16"/>
                <w:szCs w:val="16"/>
                <w:lang w:eastAsia="en-AU"/>
              </w:rPr>
              <w:t xml:space="preserve"> minus </w:t>
            </w:r>
            <w:r w:rsidRPr="00631ACC">
              <w:rPr>
                <w:rFonts w:eastAsia="Times New Roman" w:cs="Open Sans Light"/>
                <w:color w:val="000000"/>
                <w:sz w:val="16"/>
                <w:szCs w:val="16"/>
                <w:lang w:eastAsia="en-AU"/>
              </w:rPr>
              <w:t>15)</w:t>
            </w:r>
            <w:r>
              <w:rPr>
                <w:rFonts w:eastAsia="Times New Roman" w:cs="Open Sans Light"/>
                <w:color w:val="000000"/>
                <w:sz w:val="16"/>
                <w:szCs w:val="16"/>
                <w:lang w:eastAsia="en-AU"/>
              </w:rPr>
              <w:t xml:space="preserve"> </w:t>
            </w:r>
            <w:r w:rsidRPr="00631ACC">
              <w:rPr>
                <w:rFonts w:eastAsia="Times New Roman" w:cs="Open Sans Light"/>
                <w:color w:val="000000"/>
                <w:sz w:val="16"/>
                <w:szCs w:val="16"/>
                <w:lang w:eastAsia="en-AU"/>
              </w:rPr>
              <w:t>squared</w:t>
            </w:r>
          </w:p>
        </w:tc>
      </w:tr>
      <w:tr w:rsidR="00DB66C5" w:rsidRPr="00631ACC" w14:paraId="7EF2E89B" w14:textId="77777777" w:rsidTr="007441D1">
        <w:trPr>
          <w:trHeight w:val="45"/>
        </w:trPr>
        <w:tc>
          <w:tcPr>
            <w:tcW w:w="2557" w:type="dxa"/>
            <w:tcBorders>
              <w:top w:val="single" w:sz="4" w:space="0" w:color="ADD6EA"/>
              <w:left w:val="nil"/>
              <w:bottom w:val="nil"/>
              <w:right w:val="nil"/>
            </w:tcBorders>
            <w:shd w:val="clear" w:color="auto" w:fill="auto"/>
            <w:vAlign w:val="bottom"/>
            <w:hideMark/>
          </w:tcPr>
          <w:p w14:paraId="6DCA5741" w14:textId="77777777" w:rsidR="00DB66C5" w:rsidRPr="00631ACC" w:rsidRDefault="00DB66C5" w:rsidP="002B38EB">
            <w:pPr>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652" w:type="dxa"/>
            <w:tcBorders>
              <w:top w:val="single" w:sz="4" w:space="0" w:color="ADD6EA"/>
              <w:left w:val="nil"/>
              <w:bottom w:val="nil"/>
              <w:right w:val="nil"/>
            </w:tcBorders>
            <w:shd w:val="clear" w:color="auto" w:fill="auto"/>
            <w:noWrap/>
            <w:vAlign w:val="bottom"/>
            <w:hideMark/>
          </w:tcPr>
          <w:p w14:paraId="068252E6"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c>
          <w:tcPr>
            <w:tcW w:w="2750" w:type="dxa"/>
            <w:tcBorders>
              <w:top w:val="single" w:sz="4" w:space="0" w:color="ADD6EA"/>
              <w:left w:val="nil"/>
              <w:bottom w:val="nil"/>
              <w:right w:val="nil"/>
            </w:tcBorders>
            <w:shd w:val="clear" w:color="auto" w:fill="auto"/>
            <w:noWrap/>
            <w:vAlign w:val="bottom"/>
            <w:hideMark/>
          </w:tcPr>
          <w:p w14:paraId="50B305D0"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r>
      <w:tr w:rsidR="00DB66C5" w:rsidRPr="00631ACC" w14:paraId="5A2BA258" w14:textId="77777777" w:rsidTr="007441D1">
        <w:trPr>
          <w:trHeight w:val="270"/>
        </w:trPr>
        <w:tc>
          <w:tcPr>
            <w:tcW w:w="2557" w:type="dxa"/>
            <w:tcBorders>
              <w:top w:val="single" w:sz="4" w:space="0" w:color="ADD6EA"/>
              <w:left w:val="nil"/>
              <w:bottom w:val="nil"/>
              <w:right w:val="nil"/>
            </w:tcBorders>
            <w:shd w:val="clear" w:color="auto" w:fill="auto"/>
            <w:vAlign w:val="bottom"/>
            <w:hideMark/>
          </w:tcPr>
          <w:p w14:paraId="47D27FAA" w14:textId="77777777" w:rsidR="00DB66C5" w:rsidRPr="00631ACC" w:rsidRDefault="00DB66C5" w:rsidP="002B38EB">
            <w:pPr>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652" w:type="dxa"/>
            <w:tcBorders>
              <w:top w:val="single" w:sz="4" w:space="0" w:color="ADD6EA"/>
              <w:left w:val="nil"/>
              <w:bottom w:val="nil"/>
              <w:right w:val="nil"/>
            </w:tcBorders>
            <w:shd w:val="clear" w:color="auto" w:fill="auto"/>
            <w:noWrap/>
            <w:vAlign w:val="bottom"/>
            <w:hideMark/>
          </w:tcPr>
          <w:p w14:paraId="71787240"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Tenure (5 categories)</w:t>
            </w:r>
          </w:p>
        </w:tc>
        <w:tc>
          <w:tcPr>
            <w:tcW w:w="2750" w:type="dxa"/>
            <w:tcBorders>
              <w:top w:val="single" w:sz="4" w:space="0" w:color="ADD6EA"/>
              <w:left w:val="nil"/>
              <w:bottom w:val="nil"/>
              <w:right w:val="nil"/>
            </w:tcBorders>
            <w:shd w:val="clear" w:color="auto" w:fill="auto"/>
            <w:noWrap/>
            <w:vAlign w:val="bottom"/>
            <w:hideMark/>
          </w:tcPr>
          <w:p w14:paraId="34C3E4C1"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Tenure (continuous)</w:t>
            </w:r>
          </w:p>
        </w:tc>
      </w:tr>
      <w:tr w:rsidR="00DB66C5" w:rsidRPr="00631ACC" w14:paraId="47BC643A" w14:textId="77777777" w:rsidTr="007441D1">
        <w:trPr>
          <w:trHeight w:val="270"/>
        </w:trPr>
        <w:tc>
          <w:tcPr>
            <w:tcW w:w="2557" w:type="dxa"/>
            <w:tcBorders>
              <w:top w:val="single" w:sz="4" w:space="0" w:color="ADD6EA"/>
              <w:left w:val="nil"/>
              <w:bottom w:val="nil"/>
              <w:right w:val="nil"/>
            </w:tcBorders>
            <w:shd w:val="clear" w:color="auto" w:fill="auto"/>
            <w:vAlign w:val="bottom"/>
            <w:hideMark/>
          </w:tcPr>
          <w:p w14:paraId="56FFE8D4" w14:textId="77777777" w:rsidR="00DB66C5" w:rsidRPr="00631ACC" w:rsidRDefault="00DB66C5" w:rsidP="002B38EB">
            <w:pPr>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652" w:type="dxa"/>
            <w:tcBorders>
              <w:top w:val="single" w:sz="4" w:space="0" w:color="ADD6EA"/>
              <w:left w:val="nil"/>
              <w:bottom w:val="nil"/>
              <w:right w:val="nil"/>
            </w:tcBorders>
            <w:shd w:val="clear" w:color="auto" w:fill="auto"/>
            <w:noWrap/>
            <w:vAlign w:val="bottom"/>
            <w:hideMark/>
          </w:tcPr>
          <w:p w14:paraId="3293E535"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Migrant status (7 categories)</w:t>
            </w:r>
          </w:p>
        </w:tc>
        <w:tc>
          <w:tcPr>
            <w:tcW w:w="2750" w:type="dxa"/>
            <w:tcBorders>
              <w:top w:val="single" w:sz="4" w:space="0" w:color="ADD6EA"/>
              <w:left w:val="nil"/>
              <w:bottom w:val="nil"/>
              <w:right w:val="nil"/>
            </w:tcBorders>
            <w:shd w:val="clear" w:color="auto" w:fill="auto"/>
            <w:noWrap/>
            <w:vAlign w:val="bottom"/>
            <w:hideMark/>
          </w:tcPr>
          <w:p w14:paraId="6ECCF413"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Migrant status (7 categories)</w:t>
            </w:r>
          </w:p>
        </w:tc>
      </w:tr>
      <w:tr w:rsidR="00DB66C5" w:rsidRPr="00631ACC" w14:paraId="2B215070" w14:textId="77777777" w:rsidTr="007441D1">
        <w:trPr>
          <w:trHeight w:val="270"/>
        </w:trPr>
        <w:tc>
          <w:tcPr>
            <w:tcW w:w="2557" w:type="dxa"/>
            <w:tcBorders>
              <w:top w:val="single" w:sz="4" w:space="0" w:color="ADD6EA"/>
              <w:left w:val="nil"/>
              <w:bottom w:val="nil"/>
              <w:right w:val="nil"/>
            </w:tcBorders>
            <w:shd w:val="clear" w:color="auto" w:fill="auto"/>
            <w:vAlign w:val="bottom"/>
            <w:hideMark/>
          </w:tcPr>
          <w:p w14:paraId="215DF17E" w14:textId="77777777" w:rsidR="00DB66C5" w:rsidRPr="00631ACC" w:rsidRDefault="00DB66C5" w:rsidP="002B38EB">
            <w:pPr>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652" w:type="dxa"/>
            <w:tcBorders>
              <w:top w:val="single" w:sz="4" w:space="0" w:color="ADD6EA"/>
              <w:left w:val="nil"/>
              <w:bottom w:val="nil"/>
              <w:right w:val="nil"/>
            </w:tcBorders>
            <w:shd w:val="clear" w:color="auto" w:fill="auto"/>
            <w:noWrap/>
            <w:vAlign w:val="bottom"/>
            <w:hideMark/>
          </w:tcPr>
          <w:p w14:paraId="2C06423F"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Marital status</w:t>
            </w:r>
          </w:p>
        </w:tc>
        <w:tc>
          <w:tcPr>
            <w:tcW w:w="2750" w:type="dxa"/>
            <w:tcBorders>
              <w:top w:val="single" w:sz="4" w:space="0" w:color="ADD6EA"/>
              <w:left w:val="nil"/>
              <w:bottom w:val="nil"/>
              <w:right w:val="nil"/>
            </w:tcBorders>
            <w:shd w:val="clear" w:color="auto" w:fill="auto"/>
            <w:noWrap/>
            <w:vAlign w:val="bottom"/>
            <w:hideMark/>
          </w:tcPr>
          <w:p w14:paraId="07282BB4"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Marital status</w:t>
            </w:r>
          </w:p>
        </w:tc>
      </w:tr>
      <w:tr w:rsidR="00DB66C5" w:rsidRPr="00631ACC" w14:paraId="0B1CE287" w14:textId="77777777" w:rsidTr="007441D1">
        <w:trPr>
          <w:trHeight w:val="315"/>
        </w:trPr>
        <w:tc>
          <w:tcPr>
            <w:tcW w:w="2557" w:type="dxa"/>
            <w:tcBorders>
              <w:top w:val="single" w:sz="4" w:space="0" w:color="ADD6EA"/>
              <w:left w:val="nil"/>
              <w:bottom w:val="nil"/>
              <w:right w:val="nil"/>
            </w:tcBorders>
            <w:shd w:val="clear" w:color="auto" w:fill="auto"/>
            <w:vAlign w:val="bottom"/>
            <w:hideMark/>
          </w:tcPr>
          <w:p w14:paraId="3817AD6F" w14:textId="77777777" w:rsidR="00DB66C5" w:rsidRPr="00631ACC" w:rsidRDefault="00DB66C5" w:rsidP="002B38EB">
            <w:pPr>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652" w:type="dxa"/>
            <w:tcBorders>
              <w:top w:val="single" w:sz="4" w:space="0" w:color="ADD6EA"/>
              <w:left w:val="nil"/>
              <w:bottom w:val="nil"/>
              <w:right w:val="nil"/>
            </w:tcBorders>
            <w:shd w:val="clear" w:color="auto" w:fill="auto"/>
            <w:noWrap/>
            <w:vAlign w:val="bottom"/>
            <w:hideMark/>
          </w:tcPr>
          <w:p w14:paraId="7F653F81"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Dependent child (dummy)</w:t>
            </w:r>
          </w:p>
        </w:tc>
        <w:tc>
          <w:tcPr>
            <w:tcW w:w="2750" w:type="dxa"/>
            <w:tcBorders>
              <w:top w:val="single" w:sz="4" w:space="0" w:color="ADD6EA"/>
              <w:left w:val="nil"/>
              <w:bottom w:val="nil"/>
              <w:right w:val="nil"/>
            </w:tcBorders>
            <w:shd w:val="clear" w:color="auto" w:fill="auto"/>
            <w:noWrap/>
            <w:vAlign w:val="bottom"/>
            <w:hideMark/>
          </w:tcPr>
          <w:p w14:paraId="6A42434D"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Dependent child (dummy)</w:t>
            </w:r>
          </w:p>
        </w:tc>
      </w:tr>
      <w:tr w:rsidR="00DB66C5" w:rsidRPr="00631ACC" w14:paraId="3CF343F3" w14:textId="77777777" w:rsidTr="007441D1">
        <w:trPr>
          <w:trHeight w:val="270"/>
        </w:trPr>
        <w:tc>
          <w:tcPr>
            <w:tcW w:w="2557" w:type="dxa"/>
            <w:tcBorders>
              <w:top w:val="single" w:sz="4" w:space="0" w:color="ADD6EA"/>
              <w:left w:val="nil"/>
              <w:bottom w:val="nil"/>
              <w:right w:val="nil"/>
            </w:tcBorders>
            <w:shd w:val="clear" w:color="auto" w:fill="auto"/>
            <w:vAlign w:val="bottom"/>
            <w:hideMark/>
          </w:tcPr>
          <w:p w14:paraId="6E2B0AB0" w14:textId="77777777" w:rsidR="00DB66C5" w:rsidRPr="00631ACC" w:rsidRDefault="00DB66C5" w:rsidP="002B38EB">
            <w:pPr>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652" w:type="dxa"/>
            <w:tcBorders>
              <w:top w:val="single" w:sz="4" w:space="0" w:color="ADD6EA"/>
              <w:left w:val="nil"/>
              <w:bottom w:val="nil"/>
              <w:right w:val="nil"/>
            </w:tcBorders>
            <w:shd w:val="clear" w:color="auto" w:fill="auto"/>
            <w:noWrap/>
            <w:vAlign w:val="bottom"/>
            <w:hideMark/>
          </w:tcPr>
          <w:p w14:paraId="0446043E"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Occupation (~120 categories)</w:t>
            </w:r>
          </w:p>
        </w:tc>
        <w:tc>
          <w:tcPr>
            <w:tcW w:w="2750" w:type="dxa"/>
            <w:tcBorders>
              <w:top w:val="single" w:sz="4" w:space="0" w:color="ADD6EA"/>
              <w:left w:val="nil"/>
              <w:bottom w:val="nil"/>
              <w:right w:val="nil"/>
            </w:tcBorders>
            <w:shd w:val="clear" w:color="auto" w:fill="auto"/>
            <w:noWrap/>
            <w:vAlign w:val="bottom"/>
            <w:hideMark/>
          </w:tcPr>
          <w:p w14:paraId="0D1D6D35"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Occupation (~120 categories)</w:t>
            </w:r>
          </w:p>
        </w:tc>
      </w:tr>
      <w:tr w:rsidR="00DB66C5" w:rsidRPr="00631ACC" w14:paraId="03C5C4FF" w14:textId="77777777" w:rsidTr="007441D1">
        <w:trPr>
          <w:trHeight w:val="270"/>
        </w:trPr>
        <w:tc>
          <w:tcPr>
            <w:tcW w:w="2557" w:type="dxa"/>
            <w:tcBorders>
              <w:top w:val="single" w:sz="4" w:space="0" w:color="ADD6EA"/>
              <w:left w:val="nil"/>
              <w:bottom w:val="nil"/>
              <w:right w:val="nil"/>
            </w:tcBorders>
            <w:shd w:val="clear" w:color="auto" w:fill="auto"/>
            <w:vAlign w:val="bottom"/>
            <w:hideMark/>
          </w:tcPr>
          <w:p w14:paraId="5B8295DF" w14:textId="77777777" w:rsidR="00DB66C5" w:rsidRPr="00631ACC" w:rsidRDefault="00DB66C5" w:rsidP="002B38EB">
            <w:pPr>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652" w:type="dxa"/>
            <w:tcBorders>
              <w:top w:val="single" w:sz="4" w:space="0" w:color="ADD6EA"/>
              <w:left w:val="nil"/>
              <w:bottom w:val="nil"/>
              <w:right w:val="nil"/>
            </w:tcBorders>
            <w:shd w:val="clear" w:color="auto" w:fill="auto"/>
            <w:noWrap/>
            <w:vAlign w:val="bottom"/>
            <w:hideMark/>
          </w:tcPr>
          <w:p w14:paraId="3BBC68A0"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Industry (~260 categories)</w:t>
            </w:r>
          </w:p>
        </w:tc>
        <w:tc>
          <w:tcPr>
            <w:tcW w:w="2750" w:type="dxa"/>
            <w:tcBorders>
              <w:top w:val="single" w:sz="4" w:space="0" w:color="ADD6EA"/>
              <w:left w:val="nil"/>
              <w:bottom w:val="nil"/>
              <w:right w:val="nil"/>
            </w:tcBorders>
            <w:shd w:val="clear" w:color="auto" w:fill="auto"/>
            <w:noWrap/>
            <w:vAlign w:val="bottom"/>
            <w:hideMark/>
          </w:tcPr>
          <w:p w14:paraId="46068915"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sidRPr="00631ACC">
              <w:rPr>
                <w:rFonts w:eastAsia="Times New Roman" w:cs="Open Sans Light"/>
                <w:color w:val="000000"/>
                <w:sz w:val="16"/>
                <w:szCs w:val="16"/>
                <w:lang w:eastAsia="en-AU"/>
              </w:rPr>
              <w:t>Industry (~260 categories)</w:t>
            </w:r>
          </w:p>
        </w:tc>
      </w:tr>
      <w:tr w:rsidR="00DB66C5" w:rsidRPr="00631ACC" w14:paraId="003BE041" w14:textId="77777777" w:rsidTr="007441D1">
        <w:trPr>
          <w:trHeight w:val="270"/>
        </w:trPr>
        <w:tc>
          <w:tcPr>
            <w:tcW w:w="2557" w:type="dxa"/>
            <w:tcBorders>
              <w:top w:val="single" w:sz="4" w:space="0" w:color="ADD6EA"/>
              <w:left w:val="nil"/>
              <w:bottom w:val="nil"/>
              <w:right w:val="nil"/>
            </w:tcBorders>
            <w:shd w:val="clear" w:color="auto" w:fill="auto"/>
            <w:vAlign w:val="bottom"/>
            <w:hideMark/>
          </w:tcPr>
          <w:p w14:paraId="5523205C" w14:textId="77777777" w:rsidR="00DB66C5" w:rsidRPr="00631ACC" w:rsidRDefault="00DB66C5" w:rsidP="002B38EB">
            <w:pPr>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652" w:type="dxa"/>
            <w:tcBorders>
              <w:top w:val="single" w:sz="4" w:space="0" w:color="ADD6EA"/>
              <w:left w:val="nil"/>
              <w:bottom w:val="nil"/>
              <w:right w:val="nil"/>
            </w:tcBorders>
            <w:shd w:val="clear" w:color="auto" w:fill="auto"/>
            <w:noWrap/>
            <w:vAlign w:val="bottom"/>
            <w:hideMark/>
          </w:tcPr>
          <w:p w14:paraId="3F9D4C54"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M</w:t>
            </w:r>
            <w:r w:rsidRPr="00631ACC">
              <w:rPr>
                <w:rFonts w:eastAsia="Times New Roman" w:cs="Open Sans Light"/>
                <w:color w:val="000000"/>
                <w:sz w:val="16"/>
                <w:szCs w:val="16"/>
                <w:lang w:eastAsia="en-AU"/>
              </w:rPr>
              <w:t>ale</w:t>
            </w:r>
          </w:p>
        </w:tc>
        <w:tc>
          <w:tcPr>
            <w:tcW w:w="2750" w:type="dxa"/>
            <w:tcBorders>
              <w:top w:val="single" w:sz="4" w:space="0" w:color="ADD6EA"/>
              <w:left w:val="nil"/>
              <w:bottom w:val="nil"/>
              <w:right w:val="nil"/>
            </w:tcBorders>
            <w:shd w:val="clear" w:color="auto" w:fill="auto"/>
            <w:noWrap/>
            <w:vAlign w:val="bottom"/>
            <w:hideMark/>
          </w:tcPr>
          <w:p w14:paraId="1086035E"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M</w:t>
            </w:r>
            <w:r w:rsidRPr="00631ACC">
              <w:rPr>
                <w:rFonts w:eastAsia="Times New Roman" w:cs="Open Sans Light"/>
                <w:color w:val="000000"/>
                <w:sz w:val="16"/>
                <w:szCs w:val="16"/>
                <w:lang w:eastAsia="en-AU"/>
              </w:rPr>
              <w:t>ale</w:t>
            </w:r>
          </w:p>
        </w:tc>
      </w:tr>
      <w:tr w:rsidR="00DB66C5" w:rsidRPr="00631ACC" w14:paraId="2D9A0BB3" w14:textId="77777777" w:rsidTr="007441D1">
        <w:trPr>
          <w:trHeight w:val="270"/>
        </w:trPr>
        <w:tc>
          <w:tcPr>
            <w:tcW w:w="2557" w:type="dxa"/>
            <w:tcBorders>
              <w:top w:val="single" w:sz="4" w:space="0" w:color="ADD6EA"/>
              <w:left w:val="nil"/>
              <w:bottom w:val="single" w:sz="4" w:space="0" w:color="ADD6EA"/>
              <w:right w:val="nil"/>
            </w:tcBorders>
            <w:shd w:val="clear" w:color="auto" w:fill="auto"/>
            <w:vAlign w:val="bottom"/>
            <w:hideMark/>
          </w:tcPr>
          <w:p w14:paraId="1416CC72" w14:textId="77777777" w:rsidR="00DB66C5" w:rsidRPr="00631ACC" w:rsidRDefault="00DB66C5" w:rsidP="002B38EB">
            <w:pPr>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c>
          <w:tcPr>
            <w:tcW w:w="3652" w:type="dxa"/>
            <w:tcBorders>
              <w:top w:val="single" w:sz="4" w:space="0" w:color="ADD6EA"/>
              <w:left w:val="nil"/>
              <w:bottom w:val="single" w:sz="4" w:space="0" w:color="ADD6EA"/>
              <w:right w:val="nil"/>
            </w:tcBorders>
            <w:shd w:val="clear" w:color="auto" w:fill="auto"/>
            <w:noWrap/>
            <w:vAlign w:val="bottom"/>
            <w:hideMark/>
          </w:tcPr>
          <w:p w14:paraId="49ADF90C"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M</w:t>
            </w:r>
            <w:r w:rsidRPr="00631ACC">
              <w:rPr>
                <w:rFonts w:eastAsia="Times New Roman" w:cs="Open Sans Light"/>
                <w:color w:val="000000"/>
                <w:sz w:val="16"/>
                <w:szCs w:val="16"/>
                <w:lang w:eastAsia="en-AU"/>
              </w:rPr>
              <w:t>ale*(every other control)</w:t>
            </w:r>
          </w:p>
        </w:tc>
        <w:tc>
          <w:tcPr>
            <w:tcW w:w="2750" w:type="dxa"/>
            <w:tcBorders>
              <w:top w:val="single" w:sz="4" w:space="0" w:color="ADD6EA"/>
              <w:left w:val="nil"/>
              <w:bottom w:val="single" w:sz="4" w:space="0" w:color="ADD6EA"/>
              <w:right w:val="nil"/>
            </w:tcBorders>
            <w:shd w:val="clear" w:color="auto" w:fill="auto"/>
            <w:noWrap/>
            <w:vAlign w:val="bottom"/>
            <w:hideMark/>
          </w:tcPr>
          <w:p w14:paraId="32381C14" w14:textId="77777777" w:rsidR="00DB66C5" w:rsidRPr="00631ACC" w:rsidRDefault="00DB66C5" w:rsidP="002B38EB">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M</w:t>
            </w:r>
            <w:r w:rsidRPr="00631ACC">
              <w:rPr>
                <w:rFonts w:eastAsia="Times New Roman" w:cs="Open Sans Light"/>
                <w:color w:val="000000"/>
                <w:sz w:val="16"/>
                <w:szCs w:val="16"/>
                <w:lang w:eastAsia="en-AU"/>
              </w:rPr>
              <w:t>ale*(every other control)</w:t>
            </w:r>
          </w:p>
        </w:tc>
      </w:tr>
    </w:tbl>
    <w:p w14:paraId="2255EAEF" w14:textId="27683896" w:rsidR="007441D1" w:rsidRPr="008A5DA5" w:rsidRDefault="007441D1" w:rsidP="007441D1">
      <w:pPr>
        <w:pStyle w:val="CGC2025TableNote"/>
      </w:pPr>
      <w:r>
        <w:t xml:space="preserve">Source: Commission decision. </w:t>
      </w:r>
    </w:p>
    <w:p w14:paraId="2490A950" w14:textId="7178E1A5" w:rsidR="008D60AF" w:rsidRPr="008D60AF" w:rsidRDefault="008D60AF" w:rsidP="00DB66C5"/>
    <w:sectPr w:rsidR="008D60AF" w:rsidRPr="008D60AF" w:rsidSect="004F0684">
      <w:pgSz w:w="11906" w:h="16838" w:code="9"/>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1ED85" w14:textId="77777777" w:rsidR="00957D5A" w:rsidRDefault="00957D5A">
      <w:r>
        <w:separator/>
      </w:r>
    </w:p>
    <w:p w14:paraId="6401B399" w14:textId="77777777" w:rsidR="00957D5A" w:rsidRDefault="00957D5A"/>
  </w:endnote>
  <w:endnote w:type="continuationSeparator" w:id="0">
    <w:p w14:paraId="1C255FC2" w14:textId="77777777" w:rsidR="00957D5A" w:rsidRDefault="00957D5A">
      <w:r>
        <w:continuationSeparator/>
      </w:r>
    </w:p>
    <w:p w14:paraId="60D76619" w14:textId="77777777" w:rsidR="00957D5A" w:rsidRDefault="00957D5A"/>
  </w:endnote>
  <w:endnote w:type="continuationNotice" w:id="1">
    <w:p w14:paraId="12C3DFEC" w14:textId="77777777" w:rsidR="00957D5A" w:rsidRDefault="00957D5A">
      <w:pPr>
        <w:spacing w:before="0" w:line="240" w:lineRule="auto"/>
      </w:pPr>
    </w:p>
    <w:p w14:paraId="7F72273D" w14:textId="77777777" w:rsidR="00957D5A" w:rsidRDefault="00957D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ork Sans">
    <w:altName w:val="Calibri"/>
    <w:charset w:val="00"/>
    <w:family w:val="auto"/>
    <w:pitch w:val="variable"/>
    <w:sig w:usb0="A00000FF" w:usb1="5000E07B" w:usb2="00000000" w:usb3="00000000" w:csb0="000001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Semi Bold">
    <w:panose1 w:val="000007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ontserrat Ultra Light">
    <w:panose1 w:val="000003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Work Sans SemiBold">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E2305" w14:textId="7666131D" w:rsidR="00E4564D" w:rsidRDefault="00E4564D" w:rsidP="00D221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496B4" w14:textId="31EBF2D8" w:rsidR="00B80B50" w:rsidRDefault="008E230B" w:rsidP="008E230B">
    <w:pPr>
      <w:pStyle w:val="Footer"/>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684187"/>
      <w:docPartObj>
        <w:docPartGallery w:val="Page Numbers (Bottom of Page)"/>
        <w:docPartUnique/>
      </w:docPartObj>
    </w:sdtPr>
    <w:sdtEndPr>
      <w:rPr>
        <w:noProof/>
      </w:rPr>
    </w:sdtEndPr>
    <w:sdtContent>
      <w:p w14:paraId="63EB4974" w14:textId="77777777" w:rsidR="005B6B61" w:rsidRDefault="005B6B61" w:rsidP="00D22166">
        <w:pPr>
          <w:pStyle w:val="Footer"/>
        </w:pPr>
        <w:r>
          <w:fldChar w:fldCharType="begin"/>
        </w:r>
        <w:r>
          <w:instrText xml:space="preserve"> PAGE   \* MERGEFORMAT </w:instrText>
        </w:r>
        <w:r>
          <w:fldChar w:fldCharType="separate"/>
        </w:r>
        <w:r>
          <w:rPr>
            <w:noProof/>
          </w:rPr>
          <w:t>2</w:t>
        </w:r>
        <w:r>
          <w:rPr>
            <w:noProof/>
          </w:rPr>
          <w:fldChar w:fldCharType="end"/>
        </w:r>
      </w:p>
    </w:sdtContent>
  </w:sdt>
  <w:p w14:paraId="39C6AF0D" w14:textId="77777777" w:rsidR="00C66676" w:rsidRDefault="00C666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E7258" w14:textId="77777777" w:rsidR="00957D5A" w:rsidRPr="001C1AC5" w:rsidRDefault="00957D5A">
      <w:pPr>
        <w:rPr>
          <w:color w:val="ADD6EA"/>
        </w:rPr>
      </w:pPr>
      <w:r w:rsidRPr="001C1AC5">
        <w:rPr>
          <w:color w:val="ADD6EA"/>
        </w:rPr>
        <w:separator/>
      </w:r>
    </w:p>
    <w:p w14:paraId="4EC548A6" w14:textId="77777777" w:rsidR="00957D5A" w:rsidRDefault="00957D5A"/>
  </w:footnote>
  <w:footnote w:type="continuationSeparator" w:id="0">
    <w:p w14:paraId="495F0C61" w14:textId="77777777" w:rsidR="00957D5A" w:rsidRDefault="00957D5A">
      <w:r>
        <w:continuationSeparator/>
      </w:r>
    </w:p>
    <w:p w14:paraId="5E6AC1D9" w14:textId="77777777" w:rsidR="00957D5A" w:rsidRDefault="00957D5A"/>
  </w:footnote>
  <w:footnote w:type="continuationNotice" w:id="1">
    <w:p w14:paraId="2C8771BF" w14:textId="77777777" w:rsidR="00957D5A" w:rsidRDefault="00957D5A">
      <w:pPr>
        <w:spacing w:before="0" w:line="240" w:lineRule="auto"/>
      </w:pPr>
    </w:p>
    <w:p w14:paraId="632377C3" w14:textId="77777777" w:rsidR="00957D5A" w:rsidRDefault="00957D5A"/>
  </w:footnote>
  <w:footnote w:id="2">
    <w:p w14:paraId="6727A899" w14:textId="58610801" w:rsidR="00DB66C5" w:rsidRDefault="00DB66C5" w:rsidP="00EB76D5">
      <w:pPr>
        <w:pStyle w:val="FootnoteText"/>
      </w:pPr>
      <w:r>
        <w:rPr>
          <w:rStyle w:val="FootnoteReference"/>
        </w:rPr>
        <w:footnoteRef/>
      </w:r>
      <w:r>
        <w:t xml:space="preserve"> </w:t>
      </w:r>
      <w:r w:rsidRPr="00DB66C5">
        <w:t>In the 2023</w:t>
      </w:r>
      <w:r w:rsidR="00EB76D5">
        <w:t xml:space="preserve"> </w:t>
      </w:r>
      <w:r w:rsidRPr="00DB66C5">
        <w:t>Update the Australian Construction Handbook 2020 Edition 38, 2021 Edition 39 and 2022 Edition 40 were used for the 3 assessment years</w:t>
      </w:r>
      <w:r w:rsidR="000E3C57">
        <w:t>.</w:t>
      </w:r>
    </w:p>
  </w:footnote>
  <w:footnote w:id="3">
    <w:p w14:paraId="0906E609" w14:textId="0151BCB6" w:rsidR="00A11A9E" w:rsidRPr="00A11A9E" w:rsidRDefault="00A11A9E" w:rsidP="00EB76D5">
      <w:pPr>
        <w:pStyle w:val="FootnoteText"/>
      </w:pPr>
      <w:r w:rsidRPr="00DB66C5">
        <w:rPr>
          <w:rStyle w:val="FootnoteReference"/>
        </w:rPr>
        <w:footnoteRef/>
      </w:r>
      <w:r w:rsidRPr="00A11A9E">
        <w:t xml:space="preserve"> </w:t>
      </w:r>
      <w:sdt>
        <w:sdtPr>
          <w:id w:val="-1681186412"/>
          <w:citation/>
        </w:sdtPr>
        <w:sdtEndPr/>
        <w:sdtContent>
          <w:r w:rsidR="00C530D5">
            <w:fldChar w:fldCharType="begin"/>
          </w:r>
          <w:r w:rsidR="00C530D5">
            <w:instrText xml:space="preserve"> CITATION Nat21 \l 3081 </w:instrText>
          </w:r>
          <w:r w:rsidR="00C530D5">
            <w:fldChar w:fldCharType="separate"/>
          </w:r>
          <w:r w:rsidR="00E40D34">
            <w:rPr>
              <w:noProof/>
            </w:rPr>
            <w:t>(National Skills Commission, 2021)</w:t>
          </w:r>
          <w:r w:rsidR="00C530D5">
            <w:fldChar w:fldCharType="end"/>
          </w:r>
        </w:sdtContent>
      </w:sdt>
      <w:r w:rsidRPr="00A11A9E">
        <w:t xml:space="preserve"> </w:t>
      </w:r>
    </w:p>
  </w:footnote>
  <w:footnote w:id="4">
    <w:p w14:paraId="68B3AD40" w14:textId="35765431" w:rsidR="00A11A9E" w:rsidRPr="00A11A9E" w:rsidRDefault="00A11A9E" w:rsidP="00EB76D5">
      <w:pPr>
        <w:pStyle w:val="FootnoteText"/>
      </w:pPr>
      <w:r w:rsidRPr="00DB66C5">
        <w:rPr>
          <w:rStyle w:val="FootnoteReference"/>
        </w:rPr>
        <w:footnoteRef/>
      </w:r>
      <w:r w:rsidRPr="00A11A9E">
        <w:t xml:space="preserve"> </w:t>
      </w:r>
      <w:sdt>
        <w:sdtPr>
          <w:id w:val="-1362507499"/>
          <w:citation/>
        </w:sdtPr>
        <w:sdtEndPr/>
        <w:sdtContent>
          <w:r w:rsidRPr="00A11A9E">
            <w:fldChar w:fldCharType="begin"/>
          </w:r>
          <w:r w:rsidRPr="00A11A9E">
            <w:instrText xml:space="preserve">CITATION ABS21 \l 3081 </w:instrText>
          </w:r>
          <w:r w:rsidRPr="00A11A9E">
            <w:fldChar w:fldCharType="separate"/>
          </w:r>
          <w:r w:rsidR="00E40D34">
            <w:rPr>
              <w:noProof/>
            </w:rPr>
            <w:t>(ABS, 2021)</w:t>
          </w:r>
          <w:r w:rsidRPr="00A11A9E">
            <w:fldChar w:fldCharType="end"/>
          </w:r>
        </w:sdtContent>
      </w:sdt>
    </w:p>
  </w:footnote>
  <w:footnote w:id="5">
    <w:p w14:paraId="500A631D" w14:textId="03277282" w:rsidR="00A11A9E" w:rsidRPr="00A11A9E" w:rsidRDefault="00A11A9E" w:rsidP="00EB76D5">
      <w:pPr>
        <w:pStyle w:val="FootnoteText"/>
      </w:pPr>
      <w:r w:rsidRPr="00C530D5">
        <w:rPr>
          <w:rStyle w:val="FootnoteReference"/>
        </w:rPr>
        <w:footnoteRef/>
      </w:r>
      <w:r w:rsidRPr="00A11A9E">
        <w:t xml:space="preserve"> </w:t>
      </w:r>
      <w:sdt>
        <w:sdtPr>
          <w:id w:val="-443456163"/>
          <w:citation/>
        </w:sdtPr>
        <w:sdtEndPr/>
        <w:sdtContent>
          <w:r w:rsidRPr="00A11A9E">
            <w:fldChar w:fldCharType="begin"/>
          </w:r>
          <w:r w:rsidRPr="00A11A9E">
            <w:instrText xml:space="preserve"> CITATION Nat221 \l 3081 </w:instrText>
          </w:r>
          <w:r w:rsidRPr="00A11A9E">
            <w:fldChar w:fldCharType="separate"/>
          </w:r>
          <w:r w:rsidR="00E40D34">
            <w:rPr>
              <w:noProof/>
            </w:rPr>
            <w:t>(National Skills Commission, 2022)</w:t>
          </w:r>
          <w:r w:rsidRPr="00A11A9E">
            <w:fldChar w:fldCharType="end"/>
          </w:r>
        </w:sdtContent>
      </w:sdt>
    </w:p>
  </w:footnote>
  <w:footnote w:id="6">
    <w:p w14:paraId="39893AD5" w14:textId="611D1D84" w:rsidR="00A11A9E" w:rsidRPr="00A11A9E" w:rsidRDefault="00A11A9E" w:rsidP="00EB76D5">
      <w:pPr>
        <w:pStyle w:val="FootnoteText"/>
      </w:pPr>
      <w:r w:rsidRPr="00C530D5">
        <w:rPr>
          <w:rStyle w:val="FootnoteReference"/>
        </w:rPr>
        <w:footnoteRef/>
      </w:r>
      <w:r w:rsidRPr="00A11A9E">
        <w:t xml:space="preserve"> </w:t>
      </w:r>
      <w:sdt>
        <w:sdtPr>
          <w:id w:val="-475300395"/>
          <w:citation/>
        </w:sdtPr>
        <w:sdtEndPr/>
        <w:sdtContent>
          <w:r w:rsidRPr="00A11A9E">
            <w:fldChar w:fldCharType="begin"/>
          </w:r>
          <w:r w:rsidRPr="00A11A9E">
            <w:instrText xml:space="preserve">CITATION Nat21 \l 3081 </w:instrText>
          </w:r>
          <w:r w:rsidRPr="00A11A9E">
            <w:fldChar w:fldCharType="separate"/>
          </w:r>
          <w:r w:rsidR="00E40D34">
            <w:rPr>
              <w:noProof/>
            </w:rPr>
            <w:t>(National Skills Commission, 2021)</w:t>
          </w:r>
          <w:r w:rsidRPr="00A11A9E">
            <w:fldChar w:fldCharType="end"/>
          </w:r>
        </w:sdtContent>
      </w:sdt>
    </w:p>
  </w:footnote>
  <w:footnote w:id="7">
    <w:p w14:paraId="60A2DB6A" w14:textId="4245B09B" w:rsidR="00A11A9E" w:rsidRDefault="00A11A9E" w:rsidP="00EB76D5">
      <w:pPr>
        <w:pStyle w:val="FootnoteText"/>
      </w:pPr>
      <w:r w:rsidRPr="00C530D5">
        <w:rPr>
          <w:rStyle w:val="FootnoteReference"/>
        </w:rPr>
        <w:footnoteRef/>
      </w:r>
      <w:r w:rsidRPr="00A11A9E">
        <w:t xml:space="preserve"> </w:t>
      </w:r>
      <w:sdt>
        <w:sdtPr>
          <w:id w:val="-874000196"/>
          <w:citation/>
        </w:sdtPr>
        <w:sdtEndPr/>
        <w:sdtContent>
          <w:r w:rsidRPr="00A11A9E">
            <w:fldChar w:fldCharType="begin"/>
          </w:r>
          <w:r w:rsidRPr="00A11A9E">
            <w:instrText xml:space="preserve"> CITATION Nat22 \l 3081 </w:instrText>
          </w:r>
          <w:r w:rsidRPr="00A11A9E">
            <w:fldChar w:fldCharType="separate"/>
          </w:r>
          <w:r w:rsidR="00E40D34">
            <w:rPr>
              <w:noProof/>
            </w:rPr>
            <w:t>(National Skills Commission, 2022)</w:t>
          </w:r>
          <w:r w:rsidRPr="00A11A9E">
            <w:fldChar w:fldCharType="end"/>
          </w:r>
        </w:sdtContent>
      </w:sdt>
    </w:p>
  </w:footnote>
  <w:footnote w:id="8">
    <w:p w14:paraId="62C849C6" w14:textId="0397D6D6" w:rsidR="00A11A9E" w:rsidRDefault="00A11A9E" w:rsidP="00EB76D5">
      <w:pPr>
        <w:pStyle w:val="FootnoteText"/>
      </w:pPr>
      <w:r>
        <w:rPr>
          <w:rStyle w:val="FootnoteReference"/>
        </w:rPr>
        <w:footnoteRef/>
      </w:r>
      <w:r>
        <w:t xml:space="preserve"> </w:t>
      </w:r>
      <w:sdt>
        <w:sdtPr>
          <w:id w:val="-1099403793"/>
          <w:citation/>
        </w:sdtPr>
        <w:sdtEndPr/>
        <w:sdtContent>
          <w:r>
            <w:fldChar w:fldCharType="begin"/>
          </w:r>
          <w:r>
            <w:instrText xml:space="preserve">CITATION ABS22 \l 3081 </w:instrText>
          </w:r>
          <w:r>
            <w:fldChar w:fldCharType="separate"/>
          </w:r>
          <w:r w:rsidR="00E40D34">
            <w:rPr>
              <w:noProof/>
            </w:rPr>
            <w:t>(ABS, 2022)</w:t>
          </w:r>
          <w:r>
            <w:fldChar w:fldCharType="end"/>
          </w:r>
        </w:sdtContent>
      </w:sdt>
    </w:p>
  </w:footnote>
  <w:footnote w:id="9">
    <w:p w14:paraId="38C309B8" w14:textId="45F9A353" w:rsidR="00A11A9E" w:rsidRDefault="00A11A9E" w:rsidP="00EB76D5">
      <w:pPr>
        <w:pStyle w:val="FootnoteText"/>
      </w:pPr>
      <w:r>
        <w:rPr>
          <w:rStyle w:val="FootnoteReference"/>
        </w:rPr>
        <w:footnoteRef/>
      </w:r>
      <w:r>
        <w:t xml:space="preserve"> </w:t>
      </w:r>
      <w:sdt>
        <w:sdtPr>
          <w:id w:val="-1129240944"/>
          <w:citation/>
        </w:sdtPr>
        <w:sdtEndPr/>
        <w:sdtContent>
          <w:r>
            <w:fldChar w:fldCharType="begin"/>
          </w:r>
          <w:r>
            <w:instrText xml:space="preserve"> CITATION ABS23 \l 3081 </w:instrText>
          </w:r>
          <w:r>
            <w:fldChar w:fldCharType="separate"/>
          </w:r>
          <w:r w:rsidR="00E40D34">
            <w:rPr>
              <w:noProof/>
            </w:rPr>
            <w:t>(ABS, 2023)</w:t>
          </w:r>
          <w:r>
            <w:fldChar w:fldCharType="end"/>
          </w:r>
        </w:sdtContent>
      </w:sdt>
    </w:p>
  </w:footnote>
  <w:footnote w:id="10">
    <w:p w14:paraId="2D58BB0D" w14:textId="7F4DE8B6" w:rsidR="00A11A9E" w:rsidRDefault="00A11A9E" w:rsidP="00EB76D5">
      <w:pPr>
        <w:pStyle w:val="FootnoteText"/>
      </w:pPr>
      <w:r>
        <w:rPr>
          <w:rStyle w:val="FootnoteReference"/>
        </w:rPr>
        <w:footnoteRef/>
      </w:r>
      <w:r>
        <w:t xml:space="preserve"> </w:t>
      </w:r>
      <w:sdt>
        <w:sdtPr>
          <w:id w:val="-1554071658"/>
          <w:citation/>
        </w:sdtPr>
        <w:sdtEndPr/>
        <w:sdtContent>
          <w:r>
            <w:fldChar w:fldCharType="begin"/>
          </w:r>
          <w:r>
            <w:instrText xml:space="preserve">CITATION Aus23 \l 3081 </w:instrText>
          </w:r>
          <w:r>
            <w:fldChar w:fldCharType="separate"/>
          </w:r>
          <w:r w:rsidR="00E40D34">
            <w:rPr>
              <w:noProof/>
            </w:rPr>
            <w:t>(ABS, 2023)</w:t>
          </w:r>
          <w:r>
            <w:fldChar w:fldCharType="end"/>
          </w:r>
        </w:sdtContent>
      </w:sdt>
    </w:p>
  </w:footnote>
  <w:footnote w:id="11">
    <w:p w14:paraId="47A53B28" w14:textId="56A199EA" w:rsidR="003E458E" w:rsidRDefault="003E458E" w:rsidP="00EB76D5">
      <w:pPr>
        <w:pStyle w:val="FootnoteText"/>
      </w:pPr>
      <w:r>
        <w:rPr>
          <w:rStyle w:val="FootnoteReference"/>
        </w:rPr>
        <w:footnoteRef/>
      </w:r>
      <w:r>
        <w:t xml:space="preserve"> </w:t>
      </w:r>
      <w:sdt>
        <w:sdtPr>
          <w:id w:val="46578132"/>
          <w:citation/>
        </w:sdtPr>
        <w:sdtEndPr/>
        <w:sdtContent>
          <w:r>
            <w:fldChar w:fldCharType="begin"/>
          </w:r>
          <w:r>
            <w:instrText xml:space="preserve"> CITATION Hec03 \l 3081 </w:instrText>
          </w:r>
          <w:r>
            <w:fldChar w:fldCharType="separate"/>
          </w:r>
          <w:r w:rsidR="00E40D34">
            <w:rPr>
              <w:noProof/>
            </w:rPr>
            <w:t>(Heckman, Lochner, &amp; Todd, 2003)</w:t>
          </w:r>
          <w:r>
            <w:fldChar w:fldCharType="end"/>
          </w:r>
        </w:sdtContent>
      </w:sdt>
    </w:p>
  </w:footnote>
  <w:footnote w:id="12">
    <w:p w14:paraId="28DB3A7C" w14:textId="693DDA65" w:rsidR="003E458E" w:rsidRDefault="003E458E" w:rsidP="00EB76D5">
      <w:pPr>
        <w:pStyle w:val="FootnoteText"/>
      </w:pPr>
      <w:r>
        <w:rPr>
          <w:rStyle w:val="FootnoteReference"/>
        </w:rPr>
        <w:footnoteRef/>
      </w:r>
      <w:r>
        <w:t xml:space="preserve"> </w:t>
      </w:r>
      <w:sdt>
        <w:sdtPr>
          <w:id w:val="1315458562"/>
          <w:citation/>
        </w:sdtPr>
        <w:sdtEndPr/>
        <w:sdtContent>
          <w:r>
            <w:fldChar w:fldCharType="begin"/>
          </w:r>
          <w:r>
            <w:instrText xml:space="preserve"> CITATION Bhu17 \l 3081 </w:instrText>
          </w:r>
          <w:r>
            <w:fldChar w:fldCharType="separate"/>
          </w:r>
          <w:r w:rsidR="00E40D34">
            <w:rPr>
              <w:noProof/>
            </w:rPr>
            <w:t>(Bhuller, Mogstad, &amp; Salvanes, 2017)</w:t>
          </w:r>
          <w:r>
            <w:fldChar w:fldCharType="end"/>
          </w:r>
        </w:sdtContent>
      </w:sdt>
    </w:p>
  </w:footnote>
  <w:footnote w:id="13">
    <w:p w14:paraId="7D5F6F6D" w14:textId="35893E5F" w:rsidR="003E458E" w:rsidRDefault="003E458E" w:rsidP="00EB76D5">
      <w:pPr>
        <w:pStyle w:val="FootnoteText"/>
      </w:pPr>
      <w:r>
        <w:rPr>
          <w:rStyle w:val="FootnoteReference"/>
        </w:rPr>
        <w:footnoteRef/>
      </w:r>
      <w:r>
        <w:t xml:space="preserve"> </w:t>
      </w:r>
      <w:sdt>
        <w:sdtPr>
          <w:id w:val="-62728319"/>
          <w:citation/>
        </w:sdtPr>
        <w:sdtEndPr/>
        <w:sdtContent>
          <w:r>
            <w:fldChar w:fldCharType="begin"/>
          </w:r>
          <w:r>
            <w:instrText xml:space="preserve"> CITATION Per17 \l 3081 </w:instrText>
          </w:r>
          <w:r>
            <w:fldChar w:fldCharType="separate"/>
          </w:r>
          <w:r w:rsidR="00E40D34">
            <w:rPr>
              <w:noProof/>
            </w:rPr>
            <w:t>(Perales &amp; Chesters, 2017)</w:t>
          </w:r>
          <w:r>
            <w:fldChar w:fldCharType="end"/>
          </w:r>
        </w:sdtContent>
      </w:sdt>
    </w:p>
  </w:footnote>
  <w:footnote w:id="14">
    <w:p w14:paraId="51429445" w14:textId="0818E785" w:rsidR="003E458E" w:rsidRDefault="003E458E" w:rsidP="00EB76D5">
      <w:pPr>
        <w:pStyle w:val="FootnoteText"/>
      </w:pPr>
      <w:r>
        <w:rPr>
          <w:rStyle w:val="FootnoteReference"/>
        </w:rPr>
        <w:footnoteRef/>
      </w:r>
      <w:r>
        <w:t xml:space="preserve"> </w:t>
      </w:r>
      <w:sdt>
        <w:sdtPr>
          <w:id w:val="-883476162"/>
          <w:citation/>
        </w:sdtPr>
        <w:sdtEndPr/>
        <w:sdtContent>
          <w:r>
            <w:fldChar w:fldCharType="begin"/>
          </w:r>
          <w:r>
            <w:instrText xml:space="preserve"> CITATION Car99 \l 3081 </w:instrText>
          </w:r>
          <w:r>
            <w:fldChar w:fldCharType="separate"/>
          </w:r>
          <w:r w:rsidR="00E40D34">
            <w:rPr>
              <w:noProof/>
            </w:rPr>
            <w:t>(Card, 1999)</w:t>
          </w:r>
          <w:r>
            <w:fldChar w:fldCharType="end"/>
          </w:r>
        </w:sdtContent>
      </w:sdt>
    </w:p>
  </w:footnote>
  <w:footnote w:id="15">
    <w:p w14:paraId="5E979A42" w14:textId="489BC99D" w:rsidR="0097410D" w:rsidRDefault="0097410D" w:rsidP="00EB76D5">
      <w:pPr>
        <w:pStyle w:val="FootnoteText"/>
      </w:pPr>
      <w:r>
        <w:rPr>
          <w:rStyle w:val="FootnoteReference"/>
        </w:rPr>
        <w:footnoteRef/>
      </w:r>
      <w:r>
        <w:t xml:space="preserve"> </w:t>
      </w:r>
      <w:r w:rsidRPr="00082F34">
        <w:t xml:space="preserve">Wooldridge, J. M. (2009). </w:t>
      </w:r>
      <w:r w:rsidRPr="009348DC">
        <w:rPr>
          <w:i/>
          <w:iCs/>
        </w:rPr>
        <w:t>Introductory Econometrics: A Modern Approach</w:t>
      </w:r>
      <w:r w:rsidRPr="00082F34">
        <w:t xml:space="preserve"> (4th ed.). Mason: South-Western Cengage Learning</w:t>
      </w:r>
      <w:r>
        <w:t>, pp 95</w:t>
      </w:r>
      <w:r w:rsidR="0042313D">
        <w:t>–</w:t>
      </w:r>
      <w:r>
        <w:t>99.</w:t>
      </w:r>
    </w:p>
  </w:footnote>
  <w:footnote w:id="16">
    <w:p w14:paraId="7905C47E" w14:textId="3ABF9CE2" w:rsidR="0097410D" w:rsidRDefault="0097410D" w:rsidP="00EB76D5">
      <w:pPr>
        <w:pStyle w:val="FootnoteText"/>
      </w:pPr>
      <w:r>
        <w:rPr>
          <w:rStyle w:val="FootnoteReference"/>
        </w:rPr>
        <w:footnoteRef/>
      </w:r>
      <w:r>
        <w:t xml:space="preserve"> </w:t>
      </w:r>
      <w:r w:rsidRPr="00082F34">
        <w:t xml:space="preserve">Fox, J., &amp; Monette, G. (1992). </w:t>
      </w:r>
      <w:r w:rsidR="0025642A">
        <w:t>‘</w:t>
      </w:r>
      <w:r w:rsidRPr="00082F34">
        <w:t>Generalised Collinearity Diagnostics</w:t>
      </w:r>
      <w:r w:rsidR="0025642A">
        <w:t>’</w:t>
      </w:r>
      <w:r w:rsidR="00100281">
        <w:t>,</w:t>
      </w:r>
      <w:r w:rsidRPr="00082F34">
        <w:t xml:space="preserve"> </w:t>
      </w:r>
      <w:r w:rsidRPr="00747D55">
        <w:rPr>
          <w:i/>
          <w:iCs/>
        </w:rPr>
        <w:t>Journal of the American Statistical Association</w:t>
      </w:r>
      <w:r w:rsidRPr="00082F34">
        <w:t>, 87</w:t>
      </w:r>
      <w:r w:rsidR="00100281">
        <w:t xml:space="preserve"> </w:t>
      </w:r>
      <w:r w:rsidRPr="00082F34">
        <w:t>(417), 178</w:t>
      </w:r>
      <w:r w:rsidR="00100281">
        <w:t>–</w:t>
      </w:r>
      <w:r w:rsidRPr="00082F34">
        <w:t>183.</w:t>
      </w:r>
    </w:p>
  </w:footnote>
  <w:footnote w:id="17">
    <w:p w14:paraId="0D1EA138" w14:textId="77777777" w:rsidR="0097410D" w:rsidRDefault="0097410D" w:rsidP="00EB76D5">
      <w:pPr>
        <w:pStyle w:val="FootnoteText"/>
      </w:pPr>
      <w:r>
        <w:rPr>
          <w:rStyle w:val="FootnoteReference"/>
        </w:rPr>
        <w:footnoteRef/>
      </w:r>
      <w:r>
        <w:t xml:space="preserve"> </w:t>
      </w:r>
      <w:r w:rsidRPr="00760931">
        <w:t xml:space="preserve">Norman, G. R., &amp; </w:t>
      </w:r>
      <w:proofErr w:type="spellStart"/>
      <w:r w:rsidRPr="00760931">
        <w:t>Streiner</w:t>
      </w:r>
      <w:proofErr w:type="spellEnd"/>
      <w:r w:rsidRPr="00760931">
        <w:t xml:space="preserve">, D. L. (2014). </w:t>
      </w:r>
      <w:r w:rsidRPr="00747D55">
        <w:rPr>
          <w:i/>
          <w:iCs/>
        </w:rPr>
        <w:t xml:space="preserve">Biostatistics: The </w:t>
      </w:r>
      <w:proofErr w:type="gramStart"/>
      <w:r w:rsidRPr="00747D55">
        <w:rPr>
          <w:i/>
          <w:iCs/>
        </w:rPr>
        <w:t>bare essentials</w:t>
      </w:r>
      <w:proofErr w:type="gramEnd"/>
      <w:r w:rsidRPr="00760931">
        <w:t xml:space="preserve"> (4th ed.) Shelton, Connecticut: People’s Medical Publishing House.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A93D5" w14:textId="159BBE07" w:rsidR="00A5102B" w:rsidRDefault="00A5102B" w:rsidP="003A04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61D"/>
    <w:multiLevelType w:val="hybridMultilevel"/>
    <w:tmpl w:val="D9CAB28C"/>
    <w:lvl w:ilvl="0" w:tplc="2B7CBD9E">
      <w:start w:val="1"/>
      <w:numFmt w:val="lowerRoman"/>
      <w:pStyle w:val="CGCBulle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3D7BB4"/>
    <w:multiLevelType w:val="multilevel"/>
    <w:tmpl w:val="2562710C"/>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ascii="Work Sans" w:hAnsi="Work Sans" w:hint="default"/>
        <w:sz w:val="20"/>
        <w:szCs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15BF05D3"/>
    <w:multiLevelType w:val="hybridMultilevel"/>
    <w:tmpl w:val="970C0F1A"/>
    <w:lvl w:ilvl="0" w:tplc="034498D4">
      <w:start w:val="1"/>
      <w:numFmt w:val="bullet"/>
      <w:pStyle w:val="CGCBullet2"/>
      <w:lvlText w:val=""/>
      <w:lvlJc w:val="left"/>
      <w:pPr>
        <w:ind w:left="1211" w:hanging="360"/>
      </w:pPr>
      <w:rPr>
        <w:rFonts w:ascii="Symbol" w:hAnsi="Symbol" w:hint="default"/>
        <w:b/>
        <w:color w:val="6364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E71B9C"/>
    <w:multiLevelType w:val="hybridMultilevel"/>
    <w:tmpl w:val="7110E312"/>
    <w:lvl w:ilvl="0" w:tplc="DB96A0AC">
      <w:start w:val="1"/>
      <w:numFmt w:val="bullet"/>
      <w:pStyle w:val="CGC2025Bullet1"/>
      <w:lvlText w:val=""/>
      <w:lvlJc w:val="left"/>
      <w:pPr>
        <w:ind w:left="927" w:hanging="360"/>
      </w:pPr>
      <w:rPr>
        <w:rFonts w:ascii="Symbol" w:hAnsi="Symbol" w:hint="default"/>
        <w:color w:val="63646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DA5540"/>
    <w:multiLevelType w:val="hybridMultilevel"/>
    <w:tmpl w:val="7FA09280"/>
    <w:lvl w:ilvl="0" w:tplc="ACEEDC5E">
      <w:start w:val="1"/>
      <w:numFmt w:val="lowerLetter"/>
      <w:lvlText w:val="(%1)"/>
      <w:lvlJc w:val="left"/>
      <w:pPr>
        <w:ind w:left="523" w:hanging="360"/>
      </w:pPr>
      <w:rPr>
        <w:rFonts w:hint="default"/>
      </w:rPr>
    </w:lvl>
    <w:lvl w:ilvl="1" w:tplc="0C090019" w:tentative="1">
      <w:start w:val="1"/>
      <w:numFmt w:val="lowerLetter"/>
      <w:lvlText w:val="%2."/>
      <w:lvlJc w:val="left"/>
      <w:pPr>
        <w:ind w:left="1243" w:hanging="360"/>
      </w:pPr>
    </w:lvl>
    <w:lvl w:ilvl="2" w:tplc="0C09001B" w:tentative="1">
      <w:start w:val="1"/>
      <w:numFmt w:val="lowerRoman"/>
      <w:lvlText w:val="%3."/>
      <w:lvlJc w:val="right"/>
      <w:pPr>
        <w:ind w:left="1963" w:hanging="180"/>
      </w:pPr>
    </w:lvl>
    <w:lvl w:ilvl="3" w:tplc="0C09000F" w:tentative="1">
      <w:start w:val="1"/>
      <w:numFmt w:val="decimal"/>
      <w:lvlText w:val="%4."/>
      <w:lvlJc w:val="left"/>
      <w:pPr>
        <w:ind w:left="2683" w:hanging="360"/>
      </w:pPr>
    </w:lvl>
    <w:lvl w:ilvl="4" w:tplc="0C090019" w:tentative="1">
      <w:start w:val="1"/>
      <w:numFmt w:val="lowerLetter"/>
      <w:lvlText w:val="%5."/>
      <w:lvlJc w:val="left"/>
      <w:pPr>
        <w:ind w:left="3403" w:hanging="360"/>
      </w:pPr>
    </w:lvl>
    <w:lvl w:ilvl="5" w:tplc="0C09001B" w:tentative="1">
      <w:start w:val="1"/>
      <w:numFmt w:val="lowerRoman"/>
      <w:lvlText w:val="%6."/>
      <w:lvlJc w:val="right"/>
      <w:pPr>
        <w:ind w:left="4123" w:hanging="180"/>
      </w:pPr>
    </w:lvl>
    <w:lvl w:ilvl="6" w:tplc="0C09000F" w:tentative="1">
      <w:start w:val="1"/>
      <w:numFmt w:val="decimal"/>
      <w:lvlText w:val="%7."/>
      <w:lvlJc w:val="left"/>
      <w:pPr>
        <w:ind w:left="4843" w:hanging="360"/>
      </w:pPr>
    </w:lvl>
    <w:lvl w:ilvl="7" w:tplc="0C090019" w:tentative="1">
      <w:start w:val="1"/>
      <w:numFmt w:val="lowerLetter"/>
      <w:lvlText w:val="%8."/>
      <w:lvlJc w:val="left"/>
      <w:pPr>
        <w:ind w:left="5563" w:hanging="360"/>
      </w:pPr>
    </w:lvl>
    <w:lvl w:ilvl="8" w:tplc="0C09001B" w:tentative="1">
      <w:start w:val="1"/>
      <w:numFmt w:val="lowerRoman"/>
      <w:lvlText w:val="%9."/>
      <w:lvlJc w:val="right"/>
      <w:pPr>
        <w:ind w:left="6283" w:hanging="180"/>
      </w:pPr>
    </w:lvl>
  </w:abstractNum>
  <w:abstractNum w:abstractNumId="5" w15:restartNumberingAfterBreak="0">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6" w15:restartNumberingAfterBreak="0">
    <w:nsid w:val="2C8A637F"/>
    <w:multiLevelType w:val="hybridMultilevel"/>
    <w:tmpl w:val="E2F6ADC4"/>
    <w:lvl w:ilvl="0" w:tplc="BF2462A0">
      <w:start w:val="1"/>
      <w:numFmt w:val="decimal"/>
      <w:pStyle w:val="CGC2025Questionsnumbers2"/>
      <w:lvlText w:val="Q%1."/>
      <w:lvlJc w:val="left"/>
      <w:pPr>
        <w:ind w:left="720" w:hanging="360"/>
      </w:pPr>
      <w:rPr>
        <w:rFonts w:hint="default"/>
        <w:b w:val="0"/>
        <w:i w:val="0"/>
        <w:caps w:val="0"/>
        <w:strike w:val="0"/>
        <w:dstrike w:val="0"/>
        <w:vanish w:val="0"/>
        <w:color w:val="000000" w:themeColor="text1"/>
        <w:sz w:val="20"/>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5A2F29"/>
    <w:multiLevelType w:val="hybridMultilevel"/>
    <w:tmpl w:val="AF086F92"/>
    <w:lvl w:ilvl="0" w:tplc="A61AAA14">
      <w:start w:val="1"/>
      <w:numFmt w:val="decimal"/>
      <w:pStyle w:val="CGCParaNumber"/>
      <w:lvlText w:val="%1"/>
      <w:lvlJc w:val="left"/>
      <w:pPr>
        <w:ind w:left="720" w:hanging="360"/>
      </w:pPr>
      <w:rPr>
        <w:rFonts w:ascii="Open Sans Light" w:hAnsi="Open Sans Light" w:hint="default"/>
        <w:b w:val="0"/>
        <w:i w:val="0"/>
        <w:caps w:val="0"/>
        <w:strike w:val="0"/>
        <w:dstrike w:val="0"/>
        <w:vanish w:val="0"/>
        <w:color w:val="000000" w:themeColor="text1"/>
        <w:sz w:val="20"/>
        <w:vertAlign w:val="baseline"/>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7B52DA0"/>
    <w:multiLevelType w:val="multilevel"/>
    <w:tmpl w:val="A310237C"/>
    <w:styleLink w:val="CGCConsultQuestion"/>
    <w:lvl w:ilvl="0">
      <w:start w:val="1"/>
      <w:numFmt w:val="decimal"/>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E1E2A55"/>
    <w:multiLevelType w:val="multilevel"/>
    <w:tmpl w:val="8C78535C"/>
    <w:lvl w:ilvl="0">
      <w:start w:val="1"/>
      <w:numFmt w:val="decimal"/>
      <w:pStyle w:val="CGC2025QuestionNumbers"/>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6B56961"/>
    <w:multiLevelType w:val="hybridMultilevel"/>
    <w:tmpl w:val="4BB6122E"/>
    <w:lvl w:ilvl="0" w:tplc="8A0205E8">
      <w:start w:val="1"/>
      <w:numFmt w:val="bullet"/>
      <w:pStyle w:val="CGCQuoteBullet"/>
      <w:lvlText w:val=""/>
      <w:lvlJc w:val="left"/>
      <w:pPr>
        <w:ind w:left="1741" w:hanging="360"/>
      </w:pPr>
      <w:rPr>
        <w:rFonts w:ascii="Symbol" w:hAnsi="Symbol" w:hint="default"/>
        <w:color w:val="5CA5C2"/>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11" w15:restartNumberingAfterBreak="0">
    <w:nsid w:val="6D517EA6"/>
    <w:multiLevelType w:val="multilevel"/>
    <w:tmpl w:val="8CEE0058"/>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12" w15:restartNumberingAfterBreak="0">
    <w:nsid w:val="77D62F87"/>
    <w:multiLevelType w:val="hybridMultilevel"/>
    <w:tmpl w:val="E332B1EE"/>
    <w:lvl w:ilvl="0" w:tplc="7898E74C">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649357354">
    <w:abstractNumId w:val="5"/>
  </w:num>
  <w:num w:numId="2" w16cid:durableId="1003897054">
    <w:abstractNumId w:val="12"/>
  </w:num>
  <w:num w:numId="3" w16cid:durableId="1334529044">
    <w:abstractNumId w:val="3"/>
  </w:num>
  <w:num w:numId="4" w16cid:durableId="1514761234">
    <w:abstractNumId w:val="2"/>
  </w:num>
  <w:num w:numId="5" w16cid:durableId="920797300">
    <w:abstractNumId w:val="0"/>
  </w:num>
  <w:num w:numId="6" w16cid:durableId="1807814447">
    <w:abstractNumId w:val="10"/>
  </w:num>
  <w:num w:numId="7" w16cid:durableId="801770153">
    <w:abstractNumId w:val="7"/>
  </w:num>
  <w:num w:numId="8" w16cid:durableId="1737627722">
    <w:abstractNumId w:val="11"/>
  </w:num>
  <w:num w:numId="9" w16cid:durableId="176697617">
    <w:abstractNumId w:val="1"/>
  </w:num>
  <w:num w:numId="10" w16cid:durableId="1927374591">
    <w:abstractNumId w:val="7"/>
    <w:lvlOverride w:ilvl="0">
      <w:startOverride w:val="1"/>
    </w:lvlOverride>
  </w:num>
  <w:num w:numId="11" w16cid:durableId="1408111535">
    <w:abstractNumId w:val="8"/>
  </w:num>
  <w:num w:numId="12" w16cid:durableId="2080126907">
    <w:abstractNumId w:val="9"/>
  </w:num>
  <w:num w:numId="13" w16cid:durableId="58332428">
    <w:abstractNumId w:val="6"/>
  </w:num>
  <w:num w:numId="14" w16cid:durableId="16583416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201302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774708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43631244">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57"/>
  <w:drawingGridVerticalSpacing w:val="57"/>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02B"/>
    <w:rsid w:val="00000AB2"/>
    <w:rsid w:val="00000C9F"/>
    <w:rsid w:val="00001078"/>
    <w:rsid w:val="000014F2"/>
    <w:rsid w:val="00001882"/>
    <w:rsid w:val="000019C0"/>
    <w:rsid w:val="00001D6F"/>
    <w:rsid w:val="00001DA2"/>
    <w:rsid w:val="00001E8B"/>
    <w:rsid w:val="00002144"/>
    <w:rsid w:val="00002356"/>
    <w:rsid w:val="000025E6"/>
    <w:rsid w:val="00002923"/>
    <w:rsid w:val="00002F86"/>
    <w:rsid w:val="000032B9"/>
    <w:rsid w:val="000036D8"/>
    <w:rsid w:val="000042F1"/>
    <w:rsid w:val="000043F9"/>
    <w:rsid w:val="00004719"/>
    <w:rsid w:val="0000485A"/>
    <w:rsid w:val="00004C67"/>
    <w:rsid w:val="000053F8"/>
    <w:rsid w:val="00005EEE"/>
    <w:rsid w:val="0000618C"/>
    <w:rsid w:val="0000648D"/>
    <w:rsid w:val="00006C9A"/>
    <w:rsid w:val="00006E30"/>
    <w:rsid w:val="00006F3D"/>
    <w:rsid w:val="00007899"/>
    <w:rsid w:val="00007AB8"/>
    <w:rsid w:val="00007FD5"/>
    <w:rsid w:val="000105A1"/>
    <w:rsid w:val="00010711"/>
    <w:rsid w:val="00010B75"/>
    <w:rsid w:val="00010CEC"/>
    <w:rsid w:val="00010F5B"/>
    <w:rsid w:val="00011BB3"/>
    <w:rsid w:val="00011C73"/>
    <w:rsid w:val="00011D1A"/>
    <w:rsid w:val="00011DA8"/>
    <w:rsid w:val="00011F7D"/>
    <w:rsid w:val="000120A6"/>
    <w:rsid w:val="0001218F"/>
    <w:rsid w:val="00012AC0"/>
    <w:rsid w:val="00012B67"/>
    <w:rsid w:val="00012C74"/>
    <w:rsid w:val="00013B63"/>
    <w:rsid w:val="000141E3"/>
    <w:rsid w:val="00014864"/>
    <w:rsid w:val="000148C5"/>
    <w:rsid w:val="0001491F"/>
    <w:rsid w:val="00014CB0"/>
    <w:rsid w:val="000150BF"/>
    <w:rsid w:val="00015283"/>
    <w:rsid w:val="00015500"/>
    <w:rsid w:val="000156B2"/>
    <w:rsid w:val="00015818"/>
    <w:rsid w:val="00015A97"/>
    <w:rsid w:val="00015C57"/>
    <w:rsid w:val="00015D0B"/>
    <w:rsid w:val="000162E7"/>
    <w:rsid w:val="0001698B"/>
    <w:rsid w:val="00016C62"/>
    <w:rsid w:val="00016FE0"/>
    <w:rsid w:val="00016FE9"/>
    <w:rsid w:val="00017640"/>
    <w:rsid w:val="000176D7"/>
    <w:rsid w:val="0001770B"/>
    <w:rsid w:val="000178EF"/>
    <w:rsid w:val="00017E5B"/>
    <w:rsid w:val="00017EB6"/>
    <w:rsid w:val="0002041C"/>
    <w:rsid w:val="000204C9"/>
    <w:rsid w:val="00020532"/>
    <w:rsid w:val="00020799"/>
    <w:rsid w:val="00020D21"/>
    <w:rsid w:val="00020EA3"/>
    <w:rsid w:val="00021727"/>
    <w:rsid w:val="00021827"/>
    <w:rsid w:val="00021C7A"/>
    <w:rsid w:val="00021E88"/>
    <w:rsid w:val="00022C1B"/>
    <w:rsid w:val="00022CE0"/>
    <w:rsid w:val="00022EA9"/>
    <w:rsid w:val="00023068"/>
    <w:rsid w:val="00023137"/>
    <w:rsid w:val="00023B03"/>
    <w:rsid w:val="00023BDB"/>
    <w:rsid w:val="00024069"/>
    <w:rsid w:val="000246BA"/>
    <w:rsid w:val="000246EB"/>
    <w:rsid w:val="00024745"/>
    <w:rsid w:val="00024A4B"/>
    <w:rsid w:val="00024CD0"/>
    <w:rsid w:val="00024D5F"/>
    <w:rsid w:val="000251CC"/>
    <w:rsid w:val="00025242"/>
    <w:rsid w:val="000259E1"/>
    <w:rsid w:val="00025B1F"/>
    <w:rsid w:val="00025CB3"/>
    <w:rsid w:val="00025E94"/>
    <w:rsid w:val="000265A4"/>
    <w:rsid w:val="000266E7"/>
    <w:rsid w:val="00026896"/>
    <w:rsid w:val="000268E0"/>
    <w:rsid w:val="00026A1A"/>
    <w:rsid w:val="00026AD6"/>
    <w:rsid w:val="00026E43"/>
    <w:rsid w:val="00026E62"/>
    <w:rsid w:val="00026E7B"/>
    <w:rsid w:val="000273C6"/>
    <w:rsid w:val="000274F7"/>
    <w:rsid w:val="00027557"/>
    <w:rsid w:val="00027ABE"/>
    <w:rsid w:val="00030205"/>
    <w:rsid w:val="00030516"/>
    <w:rsid w:val="00030595"/>
    <w:rsid w:val="00030629"/>
    <w:rsid w:val="00030E66"/>
    <w:rsid w:val="00031648"/>
    <w:rsid w:val="00031AFE"/>
    <w:rsid w:val="00031B76"/>
    <w:rsid w:val="00031CF4"/>
    <w:rsid w:val="00032318"/>
    <w:rsid w:val="00032500"/>
    <w:rsid w:val="00032544"/>
    <w:rsid w:val="000326F5"/>
    <w:rsid w:val="000327E8"/>
    <w:rsid w:val="000327F7"/>
    <w:rsid w:val="00032856"/>
    <w:rsid w:val="000328A8"/>
    <w:rsid w:val="00032F41"/>
    <w:rsid w:val="00033347"/>
    <w:rsid w:val="000335BE"/>
    <w:rsid w:val="000338C9"/>
    <w:rsid w:val="00033A71"/>
    <w:rsid w:val="00033C0D"/>
    <w:rsid w:val="0003409C"/>
    <w:rsid w:val="00034622"/>
    <w:rsid w:val="00034916"/>
    <w:rsid w:val="00034DBB"/>
    <w:rsid w:val="00034F08"/>
    <w:rsid w:val="000355D9"/>
    <w:rsid w:val="000363C5"/>
    <w:rsid w:val="000364E9"/>
    <w:rsid w:val="00036C51"/>
    <w:rsid w:val="00036F1C"/>
    <w:rsid w:val="000370C8"/>
    <w:rsid w:val="000372BA"/>
    <w:rsid w:val="00037A9B"/>
    <w:rsid w:val="00040135"/>
    <w:rsid w:val="00040571"/>
    <w:rsid w:val="00040601"/>
    <w:rsid w:val="00040CCA"/>
    <w:rsid w:val="00040D48"/>
    <w:rsid w:val="000410C8"/>
    <w:rsid w:val="0004123E"/>
    <w:rsid w:val="00041299"/>
    <w:rsid w:val="00041748"/>
    <w:rsid w:val="00041E1B"/>
    <w:rsid w:val="00041E84"/>
    <w:rsid w:val="000424EA"/>
    <w:rsid w:val="0004258C"/>
    <w:rsid w:val="00043B5D"/>
    <w:rsid w:val="00043CFE"/>
    <w:rsid w:val="000442AA"/>
    <w:rsid w:val="00044479"/>
    <w:rsid w:val="0004456B"/>
    <w:rsid w:val="000451DA"/>
    <w:rsid w:val="0004569D"/>
    <w:rsid w:val="00045C11"/>
    <w:rsid w:val="00045F82"/>
    <w:rsid w:val="00046397"/>
    <w:rsid w:val="000465BD"/>
    <w:rsid w:val="00046859"/>
    <w:rsid w:val="00046B06"/>
    <w:rsid w:val="000470A2"/>
    <w:rsid w:val="00047690"/>
    <w:rsid w:val="00047856"/>
    <w:rsid w:val="00047951"/>
    <w:rsid w:val="00047AB0"/>
    <w:rsid w:val="00047DF1"/>
    <w:rsid w:val="00047E5A"/>
    <w:rsid w:val="0005017B"/>
    <w:rsid w:val="000508D3"/>
    <w:rsid w:val="00051114"/>
    <w:rsid w:val="000519FC"/>
    <w:rsid w:val="00051B92"/>
    <w:rsid w:val="00051F3C"/>
    <w:rsid w:val="000525F5"/>
    <w:rsid w:val="00052DA0"/>
    <w:rsid w:val="00053480"/>
    <w:rsid w:val="00053512"/>
    <w:rsid w:val="00053581"/>
    <w:rsid w:val="0005377C"/>
    <w:rsid w:val="0005381C"/>
    <w:rsid w:val="000539FC"/>
    <w:rsid w:val="00053C36"/>
    <w:rsid w:val="00053F80"/>
    <w:rsid w:val="000540CC"/>
    <w:rsid w:val="0005410D"/>
    <w:rsid w:val="00054309"/>
    <w:rsid w:val="00054311"/>
    <w:rsid w:val="0005450F"/>
    <w:rsid w:val="0005451C"/>
    <w:rsid w:val="000554BF"/>
    <w:rsid w:val="000555DB"/>
    <w:rsid w:val="00055A2D"/>
    <w:rsid w:val="00056371"/>
    <w:rsid w:val="00056373"/>
    <w:rsid w:val="000569CD"/>
    <w:rsid w:val="00056E89"/>
    <w:rsid w:val="00057762"/>
    <w:rsid w:val="00057AED"/>
    <w:rsid w:val="00057D13"/>
    <w:rsid w:val="000604C7"/>
    <w:rsid w:val="0006050F"/>
    <w:rsid w:val="000607C2"/>
    <w:rsid w:val="00060A59"/>
    <w:rsid w:val="00060CA5"/>
    <w:rsid w:val="0006104A"/>
    <w:rsid w:val="00061111"/>
    <w:rsid w:val="00061233"/>
    <w:rsid w:val="00061535"/>
    <w:rsid w:val="0006177C"/>
    <w:rsid w:val="00061933"/>
    <w:rsid w:val="00061993"/>
    <w:rsid w:val="00061B8C"/>
    <w:rsid w:val="00062330"/>
    <w:rsid w:val="000624BB"/>
    <w:rsid w:val="00062C57"/>
    <w:rsid w:val="00062D47"/>
    <w:rsid w:val="00062EE9"/>
    <w:rsid w:val="000633E8"/>
    <w:rsid w:val="00063437"/>
    <w:rsid w:val="0006366E"/>
    <w:rsid w:val="000641EB"/>
    <w:rsid w:val="00064557"/>
    <w:rsid w:val="000648E8"/>
    <w:rsid w:val="00064CE5"/>
    <w:rsid w:val="0006519E"/>
    <w:rsid w:val="000651D2"/>
    <w:rsid w:val="000653F5"/>
    <w:rsid w:val="000656EC"/>
    <w:rsid w:val="000657A7"/>
    <w:rsid w:val="00065BF3"/>
    <w:rsid w:val="000665AB"/>
    <w:rsid w:val="00066C63"/>
    <w:rsid w:val="00066D82"/>
    <w:rsid w:val="00066E63"/>
    <w:rsid w:val="00066F8C"/>
    <w:rsid w:val="00066FC9"/>
    <w:rsid w:val="000679BC"/>
    <w:rsid w:val="000702C3"/>
    <w:rsid w:val="00070B45"/>
    <w:rsid w:val="00070EA5"/>
    <w:rsid w:val="0007102B"/>
    <w:rsid w:val="0007176E"/>
    <w:rsid w:val="0007185D"/>
    <w:rsid w:val="00071EF7"/>
    <w:rsid w:val="00071F1E"/>
    <w:rsid w:val="00072373"/>
    <w:rsid w:val="00072CBE"/>
    <w:rsid w:val="0007310A"/>
    <w:rsid w:val="000731C5"/>
    <w:rsid w:val="000731EE"/>
    <w:rsid w:val="0007335C"/>
    <w:rsid w:val="000733D6"/>
    <w:rsid w:val="0007360C"/>
    <w:rsid w:val="00073661"/>
    <w:rsid w:val="000738EB"/>
    <w:rsid w:val="00073944"/>
    <w:rsid w:val="00073BF5"/>
    <w:rsid w:val="00073D9D"/>
    <w:rsid w:val="00073E21"/>
    <w:rsid w:val="00073E85"/>
    <w:rsid w:val="00073E92"/>
    <w:rsid w:val="00075051"/>
    <w:rsid w:val="00075593"/>
    <w:rsid w:val="000755EE"/>
    <w:rsid w:val="0007582F"/>
    <w:rsid w:val="00076434"/>
    <w:rsid w:val="00076DA5"/>
    <w:rsid w:val="00077095"/>
    <w:rsid w:val="000772B1"/>
    <w:rsid w:val="000773FA"/>
    <w:rsid w:val="000779DC"/>
    <w:rsid w:val="00077AAF"/>
    <w:rsid w:val="00077ADE"/>
    <w:rsid w:val="00080439"/>
    <w:rsid w:val="00080895"/>
    <w:rsid w:val="00080D15"/>
    <w:rsid w:val="000812ED"/>
    <w:rsid w:val="00081636"/>
    <w:rsid w:val="00081696"/>
    <w:rsid w:val="000816E0"/>
    <w:rsid w:val="00081905"/>
    <w:rsid w:val="000819A8"/>
    <w:rsid w:val="00081E45"/>
    <w:rsid w:val="00081F57"/>
    <w:rsid w:val="00081FAD"/>
    <w:rsid w:val="0008208B"/>
    <w:rsid w:val="00082090"/>
    <w:rsid w:val="00082971"/>
    <w:rsid w:val="00082DEF"/>
    <w:rsid w:val="00083022"/>
    <w:rsid w:val="00083837"/>
    <w:rsid w:val="00083842"/>
    <w:rsid w:val="00083B06"/>
    <w:rsid w:val="000840C3"/>
    <w:rsid w:val="00084494"/>
    <w:rsid w:val="0008456B"/>
    <w:rsid w:val="000847BF"/>
    <w:rsid w:val="00084EE0"/>
    <w:rsid w:val="00085091"/>
    <w:rsid w:val="000855F4"/>
    <w:rsid w:val="00085729"/>
    <w:rsid w:val="00085D0E"/>
    <w:rsid w:val="00085EA1"/>
    <w:rsid w:val="00086045"/>
    <w:rsid w:val="00086163"/>
    <w:rsid w:val="000861D9"/>
    <w:rsid w:val="0008677E"/>
    <w:rsid w:val="000867DC"/>
    <w:rsid w:val="000869E1"/>
    <w:rsid w:val="000869F6"/>
    <w:rsid w:val="00086A5C"/>
    <w:rsid w:val="00086B04"/>
    <w:rsid w:val="00086C42"/>
    <w:rsid w:val="00086E69"/>
    <w:rsid w:val="00086EBC"/>
    <w:rsid w:val="000871E0"/>
    <w:rsid w:val="0008779D"/>
    <w:rsid w:val="00087F7D"/>
    <w:rsid w:val="00087FC4"/>
    <w:rsid w:val="00090362"/>
    <w:rsid w:val="00090DBA"/>
    <w:rsid w:val="000910DA"/>
    <w:rsid w:val="00091A89"/>
    <w:rsid w:val="00091AD2"/>
    <w:rsid w:val="00091C4F"/>
    <w:rsid w:val="00091D6E"/>
    <w:rsid w:val="000928AF"/>
    <w:rsid w:val="00093188"/>
    <w:rsid w:val="00093603"/>
    <w:rsid w:val="00093796"/>
    <w:rsid w:val="00093910"/>
    <w:rsid w:val="000939CA"/>
    <w:rsid w:val="00094010"/>
    <w:rsid w:val="000943A8"/>
    <w:rsid w:val="00094531"/>
    <w:rsid w:val="00094676"/>
    <w:rsid w:val="000950A8"/>
    <w:rsid w:val="0009567D"/>
    <w:rsid w:val="0009569E"/>
    <w:rsid w:val="0009650F"/>
    <w:rsid w:val="00096616"/>
    <w:rsid w:val="00096896"/>
    <w:rsid w:val="00096A17"/>
    <w:rsid w:val="00096C06"/>
    <w:rsid w:val="00096C31"/>
    <w:rsid w:val="00096E12"/>
    <w:rsid w:val="00096E4E"/>
    <w:rsid w:val="000970BA"/>
    <w:rsid w:val="00097192"/>
    <w:rsid w:val="00097626"/>
    <w:rsid w:val="00097790"/>
    <w:rsid w:val="00097CF0"/>
    <w:rsid w:val="00097D78"/>
    <w:rsid w:val="00097DAA"/>
    <w:rsid w:val="00097F09"/>
    <w:rsid w:val="000A011D"/>
    <w:rsid w:val="000A07C9"/>
    <w:rsid w:val="000A09ED"/>
    <w:rsid w:val="000A0C33"/>
    <w:rsid w:val="000A0D9F"/>
    <w:rsid w:val="000A17C5"/>
    <w:rsid w:val="000A17F1"/>
    <w:rsid w:val="000A1B09"/>
    <w:rsid w:val="000A1DED"/>
    <w:rsid w:val="000A2395"/>
    <w:rsid w:val="000A2E24"/>
    <w:rsid w:val="000A3130"/>
    <w:rsid w:val="000A336C"/>
    <w:rsid w:val="000A346F"/>
    <w:rsid w:val="000A3898"/>
    <w:rsid w:val="000A3C2F"/>
    <w:rsid w:val="000A487A"/>
    <w:rsid w:val="000A52A1"/>
    <w:rsid w:val="000A5824"/>
    <w:rsid w:val="000A5DB9"/>
    <w:rsid w:val="000A633D"/>
    <w:rsid w:val="000A6389"/>
    <w:rsid w:val="000A6392"/>
    <w:rsid w:val="000A646A"/>
    <w:rsid w:val="000A6922"/>
    <w:rsid w:val="000A74C3"/>
    <w:rsid w:val="000A756F"/>
    <w:rsid w:val="000A7AA9"/>
    <w:rsid w:val="000A7C5E"/>
    <w:rsid w:val="000A7E55"/>
    <w:rsid w:val="000A7E96"/>
    <w:rsid w:val="000B08F0"/>
    <w:rsid w:val="000B0A33"/>
    <w:rsid w:val="000B0D24"/>
    <w:rsid w:val="000B0DE2"/>
    <w:rsid w:val="000B16CB"/>
    <w:rsid w:val="000B1905"/>
    <w:rsid w:val="000B2042"/>
    <w:rsid w:val="000B2490"/>
    <w:rsid w:val="000B286B"/>
    <w:rsid w:val="000B2942"/>
    <w:rsid w:val="000B2944"/>
    <w:rsid w:val="000B2AF2"/>
    <w:rsid w:val="000B2CFB"/>
    <w:rsid w:val="000B2DCD"/>
    <w:rsid w:val="000B2E2A"/>
    <w:rsid w:val="000B2F0F"/>
    <w:rsid w:val="000B3097"/>
    <w:rsid w:val="000B3557"/>
    <w:rsid w:val="000B3623"/>
    <w:rsid w:val="000B3BB2"/>
    <w:rsid w:val="000B3DC4"/>
    <w:rsid w:val="000B3F0A"/>
    <w:rsid w:val="000B3F3E"/>
    <w:rsid w:val="000B4179"/>
    <w:rsid w:val="000B442C"/>
    <w:rsid w:val="000B4935"/>
    <w:rsid w:val="000B5042"/>
    <w:rsid w:val="000B5227"/>
    <w:rsid w:val="000B53C0"/>
    <w:rsid w:val="000B53FD"/>
    <w:rsid w:val="000B56FE"/>
    <w:rsid w:val="000B5744"/>
    <w:rsid w:val="000B5B36"/>
    <w:rsid w:val="000B5C2F"/>
    <w:rsid w:val="000B61DE"/>
    <w:rsid w:val="000B64E3"/>
    <w:rsid w:val="000B689B"/>
    <w:rsid w:val="000B73C6"/>
    <w:rsid w:val="000B7685"/>
    <w:rsid w:val="000B7CB8"/>
    <w:rsid w:val="000B7DC3"/>
    <w:rsid w:val="000B7F93"/>
    <w:rsid w:val="000C0428"/>
    <w:rsid w:val="000C06A4"/>
    <w:rsid w:val="000C0AC8"/>
    <w:rsid w:val="000C0BBD"/>
    <w:rsid w:val="000C0F3A"/>
    <w:rsid w:val="000C0FAC"/>
    <w:rsid w:val="000C1231"/>
    <w:rsid w:val="000C1575"/>
    <w:rsid w:val="000C1F18"/>
    <w:rsid w:val="000C2987"/>
    <w:rsid w:val="000C2EA9"/>
    <w:rsid w:val="000C32BB"/>
    <w:rsid w:val="000C354C"/>
    <w:rsid w:val="000C3927"/>
    <w:rsid w:val="000C3B22"/>
    <w:rsid w:val="000C4063"/>
    <w:rsid w:val="000C4BB7"/>
    <w:rsid w:val="000C4DFC"/>
    <w:rsid w:val="000C50B3"/>
    <w:rsid w:val="000C53E9"/>
    <w:rsid w:val="000C5486"/>
    <w:rsid w:val="000C604F"/>
    <w:rsid w:val="000C6936"/>
    <w:rsid w:val="000C6E9F"/>
    <w:rsid w:val="000C76F8"/>
    <w:rsid w:val="000C776D"/>
    <w:rsid w:val="000C782D"/>
    <w:rsid w:val="000C7AE7"/>
    <w:rsid w:val="000C7F62"/>
    <w:rsid w:val="000D01AA"/>
    <w:rsid w:val="000D0A89"/>
    <w:rsid w:val="000D0ACF"/>
    <w:rsid w:val="000D0B77"/>
    <w:rsid w:val="000D0BB6"/>
    <w:rsid w:val="000D0C8D"/>
    <w:rsid w:val="000D1354"/>
    <w:rsid w:val="000D149C"/>
    <w:rsid w:val="000D1DEA"/>
    <w:rsid w:val="000D1EA8"/>
    <w:rsid w:val="000D2088"/>
    <w:rsid w:val="000D224A"/>
    <w:rsid w:val="000D2311"/>
    <w:rsid w:val="000D27F5"/>
    <w:rsid w:val="000D2879"/>
    <w:rsid w:val="000D2A5E"/>
    <w:rsid w:val="000D2D5C"/>
    <w:rsid w:val="000D31D5"/>
    <w:rsid w:val="000D3378"/>
    <w:rsid w:val="000D3531"/>
    <w:rsid w:val="000D355C"/>
    <w:rsid w:val="000D366D"/>
    <w:rsid w:val="000D375A"/>
    <w:rsid w:val="000D37C2"/>
    <w:rsid w:val="000D3BB8"/>
    <w:rsid w:val="000D3BC1"/>
    <w:rsid w:val="000D3CC1"/>
    <w:rsid w:val="000D4063"/>
    <w:rsid w:val="000D4101"/>
    <w:rsid w:val="000D41CA"/>
    <w:rsid w:val="000D4342"/>
    <w:rsid w:val="000D43B8"/>
    <w:rsid w:val="000D4457"/>
    <w:rsid w:val="000D48FF"/>
    <w:rsid w:val="000D533D"/>
    <w:rsid w:val="000D535B"/>
    <w:rsid w:val="000D5667"/>
    <w:rsid w:val="000D571F"/>
    <w:rsid w:val="000D57A8"/>
    <w:rsid w:val="000D5C58"/>
    <w:rsid w:val="000D65F5"/>
    <w:rsid w:val="000D6C93"/>
    <w:rsid w:val="000D70AE"/>
    <w:rsid w:val="000D70D7"/>
    <w:rsid w:val="000D763B"/>
    <w:rsid w:val="000D772C"/>
    <w:rsid w:val="000D7C54"/>
    <w:rsid w:val="000D7E36"/>
    <w:rsid w:val="000E0210"/>
    <w:rsid w:val="000E1007"/>
    <w:rsid w:val="000E1757"/>
    <w:rsid w:val="000E1767"/>
    <w:rsid w:val="000E17A7"/>
    <w:rsid w:val="000E1940"/>
    <w:rsid w:val="000E1979"/>
    <w:rsid w:val="000E1A53"/>
    <w:rsid w:val="000E1B78"/>
    <w:rsid w:val="000E20EE"/>
    <w:rsid w:val="000E26C1"/>
    <w:rsid w:val="000E3109"/>
    <w:rsid w:val="000E311B"/>
    <w:rsid w:val="000E3592"/>
    <w:rsid w:val="000E35A0"/>
    <w:rsid w:val="000E3868"/>
    <w:rsid w:val="000E38BA"/>
    <w:rsid w:val="000E3BE1"/>
    <w:rsid w:val="000E3C57"/>
    <w:rsid w:val="000E3D68"/>
    <w:rsid w:val="000E3E15"/>
    <w:rsid w:val="000E41D5"/>
    <w:rsid w:val="000E423E"/>
    <w:rsid w:val="000E47B0"/>
    <w:rsid w:val="000E4EBC"/>
    <w:rsid w:val="000E4FF4"/>
    <w:rsid w:val="000E5031"/>
    <w:rsid w:val="000E5404"/>
    <w:rsid w:val="000E5C21"/>
    <w:rsid w:val="000E6391"/>
    <w:rsid w:val="000E63B0"/>
    <w:rsid w:val="000E6774"/>
    <w:rsid w:val="000E6AA5"/>
    <w:rsid w:val="000E7041"/>
    <w:rsid w:val="000E798E"/>
    <w:rsid w:val="000E7BAB"/>
    <w:rsid w:val="000E7F56"/>
    <w:rsid w:val="000F0293"/>
    <w:rsid w:val="000F03DA"/>
    <w:rsid w:val="000F0674"/>
    <w:rsid w:val="000F0879"/>
    <w:rsid w:val="000F0AC1"/>
    <w:rsid w:val="000F0B55"/>
    <w:rsid w:val="000F143B"/>
    <w:rsid w:val="000F1981"/>
    <w:rsid w:val="000F19C5"/>
    <w:rsid w:val="000F1CDA"/>
    <w:rsid w:val="000F1EE5"/>
    <w:rsid w:val="000F232B"/>
    <w:rsid w:val="000F28B5"/>
    <w:rsid w:val="000F29FF"/>
    <w:rsid w:val="000F2F0E"/>
    <w:rsid w:val="000F2F8D"/>
    <w:rsid w:val="000F3314"/>
    <w:rsid w:val="000F3632"/>
    <w:rsid w:val="000F38A4"/>
    <w:rsid w:val="000F3CBF"/>
    <w:rsid w:val="000F414B"/>
    <w:rsid w:val="000F44AD"/>
    <w:rsid w:val="000F58BC"/>
    <w:rsid w:val="000F594C"/>
    <w:rsid w:val="000F5E36"/>
    <w:rsid w:val="000F5F7F"/>
    <w:rsid w:val="000F649F"/>
    <w:rsid w:val="000F6700"/>
    <w:rsid w:val="000F6C18"/>
    <w:rsid w:val="000F7631"/>
    <w:rsid w:val="000F7694"/>
    <w:rsid w:val="000F7787"/>
    <w:rsid w:val="000F7F5B"/>
    <w:rsid w:val="00100281"/>
    <w:rsid w:val="001002D2"/>
    <w:rsid w:val="00100409"/>
    <w:rsid w:val="00100583"/>
    <w:rsid w:val="0010076D"/>
    <w:rsid w:val="00100E6F"/>
    <w:rsid w:val="001013EE"/>
    <w:rsid w:val="0010173F"/>
    <w:rsid w:val="001017E3"/>
    <w:rsid w:val="00101C90"/>
    <w:rsid w:val="00101F87"/>
    <w:rsid w:val="00102135"/>
    <w:rsid w:val="001021D7"/>
    <w:rsid w:val="00102AFD"/>
    <w:rsid w:val="00102B29"/>
    <w:rsid w:val="00102BE0"/>
    <w:rsid w:val="00102F76"/>
    <w:rsid w:val="00102FEB"/>
    <w:rsid w:val="00103339"/>
    <w:rsid w:val="001033A9"/>
    <w:rsid w:val="001034E3"/>
    <w:rsid w:val="001039C2"/>
    <w:rsid w:val="00103B00"/>
    <w:rsid w:val="00103C7F"/>
    <w:rsid w:val="00103CBC"/>
    <w:rsid w:val="00103DFF"/>
    <w:rsid w:val="00103F1C"/>
    <w:rsid w:val="001040AD"/>
    <w:rsid w:val="0010422B"/>
    <w:rsid w:val="00104960"/>
    <w:rsid w:val="00104EDD"/>
    <w:rsid w:val="001053D9"/>
    <w:rsid w:val="0010567A"/>
    <w:rsid w:val="00105A17"/>
    <w:rsid w:val="00105C56"/>
    <w:rsid w:val="001060B0"/>
    <w:rsid w:val="001064A4"/>
    <w:rsid w:val="00106826"/>
    <w:rsid w:val="00106B78"/>
    <w:rsid w:val="00106CB2"/>
    <w:rsid w:val="00106CEE"/>
    <w:rsid w:val="0010739F"/>
    <w:rsid w:val="00107B24"/>
    <w:rsid w:val="00107B43"/>
    <w:rsid w:val="00107E52"/>
    <w:rsid w:val="001103B6"/>
    <w:rsid w:val="00110417"/>
    <w:rsid w:val="001107F1"/>
    <w:rsid w:val="00110996"/>
    <w:rsid w:val="00110DC5"/>
    <w:rsid w:val="0011178C"/>
    <w:rsid w:val="00111ABA"/>
    <w:rsid w:val="00111AE7"/>
    <w:rsid w:val="00111EC2"/>
    <w:rsid w:val="001120B0"/>
    <w:rsid w:val="001121D0"/>
    <w:rsid w:val="0011243C"/>
    <w:rsid w:val="001125AB"/>
    <w:rsid w:val="001125E7"/>
    <w:rsid w:val="00112988"/>
    <w:rsid w:val="00112A57"/>
    <w:rsid w:val="00112CF0"/>
    <w:rsid w:val="00112E1E"/>
    <w:rsid w:val="001136C6"/>
    <w:rsid w:val="0011408D"/>
    <w:rsid w:val="0011428D"/>
    <w:rsid w:val="00114D9B"/>
    <w:rsid w:val="00114DA1"/>
    <w:rsid w:val="00114EA0"/>
    <w:rsid w:val="00114F65"/>
    <w:rsid w:val="00115672"/>
    <w:rsid w:val="001157AB"/>
    <w:rsid w:val="0011585E"/>
    <w:rsid w:val="00115ADE"/>
    <w:rsid w:val="00115C9E"/>
    <w:rsid w:val="00116062"/>
    <w:rsid w:val="00116702"/>
    <w:rsid w:val="0011699D"/>
    <w:rsid w:val="00116D3E"/>
    <w:rsid w:val="00116EE4"/>
    <w:rsid w:val="0011729F"/>
    <w:rsid w:val="001172BD"/>
    <w:rsid w:val="001178E4"/>
    <w:rsid w:val="00117AA2"/>
    <w:rsid w:val="00117CFD"/>
    <w:rsid w:val="0012020C"/>
    <w:rsid w:val="00120A41"/>
    <w:rsid w:val="00120B1E"/>
    <w:rsid w:val="001211AB"/>
    <w:rsid w:val="001214BE"/>
    <w:rsid w:val="001218B8"/>
    <w:rsid w:val="00121A72"/>
    <w:rsid w:val="00121B5F"/>
    <w:rsid w:val="00121E95"/>
    <w:rsid w:val="00121F79"/>
    <w:rsid w:val="001220B7"/>
    <w:rsid w:val="00122457"/>
    <w:rsid w:val="00122774"/>
    <w:rsid w:val="00123325"/>
    <w:rsid w:val="00123BC6"/>
    <w:rsid w:val="00123DA3"/>
    <w:rsid w:val="00124730"/>
    <w:rsid w:val="00124826"/>
    <w:rsid w:val="00124B73"/>
    <w:rsid w:val="00124ED1"/>
    <w:rsid w:val="0012542D"/>
    <w:rsid w:val="0012561A"/>
    <w:rsid w:val="00125806"/>
    <w:rsid w:val="001258EF"/>
    <w:rsid w:val="00125B33"/>
    <w:rsid w:val="001260B6"/>
    <w:rsid w:val="001260E3"/>
    <w:rsid w:val="00126201"/>
    <w:rsid w:val="001266EE"/>
    <w:rsid w:val="0012696A"/>
    <w:rsid w:val="00126AD1"/>
    <w:rsid w:val="00126FB4"/>
    <w:rsid w:val="001272E6"/>
    <w:rsid w:val="00127687"/>
    <w:rsid w:val="001277C7"/>
    <w:rsid w:val="00127C8B"/>
    <w:rsid w:val="00127E95"/>
    <w:rsid w:val="00130303"/>
    <w:rsid w:val="001307A8"/>
    <w:rsid w:val="00130DCA"/>
    <w:rsid w:val="001312CB"/>
    <w:rsid w:val="00131BAD"/>
    <w:rsid w:val="00131D5F"/>
    <w:rsid w:val="001322D2"/>
    <w:rsid w:val="00132503"/>
    <w:rsid w:val="00132E0B"/>
    <w:rsid w:val="001333F9"/>
    <w:rsid w:val="00133C81"/>
    <w:rsid w:val="00133F08"/>
    <w:rsid w:val="00134146"/>
    <w:rsid w:val="00134222"/>
    <w:rsid w:val="001346A2"/>
    <w:rsid w:val="0013474C"/>
    <w:rsid w:val="001347D3"/>
    <w:rsid w:val="00134847"/>
    <w:rsid w:val="0013497E"/>
    <w:rsid w:val="00134FA3"/>
    <w:rsid w:val="00135080"/>
    <w:rsid w:val="001351C6"/>
    <w:rsid w:val="001356C7"/>
    <w:rsid w:val="0013601E"/>
    <w:rsid w:val="0013623B"/>
    <w:rsid w:val="00136497"/>
    <w:rsid w:val="001369BF"/>
    <w:rsid w:val="00136F29"/>
    <w:rsid w:val="00136F6F"/>
    <w:rsid w:val="00137D90"/>
    <w:rsid w:val="00140D09"/>
    <w:rsid w:val="001414E0"/>
    <w:rsid w:val="00141BD1"/>
    <w:rsid w:val="0014223F"/>
    <w:rsid w:val="001423B0"/>
    <w:rsid w:val="00142B21"/>
    <w:rsid w:val="00142B86"/>
    <w:rsid w:val="00142BFE"/>
    <w:rsid w:val="00143228"/>
    <w:rsid w:val="001438E0"/>
    <w:rsid w:val="00143B25"/>
    <w:rsid w:val="00143D52"/>
    <w:rsid w:val="00143F85"/>
    <w:rsid w:val="001441DA"/>
    <w:rsid w:val="00144A22"/>
    <w:rsid w:val="00144C8A"/>
    <w:rsid w:val="00145305"/>
    <w:rsid w:val="001455CC"/>
    <w:rsid w:val="00145604"/>
    <w:rsid w:val="0014616B"/>
    <w:rsid w:val="00146943"/>
    <w:rsid w:val="00147115"/>
    <w:rsid w:val="001471DD"/>
    <w:rsid w:val="0014740D"/>
    <w:rsid w:val="00147461"/>
    <w:rsid w:val="001477CE"/>
    <w:rsid w:val="0014784F"/>
    <w:rsid w:val="001478AD"/>
    <w:rsid w:val="00147BCC"/>
    <w:rsid w:val="00147F4D"/>
    <w:rsid w:val="0015040C"/>
    <w:rsid w:val="00150B89"/>
    <w:rsid w:val="00150C35"/>
    <w:rsid w:val="00150ECB"/>
    <w:rsid w:val="00151316"/>
    <w:rsid w:val="0015167D"/>
    <w:rsid w:val="001517E0"/>
    <w:rsid w:val="001519C7"/>
    <w:rsid w:val="00151DFB"/>
    <w:rsid w:val="00152123"/>
    <w:rsid w:val="0015233A"/>
    <w:rsid w:val="00152611"/>
    <w:rsid w:val="00152807"/>
    <w:rsid w:val="00152808"/>
    <w:rsid w:val="00152BE0"/>
    <w:rsid w:val="00152C3D"/>
    <w:rsid w:val="00152ED6"/>
    <w:rsid w:val="00152FED"/>
    <w:rsid w:val="00153AA7"/>
    <w:rsid w:val="00153CA7"/>
    <w:rsid w:val="00153D48"/>
    <w:rsid w:val="00154A35"/>
    <w:rsid w:val="00154A9A"/>
    <w:rsid w:val="001550A3"/>
    <w:rsid w:val="0015510B"/>
    <w:rsid w:val="00155469"/>
    <w:rsid w:val="00155746"/>
    <w:rsid w:val="00155EAF"/>
    <w:rsid w:val="00156419"/>
    <w:rsid w:val="0015686A"/>
    <w:rsid w:val="00156C80"/>
    <w:rsid w:val="0015742B"/>
    <w:rsid w:val="001574A7"/>
    <w:rsid w:val="0015776C"/>
    <w:rsid w:val="001579DC"/>
    <w:rsid w:val="00157AD5"/>
    <w:rsid w:val="00157BA5"/>
    <w:rsid w:val="00157CEB"/>
    <w:rsid w:val="00157F02"/>
    <w:rsid w:val="00160015"/>
    <w:rsid w:val="00160346"/>
    <w:rsid w:val="001604D5"/>
    <w:rsid w:val="001605EB"/>
    <w:rsid w:val="00160877"/>
    <w:rsid w:val="00160EA4"/>
    <w:rsid w:val="0016108C"/>
    <w:rsid w:val="001610AC"/>
    <w:rsid w:val="00161391"/>
    <w:rsid w:val="00161616"/>
    <w:rsid w:val="00161DCE"/>
    <w:rsid w:val="001620CB"/>
    <w:rsid w:val="001625EC"/>
    <w:rsid w:val="00162780"/>
    <w:rsid w:val="001627F9"/>
    <w:rsid w:val="00162999"/>
    <w:rsid w:val="00163983"/>
    <w:rsid w:val="00163D29"/>
    <w:rsid w:val="00163E35"/>
    <w:rsid w:val="00164202"/>
    <w:rsid w:val="00164B4B"/>
    <w:rsid w:val="00164ECE"/>
    <w:rsid w:val="001652C2"/>
    <w:rsid w:val="0016534B"/>
    <w:rsid w:val="001654B0"/>
    <w:rsid w:val="001657CF"/>
    <w:rsid w:val="00165907"/>
    <w:rsid w:val="00165FF0"/>
    <w:rsid w:val="00166098"/>
    <w:rsid w:val="001660AA"/>
    <w:rsid w:val="0016688E"/>
    <w:rsid w:val="0016689D"/>
    <w:rsid w:val="00166BE5"/>
    <w:rsid w:val="00166E24"/>
    <w:rsid w:val="00166F83"/>
    <w:rsid w:val="00167169"/>
    <w:rsid w:val="0016723A"/>
    <w:rsid w:val="001672D1"/>
    <w:rsid w:val="00167335"/>
    <w:rsid w:val="001674FA"/>
    <w:rsid w:val="00167AA3"/>
    <w:rsid w:val="00170100"/>
    <w:rsid w:val="0017034B"/>
    <w:rsid w:val="001704CF"/>
    <w:rsid w:val="00170DC9"/>
    <w:rsid w:val="00171335"/>
    <w:rsid w:val="0017181D"/>
    <w:rsid w:val="00171A05"/>
    <w:rsid w:val="00171D48"/>
    <w:rsid w:val="001725BB"/>
    <w:rsid w:val="00172E17"/>
    <w:rsid w:val="00172E28"/>
    <w:rsid w:val="00172EC4"/>
    <w:rsid w:val="00172F3A"/>
    <w:rsid w:val="001730A3"/>
    <w:rsid w:val="001730FD"/>
    <w:rsid w:val="0017311D"/>
    <w:rsid w:val="001735B1"/>
    <w:rsid w:val="00173798"/>
    <w:rsid w:val="00173B2B"/>
    <w:rsid w:val="00173BE6"/>
    <w:rsid w:val="00173DA5"/>
    <w:rsid w:val="00173E72"/>
    <w:rsid w:val="00173E9E"/>
    <w:rsid w:val="00174624"/>
    <w:rsid w:val="00174762"/>
    <w:rsid w:val="00174766"/>
    <w:rsid w:val="00175209"/>
    <w:rsid w:val="0017572D"/>
    <w:rsid w:val="00175AA2"/>
    <w:rsid w:val="00175ACB"/>
    <w:rsid w:val="001760FF"/>
    <w:rsid w:val="001763EB"/>
    <w:rsid w:val="0017645D"/>
    <w:rsid w:val="00176738"/>
    <w:rsid w:val="00176E42"/>
    <w:rsid w:val="00176E9A"/>
    <w:rsid w:val="001775AD"/>
    <w:rsid w:val="0017771D"/>
    <w:rsid w:val="001777D5"/>
    <w:rsid w:val="001777E9"/>
    <w:rsid w:val="001778D0"/>
    <w:rsid w:val="00177B6B"/>
    <w:rsid w:val="00177D12"/>
    <w:rsid w:val="001800C0"/>
    <w:rsid w:val="001807C0"/>
    <w:rsid w:val="00180935"/>
    <w:rsid w:val="00180A23"/>
    <w:rsid w:val="00180B76"/>
    <w:rsid w:val="00180BE8"/>
    <w:rsid w:val="001811DE"/>
    <w:rsid w:val="001818CC"/>
    <w:rsid w:val="00181B43"/>
    <w:rsid w:val="00182487"/>
    <w:rsid w:val="001826CB"/>
    <w:rsid w:val="001827AC"/>
    <w:rsid w:val="00182899"/>
    <w:rsid w:val="001831E8"/>
    <w:rsid w:val="001832B0"/>
    <w:rsid w:val="0018349C"/>
    <w:rsid w:val="00183562"/>
    <w:rsid w:val="00183649"/>
    <w:rsid w:val="00183970"/>
    <w:rsid w:val="00183C19"/>
    <w:rsid w:val="001843C4"/>
    <w:rsid w:val="00184519"/>
    <w:rsid w:val="001845F7"/>
    <w:rsid w:val="00184A83"/>
    <w:rsid w:val="00185037"/>
    <w:rsid w:val="0018537D"/>
    <w:rsid w:val="001853A5"/>
    <w:rsid w:val="00185A8A"/>
    <w:rsid w:val="001862DA"/>
    <w:rsid w:val="001866D1"/>
    <w:rsid w:val="001868A3"/>
    <w:rsid w:val="00186A8A"/>
    <w:rsid w:val="00186EB8"/>
    <w:rsid w:val="00187145"/>
    <w:rsid w:val="001874F4"/>
    <w:rsid w:val="00187613"/>
    <w:rsid w:val="00187937"/>
    <w:rsid w:val="00187DA4"/>
    <w:rsid w:val="001904D5"/>
    <w:rsid w:val="001909D6"/>
    <w:rsid w:val="0019104D"/>
    <w:rsid w:val="00191778"/>
    <w:rsid w:val="00191A77"/>
    <w:rsid w:val="00191DB3"/>
    <w:rsid w:val="00191FD5"/>
    <w:rsid w:val="001923ED"/>
    <w:rsid w:val="00192B90"/>
    <w:rsid w:val="00192BFE"/>
    <w:rsid w:val="00192D0D"/>
    <w:rsid w:val="00193260"/>
    <w:rsid w:val="0019374B"/>
    <w:rsid w:val="00193A90"/>
    <w:rsid w:val="00193B10"/>
    <w:rsid w:val="00193EE3"/>
    <w:rsid w:val="00194098"/>
    <w:rsid w:val="00194995"/>
    <w:rsid w:val="00194FCC"/>
    <w:rsid w:val="00195476"/>
    <w:rsid w:val="00195CD2"/>
    <w:rsid w:val="00196167"/>
    <w:rsid w:val="0019620C"/>
    <w:rsid w:val="00196526"/>
    <w:rsid w:val="00196594"/>
    <w:rsid w:val="00196963"/>
    <w:rsid w:val="00196B93"/>
    <w:rsid w:val="00196BA3"/>
    <w:rsid w:val="001970F9"/>
    <w:rsid w:val="00197350"/>
    <w:rsid w:val="00197BC3"/>
    <w:rsid w:val="00197DCD"/>
    <w:rsid w:val="001A0968"/>
    <w:rsid w:val="001A0F0C"/>
    <w:rsid w:val="001A16D5"/>
    <w:rsid w:val="001A1720"/>
    <w:rsid w:val="001A192B"/>
    <w:rsid w:val="001A2109"/>
    <w:rsid w:val="001A2466"/>
    <w:rsid w:val="001A26F5"/>
    <w:rsid w:val="001A27E6"/>
    <w:rsid w:val="001A2DDC"/>
    <w:rsid w:val="001A2F36"/>
    <w:rsid w:val="001A372B"/>
    <w:rsid w:val="001A3771"/>
    <w:rsid w:val="001A3991"/>
    <w:rsid w:val="001A4336"/>
    <w:rsid w:val="001A4780"/>
    <w:rsid w:val="001A4CCB"/>
    <w:rsid w:val="001A4EB6"/>
    <w:rsid w:val="001A5419"/>
    <w:rsid w:val="001A5705"/>
    <w:rsid w:val="001A585E"/>
    <w:rsid w:val="001A592C"/>
    <w:rsid w:val="001A5D64"/>
    <w:rsid w:val="001A620B"/>
    <w:rsid w:val="001A63F2"/>
    <w:rsid w:val="001A6496"/>
    <w:rsid w:val="001A6575"/>
    <w:rsid w:val="001A6E6B"/>
    <w:rsid w:val="001A7346"/>
    <w:rsid w:val="001A7386"/>
    <w:rsid w:val="001A751B"/>
    <w:rsid w:val="001A7971"/>
    <w:rsid w:val="001A7B28"/>
    <w:rsid w:val="001A7BFE"/>
    <w:rsid w:val="001A7E01"/>
    <w:rsid w:val="001A7E31"/>
    <w:rsid w:val="001A7FFD"/>
    <w:rsid w:val="001B0110"/>
    <w:rsid w:val="001B0511"/>
    <w:rsid w:val="001B090D"/>
    <w:rsid w:val="001B09E3"/>
    <w:rsid w:val="001B0AC4"/>
    <w:rsid w:val="001B0C0A"/>
    <w:rsid w:val="001B0F33"/>
    <w:rsid w:val="001B105E"/>
    <w:rsid w:val="001B10FE"/>
    <w:rsid w:val="001B1324"/>
    <w:rsid w:val="001B1729"/>
    <w:rsid w:val="001B1FAD"/>
    <w:rsid w:val="001B3048"/>
    <w:rsid w:val="001B3961"/>
    <w:rsid w:val="001B4013"/>
    <w:rsid w:val="001B40CB"/>
    <w:rsid w:val="001B40E7"/>
    <w:rsid w:val="001B42E4"/>
    <w:rsid w:val="001B436F"/>
    <w:rsid w:val="001B4E90"/>
    <w:rsid w:val="001B5291"/>
    <w:rsid w:val="001B563F"/>
    <w:rsid w:val="001B571B"/>
    <w:rsid w:val="001B582D"/>
    <w:rsid w:val="001B5890"/>
    <w:rsid w:val="001B59A9"/>
    <w:rsid w:val="001B5C8D"/>
    <w:rsid w:val="001B5D3A"/>
    <w:rsid w:val="001B5D41"/>
    <w:rsid w:val="001B5EB0"/>
    <w:rsid w:val="001B6421"/>
    <w:rsid w:val="001B691A"/>
    <w:rsid w:val="001B696E"/>
    <w:rsid w:val="001B6A56"/>
    <w:rsid w:val="001B7191"/>
    <w:rsid w:val="001B71B9"/>
    <w:rsid w:val="001B7243"/>
    <w:rsid w:val="001B76A8"/>
    <w:rsid w:val="001B782D"/>
    <w:rsid w:val="001B7F85"/>
    <w:rsid w:val="001C00F2"/>
    <w:rsid w:val="001C05BE"/>
    <w:rsid w:val="001C0963"/>
    <w:rsid w:val="001C09D9"/>
    <w:rsid w:val="001C1121"/>
    <w:rsid w:val="001C14EA"/>
    <w:rsid w:val="001C19B3"/>
    <w:rsid w:val="001C1A14"/>
    <w:rsid w:val="001C1AC5"/>
    <w:rsid w:val="001C1DE7"/>
    <w:rsid w:val="001C202D"/>
    <w:rsid w:val="001C21A2"/>
    <w:rsid w:val="001C22BD"/>
    <w:rsid w:val="001C22F8"/>
    <w:rsid w:val="001C23C3"/>
    <w:rsid w:val="001C24B2"/>
    <w:rsid w:val="001C24F4"/>
    <w:rsid w:val="001C2A03"/>
    <w:rsid w:val="001C30D2"/>
    <w:rsid w:val="001C39E8"/>
    <w:rsid w:val="001C3A22"/>
    <w:rsid w:val="001C3BC6"/>
    <w:rsid w:val="001C3CD8"/>
    <w:rsid w:val="001C3D31"/>
    <w:rsid w:val="001C3F63"/>
    <w:rsid w:val="001C44E0"/>
    <w:rsid w:val="001C4553"/>
    <w:rsid w:val="001C4619"/>
    <w:rsid w:val="001C4623"/>
    <w:rsid w:val="001C4632"/>
    <w:rsid w:val="001C469B"/>
    <w:rsid w:val="001C4A0B"/>
    <w:rsid w:val="001C4B75"/>
    <w:rsid w:val="001C4C45"/>
    <w:rsid w:val="001C4C8C"/>
    <w:rsid w:val="001C4DA4"/>
    <w:rsid w:val="001C504B"/>
    <w:rsid w:val="001C532B"/>
    <w:rsid w:val="001C54F5"/>
    <w:rsid w:val="001C559E"/>
    <w:rsid w:val="001C55F6"/>
    <w:rsid w:val="001C5D2D"/>
    <w:rsid w:val="001C5D8B"/>
    <w:rsid w:val="001C6086"/>
    <w:rsid w:val="001C6252"/>
    <w:rsid w:val="001C62B4"/>
    <w:rsid w:val="001C6311"/>
    <w:rsid w:val="001C6504"/>
    <w:rsid w:val="001C6758"/>
    <w:rsid w:val="001C681D"/>
    <w:rsid w:val="001C6974"/>
    <w:rsid w:val="001C69B9"/>
    <w:rsid w:val="001C6A71"/>
    <w:rsid w:val="001C6BFC"/>
    <w:rsid w:val="001C71AA"/>
    <w:rsid w:val="001C73F8"/>
    <w:rsid w:val="001C75AB"/>
    <w:rsid w:val="001C75B2"/>
    <w:rsid w:val="001C776C"/>
    <w:rsid w:val="001C77E1"/>
    <w:rsid w:val="001C79DA"/>
    <w:rsid w:val="001C7ABB"/>
    <w:rsid w:val="001C7C88"/>
    <w:rsid w:val="001C7F9B"/>
    <w:rsid w:val="001D112B"/>
    <w:rsid w:val="001D11B3"/>
    <w:rsid w:val="001D19A8"/>
    <w:rsid w:val="001D1BB0"/>
    <w:rsid w:val="001D240E"/>
    <w:rsid w:val="001D26ED"/>
    <w:rsid w:val="001D28B3"/>
    <w:rsid w:val="001D2D33"/>
    <w:rsid w:val="001D33AD"/>
    <w:rsid w:val="001D3D79"/>
    <w:rsid w:val="001D5257"/>
    <w:rsid w:val="001D5280"/>
    <w:rsid w:val="001D5963"/>
    <w:rsid w:val="001D5CAD"/>
    <w:rsid w:val="001D5D71"/>
    <w:rsid w:val="001D62F5"/>
    <w:rsid w:val="001D638B"/>
    <w:rsid w:val="001D6488"/>
    <w:rsid w:val="001D69B4"/>
    <w:rsid w:val="001D6CCE"/>
    <w:rsid w:val="001D6DFA"/>
    <w:rsid w:val="001D7159"/>
    <w:rsid w:val="001D7798"/>
    <w:rsid w:val="001D79EF"/>
    <w:rsid w:val="001E004B"/>
    <w:rsid w:val="001E0741"/>
    <w:rsid w:val="001E0916"/>
    <w:rsid w:val="001E1901"/>
    <w:rsid w:val="001E19D3"/>
    <w:rsid w:val="001E1F97"/>
    <w:rsid w:val="001E23D1"/>
    <w:rsid w:val="001E2428"/>
    <w:rsid w:val="001E252F"/>
    <w:rsid w:val="001E26BD"/>
    <w:rsid w:val="001E2908"/>
    <w:rsid w:val="001E2A8E"/>
    <w:rsid w:val="001E38A8"/>
    <w:rsid w:val="001E3982"/>
    <w:rsid w:val="001E4D47"/>
    <w:rsid w:val="001E53CD"/>
    <w:rsid w:val="001E580B"/>
    <w:rsid w:val="001E5BBB"/>
    <w:rsid w:val="001E5F64"/>
    <w:rsid w:val="001E6180"/>
    <w:rsid w:val="001E6294"/>
    <w:rsid w:val="001E674B"/>
    <w:rsid w:val="001E68FC"/>
    <w:rsid w:val="001E6C2D"/>
    <w:rsid w:val="001E6D8E"/>
    <w:rsid w:val="001E714A"/>
    <w:rsid w:val="001E72B6"/>
    <w:rsid w:val="001E7396"/>
    <w:rsid w:val="001E7569"/>
    <w:rsid w:val="001E76DC"/>
    <w:rsid w:val="001E7F25"/>
    <w:rsid w:val="001F0567"/>
    <w:rsid w:val="001F0766"/>
    <w:rsid w:val="001F0C39"/>
    <w:rsid w:val="001F0EE5"/>
    <w:rsid w:val="001F111D"/>
    <w:rsid w:val="001F16FB"/>
    <w:rsid w:val="001F1761"/>
    <w:rsid w:val="001F1844"/>
    <w:rsid w:val="001F1A09"/>
    <w:rsid w:val="001F1BC4"/>
    <w:rsid w:val="001F2178"/>
    <w:rsid w:val="001F22CC"/>
    <w:rsid w:val="001F25E0"/>
    <w:rsid w:val="001F2DF7"/>
    <w:rsid w:val="001F3C5F"/>
    <w:rsid w:val="001F458A"/>
    <w:rsid w:val="001F4B1F"/>
    <w:rsid w:val="001F4F5A"/>
    <w:rsid w:val="001F61FE"/>
    <w:rsid w:val="001F646F"/>
    <w:rsid w:val="001F66DE"/>
    <w:rsid w:val="001F68BC"/>
    <w:rsid w:val="001F6C87"/>
    <w:rsid w:val="001F6EC5"/>
    <w:rsid w:val="001F705D"/>
    <w:rsid w:val="001F7246"/>
    <w:rsid w:val="001F74C7"/>
    <w:rsid w:val="001F7971"/>
    <w:rsid w:val="001F7ACA"/>
    <w:rsid w:val="001F7D00"/>
    <w:rsid w:val="0020066A"/>
    <w:rsid w:val="00200807"/>
    <w:rsid w:val="00200A6B"/>
    <w:rsid w:val="00200CAC"/>
    <w:rsid w:val="00200D92"/>
    <w:rsid w:val="002014E7"/>
    <w:rsid w:val="00202046"/>
    <w:rsid w:val="00202576"/>
    <w:rsid w:val="00202966"/>
    <w:rsid w:val="00202A9E"/>
    <w:rsid w:val="00202AA8"/>
    <w:rsid w:val="00202D81"/>
    <w:rsid w:val="00202DC0"/>
    <w:rsid w:val="00202E80"/>
    <w:rsid w:val="00202EB6"/>
    <w:rsid w:val="00203B02"/>
    <w:rsid w:val="00203F82"/>
    <w:rsid w:val="00204026"/>
    <w:rsid w:val="00204454"/>
    <w:rsid w:val="002048BC"/>
    <w:rsid w:val="002051EE"/>
    <w:rsid w:val="00205507"/>
    <w:rsid w:val="00205642"/>
    <w:rsid w:val="00205644"/>
    <w:rsid w:val="00205A9F"/>
    <w:rsid w:val="00205B0E"/>
    <w:rsid w:val="00205B1F"/>
    <w:rsid w:val="00205FEA"/>
    <w:rsid w:val="002061CA"/>
    <w:rsid w:val="0020689C"/>
    <w:rsid w:val="00206929"/>
    <w:rsid w:val="002069BC"/>
    <w:rsid w:val="00206BCD"/>
    <w:rsid w:val="00206E13"/>
    <w:rsid w:val="00206F7F"/>
    <w:rsid w:val="0020718C"/>
    <w:rsid w:val="00207205"/>
    <w:rsid w:val="00207223"/>
    <w:rsid w:val="00207408"/>
    <w:rsid w:val="00207526"/>
    <w:rsid w:val="0020762E"/>
    <w:rsid w:val="0021000D"/>
    <w:rsid w:val="0021033E"/>
    <w:rsid w:val="00210679"/>
    <w:rsid w:val="00210901"/>
    <w:rsid w:val="00210954"/>
    <w:rsid w:val="00210D6E"/>
    <w:rsid w:val="00210D9C"/>
    <w:rsid w:val="00210DCC"/>
    <w:rsid w:val="00210DCD"/>
    <w:rsid w:val="0021198D"/>
    <w:rsid w:val="002119BF"/>
    <w:rsid w:val="00211C52"/>
    <w:rsid w:val="00211D3D"/>
    <w:rsid w:val="0021225B"/>
    <w:rsid w:val="002126B2"/>
    <w:rsid w:val="00212948"/>
    <w:rsid w:val="00212BFF"/>
    <w:rsid w:val="002134A1"/>
    <w:rsid w:val="00213A9B"/>
    <w:rsid w:val="00213E70"/>
    <w:rsid w:val="00213E74"/>
    <w:rsid w:val="00214036"/>
    <w:rsid w:val="002145B9"/>
    <w:rsid w:val="00214BD4"/>
    <w:rsid w:val="00214FFF"/>
    <w:rsid w:val="0021501A"/>
    <w:rsid w:val="00215101"/>
    <w:rsid w:val="002151CB"/>
    <w:rsid w:val="00215468"/>
    <w:rsid w:val="00215AAF"/>
    <w:rsid w:val="002160BB"/>
    <w:rsid w:val="00216238"/>
    <w:rsid w:val="002163C8"/>
    <w:rsid w:val="002165D3"/>
    <w:rsid w:val="00216771"/>
    <w:rsid w:val="0021687C"/>
    <w:rsid w:val="0021697C"/>
    <w:rsid w:val="00216AAA"/>
    <w:rsid w:val="00217423"/>
    <w:rsid w:val="00217839"/>
    <w:rsid w:val="00217BBD"/>
    <w:rsid w:val="0022067E"/>
    <w:rsid w:val="002208DA"/>
    <w:rsid w:val="00221197"/>
    <w:rsid w:val="0022195B"/>
    <w:rsid w:val="00221B1E"/>
    <w:rsid w:val="0022224C"/>
    <w:rsid w:val="00222392"/>
    <w:rsid w:val="002223C1"/>
    <w:rsid w:val="002224C1"/>
    <w:rsid w:val="00222D4A"/>
    <w:rsid w:val="0022389B"/>
    <w:rsid w:val="002240C5"/>
    <w:rsid w:val="002244A6"/>
    <w:rsid w:val="0022463E"/>
    <w:rsid w:val="002256E4"/>
    <w:rsid w:val="00225A3B"/>
    <w:rsid w:val="00225A8C"/>
    <w:rsid w:val="00225BD8"/>
    <w:rsid w:val="00225CFE"/>
    <w:rsid w:val="00226081"/>
    <w:rsid w:val="002263A4"/>
    <w:rsid w:val="002264E2"/>
    <w:rsid w:val="00226AF7"/>
    <w:rsid w:val="00226CF3"/>
    <w:rsid w:val="002276A5"/>
    <w:rsid w:val="002277B0"/>
    <w:rsid w:val="00227B4A"/>
    <w:rsid w:val="00227CDE"/>
    <w:rsid w:val="00227FDC"/>
    <w:rsid w:val="00230817"/>
    <w:rsid w:val="0023081D"/>
    <w:rsid w:val="00230A9B"/>
    <w:rsid w:val="00230DCC"/>
    <w:rsid w:val="00230F31"/>
    <w:rsid w:val="00230FA0"/>
    <w:rsid w:val="00230FE7"/>
    <w:rsid w:val="00231417"/>
    <w:rsid w:val="00231611"/>
    <w:rsid w:val="002317CA"/>
    <w:rsid w:val="00231960"/>
    <w:rsid w:val="00231E84"/>
    <w:rsid w:val="00231F26"/>
    <w:rsid w:val="002324E3"/>
    <w:rsid w:val="002326C4"/>
    <w:rsid w:val="00232917"/>
    <w:rsid w:val="002329E5"/>
    <w:rsid w:val="00232FEC"/>
    <w:rsid w:val="0023329C"/>
    <w:rsid w:val="00233355"/>
    <w:rsid w:val="00233586"/>
    <w:rsid w:val="00233808"/>
    <w:rsid w:val="00233868"/>
    <w:rsid w:val="00233BC0"/>
    <w:rsid w:val="00233D92"/>
    <w:rsid w:val="00233FBB"/>
    <w:rsid w:val="00233FF1"/>
    <w:rsid w:val="00234B4F"/>
    <w:rsid w:val="0023511A"/>
    <w:rsid w:val="00235412"/>
    <w:rsid w:val="00235F4B"/>
    <w:rsid w:val="00236244"/>
    <w:rsid w:val="00236656"/>
    <w:rsid w:val="0023669A"/>
    <w:rsid w:val="00236DC0"/>
    <w:rsid w:val="00236F4C"/>
    <w:rsid w:val="002373A2"/>
    <w:rsid w:val="00237A0A"/>
    <w:rsid w:val="00237EAC"/>
    <w:rsid w:val="002402F3"/>
    <w:rsid w:val="00240461"/>
    <w:rsid w:val="002407CC"/>
    <w:rsid w:val="002409E3"/>
    <w:rsid w:val="00240EFF"/>
    <w:rsid w:val="002410C2"/>
    <w:rsid w:val="0024113D"/>
    <w:rsid w:val="002411C6"/>
    <w:rsid w:val="00241394"/>
    <w:rsid w:val="002415CE"/>
    <w:rsid w:val="00242517"/>
    <w:rsid w:val="0024260B"/>
    <w:rsid w:val="00243446"/>
    <w:rsid w:val="002439B0"/>
    <w:rsid w:val="00243BD2"/>
    <w:rsid w:val="00243D63"/>
    <w:rsid w:val="0024401F"/>
    <w:rsid w:val="00244685"/>
    <w:rsid w:val="002447E9"/>
    <w:rsid w:val="002447FC"/>
    <w:rsid w:val="00244A56"/>
    <w:rsid w:val="00244EE7"/>
    <w:rsid w:val="002453BE"/>
    <w:rsid w:val="002455C3"/>
    <w:rsid w:val="0024569B"/>
    <w:rsid w:val="00245A3F"/>
    <w:rsid w:val="00245FE1"/>
    <w:rsid w:val="00246686"/>
    <w:rsid w:val="00246967"/>
    <w:rsid w:val="00247177"/>
    <w:rsid w:val="0024736E"/>
    <w:rsid w:val="0024799C"/>
    <w:rsid w:val="00247B4D"/>
    <w:rsid w:val="00250386"/>
    <w:rsid w:val="00250A38"/>
    <w:rsid w:val="00250BFD"/>
    <w:rsid w:val="00250C60"/>
    <w:rsid w:val="0025106D"/>
    <w:rsid w:val="002513AE"/>
    <w:rsid w:val="00251CAD"/>
    <w:rsid w:val="00251CFF"/>
    <w:rsid w:val="00251FB0"/>
    <w:rsid w:val="002521E1"/>
    <w:rsid w:val="002527A2"/>
    <w:rsid w:val="0025309F"/>
    <w:rsid w:val="002530F3"/>
    <w:rsid w:val="002535CE"/>
    <w:rsid w:val="00253724"/>
    <w:rsid w:val="00254114"/>
    <w:rsid w:val="00254247"/>
    <w:rsid w:val="002542B2"/>
    <w:rsid w:val="0025447C"/>
    <w:rsid w:val="00254681"/>
    <w:rsid w:val="00254B08"/>
    <w:rsid w:val="00254B81"/>
    <w:rsid w:val="00255399"/>
    <w:rsid w:val="002559B3"/>
    <w:rsid w:val="00255A84"/>
    <w:rsid w:val="00255B5A"/>
    <w:rsid w:val="00255F7F"/>
    <w:rsid w:val="0025642A"/>
    <w:rsid w:val="00256777"/>
    <w:rsid w:val="00256795"/>
    <w:rsid w:val="0025684E"/>
    <w:rsid w:val="0025698E"/>
    <w:rsid w:val="002574AF"/>
    <w:rsid w:val="00257AAA"/>
    <w:rsid w:val="00257C41"/>
    <w:rsid w:val="00260448"/>
    <w:rsid w:val="00260BA6"/>
    <w:rsid w:val="00260C35"/>
    <w:rsid w:val="0026114B"/>
    <w:rsid w:val="0026115B"/>
    <w:rsid w:val="0026123A"/>
    <w:rsid w:val="00261391"/>
    <w:rsid w:val="0026169D"/>
    <w:rsid w:val="00261972"/>
    <w:rsid w:val="00261CF1"/>
    <w:rsid w:val="00261DA5"/>
    <w:rsid w:val="00262869"/>
    <w:rsid w:val="002628F6"/>
    <w:rsid w:val="00262DCF"/>
    <w:rsid w:val="002634EA"/>
    <w:rsid w:val="002637CF"/>
    <w:rsid w:val="00263AF8"/>
    <w:rsid w:val="00263CD1"/>
    <w:rsid w:val="002645C7"/>
    <w:rsid w:val="002646FE"/>
    <w:rsid w:val="002648EE"/>
    <w:rsid w:val="00264B3D"/>
    <w:rsid w:val="00264C1F"/>
    <w:rsid w:val="00264FD6"/>
    <w:rsid w:val="002656C7"/>
    <w:rsid w:val="00265AC3"/>
    <w:rsid w:val="00265BFC"/>
    <w:rsid w:val="00265D3C"/>
    <w:rsid w:val="002662DA"/>
    <w:rsid w:val="00266D29"/>
    <w:rsid w:val="00266E9A"/>
    <w:rsid w:val="002671A2"/>
    <w:rsid w:val="0026722A"/>
    <w:rsid w:val="00267496"/>
    <w:rsid w:val="00267A28"/>
    <w:rsid w:val="00267A7C"/>
    <w:rsid w:val="00267B57"/>
    <w:rsid w:val="00267F66"/>
    <w:rsid w:val="00270169"/>
    <w:rsid w:val="002702D2"/>
    <w:rsid w:val="00270370"/>
    <w:rsid w:val="002708A2"/>
    <w:rsid w:val="00270E19"/>
    <w:rsid w:val="002716FC"/>
    <w:rsid w:val="0027170E"/>
    <w:rsid w:val="00271B4D"/>
    <w:rsid w:val="00272164"/>
    <w:rsid w:val="00272499"/>
    <w:rsid w:val="00272623"/>
    <w:rsid w:val="00272960"/>
    <w:rsid w:val="00272A65"/>
    <w:rsid w:val="00272DBE"/>
    <w:rsid w:val="0027304A"/>
    <w:rsid w:val="0027304D"/>
    <w:rsid w:val="00273102"/>
    <w:rsid w:val="0027349A"/>
    <w:rsid w:val="00273CB2"/>
    <w:rsid w:val="002742FE"/>
    <w:rsid w:val="00274C4D"/>
    <w:rsid w:val="00274EFA"/>
    <w:rsid w:val="00275025"/>
    <w:rsid w:val="0027596A"/>
    <w:rsid w:val="002759C0"/>
    <w:rsid w:val="00275B68"/>
    <w:rsid w:val="00275C43"/>
    <w:rsid w:val="00275D7A"/>
    <w:rsid w:val="00275F9E"/>
    <w:rsid w:val="002761BD"/>
    <w:rsid w:val="0027652E"/>
    <w:rsid w:val="00276884"/>
    <w:rsid w:val="0027694B"/>
    <w:rsid w:val="00276C79"/>
    <w:rsid w:val="002772AF"/>
    <w:rsid w:val="0027780B"/>
    <w:rsid w:val="00277A86"/>
    <w:rsid w:val="0028076C"/>
    <w:rsid w:val="00280B6C"/>
    <w:rsid w:val="00280CBA"/>
    <w:rsid w:val="00280D5B"/>
    <w:rsid w:val="00280EA4"/>
    <w:rsid w:val="00281007"/>
    <w:rsid w:val="002811B7"/>
    <w:rsid w:val="00281364"/>
    <w:rsid w:val="00281819"/>
    <w:rsid w:val="00281DA0"/>
    <w:rsid w:val="002822C7"/>
    <w:rsid w:val="00282372"/>
    <w:rsid w:val="002827F9"/>
    <w:rsid w:val="00282BAE"/>
    <w:rsid w:val="00282D05"/>
    <w:rsid w:val="00282DAC"/>
    <w:rsid w:val="00282EE5"/>
    <w:rsid w:val="002831A8"/>
    <w:rsid w:val="002834C9"/>
    <w:rsid w:val="002835A6"/>
    <w:rsid w:val="002837C2"/>
    <w:rsid w:val="0028399A"/>
    <w:rsid w:val="002839FB"/>
    <w:rsid w:val="00283BB4"/>
    <w:rsid w:val="00283D4E"/>
    <w:rsid w:val="00284036"/>
    <w:rsid w:val="00284162"/>
    <w:rsid w:val="0028442C"/>
    <w:rsid w:val="002844AC"/>
    <w:rsid w:val="002845EA"/>
    <w:rsid w:val="002848C8"/>
    <w:rsid w:val="00284B22"/>
    <w:rsid w:val="0028523A"/>
    <w:rsid w:val="00285309"/>
    <w:rsid w:val="00285310"/>
    <w:rsid w:val="0028551B"/>
    <w:rsid w:val="00285A8C"/>
    <w:rsid w:val="00285DF6"/>
    <w:rsid w:val="00286154"/>
    <w:rsid w:val="0028670B"/>
    <w:rsid w:val="00286894"/>
    <w:rsid w:val="00286B1C"/>
    <w:rsid w:val="00286DCB"/>
    <w:rsid w:val="00286EBE"/>
    <w:rsid w:val="00286FB0"/>
    <w:rsid w:val="0028718B"/>
    <w:rsid w:val="00287699"/>
    <w:rsid w:val="0028783E"/>
    <w:rsid w:val="0029008E"/>
    <w:rsid w:val="00290588"/>
    <w:rsid w:val="002907BC"/>
    <w:rsid w:val="00290F8B"/>
    <w:rsid w:val="002919DB"/>
    <w:rsid w:val="002920C7"/>
    <w:rsid w:val="00292228"/>
    <w:rsid w:val="002929D8"/>
    <w:rsid w:val="00292B9F"/>
    <w:rsid w:val="00293109"/>
    <w:rsid w:val="00293C63"/>
    <w:rsid w:val="00293F3D"/>
    <w:rsid w:val="00294742"/>
    <w:rsid w:val="002947DC"/>
    <w:rsid w:val="002948F5"/>
    <w:rsid w:val="00294A58"/>
    <w:rsid w:val="00294B49"/>
    <w:rsid w:val="00294D2F"/>
    <w:rsid w:val="00295274"/>
    <w:rsid w:val="002958DE"/>
    <w:rsid w:val="00295B70"/>
    <w:rsid w:val="00295EEF"/>
    <w:rsid w:val="002963DD"/>
    <w:rsid w:val="0029648D"/>
    <w:rsid w:val="00296F47"/>
    <w:rsid w:val="00297289"/>
    <w:rsid w:val="00297514"/>
    <w:rsid w:val="002976EE"/>
    <w:rsid w:val="0029799C"/>
    <w:rsid w:val="00297ECD"/>
    <w:rsid w:val="002A04E2"/>
    <w:rsid w:val="002A06E7"/>
    <w:rsid w:val="002A0E02"/>
    <w:rsid w:val="002A0E79"/>
    <w:rsid w:val="002A0E94"/>
    <w:rsid w:val="002A1263"/>
    <w:rsid w:val="002A18FE"/>
    <w:rsid w:val="002A19F7"/>
    <w:rsid w:val="002A1FB9"/>
    <w:rsid w:val="002A2364"/>
    <w:rsid w:val="002A283D"/>
    <w:rsid w:val="002A2A08"/>
    <w:rsid w:val="002A2B37"/>
    <w:rsid w:val="002A2BC4"/>
    <w:rsid w:val="002A2D62"/>
    <w:rsid w:val="002A2D93"/>
    <w:rsid w:val="002A31FA"/>
    <w:rsid w:val="002A32BE"/>
    <w:rsid w:val="002A339E"/>
    <w:rsid w:val="002A33FC"/>
    <w:rsid w:val="002A3418"/>
    <w:rsid w:val="002A35A5"/>
    <w:rsid w:val="002A3FF6"/>
    <w:rsid w:val="002A4113"/>
    <w:rsid w:val="002A4266"/>
    <w:rsid w:val="002A449A"/>
    <w:rsid w:val="002A44A0"/>
    <w:rsid w:val="002A45B1"/>
    <w:rsid w:val="002A46C8"/>
    <w:rsid w:val="002A47DF"/>
    <w:rsid w:val="002A496E"/>
    <w:rsid w:val="002A4E42"/>
    <w:rsid w:val="002A5379"/>
    <w:rsid w:val="002A556F"/>
    <w:rsid w:val="002A598E"/>
    <w:rsid w:val="002A61A5"/>
    <w:rsid w:val="002A61B1"/>
    <w:rsid w:val="002A648D"/>
    <w:rsid w:val="002A6700"/>
    <w:rsid w:val="002A7199"/>
    <w:rsid w:val="002A7778"/>
    <w:rsid w:val="002A77C3"/>
    <w:rsid w:val="002A79D9"/>
    <w:rsid w:val="002A7BAF"/>
    <w:rsid w:val="002A7BBD"/>
    <w:rsid w:val="002B05A8"/>
    <w:rsid w:val="002B0D6E"/>
    <w:rsid w:val="002B10B0"/>
    <w:rsid w:val="002B1225"/>
    <w:rsid w:val="002B1437"/>
    <w:rsid w:val="002B14DB"/>
    <w:rsid w:val="002B169C"/>
    <w:rsid w:val="002B1838"/>
    <w:rsid w:val="002B1F89"/>
    <w:rsid w:val="002B21BB"/>
    <w:rsid w:val="002B22F5"/>
    <w:rsid w:val="002B274C"/>
    <w:rsid w:val="002B2868"/>
    <w:rsid w:val="002B2E9F"/>
    <w:rsid w:val="002B2F77"/>
    <w:rsid w:val="002B3529"/>
    <w:rsid w:val="002B3596"/>
    <w:rsid w:val="002B38EB"/>
    <w:rsid w:val="002B43B3"/>
    <w:rsid w:val="002B4FAD"/>
    <w:rsid w:val="002B538D"/>
    <w:rsid w:val="002B5B61"/>
    <w:rsid w:val="002B5CA1"/>
    <w:rsid w:val="002B6031"/>
    <w:rsid w:val="002B6328"/>
    <w:rsid w:val="002B6699"/>
    <w:rsid w:val="002B6716"/>
    <w:rsid w:val="002B6EFD"/>
    <w:rsid w:val="002B6F33"/>
    <w:rsid w:val="002B79F0"/>
    <w:rsid w:val="002B7B8A"/>
    <w:rsid w:val="002B7C96"/>
    <w:rsid w:val="002B7F3E"/>
    <w:rsid w:val="002C00F5"/>
    <w:rsid w:val="002C0166"/>
    <w:rsid w:val="002C059A"/>
    <w:rsid w:val="002C05D9"/>
    <w:rsid w:val="002C06B5"/>
    <w:rsid w:val="002C0CCC"/>
    <w:rsid w:val="002C0CD7"/>
    <w:rsid w:val="002C0D7B"/>
    <w:rsid w:val="002C0D99"/>
    <w:rsid w:val="002C11BC"/>
    <w:rsid w:val="002C11D6"/>
    <w:rsid w:val="002C143E"/>
    <w:rsid w:val="002C1443"/>
    <w:rsid w:val="002C1CBF"/>
    <w:rsid w:val="002C1D9C"/>
    <w:rsid w:val="002C1EFA"/>
    <w:rsid w:val="002C22C5"/>
    <w:rsid w:val="002C2806"/>
    <w:rsid w:val="002C2864"/>
    <w:rsid w:val="002C2BD3"/>
    <w:rsid w:val="002C2BEB"/>
    <w:rsid w:val="002C30A4"/>
    <w:rsid w:val="002C34B2"/>
    <w:rsid w:val="002C366F"/>
    <w:rsid w:val="002C3894"/>
    <w:rsid w:val="002C3D9B"/>
    <w:rsid w:val="002C3E6A"/>
    <w:rsid w:val="002C40EF"/>
    <w:rsid w:val="002C488D"/>
    <w:rsid w:val="002C4A81"/>
    <w:rsid w:val="002C4B78"/>
    <w:rsid w:val="002C4B93"/>
    <w:rsid w:val="002C4CA9"/>
    <w:rsid w:val="002C4CB2"/>
    <w:rsid w:val="002C5453"/>
    <w:rsid w:val="002C57BD"/>
    <w:rsid w:val="002C5A5C"/>
    <w:rsid w:val="002C5BFE"/>
    <w:rsid w:val="002C64F8"/>
    <w:rsid w:val="002C6686"/>
    <w:rsid w:val="002C66CF"/>
    <w:rsid w:val="002C68E5"/>
    <w:rsid w:val="002C7016"/>
    <w:rsid w:val="002C70A3"/>
    <w:rsid w:val="002C7301"/>
    <w:rsid w:val="002C75E6"/>
    <w:rsid w:val="002C7C0A"/>
    <w:rsid w:val="002C7C9C"/>
    <w:rsid w:val="002C7FF4"/>
    <w:rsid w:val="002D04C5"/>
    <w:rsid w:val="002D059D"/>
    <w:rsid w:val="002D0727"/>
    <w:rsid w:val="002D0D92"/>
    <w:rsid w:val="002D100C"/>
    <w:rsid w:val="002D1B36"/>
    <w:rsid w:val="002D1B96"/>
    <w:rsid w:val="002D2270"/>
    <w:rsid w:val="002D2E4C"/>
    <w:rsid w:val="002D2EC4"/>
    <w:rsid w:val="002D319A"/>
    <w:rsid w:val="002D32AF"/>
    <w:rsid w:val="002D3306"/>
    <w:rsid w:val="002D3568"/>
    <w:rsid w:val="002D37C1"/>
    <w:rsid w:val="002D4074"/>
    <w:rsid w:val="002D42F1"/>
    <w:rsid w:val="002D4487"/>
    <w:rsid w:val="002D4830"/>
    <w:rsid w:val="002D4858"/>
    <w:rsid w:val="002D4A0A"/>
    <w:rsid w:val="002D4A43"/>
    <w:rsid w:val="002D5041"/>
    <w:rsid w:val="002D52BF"/>
    <w:rsid w:val="002D607F"/>
    <w:rsid w:val="002D60C9"/>
    <w:rsid w:val="002D65B4"/>
    <w:rsid w:val="002D68CE"/>
    <w:rsid w:val="002D6D06"/>
    <w:rsid w:val="002E0315"/>
    <w:rsid w:val="002E0403"/>
    <w:rsid w:val="002E0903"/>
    <w:rsid w:val="002E0C71"/>
    <w:rsid w:val="002E0D26"/>
    <w:rsid w:val="002E0D8B"/>
    <w:rsid w:val="002E10FA"/>
    <w:rsid w:val="002E2175"/>
    <w:rsid w:val="002E21D1"/>
    <w:rsid w:val="002E229D"/>
    <w:rsid w:val="002E25A8"/>
    <w:rsid w:val="002E279A"/>
    <w:rsid w:val="002E2BE7"/>
    <w:rsid w:val="002E323E"/>
    <w:rsid w:val="002E34CF"/>
    <w:rsid w:val="002E3832"/>
    <w:rsid w:val="002E399E"/>
    <w:rsid w:val="002E3B08"/>
    <w:rsid w:val="002E3CE5"/>
    <w:rsid w:val="002E4118"/>
    <w:rsid w:val="002E41F3"/>
    <w:rsid w:val="002E4505"/>
    <w:rsid w:val="002E4519"/>
    <w:rsid w:val="002E5038"/>
    <w:rsid w:val="002E533C"/>
    <w:rsid w:val="002E557C"/>
    <w:rsid w:val="002E5BB9"/>
    <w:rsid w:val="002E6116"/>
    <w:rsid w:val="002E67E6"/>
    <w:rsid w:val="002E69B3"/>
    <w:rsid w:val="002E6DBB"/>
    <w:rsid w:val="002E6E7C"/>
    <w:rsid w:val="002E6F72"/>
    <w:rsid w:val="002E7B0D"/>
    <w:rsid w:val="002F0151"/>
    <w:rsid w:val="002F04DE"/>
    <w:rsid w:val="002F089E"/>
    <w:rsid w:val="002F0A2B"/>
    <w:rsid w:val="002F0B9F"/>
    <w:rsid w:val="002F0D1B"/>
    <w:rsid w:val="002F0F46"/>
    <w:rsid w:val="002F121E"/>
    <w:rsid w:val="002F14D0"/>
    <w:rsid w:val="002F1524"/>
    <w:rsid w:val="002F190D"/>
    <w:rsid w:val="002F196B"/>
    <w:rsid w:val="002F1A3E"/>
    <w:rsid w:val="002F1CD3"/>
    <w:rsid w:val="002F1D51"/>
    <w:rsid w:val="002F1E10"/>
    <w:rsid w:val="002F1E43"/>
    <w:rsid w:val="002F1EA4"/>
    <w:rsid w:val="002F24B0"/>
    <w:rsid w:val="002F279C"/>
    <w:rsid w:val="002F283F"/>
    <w:rsid w:val="002F2BB2"/>
    <w:rsid w:val="002F3095"/>
    <w:rsid w:val="002F3A93"/>
    <w:rsid w:val="002F3AFA"/>
    <w:rsid w:val="002F4355"/>
    <w:rsid w:val="002F4444"/>
    <w:rsid w:val="002F4777"/>
    <w:rsid w:val="002F4BEA"/>
    <w:rsid w:val="002F54B6"/>
    <w:rsid w:val="002F5629"/>
    <w:rsid w:val="002F5674"/>
    <w:rsid w:val="002F65E5"/>
    <w:rsid w:val="002F6A6F"/>
    <w:rsid w:val="002F6B24"/>
    <w:rsid w:val="002F6E28"/>
    <w:rsid w:val="002F70BA"/>
    <w:rsid w:val="002F725F"/>
    <w:rsid w:val="002F7A88"/>
    <w:rsid w:val="002F7A99"/>
    <w:rsid w:val="002F7C08"/>
    <w:rsid w:val="002F7E68"/>
    <w:rsid w:val="002F7F86"/>
    <w:rsid w:val="00300560"/>
    <w:rsid w:val="003007DE"/>
    <w:rsid w:val="00300A82"/>
    <w:rsid w:val="00300A84"/>
    <w:rsid w:val="00300C9E"/>
    <w:rsid w:val="00300E39"/>
    <w:rsid w:val="00300F95"/>
    <w:rsid w:val="0030101C"/>
    <w:rsid w:val="0030107F"/>
    <w:rsid w:val="003011A6"/>
    <w:rsid w:val="003013EF"/>
    <w:rsid w:val="00301CF7"/>
    <w:rsid w:val="00302306"/>
    <w:rsid w:val="003023C2"/>
    <w:rsid w:val="003024FE"/>
    <w:rsid w:val="0030294F"/>
    <w:rsid w:val="00302E5E"/>
    <w:rsid w:val="00302EA1"/>
    <w:rsid w:val="00303249"/>
    <w:rsid w:val="003038DB"/>
    <w:rsid w:val="00303BC0"/>
    <w:rsid w:val="00303BC3"/>
    <w:rsid w:val="00303D58"/>
    <w:rsid w:val="00303D69"/>
    <w:rsid w:val="00303FA3"/>
    <w:rsid w:val="0030415A"/>
    <w:rsid w:val="00304433"/>
    <w:rsid w:val="0030458D"/>
    <w:rsid w:val="003048C9"/>
    <w:rsid w:val="00304C8F"/>
    <w:rsid w:val="00304D19"/>
    <w:rsid w:val="00304D4E"/>
    <w:rsid w:val="00304F3C"/>
    <w:rsid w:val="00304FF8"/>
    <w:rsid w:val="00305098"/>
    <w:rsid w:val="0030511E"/>
    <w:rsid w:val="0030534B"/>
    <w:rsid w:val="00305BCF"/>
    <w:rsid w:val="0030615E"/>
    <w:rsid w:val="003066E9"/>
    <w:rsid w:val="00306D6D"/>
    <w:rsid w:val="00307448"/>
    <w:rsid w:val="003074AC"/>
    <w:rsid w:val="003079B4"/>
    <w:rsid w:val="00307C55"/>
    <w:rsid w:val="00307DEF"/>
    <w:rsid w:val="00310138"/>
    <w:rsid w:val="0031027B"/>
    <w:rsid w:val="003105A3"/>
    <w:rsid w:val="003107E5"/>
    <w:rsid w:val="00310800"/>
    <w:rsid w:val="00310DE6"/>
    <w:rsid w:val="0031115B"/>
    <w:rsid w:val="003115AC"/>
    <w:rsid w:val="003119A7"/>
    <w:rsid w:val="00311D33"/>
    <w:rsid w:val="00311EE1"/>
    <w:rsid w:val="0031200F"/>
    <w:rsid w:val="0031208A"/>
    <w:rsid w:val="003126CA"/>
    <w:rsid w:val="003127C5"/>
    <w:rsid w:val="00313664"/>
    <w:rsid w:val="00313754"/>
    <w:rsid w:val="0031380E"/>
    <w:rsid w:val="003138A6"/>
    <w:rsid w:val="00313958"/>
    <w:rsid w:val="00313B78"/>
    <w:rsid w:val="00313C9A"/>
    <w:rsid w:val="00313DD4"/>
    <w:rsid w:val="003143BF"/>
    <w:rsid w:val="00314475"/>
    <w:rsid w:val="0031486F"/>
    <w:rsid w:val="00314A3D"/>
    <w:rsid w:val="00314F90"/>
    <w:rsid w:val="00315238"/>
    <w:rsid w:val="00315247"/>
    <w:rsid w:val="003153B1"/>
    <w:rsid w:val="00315731"/>
    <w:rsid w:val="003159A1"/>
    <w:rsid w:val="00315A8E"/>
    <w:rsid w:val="00315C6A"/>
    <w:rsid w:val="00315D4B"/>
    <w:rsid w:val="00315F85"/>
    <w:rsid w:val="0031617F"/>
    <w:rsid w:val="00316769"/>
    <w:rsid w:val="00317101"/>
    <w:rsid w:val="003175BA"/>
    <w:rsid w:val="00317D03"/>
    <w:rsid w:val="0032006F"/>
    <w:rsid w:val="003201A1"/>
    <w:rsid w:val="00320747"/>
    <w:rsid w:val="00320832"/>
    <w:rsid w:val="00320FD1"/>
    <w:rsid w:val="00321109"/>
    <w:rsid w:val="00321184"/>
    <w:rsid w:val="0032124F"/>
    <w:rsid w:val="00321560"/>
    <w:rsid w:val="00321690"/>
    <w:rsid w:val="00321758"/>
    <w:rsid w:val="00321823"/>
    <w:rsid w:val="00321BDA"/>
    <w:rsid w:val="003226B9"/>
    <w:rsid w:val="00322E12"/>
    <w:rsid w:val="0032358B"/>
    <w:rsid w:val="003238F4"/>
    <w:rsid w:val="00323D94"/>
    <w:rsid w:val="00323FC4"/>
    <w:rsid w:val="003243D1"/>
    <w:rsid w:val="003248BE"/>
    <w:rsid w:val="00324D77"/>
    <w:rsid w:val="0032547A"/>
    <w:rsid w:val="00325692"/>
    <w:rsid w:val="003257A7"/>
    <w:rsid w:val="00325820"/>
    <w:rsid w:val="00325841"/>
    <w:rsid w:val="003259D7"/>
    <w:rsid w:val="00326451"/>
    <w:rsid w:val="003268C7"/>
    <w:rsid w:val="00326914"/>
    <w:rsid w:val="00326B3B"/>
    <w:rsid w:val="0032704C"/>
    <w:rsid w:val="0032709A"/>
    <w:rsid w:val="00327426"/>
    <w:rsid w:val="003277AE"/>
    <w:rsid w:val="00327BD3"/>
    <w:rsid w:val="00327CAA"/>
    <w:rsid w:val="00327DE9"/>
    <w:rsid w:val="00327EB4"/>
    <w:rsid w:val="00327F5E"/>
    <w:rsid w:val="003301B3"/>
    <w:rsid w:val="0033033D"/>
    <w:rsid w:val="00330372"/>
    <w:rsid w:val="00330385"/>
    <w:rsid w:val="003303CC"/>
    <w:rsid w:val="003308D8"/>
    <w:rsid w:val="0033102E"/>
    <w:rsid w:val="0033137B"/>
    <w:rsid w:val="00331401"/>
    <w:rsid w:val="00331CEE"/>
    <w:rsid w:val="00332344"/>
    <w:rsid w:val="00332372"/>
    <w:rsid w:val="0033289C"/>
    <w:rsid w:val="00332CF5"/>
    <w:rsid w:val="00332F67"/>
    <w:rsid w:val="0033312E"/>
    <w:rsid w:val="00333234"/>
    <w:rsid w:val="00333822"/>
    <w:rsid w:val="003339EC"/>
    <w:rsid w:val="00333B1F"/>
    <w:rsid w:val="00333CC8"/>
    <w:rsid w:val="003340BC"/>
    <w:rsid w:val="0033414E"/>
    <w:rsid w:val="003343B5"/>
    <w:rsid w:val="003345F8"/>
    <w:rsid w:val="00334A9A"/>
    <w:rsid w:val="003351AE"/>
    <w:rsid w:val="00335370"/>
    <w:rsid w:val="003353FE"/>
    <w:rsid w:val="003356B3"/>
    <w:rsid w:val="0033572C"/>
    <w:rsid w:val="0033577C"/>
    <w:rsid w:val="0033583D"/>
    <w:rsid w:val="00335ED1"/>
    <w:rsid w:val="00336C06"/>
    <w:rsid w:val="00336FBD"/>
    <w:rsid w:val="00337808"/>
    <w:rsid w:val="00337905"/>
    <w:rsid w:val="00337BDE"/>
    <w:rsid w:val="00337EF8"/>
    <w:rsid w:val="0034030F"/>
    <w:rsid w:val="0034033C"/>
    <w:rsid w:val="003405A0"/>
    <w:rsid w:val="003407E4"/>
    <w:rsid w:val="0034081B"/>
    <w:rsid w:val="00340C0A"/>
    <w:rsid w:val="00341296"/>
    <w:rsid w:val="00341557"/>
    <w:rsid w:val="003416A0"/>
    <w:rsid w:val="00341833"/>
    <w:rsid w:val="00341A29"/>
    <w:rsid w:val="00341B09"/>
    <w:rsid w:val="0034228F"/>
    <w:rsid w:val="003423C7"/>
    <w:rsid w:val="0034245F"/>
    <w:rsid w:val="003424A0"/>
    <w:rsid w:val="003425DF"/>
    <w:rsid w:val="00342803"/>
    <w:rsid w:val="00342841"/>
    <w:rsid w:val="003428BA"/>
    <w:rsid w:val="00342A60"/>
    <w:rsid w:val="00342CBB"/>
    <w:rsid w:val="00342DDC"/>
    <w:rsid w:val="00342E5D"/>
    <w:rsid w:val="00342FBC"/>
    <w:rsid w:val="0034375A"/>
    <w:rsid w:val="0034379D"/>
    <w:rsid w:val="003439F6"/>
    <w:rsid w:val="00343CB0"/>
    <w:rsid w:val="00343DED"/>
    <w:rsid w:val="00343E5D"/>
    <w:rsid w:val="00343E69"/>
    <w:rsid w:val="0034410F"/>
    <w:rsid w:val="00344182"/>
    <w:rsid w:val="00344359"/>
    <w:rsid w:val="00344774"/>
    <w:rsid w:val="00344983"/>
    <w:rsid w:val="00344A10"/>
    <w:rsid w:val="00344A29"/>
    <w:rsid w:val="00345553"/>
    <w:rsid w:val="00346192"/>
    <w:rsid w:val="003463D1"/>
    <w:rsid w:val="003463D8"/>
    <w:rsid w:val="0034646D"/>
    <w:rsid w:val="00346C66"/>
    <w:rsid w:val="0034714F"/>
    <w:rsid w:val="003471C0"/>
    <w:rsid w:val="003477AD"/>
    <w:rsid w:val="0034797B"/>
    <w:rsid w:val="00347BAE"/>
    <w:rsid w:val="00347BE5"/>
    <w:rsid w:val="00347D85"/>
    <w:rsid w:val="003507DD"/>
    <w:rsid w:val="00350B03"/>
    <w:rsid w:val="00350C0E"/>
    <w:rsid w:val="00350C95"/>
    <w:rsid w:val="00351124"/>
    <w:rsid w:val="00351347"/>
    <w:rsid w:val="00351632"/>
    <w:rsid w:val="0035167A"/>
    <w:rsid w:val="00351831"/>
    <w:rsid w:val="003522E0"/>
    <w:rsid w:val="0035267F"/>
    <w:rsid w:val="0035284A"/>
    <w:rsid w:val="00352B39"/>
    <w:rsid w:val="00352B55"/>
    <w:rsid w:val="003530FE"/>
    <w:rsid w:val="00354193"/>
    <w:rsid w:val="003547F2"/>
    <w:rsid w:val="003547FA"/>
    <w:rsid w:val="003548FE"/>
    <w:rsid w:val="003550A4"/>
    <w:rsid w:val="003550BA"/>
    <w:rsid w:val="00355171"/>
    <w:rsid w:val="0035537A"/>
    <w:rsid w:val="003554D2"/>
    <w:rsid w:val="0035580D"/>
    <w:rsid w:val="0035588D"/>
    <w:rsid w:val="00355985"/>
    <w:rsid w:val="00355D0B"/>
    <w:rsid w:val="003565AC"/>
    <w:rsid w:val="003565E0"/>
    <w:rsid w:val="00356887"/>
    <w:rsid w:val="00356915"/>
    <w:rsid w:val="00356B8C"/>
    <w:rsid w:val="00356E75"/>
    <w:rsid w:val="00356F02"/>
    <w:rsid w:val="0035766F"/>
    <w:rsid w:val="0035781A"/>
    <w:rsid w:val="0035797B"/>
    <w:rsid w:val="00357B39"/>
    <w:rsid w:val="00357CB5"/>
    <w:rsid w:val="00357E8C"/>
    <w:rsid w:val="003600B2"/>
    <w:rsid w:val="003602DC"/>
    <w:rsid w:val="0036040E"/>
    <w:rsid w:val="00360517"/>
    <w:rsid w:val="00360532"/>
    <w:rsid w:val="00360B57"/>
    <w:rsid w:val="00360EB5"/>
    <w:rsid w:val="00360F43"/>
    <w:rsid w:val="00361A0A"/>
    <w:rsid w:val="00361D06"/>
    <w:rsid w:val="00361D3F"/>
    <w:rsid w:val="00362660"/>
    <w:rsid w:val="00362FD3"/>
    <w:rsid w:val="003639FB"/>
    <w:rsid w:val="00363BF7"/>
    <w:rsid w:val="00364264"/>
    <w:rsid w:val="00364CA4"/>
    <w:rsid w:val="00364D9D"/>
    <w:rsid w:val="003650F3"/>
    <w:rsid w:val="003652B9"/>
    <w:rsid w:val="0036601F"/>
    <w:rsid w:val="0036633A"/>
    <w:rsid w:val="0036695B"/>
    <w:rsid w:val="003678EB"/>
    <w:rsid w:val="00367B88"/>
    <w:rsid w:val="00370307"/>
    <w:rsid w:val="0037035D"/>
    <w:rsid w:val="00370821"/>
    <w:rsid w:val="003709A2"/>
    <w:rsid w:val="00370A18"/>
    <w:rsid w:val="00370AA1"/>
    <w:rsid w:val="003710ED"/>
    <w:rsid w:val="003716B7"/>
    <w:rsid w:val="003717D0"/>
    <w:rsid w:val="00371D3A"/>
    <w:rsid w:val="003720EE"/>
    <w:rsid w:val="00372263"/>
    <w:rsid w:val="003725AA"/>
    <w:rsid w:val="003728BF"/>
    <w:rsid w:val="00372A5B"/>
    <w:rsid w:val="00373491"/>
    <w:rsid w:val="00373766"/>
    <w:rsid w:val="003739DD"/>
    <w:rsid w:val="00373A9E"/>
    <w:rsid w:val="003741A2"/>
    <w:rsid w:val="00374419"/>
    <w:rsid w:val="00374AC8"/>
    <w:rsid w:val="00374C44"/>
    <w:rsid w:val="00374D75"/>
    <w:rsid w:val="00374DC6"/>
    <w:rsid w:val="0037526B"/>
    <w:rsid w:val="003753CE"/>
    <w:rsid w:val="00375A73"/>
    <w:rsid w:val="00375E08"/>
    <w:rsid w:val="00375EA8"/>
    <w:rsid w:val="0037618E"/>
    <w:rsid w:val="0037667D"/>
    <w:rsid w:val="003767C0"/>
    <w:rsid w:val="00376CA0"/>
    <w:rsid w:val="00376F2E"/>
    <w:rsid w:val="0037738C"/>
    <w:rsid w:val="00377CAD"/>
    <w:rsid w:val="00377D9A"/>
    <w:rsid w:val="00377E4F"/>
    <w:rsid w:val="00377F68"/>
    <w:rsid w:val="0038016E"/>
    <w:rsid w:val="00380265"/>
    <w:rsid w:val="00380364"/>
    <w:rsid w:val="0038047C"/>
    <w:rsid w:val="00380746"/>
    <w:rsid w:val="00380B0B"/>
    <w:rsid w:val="00380BB9"/>
    <w:rsid w:val="00380D7D"/>
    <w:rsid w:val="00380E94"/>
    <w:rsid w:val="00381256"/>
    <w:rsid w:val="0038126C"/>
    <w:rsid w:val="003813B0"/>
    <w:rsid w:val="003814BB"/>
    <w:rsid w:val="00381562"/>
    <w:rsid w:val="00381750"/>
    <w:rsid w:val="00382266"/>
    <w:rsid w:val="0038235E"/>
    <w:rsid w:val="00382A53"/>
    <w:rsid w:val="00382AE5"/>
    <w:rsid w:val="00382B0C"/>
    <w:rsid w:val="00382FE3"/>
    <w:rsid w:val="00383170"/>
    <w:rsid w:val="003833B5"/>
    <w:rsid w:val="0038352D"/>
    <w:rsid w:val="003835FF"/>
    <w:rsid w:val="00383BF4"/>
    <w:rsid w:val="00384584"/>
    <w:rsid w:val="003845A6"/>
    <w:rsid w:val="003847ED"/>
    <w:rsid w:val="00384A60"/>
    <w:rsid w:val="00384ADE"/>
    <w:rsid w:val="00384DB9"/>
    <w:rsid w:val="003856BD"/>
    <w:rsid w:val="00386DDB"/>
    <w:rsid w:val="00387553"/>
    <w:rsid w:val="0038792E"/>
    <w:rsid w:val="0038797A"/>
    <w:rsid w:val="00387A4A"/>
    <w:rsid w:val="00391078"/>
    <w:rsid w:val="0039121A"/>
    <w:rsid w:val="003921CD"/>
    <w:rsid w:val="00392270"/>
    <w:rsid w:val="003929D2"/>
    <w:rsid w:val="00392BC2"/>
    <w:rsid w:val="00392CCA"/>
    <w:rsid w:val="00393029"/>
    <w:rsid w:val="00393AD7"/>
    <w:rsid w:val="00393E3E"/>
    <w:rsid w:val="00393F81"/>
    <w:rsid w:val="00393FA5"/>
    <w:rsid w:val="0039406E"/>
    <w:rsid w:val="0039411F"/>
    <w:rsid w:val="0039413F"/>
    <w:rsid w:val="003946B9"/>
    <w:rsid w:val="00394B51"/>
    <w:rsid w:val="003953BE"/>
    <w:rsid w:val="003957BB"/>
    <w:rsid w:val="003962CD"/>
    <w:rsid w:val="003963FF"/>
    <w:rsid w:val="003965AF"/>
    <w:rsid w:val="003965C0"/>
    <w:rsid w:val="00396894"/>
    <w:rsid w:val="00396935"/>
    <w:rsid w:val="00396997"/>
    <w:rsid w:val="00396A4C"/>
    <w:rsid w:val="00397191"/>
    <w:rsid w:val="0039743E"/>
    <w:rsid w:val="00397A8D"/>
    <w:rsid w:val="00397CAC"/>
    <w:rsid w:val="00397D16"/>
    <w:rsid w:val="003A0403"/>
    <w:rsid w:val="003A0D0B"/>
    <w:rsid w:val="003A1301"/>
    <w:rsid w:val="003A1EE5"/>
    <w:rsid w:val="003A27BB"/>
    <w:rsid w:val="003A280A"/>
    <w:rsid w:val="003A2FE5"/>
    <w:rsid w:val="003A31F5"/>
    <w:rsid w:val="003A35D6"/>
    <w:rsid w:val="003A43CA"/>
    <w:rsid w:val="003A4473"/>
    <w:rsid w:val="003A4780"/>
    <w:rsid w:val="003A4E51"/>
    <w:rsid w:val="003A5077"/>
    <w:rsid w:val="003A5614"/>
    <w:rsid w:val="003A56A1"/>
    <w:rsid w:val="003A5BC5"/>
    <w:rsid w:val="003A5C82"/>
    <w:rsid w:val="003A5CF2"/>
    <w:rsid w:val="003A5D19"/>
    <w:rsid w:val="003A5DAB"/>
    <w:rsid w:val="003A5E4A"/>
    <w:rsid w:val="003A5F4E"/>
    <w:rsid w:val="003A6A4E"/>
    <w:rsid w:val="003A6DDA"/>
    <w:rsid w:val="003A72FF"/>
    <w:rsid w:val="003A782B"/>
    <w:rsid w:val="003B0002"/>
    <w:rsid w:val="003B03BF"/>
    <w:rsid w:val="003B0E9B"/>
    <w:rsid w:val="003B1620"/>
    <w:rsid w:val="003B1661"/>
    <w:rsid w:val="003B1919"/>
    <w:rsid w:val="003B28C3"/>
    <w:rsid w:val="003B2A09"/>
    <w:rsid w:val="003B2E43"/>
    <w:rsid w:val="003B2FCF"/>
    <w:rsid w:val="003B317B"/>
    <w:rsid w:val="003B3799"/>
    <w:rsid w:val="003B3EC4"/>
    <w:rsid w:val="003B3FD2"/>
    <w:rsid w:val="003B4059"/>
    <w:rsid w:val="003B4407"/>
    <w:rsid w:val="003B440E"/>
    <w:rsid w:val="003B453B"/>
    <w:rsid w:val="003B51D0"/>
    <w:rsid w:val="003B5254"/>
    <w:rsid w:val="003B533E"/>
    <w:rsid w:val="003B5747"/>
    <w:rsid w:val="003B580F"/>
    <w:rsid w:val="003B6230"/>
    <w:rsid w:val="003B63DD"/>
    <w:rsid w:val="003B642F"/>
    <w:rsid w:val="003B673D"/>
    <w:rsid w:val="003B6A7F"/>
    <w:rsid w:val="003B730A"/>
    <w:rsid w:val="003B7840"/>
    <w:rsid w:val="003B7AF0"/>
    <w:rsid w:val="003B7CC3"/>
    <w:rsid w:val="003B7F41"/>
    <w:rsid w:val="003C0183"/>
    <w:rsid w:val="003C0B0E"/>
    <w:rsid w:val="003C0E43"/>
    <w:rsid w:val="003C1054"/>
    <w:rsid w:val="003C175D"/>
    <w:rsid w:val="003C1CFB"/>
    <w:rsid w:val="003C2577"/>
    <w:rsid w:val="003C2BBD"/>
    <w:rsid w:val="003C2F98"/>
    <w:rsid w:val="003C32A6"/>
    <w:rsid w:val="003C3379"/>
    <w:rsid w:val="003C3AE8"/>
    <w:rsid w:val="003C3BB5"/>
    <w:rsid w:val="003C3E77"/>
    <w:rsid w:val="003C3E86"/>
    <w:rsid w:val="003C3F9B"/>
    <w:rsid w:val="003C4066"/>
    <w:rsid w:val="003C4264"/>
    <w:rsid w:val="003C43EC"/>
    <w:rsid w:val="003C4448"/>
    <w:rsid w:val="003C46AD"/>
    <w:rsid w:val="003C4D1E"/>
    <w:rsid w:val="003C4E99"/>
    <w:rsid w:val="003C529F"/>
    <w:rsid w:val="003C5FC9"/>
    <w:rsid w:val="003C63D3"/>
    <w:rsid w:val="003C7449"/>
    <w:rsid w:val="003C7AF1"/>
    <w:rsid w:val="003C7BE5"/>
    <w:rsid w:val="003D0022"/>
    <w:rsid w:val="003D0B52"/>
    <w:rsid w:val="003D1093"/>
    <w:rsid w:val="003D1448"/>
    <w:rsid w:val="003D1621"/>
    <w:rsid w:val="003D1ADC"/>
    <w:rsid w:val="003D1BB5"/>
    <w:rsid w:val="003D1D81"/>
    <w:rsid w:val="003D1D95"/>
    <w:rsid w:val="003D1EEC"/>
    <w:rsid w:val="003D1EF2"/>
    <w:rsid w:val="003D1F44"/>
    <w:rsid w:val="003D22D2"/>
    <w:rsid w:val="003D33E2"/>
    <w:rsid w:val="003D3537"/>
    <w:rsid w:val="003D35E6"/>
    <w:rsid w:val="003D3A06"/>
    <w:rsid w:val="003D3CB2"/>
    <w:rsid w:val="003D3D91"/>
    <w:rsid w:val="003D3EC2"/>
    <w:rsid w:val="003D4708"/>
    <w:rsid w:val="003D472C"/>
    <w:rsid w:val="003D477A"/>
    <w:rsid w:val="003D4D86"/>
    <w:rsid w:val="003D5469"/>
    <w:rsid w:val="003D5847"/>
    <w:rsid w:val="003D614C"/>
    <w:rsid w:val="003D619A"/>
    <w:rsid w:val="003D6556"/>
    <w:rsid w:val="003D7078"/>
    <w:rsid w:val="003D758E"/>
    <w:rsid w:val="003D7C86"/>
    <w:rsid w:val="003D7CF9"/>
    <w:rsid w:val="003E01B9"/>
    <w:rsid w:val="003E0352"/>
    <w:rsid w:val="003E05BD"/>
    <w:rsid w:val="003E0976"/>
    <w:rsid w:val="003E0A15"/>
    <w:rsid w:val="003E0C71"/>
    <w:rsid w:val="003E0C99"/>
    <w:rsid w:val="003E14BE"/>
    <w:rsid w:val="003E182D"/>
    <w:rsid w:val="003E1937"/>
    <w:rsid w:val="003E1AFB"/>
    <w:rsid w:val="003E213F"/>
    <w:rsid w:val="003E26B2"/>
    <w:rsid w:val="003E2B86"/>
    <w:rsid w:val="003E3046"/>
    <w:rsid w:val="003E3205"/>
    <w:rsid w:val="003E32E1"/>
    <w:rsid w:val="003E32FE"/>
    <w:rsid w:val="003E345C"/>
    <w:rsid w:val="003E3615"/>
    <w:rsid w:val="003E3F41"/>
    <w:rsid w:val="003E458E"/>
    <w:rsid w:val="003E50A1"/>
    <w:rsid w:val="003E5127"/>
    <w:rsid w:val="003E536E"/>
    <w:rsid w:val="003E542F"/>
    <w:rsid w:val="003E569A"/>
    <w:rsid w:val="003E592F"/>
    <w:rsid w:val="003E5F33"/>
    <w:rsid w:val="003E6615"/>
    <w:rsid w:val="003E694D"/>
    <w:rsid w:val="003E6CD0"/>
    <w:rsid w:val="003E74C3"/>
    <w:rsid w:val="003E79F9"/>
    <w:rsid w:val="003E7C34"/>
    <w:rsid w:val="003F06E0"/>
    <w:rsid w:val="003F076E"/>
    <w:rsid w:val="003F083C"/>
    <w:rsid w:val="003F08C4"/>
    <w:rsid w:val="003F0949"/>
    <w:rsid w:val="003F0C38"/>
    <w:rsid w:val="003F0D7C"/>
    <w:rsid w:val="003F1223"/>
    <w:rsid w:val="003F12E9"/>
    <w:rsid w:val="003F177A"/>
    <w:rsid w:val="003F1AB9"/>
    <w:rsid w:val="003F1BBE"/>
    <w:rsid w:val="003F1C13"/>
    <w:rsid w:val="003F1FD6"/>
    <w:rsid w:val="003F2034"/>
    <w:rsid w:val="003F2203"/>
    <w:rsid w:val="003F26FE"/>
    <w:rsid w:val="003F2A44"/>
    <w:rsid w:val="003F2ABB"/>
    <w:rsid w:val="003F2C11"/>
    <w:rsid w:val="003F301F"/>
    <w:rsid w:val="003F3377"/>
    <w:rsid w:val="003F33B7"/>
    <w:rsid w:val="003F36E5"/>
    <w:rsid w:val="003F37FD"/>
    <w:rsid w:val="003F3854"/>
    <w:rsid w:val="003F39AE"/>
    <w:rsid w:val="003F3A52"/>
    <w:rsid w:val="003F3EF1"/>
    <w:rsid w:val="003F45B2"/>
    <w:rsid w:val="003F4679"/>
    <w:rsid w:val="003F4B62"/>
    <w:rsid w:val="003F59F4"/>
    <w:rsid w:val="003F5B16"/>
    <w:rsid w:val="003F5CD7"/>
    <w:rsid w:val="003F5CD8"/>
    <w:rsid w:val="003F5FDD"/>
    <w:rsid w:val="003F6086"/>
    <w:rsid w:val="003F60E1"/>
    <w:rsid w:val="003F648C"/>
    <w:rsid w:val="003F6633"/>
    <w:rsid w:val="003F66FD"/>
    <w:rsid w:val="003F672A"/>
    <w:rsid w:val="003F7000"/>
    <w:rsid w:val="003F7506"/>
    <w:rsid w:val="003F757E"/>
    <w:rsid w:val="003F764A"/>
    <w:rsid w:val="003F7F49"/>
    <w:rsid w:val="0040032A"/>
    <w:rsid w:val="0040033C"/>
    <w:rsid w:val="00400494"/>
    <w:rsid w:val="004004F6"/>
    <w:rsid w:val="0040078F"/>
    <w:rsid w:val="004010AA"/>
    <w:rsid w:val="004017DF"/>
    <w:rsid w:val="00401A68"/>
    <w:rsid w:val="00401B69"/>
    <w:rsid w:val="0040214B"/>
    <w:rsid w:val="00402280"/>
    <w:rsid w:val="00402B37"/>
    <w:rsid w:val="00402BA1"/>
    <w:rsid w:val="00402DC6"/>
    <w:rsid w:val="0040313C"/>
    <w:rsid w:val="0040351E"/>
    <w:rsid w:val="00403882"/>
    <w:rsid w:val="00403A03"/>
    <w:rsid w:val="00404D94"/>
    <w:rsid w:val="00404DCD"/>
    <w:rsid w:val="0040548B"/>
    <w:rsid w:val="004054A8"/>
    <w:rsid w:val="004055FB"/>
    <w:rsid w:val="00405AE6"/>
    <w:rsid w:val="00405EA9"/>
    <w:rsid w:val="00406145"/>
    <w:rsid w:val="0040646D"/>
    <w:rsid w:val="00406500"/>
    <w:rsid w:val="0040667E"/>
    <w:rsid w:val="00406A86"/>
    <w:rsid w:val="00406AC1"/>
    <w:rsid w:val="00406FFC"/>
    <w:rsid w:val="00407441"/>
    <w:rsid w:val="004077D6"/>
    <w:rsid w:val="0040780E"/>
    <w:rsid w:val="00407867"/>
    <w:rsid w:val="00407C0D"/>
    <w:rsid w:val="004104BE"/>
    <w:rsid w:val="00410883"/>
    <w:rsid w:val="00410A5C"/>
    <w:rsid w:val="00410C9B"/>
    <w:rsid w:val="00411033"/>
    <w:rsid w:val="00411317"/>
    <w:rsid w:val="004115E1"/>
    <w:rsid w:val="004116F3"/>
    <w:rsid w:val="004117A8"/>
    <w:rsid w:val="00411A53"/>
    <w:rsid w:val="00411BEF"/>
    <w:rsid w:val="00411F5D"/>
    <w:rsid w:val="004121E7"/>
    <w:rsid w:val="0041312D"/>
    <w:rsid w:val="00414334"/>
    <w:rsid w:val="00414665"/>
    <w:rsid w:val="00414673"/>
    <w:rsid w:val="0041473B"/>
    <w:rsid w:val="0041478B"/>
    <w:rsid w:val="00414B30"/>
    <w:rsid w:val="00414C6B"/>
    <w:rsid w:val="00414E51"/>
    <w:rsid w:val="00414E5C"/>
    <w:rsid w:val="0041517D"/>
    <w:rsid w:val="004151EC"/>
    <w:rsid w:val="00415D9B"/>
    <w:rsid w:val="00416093"/>
    <w:rsid w:val="004162D3"/>
    <w:rsid w:val="00416512"/>
    <w:rsid w:val="004167C7"/>
    <w:rsid w:val="004167DB"/>
    <w:rsid w:val="00416CA7"/>
    <w:rsid w:val="00416CC7"/>
    <w:rsid w:val="00416D3C"/>
    <w:rsid w:val="00416E86"/>
    <w:rsid w:val="00417347"/>
    <w:rsid w:val="004173A0"/>
    <w:rsid w:val="0041747D"/>
    <w:rsid w:val="0041760B"/>
    <w:rsid w:val="00417775"/>
    <w:rsid w:val="004179E2"/>
    <w:rsid w:val="00417E60"/>
    <w:rsid w:val="00417FB5"/>
    <w:rsid w:val="004202E1"/>
    <w:rsid w:val="004203EF"/>
    <w:rsid w:val="00420435"/>
    <w:rsid w:val="0042094B"/>
    <w:rsid w:val="00420F04"/>
    <w:rsid w:val="004210BA"/>
    <w:rsid w:val="004213A2"/>
    <w:rsid w:val="004213A6"/>
    <w:rsid w:val="004214FC"/>
    <w:rsid w:val="00421870"/>
    <w:rsid w:val="004228C6"/>
    <w:rsid w:val="00422D03"/>
    <w:rsid w:val="00423099"/>
    <w:rsid w:val="0042313D"/>
    <w:rsid w:val="0042347C"/>
    <w:rsid w:val="00423CBD"/>
    <w:rsid w:val="004240A9"/>
    <w:rsid w:val="004241CE"/>
    <w:rsid w:val="00424200"/>
    <w:rsid w:val="00424564"/>
    <w:rsid w:val="00424D0A"/>
    <w:rsid w:val="00424E79"/>
    <w:rsid w:val="00424FA9"/>
    <w:rsid w:val="0042558E"/>
    <w:rsid w:val="00425BA1"/>
    <w:rsid w:val="00426178"/>
    <w:rsid w:val="0042661C"/>
    <w:rsid w:val="00427271"/>
    <w:rsid w:val="004274B3"/>
    <w:rsid w:val="00427808"/>
    <w:rsid w:val="00427F27"/>
    <w:rsid w:val="0043009C"/>
    <w:rsid w:val="00430294"/>
    <w:rsid w:val="004303AB"/>
    <w:rsid w:val="0043044F"/>
    <w:rsid w:val="0043062E"/>
    <w:rsid w:val="00430734"/>
    <w:rsid w:val="0043076A"/>
    <w:rsid w:val="00430BDD"/>
    <w:rsid w:val="0043113F"/>
    <w:rsid w:val="00431785"/>
    <w:rsid w:val="00431B17"/>
    <w:rsid w:val="00432048"/>
    <w:rsid w:val="004323EB"/>
    <w:rsid w:val="00432540"/>
    <w:rsid w:val="00432D78"/>
    <w:rsid w:val="00432E48"/>
    <w:rsid w:val="00432ED2"/>
    <w:rsid w:val="004332B3"/>
    <w:rsid w:val="00433469"/>
    <w:rsid w:val="00433529"/>
    <w:rsid w:val="0043362C"/>
    <w:rsid w:val="00433C2A"/>
    <w:rsid w:val="00433F36"/>
    <w:rsid w:val="00433FEE"/>
    <w:rsid w:val="004344BF"/>
    <w:rsid w:val="0043452F"/>
    <w:rsid w:val="00434660"/>
    <w:rsid w:val="00434B15"/>
    <w:rsid w:val="00434B64"/>
    <w:rsid w:val="00435A59"/>
    <w:rsid w:val="00435CB8"/>
    <w:rsid w:val="00436217"/>
    <w:rsid w:val="00436227"/>
    <w:rsid w:val="0043632B"/>
    <w:rsid w:val="00436624"/>
    <w:rsid w:val="00436E6C"/>
    <w:rsid w:val="00437057"/>
    <w:rsid w:val="00437135"/>
    <w:rsid w:val="004375B3"/>
    <w:rsid w:val="00437B99"/>
    <w:rsid w:val="00437EB5"/>
    <w:rsid w:val="00440360"/>
    <w:rsid w:val="004403F7"/>
    <w:rsid w:val="00440C8C"/>
    <w:rsid w:val="004412FA"/>
    <w:rsid w:val="0044167F"/>
    <w:rsid w:val="004418E1"/>
    <w:rsid w:val="00441918"/>
    <w:rsid w:val="00441CBC"/>
    <w:rsid w:val="00441E39"/>
    <w:rsid w:val="00441F98"/>
    <w:rsid w:val="0044207C"/>
    <w:rsid w:val="00442E9B"/>
    <w:rsid w:val="004438E4"/>
    <w:rsid w:val="00443B94"/>
    <w:rsid w:val="00443CD3"/>
    <w:rsid w:val="00443E1F"/>
    <w:rsid w:val="00443EC1"/>
    <w:rsid w:val="0044403E"/>
    <w:rsid w:val="004441D6"/>
    <w:rsid w:val="00444240"/>
    <w:rsid w:val="004443E1"/>
    <w:rsid w:val="0044566E"/>
    <w:rsid w:val="00446A96"/>
    <w:rsid w:val="00446C68"/>
    <w:rsid w:val="00446D05"/>
    <w:rsid w:val="00446F26"/>
    <w:rsid w:val="0044756C"/>
    <w:rsid w:val="00447666"/>
    <w:rsid w:val="00447725"/>
    <w:rsid w:val="004477FF"/>
    <w:rsid w:val="00447AC9"/>
    <w:rsid w:val="00447CE7"/>
    <w:rsid w:val="00447D1A"/>
    <w:rsid w:val="00447D60"/>
    <w:rsid w:val="004502B2"/>
    <w:rsid w:val="00450452"/>
    <w:rsid w:val="0045047E"/>
    <w:rsid w:val="004504E9"/>
    <w:rsid w:val="00450CD9"/>
    <w:rsid w:val="00451433"/>
    <w:rsid w:val="00451970"/>
    <w:rsid w:val="00451E80"/>
    <w:rsid w:val="00452434"/>
    <w:rsid w:val="00452631"/>
    <w:rsid w:val="00452EAE"/>
    <w:rsid w:val="00452EF2"/>
    <w:rsid w:val="00452FEC"/>
    <w:rsid w:val="00453264"/>
    <w:rsid w:val="0045350E"/>
    <w:rsid w:val="0045402E"/>
    <w:rsid w:val="004551F2"/>
    <w:rsid w:val="0045521A"/>
    <w:rsid w:val="0045526D"/>
    <w:rsid w:val="00455597"/>
    <w:rsid w:val="00456226"/>
    <w:rsid w:val="0045628F"/>
    <w:rsid w:val="004562B8"/>
    <w:rsid w:val="0045650E"/>
    <w:rsid w:val="004568D7"/>
    <w:rsid w:val="00456E0B"/>
    <w:rsid w:val="004574E7"/>
    <w:rsid w:val="00457563"/>
    <w:rsid w:val="004575B3"/>
    <w:rsid w:val="00457981"/>
    <w:rsid w:val="00457990"/>
    <w:rsid w:val="00457C7C"/>
    <w:rsid w:val="00460114"/>
    <w:rsid w:val="0046102E"/>
    <w:rsid w:val="0046147A"/>
    <w:rsid w:val="0046174C"/>
    <w:rsid w:val="00461CDE"/>
    <w:rsid w:val="00462036"/>
    <w:rsid w:val="0046222A"/>
    <w:rsid w:val="00462914"/>
    <w:rsid w:val="00462B54"/>
    <w:rsid w:val="00463064"/>
    <w:rsid w:val="0046334D"/>
    <w:rsid w:val="004633A5"/>
    <w:rsid w:val="004636C5"/>
    <w:rsid w:val="004637AF"/>
    <w:rsid w:val="00463DB5"/>
    <w:rsid w:val="004640FD"/>
    <w:rsid w:val="00464118"/>
    <w:rsid w:val="004649CD"/>
    <w:rsid w:val="00464C37"/>
    <w:rsid w:val="00465385"/>
    <w:rsid w:val="0046558A"/>
    <w:rsid w:val="004656CF"/>
    <w:rsid w:val="00465D65"/>
    <w:rsid w:val="00465E91"/>
    <w:rsid w:val="00466750"/>
    <w:rsid w:val="00466805"/>
    <w:rsid w:val="0046685B"/>
    <w:rsid w:val="00466FC4"/>
    <w:rsid w:val="004670A0"/>
    <w:rsid w:val="0046770A"/>
    <w:rsid w:val="00467A5C"/>
    <w:rsid w:val="00467ABD"/>
    <w:rsid w:val="00467E2B"/>
    <w:rsid w:val="00467E4C"/>
    <w:rsid w:val="00470BAE"/>
    <w:rsid w:val="00471411"/>
    <w:rsid w:val="00471956"/>
    <w:rsid w:val="00471D36"/>
    <w:rsid w:val="00471DEC"/>
    <w:rsid w:val="00472461"/>
    <w:rsid w:val="004724BE"/>
    <w:rsid w:val="004727AD"/>
    <w:rsid w:val="00472B98"/>
    <w:rsid w:val="00472DEE"/>
    <w:rsid w:val="00473141"/>
    <w:rsid w:val="004732CA"/>
    <w:rsid w:val="00473C3D"/>
    <w:rsid w:val="00473EBA"/>
    <w:rsid w:val="00474445"/>
    <w:rsid w:val="0047451E"/>
    <w:rsid w:val="00474835"/>
    <w:rsid w:val="00474EA2"/>
    <w:rsid w:val="00475B95"/>
    <w:rsid w:val="00475BFE"/>
    <w:rsid w:val="00475C23"/>
    <w:rsid w:val="00475C50"/>
    <w:rsid w:val="004762F3"/>
    <w:rsid w:val="00477042"/>
    <w:rsid w:val="0047711B"/>
    <w:rsid w:val="00477404"/>
    <w:rsid w:val="00477612"/>
    <w:rsid w:val="00477C42"/>
    <w:rsid w:val="00480065"/>
    <w:rsid w:val="00480562"/>
    <w:rsid w:val="00480564"/>
    <w:rsid w:val="004808B8"/>
    <w:rsid w:val="004809B8"/>
    <w:rsid w:val="00480DD9"/>
    <w:rsid w:val="0048119A"/>
    <w:rsid w:val="00481700"/>
    <w:rsid w:val="00481708"/>
    <w:rsid w:val="004817E9"/>
    <w:rsid w:val="00481CFE"/>
    <w:rsid w:val="00481F10"/>
    <w:rsid w:val="00481F58"/>
    <w:rsid w:val="004820FA"/>
    <w:rsid w:val="004821B9"/>
    <w:rsid w:val="004824F0"/>
    <w:rsid w:val="004824F4"/>
    <w:rsid w:val="00482758"/>
    <w:rsid w:val="00482B16"/>
    <w:rsid w:val="00483217"/>
    <w:rsid w:val="0048347E"/>
    <w:rsid w:val="00483A69"/>
    <w:rsid w:val="00484AA6"/>
    <w:rsid w:val="00484D05"/>
    <w:rsid w:val="00485301"/>
    <w:rsid w:val="00485601"/>
    <w:rsid w:val="00485612"/>
    <w:rsid w:val="00485A0F"/>
    <w:rsid w:val="00485DD4"/>
    <w:rsid w:val="00485F13"/>
    <w:rsid w:val="00486093"/>
    <w:rsid w:val="0048632D"/>
    <w:rsid w:val="00486E2E"/>
    <w:rsid w:val="00486F6B"/>
    <w:rsid w:val="0048701F"/>
    <w:rsid w:val="00487498"/>
    <w:rsid w:val="00487D40"/>
    <w:rsid w:val="004902A7"/>
    <w:rsid w:val="00490742"/>
    <w:rsid w:val="004908BF"/>
    <w:rsid w:val="00490A31"/>
    <w:rsid w:val="004910A6"/>
    <w:rsid w:val="00491575"/>
    <w:rsid w:val="004916CB"/>
    <w:rsid w:val="0049183D"/>
    <w:rsid w:val="00491880"/>
    <w:rsid w:val="00491D88"/>
    <w:rsid w:val="00491FDF"/>
    <w:rsid w:val="00492271"/>
    <w:rsid w:val="004925BF"/>
    <w:rsid w:val="004926AE"/>
    <w:rsid w:val="004927D8"/>
    <w:rsid w:val="004928BF"/>
    <w:rsid w:val="00493021"/>
    <w:rsid w:val="00493277"/>
    <w:rsid w:val="004935ED"/>
    <w:rsid w:val="00493631"/>
    <w:rsid w:val="00493BE7"/>
    <w:rsid w:val="004942B5"/>
    <w:rsid w:val="00494E80"/>
    <w:rsid w:val="0049508D"/>
    <w:rsid w:val="004958AC"/>
    <w:rsid w:val="00495FD4"/>
    <w:rsid w:val="0049605C"/>
    <w:rsid w:val="004965C1"/>
    <w:rsid w:val="004965F7"/>
    <w:rsid w:val="00496605"/>
    <w:rsid w:val="004966F6"/>
    <w:rsid w:val="0049687E"/>
    <w:rsid w:val="004969AF"/>
    <w:rsid w:val="00496DA4"/>
    <w:rsid w:val="004970F8"/>
    <w:rsid w:val="00497552"/>
    <w:rsid w:val="004975AD"/>
    <w:rsid w:val="00497950"/>
    <w:rsid w:val="00497BFA"/>
    <w:rsid w:val="00497FBF"/>
    <w:rsid w:val="004A053D"/>
    <w:rsid w:val="004A06F9"/>
    <w:rsid w:val="004A1635"/>
    <w:rsid w:val="004A1833"/>
    <w:rsid w:val="004A1D47"/>
    <w:rsid w:val="004A1FCC"/>
    <w:rsid w:val="004A2565"/>
    <w:rsid w:val="004A267A"/>
    <w:rsid w:val="004A29BD"/>
    <w:rsid w:val="004A2F18"/>
    <w:rsid w:val="004A2FFD"/>
    <w:rsid w:val="004A3183"/>
    <w:rsid w:val="004A325C"/>
    <w:rsid w:val="004A3873"/>
    <w:rsid w:val="004A39C9"/>
    <w:rsid w:val="004A3B78"/>
    <w:rsid w:val="004A4036"/>
    <w:rsid w:val="004A40B0"/>
    <w:rsid w:val="004A41FB"/>
    <w:rsid w:val="004A4309"/>
    <w:rsid w:val="004A46FF"/>
    <w:rsid w:val="004A4A56"/>
    <w:rsid w:val="004A4BFA"/>
    <w:rsid w:val="004A4CBD"/>
    <w:rsid w:val="004A56B1"/>
    <w:rsid w:val="004A5A65"/>
    <w:rsid w:val="004A5F9D"/>
    <w:rsid w:val="004A6101"/>
    <w:rsid w:val="004A6166"/>
    <w:rsid w:val="004A63E5"/>
    <w:rsid w:val="004A66FC"/>
    <w:rsid w:val="004A67E9"/>
    <w:rsid w:val="004A687D"/>
    <w:rsid w:val="004A6896"/>
    <w:rsid w:val="004A6B13"/>
    <w:rsid w:val="004A6DB6"/>
    <w:rsid w:val="004A6ED8"/>
    <w:rsid w:val="004A7048"/>
    <w:rsid w:val="004A7057"/>
    <w:rsid w:val="004A70F7"/>
    <w:rsid w:val="004A7200"/>
    <w:rsid w:val="004A73A0"/>
    <w:rsid w:val="004A73F6"/>
    <w:rsid w:val="004A742E"/>
    <w:rsid w:val="004A7616"/>
    <w:rsid w:val="004A7B16"/>
    <w:rsid w:val="004A7B5E"/>
    <w:rsid w:val="004A7EFC"/>
    <w:rsid w:val="004B007D"/>
    <w:rsid w:val="004B0498"/>
    <w:rsid w:val="004B0514"/>
    <w:rsid w:val="004B0A0A"/>
    <w:rsid w:val="004B0B7E"/>
    <w:rsid w:val="004B0D70"/>
    <w:rsid w:val="004B102D"/>
    <w:rsid w:val="004B1088"/>
    <w:rsid w:val="004B1125"/>
    <w:rsid w:val="004B12F1"/>
    <w:rsid w:val="004B1C4B"/>
    <w:rsid w:val="004B1DA3"/>
    <w:rsid w:val="004B1F04"/>
    <w:rsid w:val="004B208D"/>
    <w:rsid w:val="004B2392"/>
    <w:rsid w:val="004B2722"/>
    <w:rsid w:val="004B2891"/>
    <w:rsid w:val="004B2C16"/>
    <w:rsid w:val="004B2C60"/>
    <w:rsid w:val="004B2D06"/>
    <w:rsid w:val="004B2D30"/>
    <w:rsid w:val="004B370E"/>
    <w:rsid w:val="004B37D3"/>
    <w:rsid w:val="004B3804"/>
    <w:rsid w:val="004B3B67"/>
    <w:rsid w:val="004B3BF2"/>
    <w:rsid w:val="004B3E57"/>
    <w:rsid w:val="004B4507"/>
    <w:rsid w:val="004B46BB"/>
    <w:rsid w:val="004B4928"/>
    <w:rsid w:val="004B545E"/>
    <w:rsid w:val="004B5C07"/>
    <w:rsid w:val="004B60CB"/>
    <w:rsid w:val="004B6673"/>
    <w:rsid w:val="004B6784"/>
    <w:rsid w:val="004B6BAA"/>
    <w:rsid w:val="004B6E81"/>
    <w:rsid w:val="004B6E89"/>
    <w:rsid w:val="004B7591"/>
    <w:rsid w:val="004B7652"/>
    <w:rsid w:val="004B7B95"/>
    <w:rsid w:val="004C0650"/>
    <w:rsid w:val="004C07D9"/>
    <w:rsid w:val="004C10FE"/>
    <w:rsid w:val="004C12D1"/>
    <w:rsid w:val="004C14AA"/>
    <w:rsid w:val="004C1CB5"/>
    <w:rsid w:val="004C29CF"/>
    <w:rsid w:val="004C2DEE"/>
    <w:rsid w:val="004C30EF"/>
    <w:rsid w:val="004C37DA"/>
    <w:rsid w:val="004C3B79"/>
    <w:rsid w:val="004C4088"/>
    <w:rsid w:val="004C484D"/>
    <w:rsid w:val="004C4C21"/>
    <w:rsid w:val="004C507A"/>
    <w:rsid w:val="004C50F1"/>
    <w:rsid w:val="004C5141"/>
    <w:rsid w:val="004C5197"/>
    <w:rsid w:val="004C5270"/>
    <w:rsid w:val="004C5665"/>
    <w:rsid w:val="004C5C5F"/>
    <w:rsid w:val="004C5F4F"/>
    <w:rsid w:val="004C63BB"/>
    <w:rsid w:val="004C641F"/>
    <w:rsid w:val="004C6639"/>
    <w:rsid w:val="004C6876"/>
    <w:rsid w:val="004C7986"/>
    <w:rsid w:val="004C7D58"/>
    <w:rsid w:val="004D075D"/>
    <w:rsid w:val="004D07EB"/>
    <w:rsid w:val="004D0A49"/>
    <w:rsid w:val="004D0B88"/>
    <w:rsid w:val="004D0C27"/>
    <w:rsid w:val="004D0D2B"/>
    <w:rsid w:val="004D0DFB"/>
    <w:rsid w:val="004D1AB3"/>
    <w:rsid w:val="004D1C82"/>
    <w:rsid w:val="004D210D"/>
    <w:rsid w:val="004D228F"/>
    <w:rsid w:val="004D2819"/>
    <w:rsid w:val="004D281A"/>
    <w:rsid w:val="004D2B7A"/>
    <w:rsid w:val="004D2E82"/>
    <w:rsid w:val="004D2F55"/>
    <w:rsid w:val="004D3041"/>
    <w:rsid w:val="004D31E0"/>
    <w:rsid w:val="004D3287"/>
    <w:rsid w:val="004D34A9"/>
    <w:rsid w:val="004D3571"/>
    <w:rsid w:val="004D3F61"/>
    <w:rsid w:val="004D479B"/>
    <w:rsid w:val="004D48FD"/>
    <w:rsid w:val="004D4CF4"/>
    <w:rsid w:val="004D4E8E"/>
    <w:rsid w:val="004D55D1"/>
    <w:rsid w:val="004D56AB"/>
    <w:rsid w:val="004D6797"/>
    <w:rsid w:val="004D693C"/>
    <w:rsid w:val="004D6EF5"/>
    <w:rsid w:val="004D7100"/>
    <w:rsid w:val="004D7660"/>
    <w:rsid w:val="004D76E1"/>
    <w:rsid w:val="004D7E55"/>
    <w:rsid w:val="004E094F"/>
    <w:rsid w:val="004E0B48"/>
    <w:rsid w:val="004E10E4"/>
    <w:rsid w:val="004E1357"/>
    <w:rsid w:val="004E186D"/>
    <w:rsid w:val="004E25AF"/>
    <w:rsid w:val="004E269F"/>
    <w:rsid w:val="004E2879"/>
    <w:rsid w:val="004E3690"/>
    <w:rsid w:val="004E3A95"/>
    <w:rsid w:val="004E3B79"/>
    <w:rsid w:val="004E406C"/>
    <w:rsid w:val="004E420A"/>
    <w:rsid w:val="004E4825"/>
    <w:rsid w:val="004E4899"/>
    <w:rsid w:val="004E4AAD"/>
    <w:rsid w:val="004E513E"/>
    <w:rsid w:val="004E55D2"/>
    <w:rsid w:val="004E59E1"/>
    <w:rsid w:val="004E6073"/>
    <w:rsid w:val="004E6318"/>
    <w:rsid w:val="004E6499"/>
    <w:rsid w:val="004E6719"/>
    <w:rsid w:val="004E6B7D"/>
    <w:rsid w:val="004E6DD8"/>
    <w:rsid w:val="004E6F56"/>
    <w:rsid w:val="004E7076"/>
    <w:rsid w:val="004E7104"/>
    <w:rsid w:val="004E73D2"/>
    <w:rsid w:val="004E7517"/>
    <w:rsid w:val="004E7519"/>
    <w:rsid w:val="004E769A"/>
    <w:rsid w:val="004E7AEB"/>
    <w:rsid w:val="004E7C01"/>
    <w:rsid w:val="004F03D5"/>
    <w:rsid w:val="004F0684"/>
    <w:rsid w:val="004F06A5"/>
    <w:rsid w:val="004F07A1"/>
    <w:rsid w:val="004F1173"/>
    <w:rsid w:val="004F1379"/>
    <w:rsid w:val="004F148C"/>
    <w:rsid w:val="004F1ACF"/>
    <w:rsid w:val="004F1BA7"/>
    <w:rsid w:val="004F2A15"/>
    <w:rsid w:val="004F2C66"/>
    <w:rsid w:val="004F2CB7"/>
    <w:rsid w:val="004F2F39"/>
    <w:rsid w:val="004F2F52"/>
    <w:rsid w:val="004F3156"/>
    <w:rsid w:val="004F31AE"/>
    <w:rsid w:val="004F32DC"/>
    <w:rsid w:val="004F341F"/>
    <w:rsid w:val="004F383C"/>
    <w:rsid w:val="004F3A8E"/>
    <w:rsid w:val="004F3B60"/>
    <w:rsid w:val="004F3F7A"/>
    <w:rsid w:val="004F4289"/>
    <w:rsid w:val="004F491F"/>
    <w:rsid w:val="004F4A13"/>
    <w:rsid w:val="004F502A"/>
    <w:rsid w:val="004F53E2"/>
    <w:rsid w:val="004F585C"/>
    <w:rsid w:val="004F58D3"/>
    <w:rsid w:val="004F5CEF"/>
    <w:rsid w:val="004F5D2B"/>
    <w:rsid w:val="004F5F48"/>
    <w:rsid w:val="004F6230"/>
    <w:rsid w:val="004F628E"/>
    <w:rsid w:val="004F6439"/>
    <w:rsid w:val="004F65C1"/>
    <w:rsid w:val="004F6794"/>
    <w:rsid w:val="004F750C"/>
    <w:rsid w:val="004F7531"/>
    <w:rsid w:val="004F7F2F"/>
    <w:rsid w:val="0050005E"/>
    <w:rsid w:val="00500160"/>
    <w:rsid w:val="005003BB"/>
    <w:rsid w:val="00500586"/>
    <w:rsid w:val="005007BA"/>
    <w:rsid w:val="00500A3C"/>
    <w:rsid w:val="00500ACD"/>
    <w:rsid w:val="00500D49"/>
    <w:rsid w:val="00500FC1"/>
    <w:rsid w:val="00500FCE"/>
    <w:rsid w:val="00501138"/>
    <w:rsid w:val="00501181"/>
    <w:rsid w:val="005012C0"/>
    <w:rsid w:val="005015C6"/>
    <w:rsid w:val="005017F8"/>
    <w:rsid w:val="00501A5D"/>
    <w:rsid w:val="00501C81"/>
    <w:rsid w:val="00501CF6"/>
    <w:rsid w:val="00501F21"/>
    <w:rsid w:val="00501F68"/>
    <w:rsid w:val="00501F6F"/>
    <w:rsid w:val="00501FFE"/>
    <w:rsid w:val="00502C17"/>
    <w:rsid w:val="00502C52"/>
    <w:rsid w:val="00503344"/>
    <w:rsid w:val="00503797"/>
    <w:rsid w:val="0050390F"/>
    <w:rsid w:val="00503994"/>
    <w:rsid w:val="00503A82"/>
    <w:rsid w:val="00503AB4"/>
    <w:rsid w:val="00503C46"/>
    <w:rsid w:val="00504061"/>
    <w:rsid w:val="0050462E"/>
    <w:rsid w:val="00504A0B"/>
    <w:rsid w:val="00504B27"/>
    <w:rsid w:val="00504DE0"/>
    <w:rsid w:val="00504E91"/>
    <w:rsid w:val="00504F2E"/>
    <w:rsid w:val="00505176"/>
    <w:rsid w:val="00505210"/>
    <w:rsid w:val="00505BAE"/>
    <w:rsid w:val="00505E22"/>
    <w:rsid w:val="005060F6"/>
    <w:rsid w:val="005062FE"/>
    <w:rsid w:val="00506956"/>
    <w:rsid w:val="00506973"/>
    <w:rsid w:val="005069BD"/>
    <w:rsid w:val="00506F90"/>
    <w:rsid w:val="0050707B"/>
    <w:rsid w:val="00507243"/>
    <w:rsid w:val="005074E8"/>
    <w:rsid w:val="0050753C"/>
    <w:rsid w:val="00507B89"/>
    <w:rsid w:val="00510370"/>
    <w:rsid w:val="005105DA"/>
    <w:rsid w:val="00510FDF"/>
    <w:rsid w:val="00511267"/>
    <w:rsid w:val="005112C2"/>
    <w:rsid w:val="005112EB"/>
    <w:rsid w:val="00511662"/>
    <w:rsid w:val="005117F7"/>
    <w:rsid w:val="00511C48"/>
    <w:rsid w:val="00511CE8"/>
    <w:rsid w:val="00511D3F"/>
    <w:rsid w:val="00511D63"/>
    <w:rsid w:val="00512025"/>
    <w:rsid w:val="005127C1"/>
    <w:rsid w:val="0051299B"/>
    <w:rsid w:val="00512BD8"/>
    <w:rsid w:val="00512CC3"/>
    <w:rsid w:val="0051339F"/>
    <w:rsid w:val="00513553"/>
    <w:rsid w:val="005138B1"/>
    <w:rsid w:val="00513DC7"/>
    <w:rsid w:val="00513E6D"/>
    <w:rsid w:val="00513F21"/>
    <w:rsid w:val="00514161"/>
    <w:rsid w:val="00514559"/>
    <w:rsid w:val="00514685"/>
    <w:rsid w:val="00514A33"/>
    <w:rsid w:val="00514C12"/>
    <w:rsid w:val="00515380"/>
    <w:rsid w:val="005153F3"/>
    <w:rsid w:val="0051549E"/>
    <w:rsid w:val="005155DD"/>
    <w:rsid w:val="005155F1"/>
    <w:rsid w:val="00515B60"/>
    <w:rsid w:val="00515DC1"/>
    <w:rsid w:val="00516118"/>
    <w:rsid w:val="0051639F"/>
    <w:rsid w:val="00516782"/>
    <w:rsid w:val="00516C18"/>
    <w:rsid w:val="005171F2"/>
    <w:rsid w:val="005176CA"/>
    <w:rsid w:val="0051783F"/>
    <w:rsid w:val="00517A74"/>
    <w:rsid w:val="00517B22"/>
    <w:rsid w:val="00520091"/>
    <w:rsid w:val="00520495"/>
    <w:rsid w:val="00520530"/>
    <w:rsid w:val="005206F3"/>
    <w:rsid w:val="00520D09"/>
    <w:rsid w:val="00520FFC"/>
    <w:rsid w:val="0052116B"/>
    <w:rsid w:val="00521244"/>
    <w:rsid w:val="005213EB"/>
    <w:rsid w:val="00521758"/>
    <w:rsid w:val="00521F7D"/>
    <w:rsid w:val="00522660"/>
    <w:rsid w:val="005227A8"/>
    <w:rsid w:val="00522967"/>
    <w:rsid w:val="005235D1"/>
    <w:rsid w:val="005236C0"/>
    <w:rsid w:val="00523C7A"/>
    <w:rsid w:val="00523DCF"/>
    <w:rsid w:val="00524457"/>
    <w:rsid w:val="0052445F"/>
    <w:rsid w:val="005244E9"/>
    <w:rsid w:val="00524A7D"/>
    <w:rsid w:val="00524E4E"/>
    <w:rsid w:val="00525268"/>
    <w:rsid w:val="00525367"/>
    <w:rsid w:val="005253CA"/>
    <w:rsid w:val="005253FC"/>
    <w:rsid w:val="005256A7"/>
    <w:rsid w:val="005259C4"/>
    <w:rsid w:val="00525B2F"/>
    <w:rsid w:val="0052604A"/>
    <w:rsid w:val="005260B6"/>
    <w:rsid w:val="005260FD"/>
    <w:rsid w:val="0052638F"/>
    <w:rsid w:val="00526495"/>
    <w:rsid w:val="005269C5"/>
    <w:rsid w:val="00526A90"/>
    <w:rsid w:val="00527084"/>
    <w:rsid w:val="005270FC"/>
    <w:rsid w:val="00527486"/>
    <w:rsid w:val="0052773D"/>
    <w:rsid w:val="00527841"/>
    <w:rsid w:val="005279AE"/>
    <w:rsid w:val="00527F6D"/>
    <w:rsid w:val="00530736"/>
    <w:rsid w:val="00530C32"/>
    <w:rsid w:val="00530DB1"/>
    <w:rsid w:val="005312A7"/>
    <w:rsid w:val="00531B3F"/>
    <w:rsid w:val="00531FA2"/>
    <w:rsid w:val="00532494"/>
    <w:rsid w:val="00532B13"/>
    <w:rsid w:val="00532CB2"/>
    <w:rsid w:val="00532D10"/>
    <w:rsid w:val="00533149"/>
    <w:rsid w:val="0053371D"/>
    <w:rsid w:val="00533B84"/>
    <w:rsid w:val="00534593"/>
    <w:rsid w:val="0053498F"/>
    <w:rsid w:val="00534A1C"/>
    <w:rsid w:val="00534D7D"/>
    <w:rsid w:val="005350DC"/>
    <w:rsid w:val="00535252"/>
    <w:rsid w:val="0053539E"/>
    <w:rsid w:val="00535C83"/>
    <w:rsid w:val="00535CB4"/>
    <w:rsid w:val="00535DFF"/>
    <w:rsid w:val="00536010"/>
    <w:rsid w:val="0053606A"/>
    <w:rsid w:val="00536237"/>
    <w:rsid w:val="00536896"/>
    <w:rsid w:val="00536AD5"/>
    <w:rsid w:val="00537146"/>
    <w:rsid w:val="00537904"/>
    <w:rsid w:val="00537A77"/>
    <w:rsid w:val="00537A7E"/>
    <w:rsid w:val="00537C63"/>
    <w:rsid w:val="00540310"/>
    <w:rsid w:val="005408E1"/>
    <w:rsid w:val="00540EB6"/>
    <w:rsid w:val="00540F9D"/>
    <w:rsid w:val="0054154D"/>
    <w:rsid w:val="00541A14"/>
    <w:rsid w:val="005420F8"/>
    <w:rsid w:val="0054211F"/>
    <w:rsid w:val="005422EE"/>
    <w:rsid w:val="00542D62"/>
    <w:rsid w:val="00542E34"/>
    <w:rsid w:val="00543462"/>
    <w:rsid w:val="005435DC"/>
    <w:rsid w:val="00543834"/>
    <w:rsid w:val="0054390B"/>
    <w:rsid w:val="00543A5B"/>
    <w:rsid w:val="00543A76"/>
    <w:rsid w:val="00543F9C"/>
    <w:rsid w:val="00544300"/>
    <w:rsid w:val="00544774"/>
    <w:rsid w:val="00544BF1"/>
    <w:rsid w:val="00545290"/>
    <w:rsid w:val="00545C42"/>
    <w:rsid w:val="00545D06"/>
    <w:rsid w:val="00545DB7"/>
    <w:rsid w:val="00545DDB"/>
    <w:rsid w:val="00545F2D"/>
    <w:rsid w:val="005461AA"/>
    <w:rsid w:val="005462D0"/>
    <w:rsid w:val="00546AD0"/>
    <w:rsid w:val="00546C79"/>
    <w:rsid w:val="00546D39"/>
    <w:rsid w:val="00546F85"/>
    <w:rsid w:val="005472F3"/>
    <w:rsid w:val="00547A88"/>
    <w:rsid w:val="00547AED"/>
    <w:rsid w:val="0055000A"/>
    <w:rsid w:val="0055036C"/>
    <w:rsid w:val="0055047F"/>
    <w:rsid w:val="0055087D"/>
    <w:rsid w:val="00550AB0"/>
    <w:rsid w:val="00550C51"/>
    <w:rsid w:val="00550CBF"/>
    <w:rsid w:val="00550E84"/>
    <w:rsid w:val="00551368"/>
    <w:rsid w:val="005513AC"/>
    <w:rsid w:val="0055141A"/>
    <w:rsid w:val="0055161C"/>
    <w:rsid w:val="00551759"/>
    <w:rsid w:val="005524B0"/>
    <w:rsid w:val="00552B0F"/>
    <w:rsid w:val="00552C3B"/>
    <w:rsid w:val="00552CD2"/>
    <w:rsid w:val="00552F7C"/>
    <w:rsid w:val="00552FCC"/>
    <w:rsid w:val="0055344F"/>
    <w:rsid w:val="00553893"/>
    <w:rsid w:val="00553D16"/>
    <w:rsid w:val="00553DFB"/>
    <w:rsid w:val="00554139"/>
    <w:rsid w:val="00554316"/>
    <w:rsid w:val="00554894"/>
    <w:rsid w:val="00554A84"/>
    <w:rsid w:val="00554F08"/>
    <w:rsid w:val="00554FFD"/>
    <w:rsid w:val="005555DB"/>
    <w:rsid w:val="0055584F"/>
    <w:rsid w:val="0055587F"/>
    <w:rsid w:val="00555AE0"/>
    <w:rsid w:val="00555AEC"/>
    <w:rsid w:val="00555B16"/>
    <w:rsid w:val="00555F09"/>
    <w:rsid w:val="00556028"/>
    <w:rsid w:val="00556EFB"/>
    <w:rsid w:val="00557296"/>
    <w:rsid w:val="005577B0"/>
    <w:rsid w:val="00557B39"/>
    <w:rsid w:val="0056013B"/>
    <w:rsid w:val="00560192"/>
    <w:rsid w:val="00561241"/>
    <w:rsid w:val="0056142F"/>
    <w:rsid w:val="00561AB3"/>
    <w:rsid w:val="00562084"/>
    <w:rsid w:val="005623EA"/>
    <w:rsid w:val="005626AD"/>
    <w:rsid w:val="00562EA1"/>
    <w:rsid w:val="005630B7"/>
    <w:rsid w:val="005632E4"/>
    <w:rsid w:val="0056375B"/>
    <w:rsid w:val="00563DF2"/>
    <w:rsid w:val="00564369"/>
    <w:rsid w:val="00564B82"/>
    <w:rsid w:val="00564C58"/>
    <w:rsid w:val="00565333"/>
    <w:rsid w:val="0056574F"/>
    <w:rsid w:val="005658BD"/>
    <w:rsid w:val="00565AA0"/>
    <w:rsid w:val="00565BB7"/>
    <w:rsid w:val="00565DB9"/>
    <w:rsid w:val="0056644C"/>
    <w:rsid w:val="005669BC"/>
    <w:rsid w:val="00566AD4"/>
    <w:rsid w:val="00566D15"/>
    <w:rsid w:val="00567154"/>
    <w:rsid w:val="00567562"/>
    <w:rsid w:val="005675DF"/>
    <w:rsid w:val="005679ED"/>
    <w:rsid w:val="00567BDA"/>
    <w:rsid w:val="00567BE3"/>
    <w:rsid w:val="00567DE1"/>
    <w:rsid w:val="00570EED"/>
    <w:rsid w:val="00570F18"/>
    <w:rsid w:val="0057107A"/>
    <w:rsid w:val="0057141A"/>
    <w:rsid w:val="005716FC"/>
    <w:rsid w:val="005717F7"/>
    <w:rsid w:val="0057198F"/>
    <w:rsid w:val="00571D2A"/>
    <w:rsid w:val="00571F9E"/>
    <w:rsid w:val="00571FE8"/>
    <w:rsid w:val="005723C9"/>
    <w:rsid w:val="00572546"/>
    <w:rsid w:val="005725E3"/>
    <w:rsid w:val="005727BD"/>
    <w:rsid w:val="00572C2A"/>
    <w:rsid w:val="00572EF2"/>
    <w:rsid w:val="00573587"/>
    <w:rsid w:val="00573B54"/>
    <w:rsid w:val="00573F56"/>
    <w:rsid w:val="005744F6"/>
    <w:rsid w:val="00574B37"/>
    <w:rsid w:val="005754ED"/>
    <w:rsid w:val="00575AE0"/>
    <w:rsid w:val="00575B15"/>
    <w:rsid w:val="00575B53"/>
    <w:rsid w:val="00575CAC"/>
    <w:rsid w:val="00575DEF"/>
    <w:rsid w:val="00575F16"/>
    <w:rsid w:val="00576C5F"/>
    <w:rsid w:val="00577004"/>
    <w:rsid w:val="005771F0"/>
    <w:rsid w:val="0057740D"/>
    <w:rsid w:val="005774BA"/>
    <w:rsid w:val="005778C8"/>
    <w:rsid w:val="005778EF"/>
    <w:rsid w:val="00577A25"/>
    <w:rsid w:val="00577A7F"/>
    <w:rsid w:val="0058013F"/>
    <w:rsid w:val="005801A4"/>
    <w:rsid w:val="00580A06"/>
    <w:rsid w:val="0058131B"/>
    <w:rsid w:val="005816FA"/>
    <w:rsid w:val="005818C7"/>
    <w:rsid w:val="0058211D"/>
    <w:rsid w:val="0058248A"/>
    <w:rsid w:val="005826EA"/>
    <w:rsid w:val="0058358D"/>
    <w:rsid w:val="0058385F"/>
    <w:rsid w:val="00583A33"/>
    <w:rsid w:val="00583DAA"/>
    <w:rsid w:val="00583E24"/>
    <w:rsid w:val="00583F94"/>
    <w:rsid w:val="0058453E"/>
    <w:rsid w:val="00584619"/>
    <w:rsid w:val="00584BE4"/>
    <w:rsid w:val="00584BFC"/>
    <w:rsid w:val="005852F7"/>
    <w:rsid w:val="0058546C"/>
    <w:rsid w:val="005854C4"/>
    <w:rsid w:val="00585A79"/>
    <w:rsid w:val="00585D6F"/>
    <w:rsid w:val="005860AF"/>
    <w:rsid w:val="005867D2"/>
    <w:rsid w:val="0058687D"/>
    <w:rsid w:val="005869CB"/>
    <w:rsid w:val="005870E2"/>
    <w:rsid w:val="0058724E"/>
    <w:rsid w:val="005875A5"/>
    <w:rsid w:val="00587876"/>
    <w:rsid w:val="0058798E"/>
    <w:rsid w:val="0059013D"/>
    <w:rsid w:val="00590781"/>
    <w:rsid w:val="00590862"/>
    <w:rsid w:val="005909A8"/>
    <w:rsid w:val="00590D4E"/>
    <w:rsid w:val="00590E3D"/>
    <w:rsid w:val="005910E0"/>
    <w:rsid w:val="00591C16"/>
    <w:rsid w:val="00592808"/>
    <w:rsid w:val="00592A0D"/>
    <w:rsid w:val="00592A8E"/>
    <w:rsid w:val="00592B45"/>
    <w:rsid w:val="00593FA4"/>
    <w:rsid w:val="00594376"/>
    <w:rsid w:val="005944B6"/>
    <w:rsid w:val="00594A61"/>
    <w:rsid w:val="00594F1D"/>
    <w:rsid w:val="00594F6F"/>
    <w:rsid w:val="005953AD"/>
    <w:rsid w:val="005956B6"/>
    <w:rsid w:val="005956E3"/>
    <w:rsid w:val="00595894"/>
    <w:rsid w:val="00595996"/>
    <w:rsid w:val="00596154"/>
    <w:rsid w:val="005963CC"/>
    <w:rsid w:val="00596782"/>
    <w:rsid w:val="00596841"/>
    <w:rsid w:val="00596861"/>
    <w:rsid w:val="00596C9B"/>
    <w:rsid w:val="00596E19"/>
    <w:rsid w:val="00596E80"/>
    <w:rsid w:val="00596EDC"/>
    <w:rsid w:val="005978AA"/>
    <w:rsid w:val="0059794D"/>
    <w:rsid w:val="00597AA8"/>
    <w:rsid w:val="005A02D7"/>
    <w:rsid w:val="005A07F1"/>
    <w:rsid w:val="005A0E45"/>
    <w:rsid w:val="005A1113"/>
    <w:rsid w:val="005A1369"/>
    <w:rsid w:val="005A16FB"/>
    <w:rsid w:val="005A1986"/>
    <w:rsid w:val="005A1C71"/>
    <w:rsid w:val="005A2049"/>
    <w:rsid w:val="005A241E"/>
    <w:rsid w:val="005A27FB"/>
    <w:rsid w:val="005A28B4"/>
    <w:rsid w:val="005A2FEF"/>
    <w:rsid w:val="005A38AA"/>
    <w:rsid w:val="005A3C3C"/>
    <w:rsid w:val="005A3C9B"/>
    <w:rsid w:val="005A418F"/>
    <w:rsid w:val="005A46A3"/>
    <w:rsid w:val="005A46F6"/>
    <w:rsid w:val="005A472C"/>
    <w:rsid w:val="005A4869"/>
    <w:rsid w:val="005A4897"/>
    <w:rsid w:val="005A4A43"/>
    <w:rsid w:val="005A4C3D"/>
    <w:rsid w:val="005A4C76"/>
    <w:rsid w:val="005A51A0"/>
    <w:rsid w:val="005A5325"/>
    <w:rsid w:val="005A5557"/>
    <w:rsid w:val="005A573A"/>
    <w:rsid w:val="005A61A7"/>
    <w:rsid w:val="005A61F3"/>
    <w:rsid w:val="005A627D"/>
    <w:rsid w:val="005A69CB"/>
    <w:rsid w:val="005A6F61"/>
    <w:rsid w:val="005A6F92"/>
    <w:rsid w:val="005A6FED"/>
    <w:rsid w:val="005A70E5"/>
    <w:rsid w:val="005A7323"/>
    <w:rsid w:val="005A777A"/>
    <w:rsid w:val="005A78B2"/>
    <w:rsid w:val="005A7A57"/>
    <w:rsid w:val="005A7AA4"/>
    <w:rsid w:val="005B05E7"/>
    <w:rsid w:val="005B0AE8"/>
    <w:rsid w:val="005B0B39"/>
    <w:rsid w:val="005B10D6"/>
    <w:rsid w:val="005B10EF"/>
    <w:rsid w:val="005B13CE"/>
    <w:rsid w:val="005B166A"/>
    <w:rsid w:val="005B1A25"/>
    <w:rsid w:val="005B1B3E"/>
    <w:rsid w:val="005B1BC4"/>
    <w:rsid w:val="005B1D50"/>
    <w:rsid w:val="005B2836"/>
    <w:rsid w:val="005B2C40"/>
    <w:rsid w:val="005B2D3D"/>
    <w:rsid w:val="005B3B14"/>
    <w:rsid w:val="005B3C66"/>
    <w:rsid w:val="005B3D11"/>
    <w:rsid w:val="005B411C"/>
    <w:rsid w:val="005B4379"/>
    <w:rsid w:val="005B4BA3"/>
    <w:rsid w:val="005B4E4D"/>
    <w:rsid w:val="005B5538"/>
    <w:rsid w:val="005B5D5F"/>
    <w:rsid w:val="005B63CD"/>
    <w:rsid w:val="005B6661"/>
    <w:rsid w:val="005B668D"/>
    <w:rsid w:val="005B6894"/>
    <w:rsid w:val="005B6B61"/>
    <w:rsid w:val="005B6C18"/>
    <w:rsid w:val="005B6E5D"/>
    <w:rsid w:val="005B6ED8"/>
    <w:rsid w:val="005B6F74"/>
    <w:rsid w:val="005B6FEC"/>
    <w:rsid w:val="005B6FF5"/>
    <w:rsid w:val="005B7121"/>
    <w:rsid w:val="005B7243"/>
    <w:rsid w:val="005B779C"/>
    <w:rsid w:val="005B7B2E"/>
    <w:rsid w:val="005B7B47"/>
    <w:rsid w:val="005C01A8"/>
    <w:rsid w:val="005C06F8"/>
    <w:rsid w:val="005C0709"/>
    <w:rsid w:val="005C072C"/>
    <w:rsid w:val="005C0E15"/>
    <w:rsid w:val="005C1023"/>
    <w:rsid w:val="005C1384"/>
    <w:rsid w:val="005C13B2"/>
    <w:rsid w:val="005C147D"/>
    <w:rsid w:val="005C17A1"/>
    <w:rsid w:val="005C1815"/>
    <w:rsid w:val="005C1AEC"/>
    <w:rsid w:val="005C1FC1"/>
    <w:rsid w:val="005C27E3"/>
    <w:rsid w:val="005C33AA"/>
    <w:rsid w:val="005C37CB"/>
    <w:rsid w:val="005C3BE8"/>
    <w:rsid w:val="005C3EF8"/>
    <w:rsid w:val="005C3FE3"/>
    <w:rsid w:val="005C43CC"/>
    <w:rsid w:val="005C459C"/>
    <w:rsid w:val="005C475A"/>
    <w:rsid w:val="005C5AB2"/>
    <w:rsid w:val="005C5C95"/>
    <w:rsid w:val="005C614F"/>
    <w:rsid w:val="005C71FB"/>
    <w:rsid w:val="005C74C5"/>
    <w:rsid w:val="005C76CC"/>
    <w:rsid w:val="005C7754"/>
    <w:rsid w:val="005C7775"/>
    <w:rsid w:val="005C7FCF"/>
    <w:rsid w:val="005D02FB"/>
    <w:rsid w:val="005D1457"/>
    <w:rsid w:val="005D14B9"/>
    <w:rsid w:val="005D1A9F"/>
    <w:rsid w:val="005D1C71"/>
    <w:rsid w:val="005D1D91"/>
    <w:rsid w:val="005D28CC"/>
    <w:rsid w:val="005D292F"/>
    <w:rsid w:val="005D2A87"/>
    <w:rsid w:val="005D3264"/>
    <w:rsid w:val="005D34EA"/>
    <w:rsid w:val="005D368B"/>
    <w:rsid w:val="005D3E8E"/>
    <w:rsid w:val="005D40A9"/>
    <w:rsid w:val="005D42BD"/>
    <w:rsid w:val="005D45B5"/>
    <w:rsid w:val="005D4661"/>
    <w:rsid w:val="005D4C57"/>
    <w:rsid w:val="005D4FE1"/>
    <w:rsid w:val="005D5075"/>
    <w:rsid w:val="005D50C0"/>
    <w:rsid w:val="005D52FA"/>
    <w:rsid w:val="005D5403"/>
    <w:rsid w:val="005D5AA3"/>
    <w:rsid w:val="005D5ACA"/>
    <w:rsid w:val="005D600F"/>
    <w:rsid w:val="005D6013"/>
    <w:rsid w:val="005D6612"/>
    <w:rsid w:val="005D66F5"/>
    <w:rsid w:val="005D697E"/>
    <w:rsid w:val="005D7088"/>
    <w:rsid w:val="005D724B"/>
    <w:rsid w:val="005D76AE"/>
    <w:rsid w:val="005D76DE"/>
    <w:rsid w:val="005D7713"/>
    <w:rsid w:val="005D777B"/>
    <w:rsid w:val="005D77DE"/>
    <w:rsid w:val="005D7D29"/>
    <w:rsid w:val="005D7EBF"/>
    <w:rsid w:val="005E05A1"/>
    <w:rsid w:val="005E083A"/>
    <w:rsid w:val="005E09E4"/>
    <w:rsid w:val="005E0D78"/>
    <w:rsid w:val="005E101C"/>
    <w:rsid w:val="005E1726"/>
    <w:rsid w:val="005E1EC4"/>
    <w:rsid w:val="005E235A"/>
    <w:rsid w:val="005E2513"/>
    <w:rsid w:val="005E25C0"/>
    <w:rsid w:val="005E266F"/>
    <w:rsid w:val="005E2BCF"/>
    <w:rsid w:val="005E2FA1"/>
    <w:rsid w:val="005E38DE"/>
    <w:rsid w:val="005E3B4C"/>
    <w:rsid w:val="005E3F34"/>
    <w:rsid w:val="005E421C"/>
    <w:rsid w:val="005E4241"/>
    <w:rsid w:val="005E4EF0"/>
    <w:rsid w:val="005E50E8"/>
    <w:rsid w:val="005E5734"/>
    <w:rsid w:val="005E5741"/>
    <w:rsid w:val="005E5EC3"/>
    <w:rsid w:val="005E602B"/>
    <w:rsid w:val="005E6150"/>
    <w:rsid w:val="005E61B6"/>
    <w:rsid w:val="005E6487"/>
    <w:rsid w:val="005E651F"/>
    <w:rsid w:val="005E664C"/>
    <w:rsid w:val="005E6971"/>
    <w:rsid w:val="005E6D4E"/>
    <w:rsid w:val="005E73CE"/>
    <w:rsid w:val="005E77E3"/>
    <w:rsid w:val="005F0616"/>
    <w:rsid w:val="005F0727"/>
    <w:rsid w:val="005F07DC"/>
    <w:rsid w:val="005F0C34"/>
    <w:rsid w:val="005F0EAB"/>
    <w:rsid w:val="005F0FB4"/>
    <w:rsid w:val="005F13BD"/>
    <w:rsid w:val="005F1859"/>
    <w:rsid w:val="005F1AC8"/>
    <w:rsid w:val="005F1B25"/>
    <w:rsid w:val="005F21AF"/>
    <w:rsid w:val="005F21FB"/>
    <w:rsid w:val="005F257C"/>
    <w:rsid w:val="005F25E2"/>
    <w:rsid w:val="005F27E3"/>
    <w:rsid w:val="005F2B4F"/>
    <w:rsid w:val="005F347F"/>
    <w:rsid w:val="005F35AA"/>
    <w:rsid w:val="005F38CE"/>
    <w:rsid w:val="005F40DE"/>
    <w:rsid w:val="005F4421"/>
    <w:rsid w:val="005F4927"/>
    <w:rsid w:val="005F49F4"/>
    <w:rsid w:val="005F4ABD"/>
    <w:rsid w:val="005F4B7D"/>
    <w:rsid w:val="005F4D34"/>
    <w:rsid w:val="005F4DB6"/>
    <w:rsid w:val="005F4E65"/>
    <w:rsid w:val="005F4F77"/>
    <w:rsid w:val="005F557D"/>
    <w:rsid w:val="005F56F3"/>
    <w:rsid w:val="005F59E5"/>
    <w:rsid w:val="005F5A0F"/>
    <w:rsid w:val="005F5EDF"/>
    <w:rsid w:val="005F6035"/>
    <w:rsid w:val="005F61C5"/>
    <w:rsid w:val="005F63D8"/>
    <w:rsid w:val="005F64FB"/>
    <w:rsid w:val="005F67EC"/>
    <w:rsid w:val="005F6A3F"/>
    <w:rsid w:val="005F6BBB"/>
    <w:rsid w:val="005F6C45"/>
    <w:rsid w:val="005F71EC"/>
    <w:rsid w:val="005F789F"/>
    <w:rsid w:val="006000CD"/>
    <w:rsid w:val="006000FB"/>
    <w:rsid w:val="00600265"/>
    <w:rsid w:val="006006E4"/>
    <w:rsid w:val="00600754"/>
    <w:rsid w:val="0060119A"/>
    <w:rsid w:val="006022D0"/>
    <w:rsid w:val="0060251E"/>
    <w:rsid w:val="00602A68"/>
    <w:rsid w:val="00602DDE"/>
    <w:rsid w:val="00602E0C"/>
    <w:rsid w:val="0060339B"/>
    <w:rsid w:val="00603552"/>
    <w:rsid w:val="006046E4"/>
    <w:rsid w:val="00604BC5"/>
    <w:rsid w:val="00604D85"/>
    <w:rsid w:val="00605037"/>
    <w:rsid w:val="0060577C"/>
    <w:rsid w:val="006058B4"/>
    <w:rsid w:val="006059B6"/>
    <w:rsid w:val="00605E04"/>
    <w:rsid w:val="00605E0D"/>
    <w:rsid w:val="00605FFE"/>
    <w:rsid w:val="006063F2"/>
    <w:rsid w:val="0060650C"/>
    <w:rsid w:val="00606B37"/>
    <w:rsid w:val="00606FF6"/>
    <w:rsid w:val="00607252"/>
    <w:rsid w:val="00607624"/>
    <w:rsid w:val="00607C2E"/>
    <w:rsid w:val="00610137"/>
    <w:rsid w:val="0061038C"/>
    <w:rsid w:val="006106C1"/>
    <w:rsid w:val="006106F4"/>
    <w:rsid w:val="00610B28"/>
    <w:rsid w:val="00610F52"/>
    <w:rsid w:val="0061124A"/>
    <w:rsid w:val="006112D0"/>
    <w:rsid w:val="0061167D"/>
    <w:rsid w:val="0061169D"/>
    <w:rsid w:val="00611737"/>
    <w:rsid w:val="00611752"/>
    <w:rsid w:val="00611B07"/>
    <w:rsid w:val="00611C1D"/>
    <w:rsid w:val="00611C60"/>
    <w:rsid w:val="00611F0D"/>
    <w:rsid w:val="00612019"/>
    <w:rsid w:val="00612388"/>
    <w:rsid w:val="00612904"/>
    <w:rsid w:val="00612A08"/>
    <w:rsid w:val="00612E32"/>
    <w:rsid w:val="00612FDD"/>
    <w:rsid w:val="006133A6"/>
    <w:rsid w:val="006134CA"/>
    <w:rsid w:val="006136FB"/>
    <w:rsid w:val="00613846"/>
    <w:rsid w:val="00613ECE"/>
    <w:rsid w:val="0061461E"/>
    <w:rsid w:val="00614646"/>
    <w:rsid w:val="006148C3"/>
    <w:rsid w:val="0061494C"/>
    <w:rsid w:val="00614978"/>
    <w:rsid w:val="00614B35"/>
    <w:rsid w:val="00614DE8"/>
    <w:rsid w:val="006152D6"/>
    <w:rsid w:val="006154EE"/>
    <w:rsid w:val="00615A35"/>
    <w:rsid w:val="006165A9"/>
    <w:rsid w:val="00616755"/>
    <w:rsid w:val="00616B8C"/>
    <w:rsid w:val="00616BC0"/>
    <w:rsid w:val="00617108"/>
    <w:rsid w:val="00617211"/>
    <w:rsid w:val="00617264"/>
    <w:rsid w:val="0061750E"/>
    <w:rsid w:val="006175A7"/>
    <w:rsid w:val="00617652"/>
    <w:rsid w:val="0061784D"/>
    <w:rsid w:val="00617B8B"/>
    <w:rsid w:val="00617C18"/>
    <w:rsid w:val="00617C50"/>
    <w:rsid w:val="00617F79"/>
    <w:rsid w:val="00620231"/>
    <w:rsid w:val="006207B2"/>
    <w:rsid w:val="006207ED"/>
    <w:rsid w:val="00620AFF"/>
    <w:rsid w:val="00620B98"/>
    <w:rsid w:val="0062140E"/>
    <w:rsid w:val="00622143"/>
    <w:rsid w:val="00622388"/>
    <w:rsid w:val="00622669"/>
    <w:rsid w:val="0062286A"/>
    <w:rsid w:val="00622B1A"/>
    <w:rsid w:val="00622E0B"/>
    <w:rsid w:val="00622EFD"/>
    <w:rsid w:val="00622FE1"/>
    <w:rsid w:val="006230E8"/>
    <w:rsid w:val="0062325B"/>
    <w:rsid w:val="00623438"/>
    <w:rsid w:val="006237DE"/>
    <w:rsid w:val="00623960"/>
    <w:rsid w:val="006240FF"/>
    <w:rsid w:val="0062416C"/>
    <w:rsid w:val="006241BC"/>
    <w:rsid w:val="00624470"/>
    <w:rsid w:val="00624510"/>
    <w:rsid w:val="0062488E"/>
    <w:rsid w:val="006249B1"/>
    <w:rsid w:val="00624CAC"/>
    <w:rsid w:val="00624F37"/>
    <w:rsid w:val="00624F4E"/>
    <w:rsid w:val="00624F7C"/>
    <w:rsid w:val="006253B7"/>
    <w:rsid w:val="00625C1A"/>
    <w:rsid w:val="00625C77"/>
    <w:rsid w:val="00625CE5"/>
    <w:rsid w:val="00625EE9"/>
    <w:rsid w:val="00626071"/>
    <w:rsid w:val="00626216"/>
    <w:rsid w:val="00626652"/>
    <w:rsid w:val="006267E9"/>
    <w:rsid w:val="00626C37"/>
    <w:rsid w:val="00626C39"/>
    <w:rsid w:val="00626F07"/>
    <w:rsid w:val="00626FCF"/>
    <w:rsid w:val="0062707D"/>
    <w:rsid w:val="006274F5"/>
    <w:rsid w:val="00630256"/>
    <w:rsid w:val="0063071F"/>
    <w:rsid w:val="0063075D"/>
    <w:rsid w:val="006309D8"/>
    <w:rsid w:val="00630C5E"/>
    <w:rsid w:val="00630CFB"/>
    <w:rsid w:val="00631655"/>
    <w:rsid w:val="00631873"/>
    <w:rsid w:val="00631891"/>
    <w:rsid w:val="006318C0"/>
    <w:rsid w:val="00631BCE"/>
    <w:rsid w:val="00631C0F"/>
    <w:rsid w:val="00631E00"/>
    <w:rsid w:val="00631E43"/>
    <w:rsid w:val="00632111"/>
    <w:rsid w:val="00632459"/>
    <w:rsid w:val="0063251C"/>
    <w:rsid w:val="006326DF"/>
    <w:rsid w:val="006327CF"/>
    <w:rsid w:val="00632B0E"/>
    <w:rsid w:val="00632E50"/>
    <w:rsid w:val="00632FD8"/>
    <w:rsid w:val="0063361C"/>
    <w:rsid w:val="00633C36"/>
    <w:rsid w:val="00633C83"/>
    <w:rsid w:val="0063426D"/>
    <w:rsid w:val="0063440B"/>
    <w:rsid w:val="0063461D"/>
    <w:rsid w:val="006347E7"/>
    <w:rsid w:val="006347F4"/>
    <w:rsid w:val="00634826"/>
    <w:rsid w:val="00634AA9"/>
    <w:rsid w:val="00634B42"/>
    <w:rsid w:val="00634D4F"/>
    <w:rsid w:val="00634D53"/>
    <w:rsid w:val="00635027"/>
    <w:rsid w:val="00635560"/>
    <w:rsid w:val="006355C4"/>
    <w:rsid w:val="00635CB0"/>
    <w:rsid w:val="00636486"/>
    <w:rsid w:val="0063660C"/>
    <w:rsid w:val="00636664"/>
    <w:rsid w:val="00636694"/>
    <w:rsid w:val="00636EBB"/>
    <w:rsid w:val="00637170"/>
    <w:rsid w:val="00637208"/>
    <w:rsid w:val="006374E0"/>
    <w:rsid w:val="00637764"/>
    <w:rsid w:val="0063793B"/>
    <w:rsid w:val="00637C38"/>
    <w:rsid w:val="00637CBA"/>
    <w:rsid w:val="00640576"/>
    <w:rsid w:val="0064059A"/>
    <w:rsid w:val="00640962"/>
    <w:rsid w:val="00640AC5"/>
    <w:rsid w:val="0064126C"/>
    <w:rsid w:val="006413AA"/>
    <w:rsid w:val="006416D2"/>
    <w:rsid w:val="00641A83"/>
    <w:rsid w:val="00641D62"/>
    <w:rsid w:val="00641D96"/>
    <w:rsid w:val="006423AA"/>
    <w:rsid w:val="006424C8"/>
    <w:rsid w:val="00642E37"/>
    <w:rsid w:val="00642F08"/>
    <w:rsid w:val="0064319B"/>
    <w:rsid w:val="00643AF4"/>
    <w:rsid w:val="00643E35"/>
    <w:rsid w:val="00644178"/>
    <w:rsid w:val="006441F6"/>
    <w:rsid w:val="0064422A"/>
    <w:rsid w:val="00644A7B"/>
    <w:rsid w:val="00644D3A"/>
    <w:rsid w:val="00644DE9"/>
    <w:rsid w:val="00644FC4"/>
    <w:rsid w:val="00644FEB"/>
    <w:rsid w:val="0064516B"/>
    <w:rsid w:val="006455AF"/>
    <w:rsid w:val="00645BDE"/>
    <w:rsid w:val="00645E59"/>
    <w:rsid w:val="00645F5B"/>
    <w:rsid w:val="006465C3"/>
    <w:rsid w:val="0064669D"/>
    <w:rsid w:val="00646AA7"/>
    <w:rsid w:val="00646C6F"/>
    <w:rsid w:val="006470C4"/>
    <w:rsid w:val="00647163"/>
    <w:rsid w:val="0064720C"/>
    <w:rsid w:val="0064722E"/>
    <w:rsid w:val="006478DF"/>
    <w:rsid w:val="00647A7F"/>
    <w:rsid w:val="00650941"/>
    <w:rsid w:val="00650C28"/>
    <w:rsid w:val="00650E6D"/>
    <w:rsid w:val="006510CE"/>
    <w:rsid w:val="006512D6"/>
    <w:rsid w:val="00651812"/>
    <w:rsid w:val="0065196B"/>
    <w:rsid w:val="00651BBB"/>
    <w:rsid w:val="00651C59"/>
    <w:rsid w:val="00651D74"/>
    <w:rsid w:val="00652880"/>
    <w:rsid w:val="00652C3A"/>
    <w:rsid w:val="00652DB7"/>
    <w:rsid w:val="00652FCE"/>
    <w:rsid w:val="0065394F"/>
    <w:rsid w:val="00653B1B"/>
    <w:rsid w:val="006540A8"/>
    <w:rsid w:val="006541F5"/>
    <w:rsid w:val="006543BA"/>
    <w:rsid w:val="00654926"/>
    <w:rsid w:val="00654D72"/>
    <w:rsid w:val="006553F3"/>
    <w:rsid w:val="006556D1"/>
    <w:rsid w:val="006556D9"/>
    <w:rsid w:val="00655AEE"/>
    <w:rsid w:val="00655BB2"/>
    <w:rsid w:val="0065607A"/>
    <w:rsid w:val="006564CB"/>
    <w:rsid w:val="006565F7"/>
    <w:rsid w:val="006566BF"/>
    <w:rsid w:val="00656CDB"/>
    <w:rsid w:val="00656DA0"/>
    <w:rsid w:val="00657123"/>
    <w:rsid w:val="00657189"/>
    <w:rsid w:val="0065724E"/>
    <w:rsid w:val="006576EC"/>
    <w:rsid w:val="00657F90"/>
    <w:rsid w:val="006600DB"/>
    <w:rsid w:val="006613C0"/>
    <w:rsid w:val="0066194E"/>
    <w:rsid w:val="00661C46"/>
    <w:rsid w:val="00661FF5"/>
    <w:rsid w:val="0066202F"/>
    <w:rsid w:val="006622A8"/>
    <w:rsid w:val="006626BE"/>
    <w:rsid w:val="006630FC"/>
    <w:rsid w:val="00663147"/>
    <w:rsid w:val="00663344"/>
    <w:rsid w:val="00663C93"/>
    <w:rsid w:val="00663DFB"/>
    <w:rsid w:val="00664416"/>
    <w:rsid w:val="006644E1"/>
    <w:rsid w:val="006645EC"/>
    <w:rsid w:val="00664642"/>
    <w:rsid w:val="00664674"/>
    <w:rsid w:val="00664C0C"/>
    <w:rsid w:val="0066506E"/>
    <w:rsid w:val="006652D3"/>
    <w:rsid w:val="0066540D"/>
    <w:rsid w:val="006656D9"/>
    <w:rsid w:val="00665888"/>
    <w:rsid w:val="00666CBE"/>
    <w:rsid w:val="00667409"/>
    <w:rsid w:val="00667B46"/>
    <w:rsid w:val="00667B59"/>
    <w:rsid w:val="00667BC6"/>
    <w:rsid w:val="00667C3E"/>
    <w:rsid w:val="00667CF3"/>
    <w:rsid w:val="00667F94"/>
    <w:rsid w:val="00670380"/>
    <w:rsid w:val="0067050A"/>
    <w:rsid w:val="006705D5"/>
    <w:rsid w:val="006706B5"/>
    <w:rsid w:val="00670722"/>
    <w:rsid w:val="00670C07"/>
    <w:rsid w:val="00670F72"/>
    <w:rsid w:val="00670F81"/>
    <w:rsid w:val="00671047"/>
    <w:rsid w:val="0067158A"/>
    <w:rsid w:val="00671738"/>
    <w:rsid w:val="006719B2"/>
    <w:rsid w:val="00671FF4"/>
    <w:rsid w:val="00672C45"/>
    <w:rsid w:val="00672F79"/>
    <w:rsid w:val="0067319C"/>
    <w:rsid w:val="00673DC1"/>
    <w:rsid w:val="00673F42"/>
    <w:rsid w:val="00674042"/>
    <w:rsid w:val="006744B2"/>
    <w:rsid w:val="00674D58"/>
    <w:rsid w:val="006758C9"/>
    <w:rsid w:val="00675A5F"/>
    <w:rsid w:val="006764BC"/>
    <w:rsid w:val="006769C4"/>
    <w:rsid w:val="00676C6F"/>
    <w:rsid w:val="00677456"/>
    <w:rsid w:val="006774B0"/>
    <w:rsid w:val="00677627"/>
    <w:rsid w:val="006776C7"/>
    <w:rsid w:val="00677743"/>
    <w:rsid w:val="00677A67"/>
    <w:rsid w:val="00677A87"/>
    <w:rsid w:val="00677BD5"/>
    <w:rsid w:val="00677E3C"/>
    <w:rsid w:val="0068025E"/>
    <w:rsid w:val="0068051B"/>
    <w:rsid w:val="006805D9"/>
    <w:rsid w:val="00680912"/>
    <w:rsid w:val="00680E8B"/>
    <w:rsid w:val="0068150F"/>
    <w:rsid w:val="006818D0"/>
    <w:rsid w:val="006819A3"/>
    <w:rsid w:val="00681D51"/>
    <w:rsid w:val="00681E2F"/>
    <w:rsid w:val="00682129"/>
    <w:rsid w:val="0068266C"/>
    <w:rsid w:val="00682E55"/>
    <w:rsid w:val="0068340E"/>
    <w:rsid w:val="00683528"/>
    <w:rsid w:val="00683722"/>
    <w:rsid w:val="00683D2F"/>
    <w:rsid w:val="00684044"/>
    <w:rsid w:val="006840B2"/>
    <w:rsid w:val="006843F6"/>
    <w:rsid w:val="0068491F"/>
    <w:rsid w:val="00684F4C"/>
    <w:rsid w:val="006851A2"/>
    <w:rsid w:val="0068563E"/>
    <w:rsid w:val="00685975"/>
    <w:rsid w:val="00685DE4"/>
    <w:rsid w:val="00686118"/>
    <w:rsid w:val="006861C0"/>
    <w:rsid w:val="00686596"/>
    <w:rsid w:val="00686CC2"/>
    <w:rsid w:val="00686F00"/>
    <w:rsid w:val="00687C97"/>
    <w:rsid w:val="00687D5A"/>
    <w:rsid w:val="00690324"/>
    <w:rsid w:val="006904C2"/>
    <w:rsid w:val="006904DD"/>
    <w:rsid w:val="00690524"/>
    <w:rsid w:val="00690E71"/>
    <w:rsid w:val="006911C8"/>
    <w:rsid w:val="00691459"/>
    <w:rsid w:val="00692D12"/>
    <w:rsid w:val="00693137"/>
    <w:rsid w:val="00693531"/>
    <w:rsid w:val="00693842"/>
    <w:rsid w:val="00693888"/>
    <w:rsid w:val="00693C87"/>
    <w:rsid w:val="00693D3E"/>
    <w:rsid w:val="0069457A"/>
    <w:rsid w:val="006949A7"/>
    <w:rsid w:val="00694B65"/>
    <w:rsid w:val="00694C69"/>
    <w:rsid w:val="00694D53"/>
    <w:rsid w:val="00694E58"/>
    <w:rsid w:val="00694FD4"/>
    <w:rsid w:val="006951CE"/>
    <w:rsid w:val="006951E5"/>
    <w:rsid w:val="006951FF"/>
    <w:rsid w:val="00695B5A"/>
    <w:rsid w:val="00695D1E"/>
    <w:rsid w:val="00695FCA"/>
    <w:rsid w:val="00696335"/>
    <w:rsid w:val="00696A4D"/>
    <w:rsid w:val="00696C70"/>
    <w:rsid w:val="00697AC9"/>
    <w:rsid w:val="00697D19"/>
    <w:rsid w:val="006A0052"/>
    <w:rsid w:val="006A05C7"/>
    <w:rsid w:val="006A08CA"/>
    <w:rsid w:val="006A0E43"/>
    <w:rsid w:val="006A102D"/>
    <w:rsid w:val="006A11E4"/>
    <w:rsid w:val="006A15CF"/>
    <w:rsid w:val="006A16F0"/>
    <w:rsid w:val="006A20A4"/>
    <w:rsid w:val="006A29FF"/>
    <w:rsid w:val="006A2AB9"/>
    <w:rsid w:val="006A2DB4"/>
    <w:rsid w:val="006A350E"/>
    <w:rsid w:val="006A414D"/>
    <w:rsid w:val="006A41F8"/>
    <w:rsid w:val="006A42A5"/>
    <w:rsid w:val="006A451E"/>
    <w:rsid w:val="006A45BB"/>
    <w:rsid w:val="006A4E52"/>
    <w:rsid w:val="006A4FC8"/>
    <w:rsid w:val="006A50F1"/>
    <w:rsid w:val="006A517B"/>
    <w:rsid w:val="006A55E1"/>
    <w:rsid w:val="006A603D"/>
    <w:rsid w:val="006A607B"/>
    <w:rsid w:val="006A61EC"/>
    <w:rsid w:val="006A6296"/>
    <w:rsid w:val="006A6E27"/>
    <w:rsid w:val="006A6EAC"/>
    <w:rsid w:val="006A6FB8"/>
    <w:rsid w:val="006A72B0"/>
    <w:rsid w:val="006A74E5"/>
    <w:rsid w:val="006A7AB4"/>
    <w:rsid w:val="006B02C4"/>
    <w:rsid w:val="006B04FE"/>
    <w:rsid w:val="006B05D4"/>
    <w:rsid w:val="006B075C"/>
    <w:rsid w:val="006B0856"/>
    <w:rsid w:val="006B0894"/>
    <w:rsid w:val="006B18C5"/>
    <w:rsid w:val="006B1932"/>
    <w:rsid w:val="006B1B85"/>
    <w:rsid w:val="006B1F47"/>
    <w:rsid w:val="006B1FDA"/>
    <w:rsid w:val="006B31FC"/>
    <w:rsid w:val="006B36AE"/>
    <w:rsid w:val="006B3980"/>
    <w:rsid w:val="006B3E4D"/>
    <w:rsid w:val="006B417B"/>
    <w:rsid w:val="006B4449"/>
    <w:rsid w:val="006B474F"/>
    <w:rsid w:val="006B4C0C"/>
    <w:rsid w:val="006B4EAB"/>
    <w:rsid w:val="006B5091"/>
    <w:rsid w:val="006B50B8"/>
    <w:rsid w:val="006B50F9"/>
    <w:rsid w:val="006B5756"/>
    <w:rsid w:val="006B5A61"/>
    <w:rsid w:val="006B5C4C"/>
    <w:rsid w:val="006B5D79"/>
    <w:rsid w:val="006B5FBC"/>
    <w:rsid w:val="006B64E8"/>
    <w:rsid w:val="006B654C"/>
    <w:rsid w:val="006B6AEF"/>
    <w:rsid w:val="006B6DA1"/>
    <w:rsid w:val="006B76C2"/>
    <w:rsid w:val="006B7877"/>
    <w:rsid w:val="006B7CBC"/>
    <w:rsid w:val="006C02CD"/>
    <w:rsid w:val="006C06A9"/>
    <w:rsid w:val="006C132E"/>
    <w:rsid w:val="006C13A3"/>
    <w:rsid w:val="006C157B"/>
    <w:rsid w:val="006C1822"/>
    <w:rsid w:val="006C21F1"/>
    <w:rsid w:val="006C2ABA"/>
    <w:rsid w:val="006C2B59"/>
    <w:rsid w:val="006C2C86"/>
    <w:rsid w:val="006C2C8B"/>
    <w:rsid w:val="006C2D1A"/>
    <w:rsid w:val="006C34A1"/>
    <w:rsid w:val="006C3686"/>
    <w:rsid w:val="006C38EF"/>
    <w:rsid w:val="006C3BCF"/>
    <w:rsid w:val="006C3BEF"/>
    <w:rsid w:val="006C3EBC"/>
    <w:rsid w:val="006C4043"/>
    <w:rsid w:val="006C41C1"/>
    <w:rsid w:val="006C41ED"/>
    <w:rsid w:val="006C43FB"/>
    <w:rsid w:val="006C4950"/>
    <w:rsid w:val="006C49AF"/>
    <w:rsid w:val="006C4F0A"/>
    <w:rsid w:val="006C52B9"/>
    <w:rsid w:val="006C559A"/>
    <w:rsid w:val="006C58E3"/>
    <w:rsid w:val="006C5A8D"/>
    <w:rsid w:val="006C5CDD"/>
    <w:rsid w:val="006C5D0C"/>
    <w:rsid w:val="006C6346"/>
    <w:rsid w:val="006C6ED1"/>
    <w:rsid w:val="006C6F68"/>
    <w:rsid w:val="006C7FB8"/>
    <w:rsid w:val="006C7FF1"/>
    <w:rsid w:val="006D02AA"/>
    <w:rsid w:val="006D0F89"/>
    <w:rsid w:val="006D1A50"/>
    <w:rsid w:val="006D1DFE"/>
    <w:rsid w:val="006D20A4"/>
    <w:rsid w:val="006D2560"/>
    <w:rsid w:val="006D328B"/>
    <w:rsid w:val="006D33DC"/>
    <w:rsid w:val="006D3620"/>
    <w:rsid w:val="006D41CE"/>
    <w:rsid w:val="006D460E"/>
    <w:rsid w:val="006D472A"/>
    <w:rsid w:val="006D4CA2"/>
    <w:rsid w:val="006D5176"/>
    <w:rsid w:val="006D5201"/>
    <w:rsid w:val="006D5313"/>
    <w:rsid w:val="006D535C"/>
    <w:rsid w:val="006D5510"/>
    <w:rsid w:val="006D55C0"/>
    <w:rsid w:val="006D5820"/>
    <w:rsid w:val="006D5886"/>
    <w:rsid w:val="006D5F9A"/>
    <w:rsid w:val="006D6703"/>
    <w:rsid w:val="006D6944"/>
    <w:rsid w:val="006D6989"/>
    <w:rsid w:val="006D6F24"/>
    <w:rsid w:val="006D74ED"/>
    <w:rsid w:val="006D78EB"/>
    <w:rsid w:val="006D7C6D"/>
    <w:rsid w:val="006E058C"/>
    <w:rsid w:val="006E0922"/>
    <w:rsid w:val="006E0B0D"/>
    <w:rsid w:val="006E0ED9"/>
    <w:rsid w:val="006E0EF4"/>
    <w:rsid w:val="006E0F5D"/>
    <w:rsid w:val="006E0FA4"/>
    <w:rsid w:val="006E13A6"/>
    <w:rsid w:val="006E13C3"/>
    <w:rsid w:val="006E1629"/>
    <w:rsid w:val="006E16F2"/>
    <w:rsid w:val="006E2008"/>
    <w:rsid w:val="006E2429"/>
    <w:rsid w:val="006E2656"/>
    <w:rsid w:val="006E28FF"/>
    <w:rsid w:val="006E2BB3"/>
    <w:rsid w:val="006E358B"/>
    <w:rsid w:val="006E3848"/>
    <w:rsid w:val="006E38A2"/>
    <w:rsid w:val="006E3A5C"/>
    <w:rsid w:val="006E3D01"/>
    <w:rsid w:val="006E3DA4"/>
    <w:rsid w:val="006E4021"/>
    <w:rsid w:val="006E402D"/>
    <w:rsid w:val="006E42CD"/>
    <w:rsid w:val="006E4654"/>
    <w:rsid w:val="006E4690"/>
    <w:rsid w:val="006E48EE"/>
    <w:rsid w:val="006E4A43"/>
    <w:rsid w:val="006E4B4C"/>
    <w:rsid w:val="006E50E1"/>
    <w:rsid w:val="006E5147"/>
    <w:rsid w:val="006E5269"/>
    <w:rsid w:val="006E5934"/>
    <w:rsid w:val="006E5BC2"/>
    <w:rsid w:val="006E5F40"/>
    <w:rsid w:val="006E6779"/>
    <w:rsid w:val="006E6BC2"/>
    <w:rsid w:val="006E6CE7"/>
    <w:rsid w:val="006E744A"/>
    <w:rsid w:val="006E77A5"/>
    <w:rsid w:val="006E77BB"/>
    <w:rsid w:val="006E780C"/>
    <w:rsid w:val="006E7BD2"/>
    <w:rsid w:val="006E7EF3"/>
    <w:rsid w:val="006E7FB6"/>
    <w:rsid w:val="006F020F"/>
    <w:rsid w:val="006F061C"/>
    <w:rsid w:val="006F0800"/>
    <w:rsid w:val="006F08FA"/>
    <w:rsid w:val="006F0A30"/>
    <w:rsid w:val="006F1024"/>
    <w:rsid w:val="006F129F"/>
    <w:rsid w:val="006F13E0"/>
    <w:rsid w:val="006F1488"/>
    <w:rsid w:val="006F1F36"/>
    <w:rsid w:val="006F263B"/>
    <w:rsid w:val="006F26B4"/>
    <w:rsid w:val="006F2A0D"/>
    <w:rsid w:val="006F2D0A"/>
    <w:rsid w:val="006F2D7F"/>
    <w:rsid w:val="006F317B"/>
    <w:rsid w:val="006F319D"/>
    <w:rsid w:val="006F3549"/>
    <w:rsid w:val="006F3ABE"/>
    <w:rsid w:val="006F3C1F"/>
    <w:rsid w:val="006F41F0"/>
    <w:rsid w:val="006F45A4"/>
    <w:rsid w:val="006F474D"/>
    <w:rsid w:val="006F4C65"/>
    <w:rsid w:val="006F4CC9"/>
    <w:rsid w:val="006F4FB4"/>
    <w:rsid w:val="006F5A7C"/>
    <w:rsid w:val="006F5CC2"/>
    <w:rsid w:val="006F6303"/>
    <w:rsid w:val="006F6316"/>
    <w:rsid w:val="006F65A2"/>
    <w:rsid w:val="006F6885"/>
    <w:rsid w:val="006F6C31"/>
    <w:rsid w:val="006F74B5"/>
    <w:rsid w:val="006F7A56"/>
    <w:rsid w:val="006F7DEF"/>
    <w:rsid w:val="00700CF2"/>
    <w:rsid w:val="00700F78"/>
    <w:rsid w:val="007011CC"/>
    <w:rsid w:val="0070150E"/>
    <w:rsid w:val="007016DD"/>
    <w:rsid w:val="00701735"/>
    <w:rsid w:val="00701CC3"/>
    <w:rsid w:val="00702381"/>
    <w:rsid w:val="007024CB"/>
    <w:rsid w:val="007024FB"/>
    <w:rsid w:val="00702577"/>
    <w:rsid w:val="00702F8D"/>
    <w:rsid w:val="00703238"/>
    <w:rsid w:val="00703253"/>
    <w:rsid w:val="007032EF"/>
    <w:rsid w:val="00703F05"/>
    <w:rsid w:val="00704276"/>
    <w:rsid w:val="007043D6"/>
    <w:rsid w:val="00704788"/>
    <w:rsid w:val="00704C5B"/>
    <w:rsid w:val="00705212"/>
    <w:rsid w:val="007055E4"/>
    <w:rsid w:val="00705DB8"/>
    <w:rsid w:val="00705F50"/>
    <w:rsid w:val="0070625C"/>
    <w:rsid w:val="0070633E"/>
    <w:rsid w:val="007066F3"/>
    <w:rsid w:val="00706929"/>
    <w:rsid w:val="00706C8C"/>
    <w:rsid w:val="0070734A"/>
    <w:rsid w:val="0070746A"/>
    <w:rsid w:val="0070748A"/>
    <w:rsid w:val="007076A2"/>
    <w:rsid w:val="00707A4C"/>
    <w:rsid w:val="00707A98"/>
    <w:rsid w:val="00707E5B"/>
    <w:rsid w:val="00707FE1"/>
    <w:rsid w:val="00710349"/>
    <w:rsid w:val="0071035A"/>
    <w:rsid w:val="0071049B"/>
    <w:rsid w:val="00711412"/>
    <w:rsid w:val="00711738"/>
    <w:rsid w:val="0071179B"/>
    <w:rsid w:val="00711C71"/>
    <w:rsid w:val="00711D57"/>
    <w:rsid w:val="00713225"/>
    <w:rsid w:val="00713B79"/>
    <w:rsid w:val="00713BB3"/>
    <w:rsid w:val="007140E8"/>
    <w:rsid w:val="007141F4"/>
    <w:rsid w:val="00714824"/>
    <w:rsid w:val="00714972"/>
    <w:rsid w:val="00714F97"/>
    <w:rsid w:val="0071529D"/>
    <w:rsid w:val="0071548F"/>
    <w:rsid w:val="0071682C"/>
    <w:rsid w:val="00716FE6"/>
    <w:rsid w:val="0071717E"/>
    <w:rsid w:val="007171E9"/>
    <w:rsid w:val="007175A7"/>
    <w:rsid w:val="00717B3E"/>
    <w:rsid w:val="00720232"/>
    <w:rsid w:val="007205E1"/>
    <w:rsid w:val="0072095F"/>
    <w:rsid w:val="0072108E"/>
    <w:rsid w:val="007215E5"/>
    <w:rsid w:val="007216B7"/>
    <w:rsid w:val="00721767"/>
    <w:rsid w:val="00721826"/>
    <w:rsid w:val="00721A20"/>
    <w:rsid w:val="00721C77"/>
    <w:rsid w:val="007223D1"/>
    <w:rsid w:val="0072299A"/>
    <w:rsid w:val="00722B70"/>
    <w:rsid w:val="00722D6F"/>
    <w:rsid w:val="00723062"/>
    <w:rsid w:val="007231DD"/>
    <w:rsid w:val="00723770"/>
    <w:rsid w:val="007241BE"/>
    <w:rsid w:val="007245AF"/>
    <w:rsid w:val="00724786"/>
    <w:rsid w:val="00724AEE"/>
    <w:rsid w:val="0072512A"/>
    <w:rsid w:val="00725356"/>
    <w:rsid w:val="007258FB"/>
    <w:rsid w:val="00725966"/>
    <w:rsid w:val="007261CF"/>
    <w:rsid w:val="00726384"/>
    <w:rsid w:val="007264B1"/>
    <w:rsid w:val="00726C80"/>
    <w:rsid w:val="00726F11"/>
    <w:rsid w:val="00726FDC"/>
    <w:rsid w:val="00727529"/>
    <w:rsid w:val="00727930"/>
    <w:rsid w:val="00727AAD"/>
    <w:rsid w:val="007304C4"/>
    <w:rsid w:val="0073072C"/>
    <w:rsid w:val="0073130B"/>
    <w:rsid w:val="00731769"/>
    <w:rsid w:val="00731AAB"/>
    <w:rsid w:val="00731EE6"/>
    <w:rsid w:val="0073211A"/>
    <w:rsid w:val="0073271E"/>
    <w:rsid w:val="00732C26"/>
    <w:rsid w:val="00732C2F"/>
    <w:rsid w:val="00732D7D"/>
    <w:rsid w:val="00733081"/>
    <w:rsid w:val="0073347A"/>
    <w:rsid w:val="0073356D"/>
    <w:rsid w:val="0073359C"/>
    <w:rsid w:val="00734249"/>
    <w:rsid w:val="007343D5"/>
    <w:rsid w:val="00734420"/>
    <w:rsid w:val="00734D16"/>
    <w:rsid w:val="00734F40"/>
    <w:rsid w:val="00734FA3"/>
    <w:rsid w:val="00735025"/>
    <w:rsid w:val="007355A6"/>
    <w:rsid w:val="00735C36"/>
    <w:rsid w:val="00735F43"/>
    <w:rsid w:val="00736675"/>
    <w:rsid w:val="007368D0"/>
    <w:rsid w:val="00736915"/>
    <w:rsid w:val="00736E5C"/>
    <w:rsid w:val="007371C6"/>
    <w:rsid w:val="007371D7"/>
    <w:rsid w:val="00737503"/>
    <w:rsid w:val="00737C0C"/>
    <w:rsid w:val="00737E19"/>
    <w:rsid w:val="00737F87"/>
    <w:rsid w:val="00740368"/>
    <w:rsid w:val="00740410"/>
    <w:rsid w:val="00740A71"/>
    <w:rsid w:val="00740E94"/>
    <w:rsid w:val="00740FA6"/>
    <w:rsid w:val="00741167"/>
    <w:rsid w:val="0074146C"/>
    <w:rsid w:val="007420C7"/>
    <w:rsid w:val="0074223A"/>
    <w:rsid w:val="00742532"/>
    <w:rsid w:val="00742648"/>
    <w:rsid w:val="00743047"/>
    <w:rsid w:val="007439CC"/>
    <w:rsid w:val="00743CAC"/>
    <w:rsid w:val="00743CC3"/>
    <w:rsid w:val="00743E88"/>
    <w:rsid w:val="00743F25"/>
    <w:rsid w:val="00744015"/>
    <w:rsid w:val="00744041"/>
    <w:rsid w:val="007441CC"/>
    <w:rsid w:val="007441D1"/>
    <w:rsid w:val="0074436B"/>
    <w:rsid w:val="00744E10"/>
    <w:rsid w:val="007450A5"/>
    <w:rsid w:val="007453BE"/>
    <w:rsid w:val="007453E9"/>
    <w:rsid w:val="007458D5"/>
    <w:rsid w:val="00745C92"/>
    <w:rsid w:val="007460DA"/>
    <w:rsid w:val="00747126"/>
    <w:rsid w:val="007476A0"/>
    <w:rsid w:val="007477C5"/>
    <w:rsid w:val="0074792C"/>
    <w:rsid w:val="00747938"/>
    <w:rsid w:val="00747D55"/>
    <w:rsid w:val="00750EC3"/>
    <w:rsid w:val="00750FCF"/>
    <w:rsid w:val="007511DF"/>
    <w:rsid w:val="007512B3"/>
    <w:rsid w:val="00751551"/>
    <w:rsid w:val="007515D1"/>
    <w:rsid w:val="007517DA"/>
    <w:rsid w:val="00751B95"/>
    <w:rsid w:val="0075204A"/>
    <w:rsid w:val="007521C4"/>
    <w:rsid w:val="00752BEB"/>
    <w:rsid w:val="00752D13"/>
    <w:rsid w:val="00752DD8"/>
    <w:rsid w:val="0075312C"/>
    <w:rsid w:val="007532FA"/>
    <w:rsid w:val="00753671"/>
    <w:rsid w:val="00753757"/>
    <w:rsid w:val="0075377A"/>
    <w:rsid w:val="00753A38"/>
    <w:rsid w:val="00753D0A"/>
    <w:rsid w:val="007541E4"/>
    <w:rsid w:val="0075469A"/>
    <w:rsid w:val="007550AA"/>
    <w:rsid w:val="00755467"/>
    <w:rsid w:val="00755817"/>
    <w:rsid w:val="00755B12"/>
    <w:rsid w:val="00755D93"/>
    <w:rsid w:val="00755DCB"/>
    <w:rsid w:val="00755E5C"/>
    <w:rsid w:val="00757035"/>
    <w:rsid w:val="00757186"/>
    <w:rsid w:val="007578E1"/>
    <w:rsid w:val="00757A6A"/>
    <w:rsid w:val="00757CF3"/>
    <w:rsid w:val="0076006D"/>
    <w:rsid w:val="00760768"/>
    <w:rsid w:val="00760BCC"/>
    <w:rsid w:val="0076106B"/>
    <w:rsid w:val="00761830"/>
    <w:rsid w:val="00761A7B"/>
    <w:rsid w:val="00761B62"/>
    <w:rsid w:val="007621FF"/>
    <w:rsid w:val="00762AFB"/>
    <w:rsid w:val="007630F5"/>
    <w:rsid w:val="00763275"/>
    <w:rsid w:val="00763388"/>
    <w:rsid w:val="007637BC"/>
    <w:rsid w:val="007639D9"/>
    <w:rsid w:val="00763F18"/>
    <w:rsid w:val="007640AF"/>
    <w:rsid w:val="0076440A"/>
    <w:rsid w:val="0076475B"/>
    <w:rsid w:val="00764B31"/>
    <w:rsid w:val="00764B5D"/>
    <w:rsid w:val="00764D00"/>
    <w:rsid w:val="00764FD5"/>
    <w:rsid w:val="007655A9"/>
    <w:rsid w:val="007656A1"/>
    <w:rsid w:val="007656CA"/>
    <w:rsid w:val="00765956"/>
    <w:rsid w:val="00765A07"/>
    <w:rsid w:val="00765BA8"/>
    <w:rsid w:val="00766007"/>
    <w:rsid w:val="007664F7"/>
    <w:rsid w:val="00766729"/>
    <w:rsid w:val="00767193"/>
    <w:rsid w:val="007673C8"/>
    <w:rsid w:val="00767768"/>
    <w:rsid w:val="0076784F"/>
    <w:rsid w:val="00767BF3"/>
    <w:rsid w:val="00767D9C"/>
    <w:rsid w:val="00767FFC"/>
    <w:rsid w:val="0077018F"/>
    <w:rsid w:val="00770A26"/>
    <w:rsid w:val="00770FA5"/>
    <w:rsid w:val="00771608"/>
    <w:rsid w:val="0077163A"/>
    <w:rsid w:val="007717E4"/>
    <w:rsid w:val="00771FB5"/>
    <w:rsid w:val="007724A7"/>
    <w:rsid w:val="007726FA"/>
    <w:rsid w:val="00772945"/>
    <w:rsid w:val="007730BE"/>
    <w:rsid w:val="007731BC"/>
    <w:rsid w:val="0077330B"/>
    <w:rsid w:val="00773328"/>
    <w:rsid w:val="00773481"/>
    <w:rsid w:val="00773913"/>
    <w:rsid w:val="00773C3D"/>
    <w:rsid w:val="007741E7"/>
    <w:rsid w:val="00774390"/>
    <w:rsid w:val="007746ED"/>
    <w:rsid w:val="00774814"/>
    <w:rsid w:val="00774B93"/>
    <w:rsid w:val="00774EAF"/>
    <w:rsid w:val="00774FC7"/>
    <w:rsid w:val="00775231"/>
    <w:rsid w:val="0077526E"/>
    <w:rsid w:val="007754C3"/>
    <w:rsid w:val="0077554D"/>
    <w:rsid w:val="00775567"/>
    <w:rsid w:val="007757C6"/>
    <w:rsid w:val="00775C40"/>
    <w:rsid w:val="00775C59"/>
    <w:rsid w:val="0077629F"/>
    <w:rsid w:val="0077645D"/>
    <w:rsid w:val="00776542"/>
    <w:rsid w:val="00776749"/>
    <w:rsid w:val="00776E2E"/>
    <w:rsid w:val="00777442"/>
    <w:rsid w:val="00777451"/>
    <w:rsid w:val="007779A3"/>
    <w:rsid w:val="00777ADC"/>
    <w:rsid w:val="007802E7"/>
    <w:rsid w:val="00780B1A"/>
    <w:rsid w:val="00780D45"/>
    <w:rsid w:val="00780F3F"/>
    <w:rsid w:val="007812E7"/>
    <w:rsid w:val="00781315"/>
    <w:rsid w:val="0078159F"/>
    <w:rsid w:val="00781A97"/>
    <w:rsid w:val="00781E7D"/>
    <w:rsid w:val="00782065"/>
    <w:rsid w:val="00782419"/>
    <w:rsid w:val="007824BC"/>
    <w:rsid w:val="00782D2D"/>
    <w:rsid w:val="00782DFC"/>
    <w:rsid w:val="00782EC4"/>
    <w:rsid w:val="00782EEE"/>
    <w:rsid w:val="00783153"/>
    <w:rsid w:val="00783A74"/>
    <w:rsid w:val="00783AE5"/>
    <w:rsid w:val="00784B98"/>
    <w:rsid w:val="0078538B"/>
    <w:rsid w:val="0078539C"/>
    <w:rsid w:val="00785777"/>
    <w:rsid w:val="007858A7"/>
    <w:rsid w:val="00785C83"/>
    <w:rsid w:val="007864DA"/>
    <w:rsid w:val="007865AB"/>
    <w:rsid w:val="00786ED8"/>
    <w:rsid w:val="00787491"/>
    <w:rsid w:val="0078759B"/>
    <w:rsid w:val="00787807"/>
    <w:rsid w:val="00787A15"/>
    <w:rsid w:val="00787CF3"/>
    <w:rsid w:val="00787D20"/>
    <w:rsid w:val="00787FD1"/>
    <w:rsid w:val="0079001F"/>
    <w:rsid w:val="00790362"/>
    <w:rsid w:val="007904EA"/>
    <w:rsid w:val="0079065C"/>
    <w:rsid w:val="00790767"/>
    <w:rsid w:val="007907D4"/>
    <w:rsid w:val="00790B5F"/>
    <w:rsid w:val="0079108A"/>
    <w:rsid w:val="007911B6"/>
    <w:rsid w:val="00791BF5"/>
    <w:rsid w:val="007920FE"/>
    <w:rsid w:val="00792431"/>
    <w:rsid w:val="007930B7"/>
    <w:rsid w:val="00793237"/>
    <w:rsid w:val="00793541"/>
    <w:rsid w:val="007946AA"/>
    <w:rsid w:val="00794E6A"/>
    <w:rsid w:val="00794F5F"/>
    <w:rsid w:val="007953AE"/>
    <w:rsid w:val="007954CF"/>
    <w:rsid w:val="00795730"/>
    <w:rsid w:val="007958E5"/>
    <w:rsid w:val="00795DF5"/>
    <w:rsid w:val="00795E2E"/>
    <w:rsid w:val="0079691E"/>
    <w:rsid w:val="007969E4"/>
    <w:rsid w:val="00796CD0"/>
    <w:rsid w:val="00796E5B"/>
    <w:rsid w:val="00796E96"/>
    <w:rsid w:val="00797093"/>
    <w:rsid w:val="007970C0"/>
    <w:rsid w:val="0079776F"/>
    <w:rsid w:val="00797CD7"/>
    <w:rsid w:val="007A0003"/>
    <w:rsid w:val="007A0131"/>
    <w:rsid w:val="007A04E1"/>
    <w:rsid w:val="007A06CB"/>
    <w:rsid w:val="007A08CD"/>
    <w:rsid w:val="007A08CE"/>
    <w:rsid w:val="007A092C"/>
    <w:rsid w:val="007A0BC8"/>
    <w:rsid w:val="007A0F3F"/>
    <w:rsid w:val="007A1364"/>
    <w:rsid w:val="007A1785"/>
    <w:rsid w:val="007A1889"/>
    <w:rsid w:val="007A1939"/>
    <w:rsid w:val="007A1F2D"/>
    <w:rsid w:val="007A2286"/>
    <w:rsid w:val="007A2485"/>
    <w:rsid w:val="007A24A0"/>
    <w:rsid w:val="007A2720"/>
    <w:rsid w:val="007A2769"/>
    <w:rsid w:val="007A2824"/>
    <w:rsid w:val="007A28EC"/>
    <w:rsid w:val="007A2938"/>
    <w:rsid w:val="007A2CCB"/>
    <w:rsid w:val="007A2DB0"/>
    <w:rsid w:val="007A2E83"/>
    <w:rsid w:val="007A332C"/>
    <w:rsid w:val="007A35AC"/>
    <w:rsid w:val="007A3B9A"/>
    <w:rsid w:val="007A3FC1"/>
    <w:rsid w:val="007A4171"/>
    <w:rsid w:val="007A41A1"/>
    <w:rsid w:val="007A41B9"/>
    <w:rsid w:val="007A4377"/>
    <w:rsid w:val="007A4637"/>
    <w:rsid w:val="007A48CA"/>
    <w:rsid w:val="007A4AB2"/>
    <w:rsid w:val="007A4E13"/>
    <w:rsid w:val="007A58DD"/>
    <w:rsid w:val="007A5E68"/>
    <w:rsid w:val="007A602B"/>
    <w:rsid w:val="007A63C9"/>
    <w:rsid w:val="007A6CFC"/>
    <w:rsid w:val="007A71CE"/>
    <w:rsid w:val="007A7442"/>
    <w:rsid w:val="007A7825"/>
    <w:rsid w:val="007A7925"/>
    <w:rsid w:val="007A7E8C"/>
    <w:rsid w:val="007B08C9"/>
    <w:rsid w:val="007B0A22"/>
    <w:rsid w:val="007B0CAC"/>
    <w:rsid w:val="007B0E20"/>
    <w:rsid w:val="007B14FD"/>
    <w:rsid w:val="007B15A6"/>
    <w:rsid w:val="007B18D5"/>
    <w:rsid w:val="007B1B6D"/>
    <w:rsid w:val="007B1BF7"/>
    <w:rsid w:val="007B1DA8"/>
    <w:rsid w:val="007B265A"/>
    <w:rsid w:val="007B27BE"/>
    <w:rsid w:val="007B2892"/>
    <w:rsid w:val="007B2FD6"/>
    <w:rsid w:val="007B321C"/>
    <w:rsid w:val="007B33E5"/>
    <w:rsid w:val="007B36BF"/>
    <w:rsid w:val="007B3C14"/>
    <w:rsid w:val="007B3D0B"/>
    <w:rsid w:val="007B44F9"/>
    <w:rsid w:val="007B454A"/>
    <w:rsid w:val="007B46A6"/>
    <w:rsid w:val="007B4A59"/>
    <w:rsid w:val="007B4D42"/>
    <w:rsid w:val="007B5122"/>
    <w:rsid w:val="007B51AA"/>
    <w:rsid w:val="007B5502"/>
    <w:rsid w:val="007B577C"/>
    <w:rsid w:val="007B598C"/>
    <w:rsid w:val="007B5A2F"/>
    <w:rsid w:val="007B5B27"/>
    <w:rsid w:val="007B5B32"/>
    <w:rsid w:val="007B5C75"/>
    <w:rsid w:val="007B610F"/>
    <w:rsid w:val="007B629E"/>
    <w:rsid w:val="007B63CF"/>
    <w:rsid w:val="007B6AEE"/>
    <w:rsid w:val="007B713D"/>
    <w:rsid w:val="007B745C"/>
    <w:rsid w:val="007B7472"/>
    <w:rsid w:val="007B7573"/>
    <w:rsid w:val="007B7A13"/>
    <w:rsid w:val="007B7AAB"/>
    <w:rsid w:val="007C03BB"/>
    <w:rsid w:val="007C06B2"/>
    <w:rsid w:val="007C124F"/>
    <w:rsid w:val="007C1D9D"/>
    <w:rsid w:val="007C229C"/>
    <w:rsid w:val="007C28CF"/>
    <w:rsid w:val="007C2941"/>
    <w:rsid w:val="007C29D7"/>
    <w:rsid w:val="007C2A9E"/>
    <w:rsid w:val="007C2FC6"/>
    <w:rsid w:val="007C3215"/>
    <w:rsid w:val="007C34DE"/>
    <w:rsid w:val="007C38B5"/>
    <w:rsid w:val="007C404B"/>
    <w:rsid w:val="007C4187"/>
    <w:rsid w:val="007C41A0"/>
    <w:rsid w:val="007C4A68"/>
    <w:rsid w:val="007C4BAE"/>
    <w:rsid w:val="007C4BEE"/>
    <w:rsid w:val="007C4D64"/>
    <w:rsid w:val="007C4EF0"/>
    <w:rsid w:val="007C4FAE"/>
    <w:rsid w:val="007C5BA9"/>
    <w:rsid w:val="007C62AC"/>
    <w:rsid w:val="007C667A"/>
    <w:rsid w:val="007C6A89"/>
    <w:rsid w:val="007C6D50"/>
    <w:rsid w:val="007C6F2E"/>
    <w:rsid w:val="007C73CF"/>
    <w:rsid w:val="007C764E"/>
    <w:rsid w:val="007C77C5"/>
    <w:rsid w:val="007C7E37"/>
    <w:rsid w:val="007D01AF"/>
    <w:rsid w:val="007D044C"/>
    <w:rsid w:val="007D10C8"/>
    <w:rsid w:val="007D1269"/>
    <w:rsid w:val="007D1406"/>
    <w:rsid w:val="007D1D3B"/>
    <w:rsid w:val="007D1DF0"/>
    <w:rsid w:val="007D20B0"/>
    <w:rsid w:val="007D24CF"/>
    <w:rsid w:val="007D2A15"/>
    <w:rsid w:val="007D3165"/>
    <w:rsid w:val="007D32B3"/>
    <w:rsid w:val="007D3560"/>
    <w:rsid w:val="007D3ADF"/>
    <w:rsid w:val="007D3DF2"/>
    <w:rsid w:val="007D4068"/>
    <w:rsid w:val="007D4284"/>
    <w:rsid w:val="007D4621"/>
    <w:rsid w:val="007D47A8"/>
    <w:rsid w:val="007D4982"/>
    <w:rsid w:val="007D4D87"/>
    <w:rsid w:val="007D4E55"/>
    <w:rsid w:val="007D4F73"/>
    <w:rsid w:val="007D5696"/>
    <w:rsid w:val="007D5787"/>
    <w:rsid w:val="007D5960"/>
    <w:rsid w:val="007D5A97"/>
    <w:rsid w:val="007D6002"/>
    <w:rsid w:val="007D606A"/>
    <w:rsid w:val="007D65F6"/>
    <w:rsid w:val="007D6C0C"/>
    <w:rsid w:val="007D7882"/>
    <w:rsid w:val="007D7B1C"/>
    <w:rsid w:val="007D7C3C"/>
    <w:rsid w:val="007D7D31"/>
    <w:rsid w:val="007E025A"/>
    <w:rsid w:val="007E0521"/>
    <w:rsid w:val="007E0D25"/>
    <w:rsid w:val="007E114E"/>
    <w:rsid w:val="007E15F0"/>
    <w:rsid w:val="007E17FA"/>
    <w:rsid w:val="007E2B82"/>
    <w:rsid w:val="007E2DD3"/>
    <w:rsid w:val="007E33B9"/>
    <w:rsid w:val="007E3460"/>
    <w:rsid w:val="007E3588"/>
    <w:rsid w:val="007E36ED"/>
    <w:rsid w:val="007E378E"/>
    <w:rsid w:val="007E42E6"/>
    <w:rsid w:val="007E46BF"/>
    <w:rsid w:val="007E487F"/>
    <w:rsid w:val="007E4A0D"/>
    <w:rsid w:val="007E4B2D"/>
    <w:rsid w:val="007E4C3F"/>
    <w:rsid w:val="007E5388"/>
    <w:rsid w:val="007E54E0"/>
    <w:rsid w:val="007E587D"/>
    <w:rsid w:val="007E58C0"/>
    <w:rsid w:val="007E5CE8"/>
    <w:rsid w:val="007E5E7C"/>
    <w:rsid w:val="007E6447"/>
    <w:rsid w:val="007E6757"/>
    <w:rsid w:val="007E68C0"/>
    <w:rsid w:val="007E6D75"/>
    <w:rsid w:val="007E6D9B"/>
    <w:rsid w:val="007E6DE7"/>
    <w:rsid w:val="007E7124"/>
    <w:rsid w:val="007E71E9"/>
    <w:rsid w:val="007E74E3"/>
    <w:rsid w:val="007E76CB"/>
    <w:rsid w:val="007E7721"/>
    <w:rsid w:val="007E7B1C"/>
    <w:rsid w:val="007E7C5C"/>
    <w:rsid w:val="007E7CB2"/>
    <w:rsid w:val="007E7CF2"/>
    <w:rsid w:val="007F02B2"/>
    <w:rsid w:val="007F02C7"/>
    <w:rsid w:val="007F032B"/>
    <w:rsid w:val="007F04FE"/>
    <w:rsid w:val="007F0A66"/>
    <w:rsid w:val="007F0CBE"/>
    <w:rsid w:val="007F10CC"/>
    <w:rsid w:val="007F12E0"/>
    <w:rsid w:val="007F160D"/>
    <w:rsid w:val="007F1873"/>
    <w:rsid w:val="007F1BFB"/>
    <w:rsid w:val="007F1D06"/>
    <w:rsid w:val="007F1ECD"/>
    <w:rsid w:val="007F2C72"/>
    <w:rsid w:val="007F2EB2"/>
    <w:rsid w:val="007F2F7E"/>
    <w:rsid w:val="007F3034"/>
    <w:rsid w:val="007F344C"/>
    <w:rsid w:val="007F3745"/>
    <w:rsid w:val="007F5287"/>
    <w:rsid w:val="007F5799"/>
    <w:rsid w:val="007F5A11"/>
    <w:rsid w:val="007F5BF1"/>
    <w:rsid w:val="007F62F3"/>
    <w:rsid w:val="007F66F4"/>
    <w:rsid w:val="007F68DC"/>
    <w:rsid w:val="007F68DF"/>
    <w:rsid w:val="007F6B28"/>
    <w:rsid w:val="007F6D6C"/>
    <w:rsid w:val="007F70B9"/>
    <w:rsid w:val="007F7137"/>
    <w:rsid w:val="007F7A75"/>
    <w:rsid w:val="007F7C48"/>
    <w:rsid w:val="007F7ECC"/>
    <w:rsid w:val="0080006E"/>
    <w:rsid w:val="00800462"/>
    <w:rsid w:val="0080048C"/>
    <w:rsid w:val="00800E62"/>
    <w:rsid w:val="00800F35"/>
    <w:rsid w:val="008010D7"/>
    <w:rsid w:val="0080128D"/>
    <w:rsid w:val="0080147D"/>
    <w:rsid w:val="008016CA"/>
    <w:rsid w:val="008017B6"/>
    <w:rsid w:val="00801D59"/>
    <w:rsid w:val="00801DB0"/>
    <w:rsid w:val="00802072"/>
    <w:rsid w:val="00802A65"/>
    <w:rsid w:val="00802DF1"/>
    <w:rsid w:val="00803432"/>
    <w:rsid w:val="00803443"/>
    <w:rsid w:val="008036C0"/>
    <w:rsid w:val="00804131"/>
    <w:rsid w:val="00804144"/>
    <w:rsid w:val="008041DE"/>
    <w:rsid w:val="0080450E"/>
    <w:rsid w:val="00804530"/>
    <w:rsid w:val="008048F5"/>
    <w:rsid w:val="00804A6F"/>
    <w:rsid w:val="00804B1E"/>
    <w:rsid w:val="00804D52"/>
    <w:rsid w:val="00805159"/>
    <w:rsid w:val="0080516A"/>
    <w:rsid w:val="00805930"/>
    <w:rsid w:val="00805D9C"/>
    <w:rsid w:val="008061D6"/>
    <w:rsid w:val="0080646D"/>
    <w:rsid w:val="0080680D"/>
    <w:rsid w:val="00807138"/>
    <w:rsid w:val="00807462"/>
    <w:rsid w:val="0080786A"/>
    <w:rsid w:val="00807AA3"/>
    <w:rsid w:val="00807F10"/>
    <w:rsid w:val="00810139"/>
    <w:rsid w:val="00810552"/>
    <w:rsid w:val="008105B3"/>
    <w:rsid w:val="008111CF"/>
    <w:rsid w:val="00811CEA"/>
    <w:rsid w:val="00811D79"/>
    <w:rsid w:val="008127F9"/>
    <w:rsid w:val="00812A4B"/>
    <w:rsid w:val="00812C05"/>
    <w:rsid w:val="00812DF0"/>
    <w:rsid w:val="00812FA4"/>
    <w:rsid w:val="008130B3"/>
    <w:rsid w:val="008130C4"/>
    <w:rsid w:val="0081322A"/>
    <w:rsid w:val="0081367C"/>
    <w:rsid w:val="008137B6"/>
    <w:rsid w:val="00813A02"/>
    <w:rsid w:val="00813B8D"/>
    <w:rsid w:val="00813C26"/>
    <w:rsid w:val="00813DC9"/>
    <w:rsid w:val="0081423C"/>
    <w:rsid w:val="00814693"/>
    <w:rsid w:val="00814746"/>
    <w:rsid w:val="008148C2"/>
    <w:rsid w:val="00814D2B"/>
    <w:rsid w:val="00814FFC"/>
    <w:rsid w:val="00815055"/>
    <w:rsid w:val="008151CC"/>
    <w:rsid w:val="0081521F"/>
    <w:rsid w:val="008153C9"/>
    <w:rsid w:val="00815617"/>
    <w:rsid w:val="00815E12"/>
    <w:rsid w:val="008162AB"/>
    <w:rsid w:val="008164EB"/>
    <w:rsid w:val="00816869"/>
    <w:rsid w:val="008169C0"/>
    <w:rsid w:val="008169E7"/>
    <w:rsid w:val="00816B8F"/>
    <w:rsid w:val="00816E7C"/>
    <w:rsid w:val="0081766B"/>
    <w:rsid w:val="00817A08"/>
    <w:rsid w:val="00817A68"/>
    <w:rsid w:val="00820071"/>
    <w:rsid w:val="00820281"/>
    <w:rsid w:val="008203C0"/>
    <w:rsid w:val="00820BC4"/>
    <w:rsid w:val="0082130E"/>
    <w:rsid w:val="00821747"/>
    <w:rsid w:val="00821C6A"/>
    <w:rsid w:val="00821EE3"/>
    <w:rsid w:val="00822048"/>
    <w:rsid w:val="0082253F"/>
    <w:rsid w:val="00822C58"/>
    <w:rsid w:val="00822D96"/>
    <w:rsid w:val="0082353F"/>
    <w:rsid w:val="00823AEB"/>
    <w:rsid w:val="00823C4B"/>
    <w:rsid w:val="00823E43"/>
    <w:rsid w:val="00823F22"/>
    <w:rsid w:val="008249A1"/>
    <w:rsid w:val="00824E21"/>
    <w:rsid w:val="008252C7"/>
    <w:rsid w:val="008253BF"/>
    <w:rsid w:val="00825933"/>
    <w:rsid w:val="0082604B"/>
    <w:rsid w:val="00826220"/>
    <w:rsid w:val="008264F4"/>
    <w:rsid w:val="00826747"/>
    <w:rsid w:val="008267DA"/>
    <w:rsid w:val="00826C83"/>
    <w:rsid w:val="00826D47"/>
    <w:rsid w:val="00827000"/>
    <w:rsid w:val="00827368"/>
    <w:rsid w:val="00827AAC"/>
    <w:rsid w:val="00827C83"/>
    <w:rsid w:val="00827D6E"/>
    <w:rsid w:val="00827DC0"/>
    <w:rsid w:val="00827DEF"/>
    <w:rsid w:val="00827F0B"/>
    <w:rsid w:val="00827F65"/>
    <w:rsid w:val="00830040"/>
    <w:rsid w:val="0083010F"/>
    <w:rsid w:val="008302B7"/>
    <w:rsid w:val="00830340"/>
    <w:rsid w:val="008303A5"/>
    <w:rsid w:val="00830A36"/>
    <w:rsid w:val="00830F45"/>
    <w:rsid w:val="0083115E"/>
    <w:rsid w:val="00831279"/>
    <w:rsid w:val="00831864"/>
    <w:rsid w:val="00831FC2"/>
    <w:rsid w:val="008322F9"/>
    <w:rsid w:val="0083256E"/>
    <w:rsid w:val="0083269B"/>
    <w:rsid w:val="00832B42"/>
    <w:rsid w:val="00832BB0"/>
    <w:rsid w:val="00832D22"/>
    <w:rsid w:val="00832D79"/>
    <w:rsid w:val="00832F98"/>
    <w:rsid w:val="008330FE"/>
    <w:rsid w:val="008333AF"/>
    <w:rsid w:val="008337D2"/>
    <w:rsid w:val="00833B23"/>
    <w:rsid w:val="00833DDB"/>
    <w:rsid w:val="00833E6F"/>
    <w:rsid w:val="00833F3F"/>
    <w:rsid w:val="0083438F"/>
    <w:rsid w:val="00834608"/>
    <w:rsid w:val="008346F0"/>
    <w:rsid w:val="008349B6"/>
    <w:rsid w:val="00834C54"/>
    <w:rsid w:val="0083508E"/>
    <w:rsid w:val="0083582D"/>
    <w:rsid w:val="00835B07"/>
    <w:rsid w:val="00835F6A"/>
    <w:rsid w:val="0083608A"/>
    <w:rsid w:val="0083639B"/>
    <w:rsid w:val="00836D98"/>
    <w:rsid w:val="0083793B"/>
    <w:rsid w:val="00837AA4"/>
    <w:rsid w:val="00840A83"/>
    <w:rsid w:val="00840CA5"/>
    <w:rsid w:val="00841533"/>
    <w:rsid w:val="00841B13"/>
    <w:rsid w:val="00841E92"/>
    <w:rsid w:val="00842AB6"/>
    <w:rsid w:val="00842E09"/>
    <w:rsid w:val="00843016"/>
    <w:rsid w:val="00843577"/>
    <w:rsid w:val="00843E6F"/>
    <w:rsid w:val="008441CE"/>
    <w:rsid w:val="008443E7"/>
    <w:rsid w:val="00844890"/>
    <w:rsid w:val="00844A90"/>
    <w:rsid w:val="00844E7A"/>
    <w:rsid w:val="00844F83"/>
    <w:rsid w:val="0084524A"/>
    <w:rsid w:val="00845487"/>
    <w:rsid w:val="00845499"/>
    <w:rsid w:val="008456CE"/>
    <w:rsid w:val="00845881"/>
    <w:rsid w:val="008460D6"/>
    <w:rsid w:val="00846C00"/>
    <w:rsid w:val="00846E05"/>
    <w:rsid w:val="00846E4A"/>
    <w:rsid w:val="00847C2B"/>
    <w:rsid w:val="00850128"/>
    <w:rsid w:val="008503D0"/>
    <w:rsid w:val="00850581"/>
    <w:rsid w:val="00850832"/>
    <w:rsid w:val="00851046"/>
    <w:rsid w:val="00851100"/>
    <w:rsid w:val="00851111"/>
    <w:rsid w:val="0085127C"/>
    <w:rsid w:val="00851654"/>
    <w:rsid w:val="00851AF5"/>
    <w:rsid w:val="00851DAA"/>
    <w:rsid w:val="00851E3A"/>
    <w:rsid w:val="00851EA9"/>
    <w:rsid w:val="00851FB5"/>
    <w:rsid w:val="008521DB"/>
    <w:rsid w:val="008522D5"/>
    <w:rsid w:val="008523B5"/>
    <w:rsid w:val="00852677"/>
    <w:rsid w:val="00852766"/>
    <w:rsid w:val="008527D1"/>
    <w:rsid w:val="00852A40"/>
    <w:rsid w:val="00852B97"/>
    <w:rsid w:val="00852DB9"/>
    <w:rsid w:val="00852EC6"/>
    <w:rsid w:val="008533EE"/>
    <w:rsid w:val="00853A5B"/>
    <w:rsid w:val="0085404C"/>
    <w:rsid w:val="00854332"/>
    <w:rsid w:val="008543AB"/>
    <w:rsid w:val="00854670"/>
    <w:rsid w:val="00854724"/>
    <w:rsid w:val="00854DAA"/>
    <w:rsid w:val="008550CB"/>
    <w:rsid w:val="00855513"/>
    <w:rsid w:val="00855761"/>
    <w:rsid w:val="00855B60"/>
    <w:rsid w:val="00855E0B"/>
    <w:rsid w:val="008560B9"/>
    <w:rsid w:val="008561E8"/>
    <w:rsid w:val="00856A20"/>
    <w:rsid w:val="00856D81"/>
    <w:rsid w:val="008570DB"/>
    <w:rsid w:val="0085710F"/>
    <w:rsid w:val="0085718B"/>
    <w:rsid w:val="00857897"/>
    <w:rsid w:val="00857A69"/>
    <w:rsid w:val="008603CB"/>
    <w:rsid w:val="00860793"/>
    <w:rsid w:val="008608A3"/>
    <w:rsid w:val="0086092E"/>
    <w:rsid w:val="00860B4C"/>
    <w:rsid w:val="00860D6C"/>
    <w:rsid w:val="008612B7"/>
    <w:rsid w:val="0086169D"/>
    <w:rsid w:val="00861B3D"/>
    <w:rsid w:val="00861B8D"/>
    <w:rsid w:val="00862196"/>
    <w:rsid w:val="008622FB"/>
    <w:rsid w:val="0086242C"/>
    <w:rsid w:val="008626B9"/>
    <w:rsid w:val="00862721"/>
    <w:rsid w:val="0086362C"/>
    <w:rsid w:val="0086396F"/>
    <w:rsid w:val="00863A17"/>
    <w:rsid w:val="0086447F"/>
    <w:rsid w:val="008647DE"/>
    <w:rsid w:val="00864A8A"/>
    <w:rsid w:val="00864B95"/>
    <w:rsid w:val="00864DEB"/>
    <w:rsid w:val="00864E48"/>
    <w:rsid w:val="0086549E"/>
    <w:rsid w:val="008656A2"/>
    <w:rsid w:val="00865737"/>
    <w:rsid w:val="00865E72"/>
    <w:rsid w:val="00865F33"/>
    <w:rsid w:val="00866142"/>
    <w:rsid w:val="00866277"/>
    <w:rsid w:val="0086631B"/>
    <w:rsid w:val="0086663F"/>
    <w:rsid w:val="00866788"/>
    <w:rsid w:val="008667B8"/>
    <w:rsid w:val="008668F6"/>
    <w:rsid w:val="00866A85"/>
    <w:rsid w:val="00866EFA"/>
    <w:rsid w:val="00867003"/>
    <w:rsid w:val="00867488"/>
    <w:rsid w:val="00867DA2"/>
    <w:rsid w:val="00870122"/>
    <w:rsid w:val="008705D6"/>
    <w:rsid w:val="00870BFB"/>
    <w:rsid w:val="00870C2B"/>
    <w:rsid w:val="008712E0"/>
    <w:rsid w:val="008713BA"/>
    <w:rsid w:val="00871C23"/>
    <w:rsid w:val="00871C8A"/>
    <w:rsid w:val="00871C95"/>
    <w:rsid w:val="00871DDA"/>
    <w:rsid w:val="00872175"/>
    <w:rsid w:val="00872295"/>
    <w:rsid w:val="008723B7"/>
    <w:rsid w:val="008727F1"/>
    <w:rsid w:val="00873620"/>
    <w:rsid w:val="00873BDE"/>
    <w:rsid w:val="00873C67"/>
    <w:rsid w:val="00873EFF"/>
    <w:rsid w:val="00874159"/>
    <w:rsid w:val="008747A6"/>
    <w:rsid w:val="00874ABD"/>
    <w:rsid w:val="00874DB0"/>
    <w:rsid w:val="00874E64"/>
    <w:rsid w:val="00875A5A"/>
    <w:rsid w:val="00875A72"/>
    <w:rsid w:val="008760EF"/>
    <w:rsid w:val="00876567"/>
    <w:rsid w:val="00876B8D"/>
    <w:rsid w:val="00876E5A"/>
    <w:rsid w:val="00876F19"/>
    <w:rsid w:val="00877051"/>
    <w:rsid w:val="008771EA"/>
    <w:rsid w:val="00877277"/>
    <w:rsid w:val="008773A1"/>
    <w:rsid w:val="00877727"/>
    <w:rsid w:val="00877B1A"/>
    <w:rsid w:val="00877E7E"/>
    <w:rsid w:val="00877E9C"/>
    <w:rsid w:val="008800D3"/>
    <w:rsid w:val="00880159"/>
    <w:rsid w:val="00880C56"/>
    <w:rsid w:val="00880D8E"/>
    <w:rsid w:val="00880F1A"/>
    <w:rsid w:val="0088141F"/>
    <w:rsid w:val="008816A8"/>
    <w:rsid w:val="00881ADB"/>
    <w:rsid w:val="00881B11"/>
    <w:rsid w:val="00881B16"/>
    <w:rsid w:val="00881C85"/>
    <w:rsid w:val="00881E1E"/>
    <w:rsid w:val="00882181"/>
    <w:rsid w:val="0088236F"/>
    <w:rsid w:val="00882748"/>
    <w:rsid w:val="00882D12"/>
    <w:rsid w:val="008831D1"/>
    <w:rsid w:val="00883B56"/>
    <w:rsid w:val="00883CA4"/>
    <w:rsid w:val="00883E2B"/>
    <w:rsid w:val="00883EC1"/>
    <w:rsid w:val="008841C5"/>
    <w:rsid w:val="00884EA2"/>
    <w:rsid w:val="008853B4"/>
    <w:rsid w:val="008853C7"/>
    <w:rsid w:val="00885825"/>
    <w:rsid w:val="00885B9B"/>
    <w:rsid w:val="00886030"/>
    <w:rsid w:val="00886501"/>
    <w:rsid w:val="00886531"/>
    <w:rsid w:val="00886CDD"/>
    <w:rsid w:val="00886F36"/>
    <w:rsid w:val="00886F38"/>
    <w:rsid w:val="00886FF6"/>
    <w:rsid w:val="00887462"/>
    <w:rsid w:val="008879A9"/>
    <w:rsid w:val="00887A37"/>
    <w:rsid w:val="00887E1E"/>
    <w:rsid w:val="008907E2"/>
    <w:rsid w:val="00890A9A"/>
    <w:rsid w:val="008914FB"/>
    <w:rsid w:val="008915B6"/>
    <w:rsid w:val="00891D47"/>
    <w:rsid w:val="0089214D"/>
    <w:rsid w:val="008922AD"/>
    <w:rsid w:val="00892B2D"/>
    <w:rsid w:val="00892C81"/>
    <w:rsid w:val="00892F16"/>
    <w:rsid w:val="00893C0D"/>
    <w:rsid w:val="00893D72"/>
    <w:rsid w:val="00894081"/>
    <w:rsid w:val="00894125"/>
    <w:rsid w:val="00894143"/>
    <w:rsid w:val="0089435A"/>
    <w:rsid w:val="00894781"/>
    <w:rsid w:val="0089485F"/>
    <w:rsid w:val="00894A50"/>
    <w:rsid w:val="00894E3A"/>
    <w:rsid w:val="008950EF"/>
    <w:rsid w:val="008954F9"/>
    <w:rsid w:val="00895653"/>
    <w:rsid w:val="008957DD"/>
    <w:rsid w:val="00896449"/>
    <w:rsid w:val="00897194"/>
    <w:rsid w:val="0089724F"/>
    <w:rsid w:val="0089754C"/>
    <w:rsid w:val="00897B5E"/>
    <w:rsid w:val="00897BC6"/>
    <w:rsid w:val="00897D8B"/>
    <w:rsid w:val="00897DC3"/>
    <w:rsid w:val="008A002A"/>
    <w:rsid w:val="008A014D"/>
    <w:rsid w:val="008A02EC"/>
    <w:rsid w:val="008A0E11"/>
    <w:rsid w:val="008A12ED"/>
    <w:rsid w:val="008A1B0F"/>
    <w:rsid w:val="008A20DA"/>
    <w:rsid w:val="008A21C0"/>
    <w:rsid w:val="008A28B1"/>
    <w:rsid w:val="008A298B"/>
    <w:rsid w:val="008A2D0B"/>
    <w:rsid w:val="008A2D18"/>
    <w:rsid w:val="008A3163"/>
    <w:rsid w:val="008A36C1"/>
    <w:rsid w:val="008A3CC4"/>
    <w:rsid w:val="008A4019"/>
    <w:rsid w:val="008A436D"/>
    <w:rsid w:val="008A4424"/>
    <w:rsid w:val="008A4D27"/>
    <w:rsid w:val="008A534C"/>
    <w:rsid w:val="008A5616"/>
    <w:rsid w:val="008A581A"/>
    <w:rsid w:val="008A5FB5"/>
    <w:rsid w:val="008A612D"/>
    <w:rsid w:val="008A6395"/>
    <w:rsid w:val="008A6B2C"/>
    <w:rsid w:val="008A6B43"/>
    <w:rsid w:val="008A6D58"/>
    <w:rsid w:val="008A71FC"/>
    <w:rsid w:val="008A7878"/>
    <w:rsid w:val="008A7C16"/>
    <w:rsid w:val="008A7CA8"/>
    <w:rsid w:val="008A7FE2"/>
    <w:rsid w:val="008B0164"/>
    <w:rsid w:val="008B0254"/>
    <w:rsid w:val="008B044E"/>
    <w:rsid w:val="008B0526"/>
    <w:rsid w:val="008B0F41"/>
    <w:rsid w:val="008B1ABF"/>
    <w:rsid w:val="008B1F63"/>
    <w:rsid w:val="008B20E3"/>
    <w:rsid w:val="008B22E8"/>
    <w:rsid w:val="008B259C"/>
    <w:rsid w:val="008B261F"/>
    <w:rsid w:val="008B2636"/>
    <w:rsid w:val="008B2B14"/>
    <w:rsid w:val="008B2BEE"/>
    <w:rsid w:val="008B3612"/>
    <w:rsid w:val="008B3745"/>
    <w:rsid w:val="008B3750"/>
    <w:rsid w:val="008B3C5E"/>
    <w:rsid w:val="008B4026"/>
    <w:rsid w:val="008B406E"/>
    <w:rsid w:val="008B4093"/>
    <w:rsid w:val="008B40F2"/>
    <w:rsid w:val="008B5409"/>
    <w:rsid w:val="008B5C8F"/>
    <w:rsid w:val="008B5DD6"/>
    <w:rsid w:val="008B5F16"/>
    <w:rsid w:val="008B6B1E"/>
    <w:rsid w:val="008B6F7C"/>
    <w:rsid w:val="008B7183"/>
    <w:rsid w:val="008B7451"/>
    <w:rsid w:val="008B7722"/>
    <w:rsid w:val="008B77CE"/>
    <w:rsid w:val="008B7868"/>
    <w:rsid w:val="008B786F"/>
    <w:rsid w:val="008B792C"/>
    <w:rsid w:val="008B7EAB"/>
    <w:rsid w:val="008B7F9A"/>
    <w:rsid w:val="008C02BE"/>
    <w:rsid w:val="008C02E7"/>
    <w:rsid w:val="008C0475"/>
    <w:rsid w:val="008C0611"/>
    <w:rsid w:val="008C07DA"/>
    <w:rsid w:val="008C0AFA"/>
    <w:rsid w:val="008C0DAB"/>
    <w:rsid w:val="008C0E5C"/>
    <w:rsid w:val="008C184B"/>
    <w:rsid w:val="008C18BC"/>
    <w:rsid w:val="008C1ADE"/>
    <w:rsid w:val="008C1B45"/>
    <w:rsid w:val="008C1E2C"/>
    <w:rsid w:val="008C26ED"/>
    <w:rsid w:val="008C28D0"/>
    <w:rsid w:val="008C2BB5"/>
    <w:rsid w:val="008C2EF2"/>
    <w:rsid w:val="008C343F"/>
    <w:rsid w:val="008C36BD"/>
    <w:rsid w:val="008C39E1"/>
    <w:rsid w:val="008C3B3A"/>
    <w:rsid w:val="008C3C63"/>
    <w:rsid w:val="008C4206"/>
    <w:rsid w:val="008C43E2"/>
    <w:rsid w:val="008C4581"/>
    <w:rsid w:val="008C489E"/>
    <w:rsid w:val="008C4FA9"/>
    <w:rsid w:val="008C504D"/>
    <w:rsid w:val="008C59DF"/>
    <w:rsid w:val="008C5B21"/>
    <w:rsid w:val="008C5D76"/>
    <w:rsid w:val="008C5EE3"/>
    <w:rsid w:val="008C6829"/>
    <w:rsid w:val="008C6B32"/>
    <w:rsid w:val="008C6E40"/>
    <w:rsid w:val="008C6F52"/>
    <w:rsid w:val="008C7138"/>
    <w:rsid w:val="008C73B9"/>
    <w:rsid w:val="008C7584"/>
    <w:rsid w:val="008C79A1"/>
    <w:rsid w:val="008C7C57"/>
    <w:rsid w:val="008D0369"/>
    <w:rsid w:val="008D0519"/>
    <w:rsid w:val="008D0902"/>
    <w:rsid w:val="008D0ED4"/>
    <w:rsid w:val="008D100D"/>
    <w:rsid w:val="008D1497"/>
    <w:rsid w:val="008D1C1A"/>
    <w:rsid w:val="008D1FB9"/>
    <w:rsid w:val="008D2099"/>
    <w:rsid w:val="008D248E"/>
    <w:rsid w:val="008D264B"/>
    <w:rsid w:val="008D32FC"/>
    <w:rsid w:val="008D335A"/>
    <w:rsid w:val="008D348B"/>
    <w:rsid w:val="008D3C94"/>
    <w:rsid w:val="008D422D"/>
    <w:rsid w:val="008D4269"/>
    <w:rsid w:val="008D4629"/>
    <w:rsid w:val="008D4658"/>
    <w:rsid w:val="008D46EE"/>
    <w:rsid w:val="008D4A17"/>
    <w:rsid w:val="008D4E5B"/>
    <w:rsid w:val="008D55D1"/>
    <w:rsid w:val="008D5705"/>
    <w:rsid w:val="008D60AF"/>
    <w:rsid w:val="008D635F"/>
    <w:rsid w:val="008D6600"/>
    <w:rsid w:val="008D6782"/>
    <w:rsid w:val="008D6C04"/>
    <w:rsid w:val="008D6D34"/>
    <w:rsid w:val="008D7CD8"/>
    <w:rsid w:val="008D7EE9"/>
    <w:rsid w:val="008E006C"/>
    <w:rsid w:val="008E027A"/>
    <w:rsid w:val="008E0629"/>
    <w:rsid w:val="008E07EB"/>
    <w:rsid w:val="008E097D"/>
    <w:rsid w:val="008E14F9"/>
    <w:rsid w:val="008E1619"/>
    <w:rsid w:val="008E1B8E"/>
    <w:rsid w:val="008E1BF5"/>
    <w:rsid w:val="008E1FC2"/>
    <w:rsid w:val="008E2136"/>
    <w:rsid w:val="008E230B"/>
    <w:rsid w:val="008E27A2"/>
    <w:rsid w:val="008E2BE4"/>
    <w:rsid w:val="008E2CBC"/>
    <w:rsid w:val="008E2D39"/>
    <w:rsid w:val="008E2D87"/>
    <w:rsid w:val="008E3191"/>
    <w:rsid w:val="008E345C"/>
    <w:rsid w:val="008E3B97"/>
    <w:rsid w:val="008E3ED5"/>
    <w:rsid w:val="008E41BE"/>
    <w:rsid w:val="008E4254"/>
    <w:rsid w:val="008E456A"/>
    <w:rsid w:val="008E49F3"/>
    <w:rsid w:val="008E4A5B"/>
    <w:rsid w:val="008E4FAE"/>
    <w:rsid w:val="008E5047"/>
    <w:rsid w:val="008E5175"/>
    <w:rsid w:val="008E53A2"/>
    <w:rsid w:val="008E5786"/>
    <w:rsid w:val="008E58F0"/>
    <w:rsid w:val="008E5B20"/>
    <w:rsid w:val="008E62D2"/>
    <w:rsid w:val="008E66B3"/>
    <w:rsid w:val="008E68E5"/>
    <w:rsid w:val="008E6B4E"/>
    <w:rsid w:val="008E6B79"/>
    <w:rsid w:val="008E6CE6"/>
    <w:rsid w:val="008E6DC0"/>
    <w:rsid w:val="008E72EE"/>
    <w:rsid w:val="008E7455"/>
    <w:rsid w:val="008E7970"/>
    <w:rsid w:val="008E7B40"/>
    <w:rsid w:val="008E7C34"/>
    <w:rsid w:val="008E7F4A"/>
    <w:rsid w:val="008F0155"/>
    <w:rsid w:val="008F03A7"/>
    <w:rsid w:val="008F0B57"/>
    <w:rsid w:val="008F0C36"/>
    <w:rsid w:val="008F0EB2"/>
    <w:rsid w:val="008F1016"/>
    <w:rsid w:val="008F107F"/>
    <w:rsid w:val="008F10B3"/>
    <w:rsid w:val="008F10D9"/>
    <w:rsid w:val="008F10DD"/>
    <w:rsid w:val="008F1959"/>
    <w:rsid w:val="008F1BDA"/>
    <w:rsid w:val="008F1C38"/>
    <w:rsid w:val="008F20F7"/>
    <w:rsid w:val="008F21B8"/>
    <w:rsid w:val="008F258F"/>
    <w:rsid w:val="008F2847"/>
    <w:rsid w:val="008F2F7D"/>
    <w:rsid w:val="008F328D"/>
    <w:rsid w:val="008F344E"/>
    <w:rsid w:val="008F36E2"/>
    <w:rsid w:val="008F377B"/>
    <w:rsid w:val="008F395B"/>
    <w:rsid w:val="008F3C4B"/>
    <w:rsid w:val="008F43F5"/>
    <w:rsid w:val="008F4823"/>
    <w:rsid w:val="008F4835"/>
    <w:rsid w:val="008F48F6"/>
    <w:rsid w:val="008F4E23"/>
    <w:rsid w:val="008F4FC9"/>
    <w:rsid w:val="008F50A6"/>
    <w:rsid w:val="008F51DA"/>
    <w:rsid w:val="008F56DE"/>
    <w:rsid w:val="008F5D89"/>
    <w:rsid w:val="008F5E4C"/>
    <w:rsid w:val="008F61A0"/>
    <w:rsid w:val="008F621C"/>
    <w:rsid w:val="008F67CC"/>
    <w:rsid w:val="008F6AD6"/>
    <w:rsid w:val="00900259"/>
    <w:rsid w:val="009007FC"/>
    <w:rsid w:val="00900B47"/>
    <w:rsid w:val="00900C35"/>
    <w:rsid w:val="00901012"/>
    <w:rsid w:val="009011CE"/>
    <w:rsid w:val="009017A1"/>
    <w:rsid w:val="00901D41"/>
    <w:rsid w:val="0090252A"/>
    <w:rsid w:val="0090258C"/>
    <w:rsid w:val="009025AB"/>
    <w:rsid w:val="00902C00"/>
    <w:rsid w:val="00902CA5"/>
    <w:rsid w:val="00902D4F"/>
    <w:rsid w:val="009030E3"/>
    <w:rsid w:val="009034B9"/>
    <w:rsid w:val="00903CFD"/>
    <w:rsid w:val="00903FB3"/>
    <w:rsid w:val="00904690"/>
    <w:rsid w:val="00905336"/>
    <w:rsid w:val="009060FF"/>
    <w:rsid w:val="009066DC"/>
    <w:rsid w:val="00906E22"/>
    <w:rsid w:val="0090728D"/>
    <w:rsid w:val="00907441"/>
    <w:rsid w:val="00907583"/>
    <w:rsid w:val="0090758F"/>
    <w:rsid w:val="0090766F"/>
    <w:rsid w:val="0090779A"/>
    <w:rsid w:val="0090780A"/>
    <w:rsid w:val="009102B4"/>
    <w:rsid w:val="0091052B"/>
    <w:rsid w:val="00910715"/>
    <w:rsid w:val="009107FF"/>
    <w:rsid w:val="0091091D"/>
    <w:rsid w:val="00911327"/>
    <w:rsid w:val="0091149A"/>
    <w:rsid w:val="00911F7E"/>
    <w:rsid w:val="009122DB"/>
    <w:rsid w:val="00912848"/>
    <w:rsid w:val="00912B56"/>
    <w:rsid w:val="00912C6F"/>
    <w:rsid w:val="00912E6B"/>
    <w:rsid w:val="009133D4"/>
    <w:rsid w:val="009136D9"/>
    <w:rsid w:val="00913F98"/>
    <w:rsid w:val="00914D25"/>
    <w:rsid w:val="00914D48"/>
    <w:rsid w:val="009150E8"/>
    <w:rsid w:val="00915512"/>
    <w:rsid w:val="00916223"/>
    <w:rsid w:val="009163A0"/>
    <w:rsid w:val="009165A9"/>
    <w:rsid w:val="0091696F"/>
    <w:rsid w:val="00916C99"/>
    <w:rsid w:val="00916EE9"/>
    <w:rsid w:val="00917159"/>
    <w:rsid w:val="0091719D"/>
    <w:rsid w:val="00917C84"/>
    <w:rsid w:val="00917D6B"/>
    <w:rsid w:val="00920FCF"/>
    <w:rsid w:val="0092119F"/>
    <w:rsid w:val="009218A2"/>
    <w:rsid w:val="0092191B"/>
    <w:rsid w:val="00921D86"/>
    <w:rsid w:val="00921FE8"/>
    <w:rsid w:val="0092241F"/>
    <w:rsid w:val="009224A3"/>
    <w:rsid w:val="009224B7"/>
    <w:rsid w:val="0092261B"/>
    <w:rsid w:val="00922E3B"/>
    <w:rsid w:val="00922FD8"/>
    <w:rsid w:val="009230B4"/>
    <w:rsid w:val="00923261"/>
    <w:rsid w:val="009233CC"/>
    <w:rsid w:val="00923509"/>
    <w:rsid w:val="00923551"/>
    <w:rsid w:val="00923633"/>
    <w:rsid w:val="00923651"/>
    <w:rsid w:val="00923C11"/>
    <w:rsid w:val="009240D8"/>
    <w:rsid w:val="009240FF"/>
    <w:rsid w:val="00924502"/>
    <w:rsid w:val="00924AA7"/>
    <w:rsid w:val="00924EC9"/>
    <w:rsid w:val="0092518C"/>
    <w:rsid w:val="0092523D"/>
    <w:rsid w:val="0092571D"/>
    <w:rsid w:val="0092586A"/>
    <w:rsid w:val="009259B7"/>
    <w:rsid w:val="00925EF6"/>
    <w:rsid w:val="00925F7F"/>
    <w:rsid w:val="009260FB"/>
    <w:rsid w:val="00926354"/>
    <w:rsid w:val="009264CA"/>
    <w:rsid w:val="00926F34"/>
    <w:rsid w:val="00927038"/>
    <w:rsid w:val="0092785A"/>
    <w:rsid w:val="0092789F"/>
    <w:rsid w:val="00927A08"/>
    <w:rsid w:val="00927F26"/>
    <w:rsid w:val="00927FCB"/>
    <w:rsid w:val="009303C3"/>
    <w:rsid w:val="0093066B"/>
    <w:rsid w:val="0093069F"/>
    <w:rsid w:val="00930745"/>
    <w:rsid w:val="00930812"/>
    <w:rsid w:val="00930948"/>
    <w:rsid w:val="00930A39"/>
    <w:rsid w:val="00930A74"/>
    <w:rsid w:val="00930B50"/>
    <w:rsid w:val="00930E1C"/>
    <w:rsid w:val="00930EA1"/>
    <w:rsid w:val="009310BF"/>
    <w:rsid w:val="009310EB"/>
    <w:rsid w:val="00931112"/>
    <w:rsid w:val="00931338"/>
    <w:rsid w:val="009316A4"/>
    <w:rsid w:val="0093176E"/>
    <w:rsid w:val="00931852"/>
    <w:rsid w:val="00931B5E"/>
    <w:rsid w:val="00932100"/>
    <w:rsid w:val="00932509"/>
    <w:rsid w:val="00932929"/>
    <w:rsid w:val="00932983"/>
    <w:rsid w:val="009329B0"/>
    <w:rsid w:val="009329B2"/>
    <w:rsid w:val="009332E2"/>
    <w:rsid w:val="00933817"/>
    <w:rsid w:val="00933A35"/>
    <w:rsid w:val="00933FE3"/>
    <w:rsid w:val="009348DC"/>
    <w:rsid w:val="00934B9E"/>
    <w:rsid w:val="00934EAC"/>
    <w:rsid w:val="009350E4"/>
    <w:rsid w:val="009354E5"/>
    <w:rsid w:val="00935753"/>
    <w:rsid w:val="009358B6"/>
    <w:rsid w:val="009359DF"/>
    <w:rsid w:val="00935A5A"/>
    <w:rsid w:val="00935D19"/>
    <w:rsid w:val="00935F92"/>
    <w:rsid w:val="0093603E"/>
    <w:rsid w:val="009360D7"/>
    <w:rsid w:val="009362C9"/>
    <w:rsid w:val="0093743C"/>
    <w:rsid w:val="00937498"/>
    <w:rsid w:val="00937509"/>
    <w:rsid w:val="0093753F"/>
    <w:rsid w:val="00937935"/>
    <w:rsid w:val="00937D38"/>
    <w:rsid w:val="00937E54"/>
    <w:rsid w:val="009404D7"/>
    <w:rsid w:val="009405A4"/>
    <w:rsid w:val="009407AA"/>
    <w:rsid w:val="00940AD1"/>
    <w:rsid w:val="00940E50"/>
    <w:rsid w:val="00940EEB"/>
    <w:rsid w:val="00941026"/>
    <w:rsid w:val="00941536"/>
    <w:rsid w:val="00941754"/>
    <w:rsid w:val="00941769"/>
    <w:rsid w:val="00941D13"/>
    <w:rsid w:val="00942058"/>
    <w:rsid w:val="0094218A"/>
    <w:rsid w:val="00942226"/>
    <w:rsid w:val="00942387"/>
    <w:rsid w:val="00942A1E"/>
    <w:rsid w:val="0094380C"/>
    <w:rsid w:val="0094385A"/>
    <w:rsid w:val="009438FE"/>
    <w:rsid w:val="00943AD9"/>
    <w:rsid w:val="00943AE3"/>
    <w:rsid w:val="00944236"/>
    <w:rsid w:val="00944614"/>
    <w:rsid w:val="00944959"/>
    <w:rsid w:val="00944EAE"/>
    <w:rsid w:val="0094517F"/>
    <w:rsid w:val="009451A4"/>
    <w:rsid w:val="0094553C"/>
    <w:rsid w:val="00945613"/>
    <w:rsid w:val="009457B0"/>
    <w:rsid w:val="00945D86"/>
    <w:rsid w:val="00945EF3"/>
    <w:rsid w:val="00946019"/>
    <w:rsid w:val="0094626F"/>
    <w:rsid w:val="009462D2"/>
    <w:rsid w:val="0094692B"/>
    <w:rsid w:val="00946A1D"/>
    <w:rsid w:val="009476AB"/>
    <w:rsid w:val="009479A6"/>
    <w:rsid w:val="00947E56"/>
    <w:rsid w:val="00950A20"/>
    <w:rsid w:val="00950CD5"/>
    <w:rsid w:val="00950D16"/>
    <w:rsid w:val="0095118D"/>
    <w:rsid w:val="0095144C"/>
    <w:rsid w:val="009515F4"/>
    <w:rsid w:val="0095165B"/>
    <w:rsid w:val="00951BD0"/>
    <w:rsid w:val="00952548"/>
    <w:rsid w:val="00952844"/>
    <w:rsid w:val="009531B5"/>
    <w:rsid w:val="00953825"/>
    <w:rsid w:val="009538C2"/>
    <w:rsid w:val="00953D79"/>
    <w:rsid w:val="00953D91"/>
    <w:rsid w:val="00954003"/>
    <w:rsid w:val="00954148"/>
    <w:rsid w:val="009542ED"/>
    <w:rsid w:val="0095434A"/>
    <w:rsid w:val="00954939"/>
    <w:rsid w:val="009553DD"/>
    <w:rsid w:val="0095554D"/>
    <w:rsid w:val="00955943"/>
    <w:rsid w:val="009559B8"/>
    <w:rsid w:val="00955AC4"/>
    <w:rsid w:val="00955DF3"/>
    <w:rsid w:val="00956139"/>
    <w:rsid w:val="0095654C"/>
    <w:rsid w:val="0095686C"/>
    <w:rsid w:val="00956C4E"/>
    <w:rsid w:val="0095751D"/>
    <w:rsid w:val="00957569"/>
    <w:rsid w:val="00957A77"/>
    <w:rsid w:val="00957D5A"/>
    <w:rsid w:val="00957D5D"/>
    <w:rsid w:val="0096002A"/>
    <w:rsid w:val="009608B3"/>
    <w:rsid w:val="00961623"/>
    <w:rsid w:val="009619B3"/>
    <w:rsid w:val="00961E08"/>
    <w:rsid w:val="00961F98"/>
    <w:rsid w:val="00961F9F"/>
    <w:rsid w:val="00961FF0"/>
    <w:rsid w:val="00962323"/>
    <w:rsid w:val="009626AC"/>
    <w:rsid w:val="0096297B"/>
    <w:rsid w:val="009633D7"/>
    <w:rsid w:val="009637F5"/>
    <w:rsid w:val="00963ACD"/>
    <w:rsid w:val="00963B85"/>
    <w:rsid w:val="00964723"/>
    <w:rsid w:val="00964A1C"/>
    <w:rsid w:val="00964A79"/>
    <w:rsid w:val="00964C14"/>
    <w:rsid w:val="00964CF1"/>
    <w:rsid w:val="009652D5"/>
    <w:rsid w:val="00966C16"/>
    <w:rsid w:val="00966D01"/>
    <w:rsid w:val="009673BF"/>
    <w:rsid w:val="0096761A"/>
    <w:rsid w:val="009677F8"/>
    <w:rsid w:val="0097014B"/>
    <w:rsid w:val="0097036B"/>
    <w:rsid w:val="0097054C"/>
    <w:rsid w:val="009705FE"/>
    <w:rsid w:val="00970910"/>
    <w:rsid w:val="00970C46"/>
    <w:rsid w:val="00970D1A"/>
    <w:rsid w:val="00970E55"/>
    <w:rsid w:val="00970EF1"/>
    <w:rsid w:val="00970F09"/>
    <w:rsid w:val="00970F7A"/>
    <w:rsid w:val="00971146"/>
    <w:rsid w:val="009713E2"/>
    <w:rsid w:val="009713EB"/>
    <w:rsid w:val="009717F0"/>
    <w:rsid w:val="0097198B"/>
    <w:rsid w:val="00971AA1"/>
    <w:rsid w:val="00971C3A"/>
    <w:rsid w:val="00971DC0"/>
    <w:rsid w:val="00972278"/>
    <w:rsid w:val="009723EC"/>
    <w:rsid w:val="009725F2"/>
    <w:rsid w:val="00972636"/>
    <w:rsid w:val="00972847"/>
    <w:rsid w:val="00972916"/>
    <w:rsid w:val="00972A9A"/>
    <w:rsid w:val="00972AFF"/>
    <w:rsid w:val="00972B99"/>
    <w:rsid w:val="009735FB"/>
    <w:rsid w:val="0097374B"/>
    <w:rsid w:val="00973C85"/>
    <w:rsid w:val="0097410D"/>
    <w:rsid w:val="0097429B"/>
    <w:rsid w:val="009746C6"/>
    <w:rsid w:val="009749F7"/>
    <w:rsid w:val="009757B3"/>
    <w:rsid w:val="00975B8C"/>
    <w:rsid w:val="0097600B"/>
    <w:rsid w:val="00976703"/>
    <w:rsid w:val="0097691F"/>
    <w:rsid w:val="009769C3"/>
    <w:rsid w:val="00977263"/>
    <w:rsid w:val="00977A34"/>
    <w:rsid w:val="00977D75"/>
    <w:rsid w:val="009809DC"/>
    <w:rsid w:val="00981126"/>
    <w:rsid w:val="0098193C"/>
    <w:rsid w:val="00981C05"/>
    <w:rsid w:val="00981E75"/>
    <w:rsid w:val="009821F9"/>
    <w:rsid w:val="00982435"/>
    <w:rsid w:val="00982559"/>
    <w:rsid w:val="00982627"/>
    <w:rsid w:val="00982719"/>
    <w:rsid w:val="00982745"/>
    <w:rsid w:val="0098307E"/>
    <w:rsid w:val="00983096"/>
    <w:rsid w:val="0098338D"/>
    <w:rsid w:val="00983A0F"/>
    <w:rsid w:val="00983C31"/>
    <w:rsid w:val="00983DFB"/>
    <w:rsid w:val="00983E7E"/>
    <w:rsid w:val="00983EF1"/>
    <w:rsid w:val="0098401C"/>
    <w:rsid w:val="009841C1"/>
    <w:rsid w:val="0098461A"/>
    <w:rsid w:val="00984A1E"/>
    <w:rsid w:val="00984E8C"/>
    <w:rsid w:val="00985121"/>
    <w:rsid w:val="0098513A"/>
    <w:rsid w:val="00985E04"/>
    <w:rsid w:val="009865DA"/>
    <w:rsid w:val="009866A4"/>
    <w:rsid w:val="00987008"/>
    <w:rsid w:val="00987347"/>
    <w:rsid w:val="009874D7"/>
    <w:rsid w:val="0098765E"/>
    <w:rsid w:val="00987A6D"/>
    <w:rsid w:val="00987BAC"/>
    <w:rsid w:val="00987BB1"/>
    <w:rsid w:val="00987C50"/>
    <w:rsid w:val="009900C6"/>
    <w:rsid w:val="00990169"/>
    <w:rsid w:val="009902F9"/>
    <w:rsid w:val="009905FF"/>
    <w:rsid w:val="00990672"/>
    <w:rsid w:val="00990CF1"/>
    <w:rsid w:val="00990D40"/>
    <w:rsid w:val="00990F98"/>
    <w:rsid w:val="00991675"/>
    <w:rsid w:val="00992008"/>
    <w:rsid w:val="009928FE"/>
    <w:rsid w:val="00992A0D"/>
    <w:rsid w:val="00992B05"/>
    <w:rsid w:val="00992BBD"/>
    <w:rsid w:val="00992BC7"/>
    <w:rsid w:val="00993387"/>
    <w:rsid w:val="00993EC9"/>
    <w:rsid w:val="00993F9C"/>
    <w:rsid w:val="00994540"/>
    <w:rsid w:val="0099478E"/>
    <w:rsid w:val="0099499F"/>
    <w:rsid w:val="00994B8D"/>
    <w:rsid w:val="0099513F"/>
    <w:rsid w:val="00995563"/>
    <w:rsid w:val="0099566F"/>
    <w:rsid w:val="00995D8B"/>
    <w:rsid w:val="00995F67"/>
    <w:rsid w:val="0099606C"/>
    <w:rsid w:val="00996409"/>
    <w:rsid w:val="00996499"/>
    <w:rsid w:val="009965BC"/>
    <w:rsid w:val="00996750"/>
    <w:rsid w:val="0099699D"/>
    <w:rsid w:val="009969D4"/>
    <w:rsid w:val="00996ACD"/>
    <w:rsid w:val="00996BB0"/>
    <w:rsid w:val="00996D00"/>
    <w:rsid w:val="00996D57"/>
    <w:rsid w:val="0099752F"/>
    <w:rsid w:val="00997B48"/>
    <w:rsid w:val="00997DED"/>
    <w:rsid w:val="009A0382"/>
    <w:rsid w:val="009A03DC"/>
    <w:rsid w:val="009A0481"/>
    <w:rsid w:val="009A058D"/>
    <w:rsid w:val="009A0FD4"/>
    <w:rsid w:val="009A1683"/>
    <w:rsid w:val="009A16C3"/>
    <w:rsid w:val="009A1C5A"/>
    <w:rsid w:val="009A2217"/>
    <w:rsid w:val="009A228E"/>
    <w:rsid w:val="009A2700"/>
    <w:rsid w:val="009A2C92"/>
    <w:rsid w:val="009A3215"/>
    <w:rsid w:val="009A33E4"/>
    <w:rsid w:val="009A34D9"/>
    <w:rsid w:val="009A35F7"/>
    <w:rsid w:val="009A3D6B"/>
    <w:rsid w:val="009A41A1"/>
    <w:rsid w:val="009A48BF"/>
    <w:rsid w:val="009A4A76"/>
    <w:rsid w:val="009A567A"/>
    <w:rsid w:val="009A6CF3"/>
    <w:rsid w:val="009A7199"/>
    <w:rsid w:val="009A74E4"/>
    <w:rsid w:val="009A76F7"/>
    <w:rsid w:val="009A7999"/>
    <w:rsid w:val="009B0134"/>
    <w:rsid w:val="009B0655"/>
    <w:rsid w:val="009B08A0"/>
    <w:rsid w:val="009B0E88"/>
    <w:rsid w:val="009B1804"/>
    <w:rsid w:val="009B1A42"/>
    <w:rsid w:val="009B1A57"/>
    <w:rsid w:val="009B2020"/>
    <w:rsid w:val="009B24F2"/>
    <w:rsid w:val="009B252F"/>
    <w:rsid w:val="009B2785"/>
    <w:rsid w:val="009B2DBA"/>
    <w:rsid w:val="009B3133"/>
    <w:rsid w:val="009B3504"/>
    <w:rsid w:val="009B366F"/>
    <w:rsid w:val="009B38BC"/>
    <w:rsid w:val="009B42DD"/>
    <w:rsid w:val="009B43BF"/>
    <w:rsid w:val="009B449D"/>
    <w:rsid w:val="009B4693"/>
    <w:rsid w:val="009B4A2D"/>
    <w:rsid w:val="009B4A90"/>
    <w:rsid w:val="009B4E71"/>
    <w:rsid w:val="009B540B"/>
    <w:rsid w:val="009B54E0"/>
    <w:rsid w:val="009B56F9"/>
    <w:rsid w:val="009B591D"/>
    <w:rsid w:val="009B5A07"/>
    <w:rsid w:val="009B5CD6"/>
    <w:rsid w:val="009B64D1"/>
    <w:rsid w:val="009B655D"/>
    <w:rsid w:val="009B6884"/>
    <w:rsid w:val="009B6BC6"/>
    <w:rsid w:val="009B6EAB"/>
    <w:rsid w:val="009B74D3"/>
    <w:rsid w:val="009B7516"/>
    <w:rsid w:val="009B757A"/>
    <w:rsid w:val="009B7890"/>
    <w:rsid w:val="009C0286"/>
    <w:rsid w:val="009C065D"/>
    <w:rsid w:val="009C09C4"/>
    <w:rsid w:val="009C0D78"/>
    <w:rsid w:val="009C1363"/>
    <w:rsid w:val="009C14A4"/>
    <w:rsid w:val="009C16B9"/>
    <w:rsid w:val="009C18B8"/>
    <w:rsid w:val="009C1B3C"/>
    <w:rsid w:val="009C1B99"/>
    <w:rsid w:val="009C1E01"/>
    <w:rsid w:val="009C1E0B"/>
    <w:rsid w:val="009C2259"/>
    <w:rsid w:val="009C26C9"/>
    <w:rsid w:val="009C2871"/>
    <w:rsid w:val="009C2EC7"/>
    <w:rsid w:val="009C2F02"/>
    <w:rsid w:val="009C32E4"/>
    <w:rsid w:val="009C442C"/>
    <w:rsid w:val="009C4851"/>
    <w:rsid w:val="009C4884"/>
    <w:rsid w:val="009C4A9D"/>
    <w:rsid w:val="009C4AD3"/>
    <w:rsid w:val="009C52A7"/>
    <w:rsid w:val="009C5421"/>
    <w:rsid w:val="009C56C2"/>
    <w:rsid w:val="009C57A4"/>
    <w:rsid w:val="009C5AFF"/>
    <w:rsid w:val="009C601F"/>
    <w:rsid w:val="009C62F8"/>
    <w:rsid w:val="009C73CB"/>
    <w:rsid w:val="009C7951"/>
    <w:rsid w:val="009C7B7D"/>
    <w:rsid w:val="009D03E1"/>
    <w:rsid w:val="009D057F"/>
    <w:rsid w:val="009D0581"/>
    <w:rsid w:val="009D07C3"/>
    <w:rsid w:val="009D0946"/>
    <w:rsid w:val="009D097D"/>
    <w:rsid w:val="009D09FF"/>
    <w:rsid w:val="009D0D3A"/>
    <w:rsid w:val="009D0F03"/>
    <w:rsid w:val="009D15C6"/>
    <w:rsid w:val="009D17B9"/>
    <w:rsid w:val="009D1A67"/>
    <w:rsid w:val="009D1ED1"/>
    <w:rsid w:val="009D1F69"/>
    <w:rsid w:val="009D2362"/>
    <w:rsid w:val="009D23F9"/>
    <w:rsid w:val="009D2788"/>
    <w:rsid w:val="009D38F7"/>
    <w:rsid w:val="009D3DD0"/>
    <w:rsid w:val="009D406F"/>
    <w:rsid w:val="009D545A"/>
    <w:rsid w:val="009D558A"/>
    <w:rsid w:val="009D5BCD"/>
    <w:rsid w:val="009D5BF0"/>
    <w:rsid w:val="009D5E81"/>
    <w:rsid w:val="009D6321"/>
    <w:rsid w:val="009D6606"/>
    <w:rsid w:val="009D669A"/>
    <w:rsid w:val="009D6B83"/>
    <w:rsid w:val="009D6B9B"/>
    <w:rsid w:val="009D6CDA"/>
    <w:rsid w:val="009D6D44"/>
    <w:rsid w:val="009D7225"/>
    <w:rsid w:val="009E00EA"/>
    <w:rsid w:val="009E01D7"/>
    <w:rsid w:val="009E02E3"/>
    <w:rsid w:val="009E037D"/>
    <w:rsid w:val="009E0593"/>
    <w:rsid w:val="009E0CC9"/>
    <w:rsid w:val="009E0F4D"/>
    <w:rsid w:val="009E1096"/>
    <w:rsid w:val="009E10AD"/>
    <w:rsid w:val="009E10D6"/>
    <w:rsid w:val="009E11F6"/>
    <w:rsid w:val="009E165F"/>
    <w:rsid w:val="009E1CCF"/>
    <w:rsid w:val="009E1F4C"/>
    <w:rsid w:val="009E1F85"/>
    <w:rsid w:val="009E22FA"/>
    <w:rsid w:val="009E2D9C"/>
    <w:rsid w:val="009E2E6B"/>
    <w:rsid w:val="009E3F46"/>
    <w:rsid w:val="009E3FA9"/>
    <w:rsid w:val="009E44DA"/>
    <w:rsid w:val="009E4744"/>
    <w:rsid w:val="009E47E0"/>
    <w:rsid w:val="009E4878"/>
    <w:rsid w:val="009E4CB5"/>
    <w:rsid w:val="009E4CBA"/>
    <w:rsid w:val="009E4EC9"/>
    <w:rsid w:val="009E4FA3"/>
    <w:rsid w:val="009E5542"/>
    <w:rsid w:val="009E58B0"/>
    <w:rsid w:val="009E5D00"/>
    <w:rsid w:val="009E5D5A"/>
    <w:rsid w:val="009E67F6"/>
    <w:rsid w:val="009E6876"/>
    <w:rsid w:val="009E6D30"/>
    <w:rsid w:val="009E6DB6"/>
    <w:rsid w:val="009E784E"/>
    <w:rsid w:val="009E7F68"/>
    <w:rsid w:val="009F0630"/>
    <w:rsid w:val="009F08AA"/>
    <w:rsid w:val="009F0984"/>
    <w:rsid w:val="009F0B36"/>
    <w:rsid w:val="009F1180"/>
    <w:rsid w:val="009F1758"/>
    <w:rsid w:val="009F1C84"/>
    <w:rsid w:val="009F2114"/>
    <w:rsid w:val="009F2262"/>
    <w:rsid w:val="009F28E2"/>
    <w:rsid w:val="009F299F"/>
    <w:rsid w:val="009F2C2D"/>
    <w:rsid w:val="009F3315"/>
    <w:rsid w:val="009F3377"/>
    <w:rsid w:val="009F3BCC"/>
    <w:rsid w:val="009F4171"/>
    <w:rsid w:val="009F42E8"/>
    <w:rsid w:val="009F441E"/>
    <w:rsid w:val="009F4583"/>
    <w:rsid w:val="009F47CE"/>
    <w:rsid w:val="009F4A66"/>
    <w:rsid w:val="009F4ADA"/>
    <w:rsid w:val="009F4BA8"/>
    <w:rsid w:val="009F5421"/>
    <w:rsid w:val="009F5858"/>
    <w:rsid w:val="009F60FA"/>
    <w:rsid w:val="009F6239"/>
    <w:rsid w:val="009F6658"/>
    <w:rsid w:val="009F6A0D"/>
    <w:rsid w:val="009F6BF2"/>
    <w:rsid w:val="009F6C05"/>
    <w:rsid w:val="009F7100"/>
    <w:rsid w:val="009F7294"/>
    <w:rsid w:val="009F734C"/>
    <w:rsid w:val="009F746A"/>
    <w:rsid w:val="009F7C9B"/>
    <w:rsid w:val="009F7D13"/>
    <w:rsid w:val="009F7E8C"/>
    <w:rsid w:val="009F7FA9"/>
    <w:rsid w:val="009F7FB3"/>
    <w:rsid w:val="00A00BA5"/>
    <w:rsid w:val="00A017A8"/>
    <w:rsid w:val="00A01AAD"/>
    <w:rsid w:val="00A01AC1"/>
    <w:rsid w:val="00A01B15"/>
    <w:rsid w:val="00A01BA3"/>
    <w:rsid w:val="00A01EAA"/>
    <w:rsid w:val="00A028E5"/>
    <w:rsid w:val="00A02F04"/>
    <w:rsid w:val="00A02FD1"/>
    <w:rsid w:val="00A0313B"/>
    <w:rsid w:val="00A03D76"/>
    <w:rsid w:val="00A03F67"/>
    <w:rsid w:val="00A04712"/>
    <w:rsid w:val="00A04CFA"/>
    <w:rsid w:val="00A04D9F"/>
    <w:rsid w:val="00A05069"/>
    <w:rsid w:val="00A050D7"/>
    <w:rsid w:val="00A0534B"/>
    <w:rsid w:val="00A0603E"/>
    <w:rsid w:val="00A0638A"/>
    <w:rsid w:val="00A069D1"/>
    <w:rsid w:val="00A06E2E"/>
    <w:rsid w:val="00A070B7"/>
    <w:rsid w:val="00A071D0"/>
    <w:rsid w:val="00A074B7"/>
    <w:rsid w:val="00A07991"/>
    <w:rsid w:val="00A079A5"/>
    <w:rsid w:val="00A07ACD"/>
    <w:rsid w:val="00A07B27"/>
    <w:rsid w:val="00A07D42"/>
    <w:rsid w:val="00A07F1F"/>
    <w:rsid w:val="00A1008B"/>
    <w:rsid w:val="00A104CE"/>
    <w:rsid w:val="00A106AC"/>
    <w:rsid w:val="00A1092B"/>
    <w:rsid w:val="00A10CDE"/>
    <w:rsid w:val="00A11350"/>
    <w:rsid w:val="00A1135A"/>
    <w:rsid w:val="00A11545"/>
    <w:rsid w:val="00A11A9E"/>
    <w:rsid w:val="00A11EAA"/>
    <w:rsid w:val="00A12DE8"/>
    <w:rsid w:val="00A12F1D"/>
    <w:rsid w:val="00A12FE0"/>
    <w:rsid w:val="00A139FC"/>
    <w:rsid w:val="00A13A89"/>
    <w:rsid w:val="00A13E76"/>
    <w:rsid w:val="00A14238"/>
    <w:rsid w:val="00A143E1"/>
    <w:rsid w:val="00A143F0"/>
    <w:rsid w:val="00A14598"/>
    <w:rsid w:val="00A14748"/>
    <w:rsid w:val="00A14887"/>
    <w:rsid w:val="00A14DE8"/>
    <w:rsid w:val="00A150BE"/>
    <w:rsid w:val="00A152E5"/>
    <w:rsid w:val="00A15BD1"/>
    <w:rsid w:val="00A15F04"/>
    <w:rsid w:val="00A15F6E"/>
    <w:rsid w:val="00A160A9"/>
    <w:rsid w:val="00A1680D"/>
    <w:rsid w:val="00A168D9"/>
    <w:rsid w:val="00A16CA1"/>
    <w:rsid w:val="00A16EA7"/>
    <w:rsid w:val="00A1716C"/>
    <w:rsid w:val="00A1749D"/>
    <w:rsid w:val="00A176FF"/>
    <w:rsid w:val="00A17CC1"/>
    <w:rsid w:val="00A210F3"/>
    <w:rsid w:val="00A21829"/>
    <w:rsid w:val="00A2190F"/>
    <w:rsid w:val="00A21962"/>
    <w:rsid w:val="00A21B20"/>
    <w:rsid w:val="00A21D6F"/>
    <w:rsid w:val="00A21DA9"/>
    <w:rsid w:val="00A21DDD"/>
    <w:rsid w:val="00A21EDD"/>
    <w:rsid w:val="00A22037"/>
    <w:rsid w:val="00A222CC"/>
    <w:rsid w:val="00A22BA1"/>
    <w:rsid w:val="00A23718"/>
    <w:rsid w:val="00A23764"/>
    <w:rsid w:val="00A237D4"/>
    <w:rsid w:val="00A238F3"/>
    <w:rsid w:val="00A23AB0"/>
    <w:rsid w:val="00A241A2"/>
    <w:rsid w:val="00A24949"/>
    <w:rsid w:val="00A2507A"/>
    <w:rsid w:val="00A25D3B"/>
    <w:rsid w:val="00A25E0F"/>
    <w:rsid w:val="00A266C5"/>
    <w:rsid w:val="00A26704"/>
    <w:rsid w:val="00A26B02"/>
    <w:rsid w:val="00A26B03"/>
    <w:rsid w:val="00A26C43"/>
    <w:rsid w:val="00A26D60"/>
    <w:rsid w:val="00A26E70"/>
    <w:rsid w:val="00A2712F"/>
    <w:rsid w:val="00A27303"/>
    <w:rsid w:val="00A27448"/>
    <w:rsid w:val="00A278DB"/>
    <w:rsid w:val="00A3020D"/>
    <w:rsid w:val="00A3052D"/>
    <w:rsid w:val="00A308B2"/>
    <w:rsid w:val="00A309C6"/>
    <w:rsid w:val="00A30BC0"/>
    <w:rsid w:val="00A30C55"/>
    <w:rsid w:val="00A30F98"/>
    <w:rsid w:val="00A3115A"/>
    <w:rsid w:val="00A313F8"/>
    <w:rsid w:val="00A31657"/>
    <w:rsid w:val="00A31734"/>
    <w:rsid w:val="00A31778"/>
    <w:rsid w:val="00A317A3"/>
    <w:rsid w:val="00A3187D"/>
    <w:rsid w:val="00A319DB"/>
    <w:rsid w:val="00A31C8F"/>
    <w:rsid w:val="00A3227D"/>
    <w:rsid w:val="00A326F2"/>
    <w:rsid w:val="00A3277F"/>
    <w:rsid w:val="00A32AFC"/>
    <w:rsid w:val="00A32E4E"/>
    <w:rsid w:val="00A33019"/>
    <w:rsid w:val="00A3301F"/>
    <w:rsid w:val="00A3303E"/>
    <w:rsid w:val="00A333F6"/>
    <w:rsid w:val="00A336E7"/>
    <w:rsid w:val="00A33BAE"/>
    <w:rsid w:val="00A33D3C"/>
    <w:rsid w:val="00A34001"/>
    <w:rsid w:val="00A3430F"/>
    <w:rsid w:val="00A3443F"/>
    <w:rsid w:val="00A34538"/>
    <w:rsid w:val="00A347CC"/>
    <w:rsid w:val="00A34882"/>
    <w:rsid w:val="00A349DD"/>
    <w:rsid w:val="00A34D12"/>
    <w:rsid w:val="00A354E8"/>
    <w:rsid w:val="00A3553E"/>
    <w:rsid w:val="00A357C1"/>
    <w:rsid w:val="00A358C4"/>
    <w:rsid w:val="00A35ACA"/>
    <w:rsid w:val="00A35B65"/>
    <w:rsid w:val="00A36400"/>
    <w:rsid w:val="00A3647F"/>
    <w:rsid w:val="00A36493"/>
    <w:rsid w:val="00A36842"/>
    <w:rsid w:val="00A36C43"/>
    <w:rsid w:val="00A36C9C"/>
    <w:rsid w:val="00A372A5"/>
    <w:rsid w:val="00A37574"/>
    <w:rsid w:val="00A40325"/>
    <w:rsid w:val="00A4089E"/>
    <w:rsid w:val="00A40FE5"/>
    <w:rsid w:val="00A4103C"/>
    <w:rsid w:val="00A4109C"/>
    <w:rsid w:val="00A415E6"/>
    <w:rsid w:val="00A41726"/>
    <w:rsid w:val="00A41B00"/>
    <w:rsid w:val="00A41D03"/>
    <w:rsid w:val="00A42026"/>
    <w:rsid w:val="00A427D6"/>
    <w:rsid w:val="00A42AF7"/>
    <w:rsid w:val="00A42BED"/>
    <w:rsid w:val="00A42D88"/>
    <w:rsid w:val="00A42EFE"/>
    <w:rsid w:val="00A4327B"/>
    <w:rsid w:val="00A43EF4"/>
    <w:rsid w:val="00A44066"/>
    <w:rsid w:val="00A445E5"/>
    <w:rsid w:val="00A44625"/>
    <w:rsid w:val="00A44C91"/>
    <w:rsid w:val="00A44CF3"/>
    <w:rsid w:val="00A44EA7"/>
    <w:rsid w:val="00A451A0"/>
    <w:rsid w:val="00A4542B"/>
    <w:rsid w:val="00A455A1"/>
    <w:rsid w:val="00A45D10"/>
    <w:rsid w:val="00A45DF1"/>
    <w:rsid w:val="00A45FF3"/>
    <w:rsid w:val="00A464C8"/>
    <w:rsid w:val="00A47281"/>
    <w:rsid w:val="00A4765F"/>
    <w:rsid w:val="00A47868"/>
    <w:rsid w:val="00A47B26"/>
    <w:rsid w:val="00A47D63"/>
    <w:rsid w:val="00A47ECE"/>
    <w:rsid w:val="00A50328"/>
    <w:rsid w:val="00A504C0"/>
    <w:rsid w:val="00A505DE"/>
    <w:rsid w:val="00A50CDF"/>
    <w:rsid w:val="00A50D3F"/>
    <w:rsid w:val="00A50D81"/>
    <w:rsid w:val="00A50D97"/>
    <w:rsid w:val="00A50DBB"/>
    <w:rsid w:val="00A5102B"/>
    <w:rsid w:val="00A51164"/>
    <w:rsid w:val="00A51818"/>
    <w:rsid w:val="00A51A3F"/>
    <w:rsid w:val="00A525F4"/>
    <w:rsid w:val="00A52822"/>
    <w:rsid w:val="00A52857"/>
    <w:rsid w:val="00A529E8"/>
    <w:rsid w:val="00A5314F"/>
    <w:rsid w:val="00A531BB"/>
    <w:rsid w:val="00A5327C"/>
    <w:rsid w:val="00A53A7F"/>
    <w:rsid w:val="00A53AE7"/>
    <w:rsid w:val="00A53F6A"/>
    <w:rsid w:val="00A54056"/>
    <w:rsid w:val="00A54439"/>
    <w:rsid w:val="00A549DA"/>
    <w:rsid w:val="00A558F9"/>
    <w:rsid w:val="00A55B2C"/>
    <w:rsid w:val="00A567DB"/>
    <w:rsid w:val="00A56AC9"/>
    <w:rsid w:val="00A56C71"/>
    <w:rsid w:val="00A5721C"/>
    <w:rsid w:val="00A57434"/>
    <w:rsid w:val="00A574FA"/>
    <w:rsid w:val="00A57899"/>
    <w:rsid w:val="00A57EB4"/>
    <w:rsid w:val="00A60563"/>
    <w:rsid w:val="00A60A26"/>
    <w:rsid w:val="00A60BB9"/>
    <w:rsid w:val="00A60CF4"/>
    <w:rsid w:val="00A611D9"/>
    <w:rsid w:val="00A61239"/>
    <w:rsid w:val="00A61446"/>
    <w:rsid w:val="00A6146C"/>
    <w:rsid w:val="00A614EB"/>
    <w:rsid w:val="00A614EC"/>
    <w:rsid w:val="00A6165A"/>
    <w:rsid w:val="00A61705"/>
    <w:rsid w:val="00A61E6C"/>
    <w:rsid w:val="00A61F47"/>
    <w:rsid w:val="00A62293"/>
    <w:rsid w:val="00A62781"/>
    <w:rsid w:val="00A62D5D"/>
    <w:rsid w:val="00A62DCC"/>
    <w:rsid w:val="00A62FC9"/>
    <w:rsid w:val="00A6304E"/>
    <w:rsid w:val="00A63410"/>
    <w:rsid w:val="00A63D22"/>
    <w:rsid w:val="00A63F85"/>
    <w:rsid w:val="00A64769"/>
    <w:rsid w:val="00A65106"/>
    <w:rsid w:val="00A654E7"/>
    <w:rsid w:val="00A6591E"/>
    <w:rsid w:val="00A65C97"/>
    <w:rsid w:val="00A65DAD"/>
    <w:rsid w:val="00A65E23"/>
    <w:rsid w:val="00A6608F"/>
    <w:rsid w:val="00A661CC"/>
    <w:rsid w:val="00A66234"/>
    <w:rsid w:val="00A6633A"/>
    <w:rsid w:val="00A66C65"/>
    <w:rsid w:val="00A66D34"/>
    <w:rsid w:val="00A66DE4"/>
    <w:rsid w:val="00A67215"/>
    <w:rsid w:val="00A67913"/>
    <w:rsid w:val="00A67969"/>
    <w:rsid w:val="00A67A73"/>
    <w:rsid w:val="00A67B22"/>
    <w:rsid w:val="00A67DAB"/>
    <w:rsid w:val="00A70D18"/>
    <w:rsid w:val="00A70FE5"/>
    <w:rsid w:val="00A7113E"/>
    <w:rsid w:val="00A714FB"/>
    <w:rsid w:val="00A716BA"/>
    <w:rsid w:val="00A71A6C"/>
    <w:rsid w:val="00A722A2"/>
    <w:rsid w:val="00A72432"/>
    <w:rsid w:val="00A73704"/>
    <w:rsid w:val="00A73E86"/>
    <w:rsid w:val="00A74064"/>
    <w:rsid w:val="00A74260"/>
    <w:rsid w:val="00A743F8"/>
    <w:rsid w:val="00A74599"/>
    <w:rsid w:val="00A7483E"/>
    <w:rsid w:val="00A748F0"/>
    <w:rsid w:val="00A74934"/>
    <w:rsid w:val="00A74B9B"/>
    <w:rsid w:val="00A74F50"/>
    <w:rsid w:val="00A750EE"/>
    <w:rsid w:val="00A75892"/>
    <w:rsid w:val="00A759D5"/>
    <w:rsid w:val="00A75A1F"/>
    <w:rsid w:val="00A766E4"/>
    <w:rsid w:val="00A766FF"/>
    <w:rsid w:val="00A76BFF"/>
    <w:rsid w:val="00A77C21"/>
    <w:rsid w:val="00A77D6D"/>
    <w:rsid w:val="00A8014C"/>
    <w:rsid w:val="00A808DB"/>
    <w:rsid w:val="00A80B2C"/>
    <w:rsid w:val="00A80B3C"/>
    <w:rsid w:val="00A80FF2"/>
    <w:rsid w:val="00A81252"/>
    <w:rsid w:val="00A81A94"/>
    <w:rsid w:val="00A81D28"/>
    <w:rsid w:val="00A81D45"/>
    <w:rsid w:val="00A8223B"/>
    <w:rsid w:val="00A82534"/>
    <w:rsid w:val="00A82948"/>
    <w:rsid w:val="00A82BA1"/>
    <w:rsid w:val="00A82C5B"/>
    <w:rsid w:val="00A8329D"/>
    <w:rsid w:val="00A8364E"/>
    <w:rsid w:val="00A83ACF"/>
    <w:rsid w:val="00A843C4"/>
    <w:rsid w:val="00A845F6"/>
    <w:rsid w:val="00A84D50"/>
    <w:rsid w:val="00A84E12"/>
    <w:rsid w:val="00A85346"/>
    <w:rsid w:val="00A85D0F"/>
    <w:rsid w:val="00A85EDA"/>
    <w:rsid w:val="00A86039"/>
    <w:rsid w:val="00A860BF"/>
    <w:rsid w:val="00A860F3"/>
    <w:rsid w:val="00A86C7B"/>
    <w:rsid w:val="00A86E2E"/>
    <w:rsid w:val="00A87332"/>
    <w:rsid w:val="00A878B9"/>
    <w:rsid w:val="00A87DD8"/>
    <w:rsid w:val="00A87FF6"/>
    <w:rsid w:val="00A90503"/>
    <w:rsid w:val="00A90B83"/>
    <w:rsid w:val="00A9108B"/>
    <w:rsid w:val="00A9119A"/>
    <w:rsid w:val="00A911F3"/>
    <w:rsid w:val="00A92037"/>
    <w:rsid w:val="00A927C2"/>
    <w:rsid w:val="00A9289F"/>
    <w:rsid w:val="00A92A30"/>
    <w:rsid w:val="00A93036"/>
    <w:rsid w:val="00A93636"/>
    <w:rsid w:val="00A93749"/>
    <w:rsid w:val="00A9396C"/>
    <w:rsid w:val="00A93DAA"/>
    <w:rsid w:val="00A9453E"/>
    <w:rsid w:val="00A949AE"/>
    <w:rsid w:val="00A94C15"/>
    <w:rsid w:val="00A94F3E"/>
    <w:rsid w:val="00A9501B"/>
    <w:rsid w:val="00A951CD"/>
    <w:rsid w:val="00A9522D"/>
    <w:rsid w:val="00A95300"/>
    <w:rsid w:val="00A956B1"/>
    <w:rsid w:val="00A95932"/>
    <w:rsid w:val="00A95A19"/>
    <w:rsid w:val="00A95D13"/>
    <w:rsid w:val="00A95DED"/>
    <w:rsid w:val="00A961DE"/>
    <w:rsid w:val="00A962F1"/>
    <w:rsid w:val="00A9663C"/>
    <w:rsid w:val="00A9681E"/>
    <w:rsid w:val="00A96A38"/>
    <w:rsid w:val="00A96E4B"/>
    <w:rsid w:val="00A97670"/>
    <w:rsid w:val="00A97948"/>
    <w:rsid w:val="00A97B74"/>
    <w:rsid w:val="00A97E96"/>
    <w:rsid w:val="00AA007A"/>
    <w:rsid w:val="00AA0235"/>
    <w:rsid w:val="00AA02FE"/>
    <w:rsid w:val="00AA0D6A"/>
    <w:rsid w:val="00AA0E8A"/>
    <w:rsid w:val="00AA12B3"/>
    <w:rsid w:val="00AA12C5"/>
    <w:rsid w:val="00AA1C89"/>
    <w:rsid w:val="00AA1E89"/>
    <w:rsid w:val="00AA255D"/>
    <w:rsid w:val="00AA274B"/>
    <w:rsid w:val="00AA353F"/>
    <w:rsid w:val="00AA35B4"/>
    <w:rsid w:val="00AA3603"/>
    <w:rsid w:val="00AA3B49"/>
    <w:rsid w:val="00AA3B57"/>
    <w:rsid w:val="00AA46F0"/>
    <w:rsid w:val="00AA4DB7"/>
    <w:rsid w:val="00AA4DD2"/>
    <w:rsid w:val="00AA4E64"/>
    <w:rsid w:val="00AA5069"/>
    <w:rsid w:val="00AA5443"/>
    <w:rsid w:val="00AA5CF6"/>
    <w:rsid w:val="00AA5F1A"/>
    <w:rsid w:val="00AA607B"/>
    <w:rsid w:val="00AA6586"/>
    <w:rsid w:val="00AA685A"/>
    <w:rsid w:val="00AA6C3C"/>
    <w:rsid w:val="00AA70FB"/>
    <w:rsid w:val="00AA7225"/>
    <w:rsid w:val="00AA73C3"/>
    <w:rsid w:val="00AA756E"/>
    <w:rsid w:val="00AA75F7"/>
    <w:rsid w:val="00AA7713"/>
    <w:rsid w:val="00AA7DB5"/>
    <w:rsid w:val="00AA7DEE"/>
    <w:rsid w:val="00AA7E3A"/>
    <w:rsid w:val="00AB067C"/>
    <w:rsid w:val="00AB073E"/>
    <w:rsid w:val="00AB0950"/>
    <w:rsid w:val="00AB0989"/>
    <w:rsid w:val="00AB0AAB"/>
    <w:rsid w:val="00AB13AF"/>
    <w:rsid w:val="00AB14AE"/>
    <w:rsid w:val="00AB14D7"/>
    <w:rsid w:val="00AB164D"/>
    <w:rsid w:val="00AB16B0"/>
    <w:rsid w:val="00AB1A13"/>
    <w:rsid w:val="00AB1D66"/>
    <w:rsid w:val="00AB240C"/>
    <w:rsid w:val="00AB24C5"/>
    <w:rsid w:val="00AB25BF"/>
    <w:rsid w:val="00AB29E8"/>
    <w:rsid w:val="00AB2E87"/>
    <w:rsid w:val="00AB3173"/>
    <w:rsid w:val="00AB31BC"/>
    <w:rsid w:val="00AB3D7C"/>
    <w:rsid w:val="00AB3F21"/>
    <w:rsid w:val="00AB3FBA"/>
    <w:rsid w:val="00AB424B"/>
    <w:rsid w:val="00AB47DC"/>
    <w:rsid w:val="00AB4E79"/>
    <w:rsid w:val="00AB4E9F"/>
    <w:rsid w:val="00AB506E"/>
    <w:rsid w:val="00AB5493"/>
    <w:rsid w:val="00AB54D6"/>
    <w:rsid w:val="00AB5666"/>
    <w:rsid w:val="00AB5CDF"/>
    <w:rsid w:val="00AB60E2"/>
    <w:rsid w:val="00AB63B3"/>
    <w:rsid w:val="00AB6B3F"/>
    <w:rsid w:val="00AB6E87"/>
    <w:rsid w:val="00AB6FFE"/>
    <w:rsid w:val="00AB7A2F"/>
    <w:rsid w:val="00AC00C4"/>
    <w:rsid w:val="00AC0529"/>
    <w:rsid w:val="00AC07DD"/>
    <w:rsid w:val="00AC0A1D"/>
    <w:rsid w:val="00AC0B0B"/>
    <w:rsid w:val="00AC0CE2"/>
    <w:rsid w:val="00AC126F"/>
    <w:rsid w:val="00AC1736"/>
    <w:rsid w:val="00AC190C"/>
    <w:rsid w:val="00AC1C55"/>
    <w:rsid w:val="00AC1D2B"/>
    <w:rsid w:val="00AC210F"/>
    <w:rsid w:val="00AC27FF"/>
    <w:rsid w:val="00AC2A31"/>
    <w:rsid w:val="00AC2AD1"/>
    <w:rsid w:val="00AC2F92"/>
    <w:rsid w:val="00AC3010"/>
    <w:rsid w:val="00AC315E"/>
    <w:rsid w:val="00AC319E"/>
    <w:rsid w:val="00AC328F"/>
    <w:rsid w:val="00AC35FD"/>
    <w:rsid w:val="00AC3685"/>
    <w:rsid w:val="00AC3D80"/>
    <w:rsid w:val="00AC3F70"/>
    <w:rsid w:val="00AC42ED"/>
    <w:rsid w:val="00AC446F"/>
    <w:rsid w:val="00AC460B"/>
    <w:rsid w:val="00AC4659"/>
    <w:rsid w:val="00AC48B8"/>
    <w:rsid w:val="00AC4BB9"/>
    <w:rsid w:val="00AC5B1B"/>
    <w:rsid w:val="00AC5D5A"/>
    <w:rsid w:val="00AC5D6E"/>
    <w:rsid w:val="00AC624F"/>
    <w:rsid w:val="00AC6BCD"/>
    <w:rsid w:val="00AC6BEE"/>
    <w:rsid w:val="00AC6C7E"/>
    <w:rsid w:val="00AC6F02"/>
    <w:rsid w:val="00AC6F7A"/>
    <w:rsid w:val="00AC71D8"/>
    <w:rsid w:val="00AC7665"/>
    <w:rsid w:val="00AC7812"/>
    <w:rsid w:val="00AC79CC"/>
    <w:rsid w:val="00AC7D5E"/>
    <w:rsid w:val="00AC7D89"/>
    <w:rsid w:val="00AD0326"/>
    <w:rsid w:val="00AD06BC"/>
    <w:rsid w:val="00AD09B3"/>
    <w:rsid w:val="00AD0CF7"/>
    <w:rsid w:val="00AD129A"/>
    <w:rsid w:val="00AD1C47"/>
    <w:rsid w:val="00AD21A1"/>
    <w:rsid w:val="00AD222C"/>
    <w:rsid w:val="00AD2294"/>
    <w:rsid w:val="00AD2AC9"/>
    <w:rsid w:val="00AD30A0"/>
    <w:rsid w:val="00AD34F4"/>
    <w:rsid w:val="00AD353F"/>
    <w:rsid w:val="00AD386C"/>
    <w:rsid w:val="00AD3A37"/>
    <w:rsid w:val="00AD3F5E"/>
    <w:rsid w:val="00AD3FC6"/>
    <w:rsid w:val="00AD47E6"/>
    <w:rsid w:val="00AD494E"/>
    <w:rsid w:val="00AD4BE5"/>
    <w:rsid w:val="00AD4ED4"/>
    <w:rsid w:val="00AD50AD"/>
    <w:rsid w:val="00AD516A"/>
    <w:rsid w:val="00AD5A30"/>
    <w:rsid w:val="00AD5EEC"/>
    <w:rsid w:val="00AD5F24"/>
    <w:rsid w:val="00AD5FE2"/>
    <w:rsid w:val="00AD6131"/>
    <w:rsid w:val="00AD66BE"/>
    <w:rsid w:val="00AD675E"/>
    <w:rsid w:val="00AD69F3"/>
    <w:rsid w:val="00AD6AD3"/>
    <w:rsid w:val="00AD6D52"/>
    <w:rsid w:val="00AD6E42"/>
    <w:rsid w:val="00AD722A"/>
    <w:rsid w:val="00AD7286"/>
    <w:rsid w:val="00AD7F4A"/>
    <w:rsid w:val="00AD7FE9"/>
    <w:rsid w:val="00AE0356"/>
    <w:rsid w:val="00AE04BC"/>
    <w:rsid w:val="00AE0961"/>
    <w:rsid w:val="00AE09FB"/>
    <w:rsid w:val="00AE0A2D"/>
    <w:rsid w:val="00AE0B90"/>
    <w:rsid w:val="00AE1529"/>
    <w:rsid w:val="00AE1B01"/>
    <w:rsid w:val="00AE28E4"/>
    <w:rsid w:val="00AE2AF7"/>
    <w:rsid w:val="00AE2B5B"/>
    <w:rsid w:val="00AE309D"/>
    <w:rsid w:val="00AE313D"/>
    <w:rsid w:val="00AE3455"/>
    <w:rsid w:val="00AE3739"/>
    <w:rsid w:val="00AE3A1E"/>
    <w:rsid w:val="00AE3AA3"/>
    <w:rsid w:val="00AE3D37"/>
    <w:rsid w:val="00AE4395"/>
    <w:rsid w:val="00AE4673"/>
    <w:rsid w:val="00AE4AC3"/>
    <w:rsid w:val="00AE571D"/>
    <w:rsid w:val="00AE578C"/>
    <w:rsid w:val="00AE5F32"/>
    <w:rsid w:val="00AE5F4E"/>
    <w:rsid w:val="00AE6898"/>
    <w:rsid w:val="00AE68F7"/>
    <w:rsid w:val="00AE69A7"/>
    <w:rsid w:val="00AE69E3"/>
    <w:rsid w:val="00AE6CD0"/>
    <w:rsid w:val="00AE734F"/>
    <w:rsid w:val="00AE7661"/>
    <w:rsid w:val="00AE7F77"/>
    <w:rsid w:val="00AF0308"/>
    <w:rsid w:val="00AF067A"/>
    <w:rsid w:val="00AF07B2"/>
    <w:rsid w:val="00AF109E"/>
    <w:rsid w:val="00AF12C6"/>
    <w:rsid w:val="00AF18AB"/>
    <w:rsid w:val="00AF1A2D"/>
    <w:rsid w:val="00AF2656"/>
    <w:rsid w:val="00AF294A"/>
    <w:rsid w:val="00AF2C0B"/>
    <w:rsid w:val="00AF2DBC"/>
    <w:rsid w:val="00AF2FCC"/>
    <w:rsid w:val="00AF300E"/>
    <w:rsid w:val="00AF3824"/>
    <w:rsid w:val="00AF3D60"/>
    <w:rsid w:val="00AF3DFE"/>
    <w:rsid w:val="00AF3E8F"/>
    <w:rsid w:val="00AF4019"/>
    <w:rsid w:val="00AF4170"/>
    <w:rsid w:val="00AF4DBF"/>
    <w:rsid w:val="00AF4FD5"/>
    <w:rsid w:val="00AF57E0"/>
    <w:rsid w:val="00AF5A7E"/>
    <w:rsid w:val="00AF5ACD"/>
    <w:rsid w:val="00AF6110"/>
    <w:rsid w:val="00AF6226"/>
    <w:rsid w:val="00AF63E9"/>
    <w:rsid w:val="00AF6425"/>
    <w:rsid w:val="00AF646E"/>
    <w:rsid w:val="00AF685D"/>
    <w:rsid w:val="00AF6AC6"/>
    <w:rsid w:val="00AF7095"/>
    <w:rsid w:val="00AF70D8"/>
    <w:rsid w:val="00AF719C"/>
    <w:rsid w:val="00AF71C9"/>
    <w:rsid w:val="00AF72E9"/>
    <w:rsid w:val="00AF7D99"/>
    <w:rsid w:val="00AF7E82"/>
    <w:rsid w:val="00B00014"/>
    <w:rsid w:val="00B00611"/>
    <w:rsid w:val="00B013E3"/>
    <w:rsid w:val="00B01F1F"/>
    <w:rsid w:val="00B02141"/>
    <w:rsid w:val="00B02B88"/>
    <w:rsid w:val="00B02DD8"/>
    <w:rsid w:val="00B03037"/>
    <w:rsid w:val="00B0334E"/>
    <w:rsid w:val="00B03484"/>
    <w:rsid w:val="00B03719"/>
    <w:rsid w:val="00B03A5A"/>
    <w:rsid w:val="00B03A82"/>
    <w:rsid w:val="00B03CED"/>
    <w:rsid w:val="00B04354"/>
    <w:rsid w:val="00B0461C"/>
    <w:rsid w:val="00B04663"/>
    <w:rsid w:val="00B048DB"/>
    <w:rsid w:val="00B049C5"/>
    <w:rsid w:val="00B04FD7"/>
    <w:rsid w:val="00B05316"/>
    <w:rsid w:val="00B05686"/>
    <w:rsid w:val="00B06224"/>
    <w:rsid w:val="00B06426"/>
    <w:rsid w:val="00B065B9"/>
    <w:rsid w:val="00B0684A"/>
    <w:rsid w:val="00B06BA4"/>
    <w:rsid w:val="00B06BDC"/>
    <w:rsid w:val="00B06C9E"/>
    <w:rsid w:val="00B0770C"/>
    <w:rsid w:val="00B07D14"/>
    <w:rsid w:val="00B07DB8"/>
    <w:rsid w:val="00B10118"/>
    <w:rsid w:val="00B101C7"/>
    <w:rsid w:val="00B101E6"/>
    <w:rsid w:val="00B10367"/>
    <w:rsid w:val="00B10737"/>
    <w:rsid w:val="00B10D0C"/>
    <w:rsid w:val="00B10D51"/>
    <w:rsid w:val="00B10D6B"/>
    <w:rsid w:val="00B11706"/>
    <w:rsid w:val="00B11B7E"/>
    <w:rsid w:val="00B11BAA"/>
    <w:rsid w:val="00B11BCB"/>
    <w:rsid w:val="00B11D09"/>
    <w:rsid w:val="00B11E11"/>
    <w:rsid w:val="00B11E5A"/>
    <w:rsid w:val="00B1232A"/>
    <w:rsid w:val="00B13013"/>
    <w:rsid w:val="00B130FC"/>
    <w:rsid w:val="00B1325A"/>
    <w:rsid w:val="00B1372B"/>
    <w:rsid w:val="00B13C94"/>
    <w:rsid w:val="00B13DCB"/>
    <w:rsid w:val="00B14BB1"/>
    <w:rsid w:val="00B154F0"/>
    <w:rsid w:val="00B157A5"/>
    <w:rsid w:val="00B157B6"/>
    <w:rsid w:val="00B15B1B"/>
    <w:rsid w:val="00B15BA3"/>
    <w:rsid w:val="00B15BAF"/>
    <w:rsid w:val="00B15DFC"/>
    <w:rsid w:val="00B15ED6"/>
    <w:rsid w:val="00B160CA"/>
    <w:rsid w:val="00B16126"/>
    <w:rsid w:val="00B16420"/>
    <w:rsid w:val="00B164E0"/>
    <w:rsid w:val="00B16BCB"/>
    <w:rsid w:val="00B16D7F"/>
    <w:rsid w:val="00B17D28"/>
    <w:rsid w:val="00B17FBC"/>
    <w:rsid w:val="00B20C13"/>
    <w:rsid w:val="00B20CCB"/>
    <w:rsid w:val="00B22135"/>
    <w:rsid w:val="00B22173"/>
    <w:rsid w:val="00B221B5"/>
    <w:rsid w:val="00B2234B"/>
    <w:rsid w:val="00B223EF"/>
    <w:rsid w:val="00B2283A"/>
    <w:rsid w:val="00B2324E"/>
    <w:rsid w:val="00B238E4"/>
    <w:rsid w:val="00B23A6B"/>
    <w:rsid w:val="00B23C92"/>
    <w:rsid w:val="00B243B0"/>
    <w:rsid w:val="00B2462E"/>
    <w:rsid w:val="00B2484E"/>
    <w:rsid w:val="00B249FC"/>
    <w:rsid w:val="00B24CE9"/>
    <w:rsid w:val="00B25147"/>
    <w:rsid w:val="00B254B8"/>
    <w:rsid w:val="00B259DE"/>
    <w:rsid w:val="00B25C8C"/>
    <w:rsid w:val="00B268A9"/>
    <w:rsid w:val="00B27212"/>
    <w:rsid w:val="00B27740"/>
    <w:rsid w:val="00B27975"/>
    <w:rsid w:val="00B27FC2"/>
    <w:rsid w:val="00B30E90"/>
    <w:rsid w:val="00B31035"/>
    <w:rsid w:val="00B31552"/>
    <w:rsid w:val="00B317E7"/>
    <w:rsid w:val="00B31A96"/>
    <w:rsid w:val="00B31C0F"/>
    <w:rsid w:val="00B328AA"/>
    <w:rsid w:val="00B32B64"/>
    <w:rsid w:val="00B32FB1"/>
    <w:rsid w:val="00B338FB"/>
    <w:rsid w:val="00B33A0F"/>
    <w:rsid w:val="00B33A57"/>
    <w:rsid w:val="00B34083"/>
    <w:rsid w:val="00B34226"/>
    <w:rsid w:val="00B34744"/>
    <w:rsid w:val="00B347BB"/>
    <w:rsid w:val="00B34BD6"/>
    <w:rsid w:val="00B34C57"/>
    <w:rsid w:val="00B34F90"/>
    <w:rsid w:val="00B34FFF"/>
    <w:rsid w:val="00B35056"/>
    <w:rsid w:val="00B3514C"/>
    <w:rsid w:val="00B35392"/>
    <w:rsid w:val="00B35BC4"/>
    <w:rsid w:val="00B36704"/>
    <w:rsid w:val="00B3678D"/>
    <w:rsid w:val="00B3693B"/>
    <w:rsid w:val="00B36C36"/>
    <w:rsid w:val="00B37514"/>
    <w:rsid w:val="00B37728"/>
    <w:rsid w:val="00B37935"/>
    <w:rsid w:val="00B37E37"/>
    <w:rsid w:val="00B37E88"/>
    <w:rsid w:val="00B4020A"/>
    <w:rsid w:val="00B404C4"/>
    <w:rsid w:val="00B40949"/>
    <w:rsid w:val="00B41288"/>
    <w:rsid w:val="00B41B52"/>
    <w:rsid w:val="00B4291E"/>
    <w:rsid w:val="00B42ADE"/>
    <w:rsid w:val="00B42EA7"/>
    <w:rsid w:val="00B432C6"/>
    <w:rsid w:val="00B4338B"/>
    <w:rsid w:val="00B435E3"/>
    <w:rsid w:val="00B43827"/>
    <w:rsid w:val="00B43B1E"/>
    <w:rsid w:val="00B43C7F"/>
    <w:rsid w:val="00B43E60"/>
    <w:rsid w:val="00B43EEA"/>
    <w:rsid w:val="00B44205"/>
    <w:rsid w:val="00B444AF"/>
    <w:rsid w:val="00B449E9"/>
    <w:rsid w:val="00B44F50"/>
    <w:rsid w:val="00B44F9C"/>
    <w:rsid w:val="00B450AB"/>
    <w:rsid w:val="00B45373"/>
    <w:rsid w:val="00B4541C"/>
    <w:rsid w:val="00B45702"/>
    <w:rsid w:val="00B458E7"/>
    <w:rsid w:val="00B45C64"/>
    <w:rsid w:val="00B45DB8"/>
    <w:rsid w:val="00B46207"/>
    <w:rsid w:val="00B466F6"/>
    <w:rsid w:val="00B4678F"/>
    <w:rsid w:val="00B46A32"/>
    <w:rsid w:val="00B46B29"/>
    <w:rsid w:val="00B46EF4"/>
    <w:rsid w:val="00B46FE3"/>
    <w:rsid w:val="00B47298"/>
    <w:rsid w:val="00B476E0"/>
    <w:rsid w:val="00B47896"/>
    <w:rsid w:val="00B47954"/>
    <w:rsid w:val="00B47BF7"/>
    <w:rsid w:val="00B47C01"/>
    <w:rsid w:val="00B50765"/>
    <w:rsid w:val="00B50A40"/>
    <w:rsid w:val="00B50E9E"/>
    <w:rsid w:val="00B51177"/>
    <w:rsid w:val="00B51B18"/>
    <w:rsid w:val="00B51D59"/>
    <w:rsid w:val="00B51E78"/>
    <w:rsid w:val="00B5230B"/>
    <w:rsid w:val="00B528DF"/>
    <w:rsid w:val="00B5299E"/>
    <w:rsid w:val="00B529FF"/>
    <w:rsid w:val="00B52ABC"/>
    <w:rsid w:val="00B52BE4"/>
    <w:rsid w:val="00B52E18"/>
    <w:rsid w:val="00B53547"/>
    <w:rsid w:val="00B53597"/>
    <w:rsid w:val="00B53784"/>
    <w:rsid w:val="00B537EF"/>
    <w:rsid w:val="00B54690"/>
    <w:rsid w:val="00B5494B"/>
    <w:rsid w:val="00B54A2D"/>
    <w:rsid w:val="00B54C75"/>
    <w:rsid w:val="00B550D8"/>
    <w:rsid w:val="00B55114"/>
    <w:rsid w:val="00B5524F"/>
    <w:rsid w:val="00B55322"/>
    <w:rsid w:val="00B55D3E"/>
    <w:rsid w:val="00B56F38"/>
    <w:rsid w:val="00B5711C"/>
    <w:rsid w:val="00B57642"/>
    <w:rsid w:val="00B5791A"/>
    <w:rsid w:val="00B57921"/>
    <w:rsid w:val="00B57938"/>
    <w:rsid w:val="00B57B8D"/>
    <w:rsid w:val="00B60122"/>
    <w:rsid w:val="00B60BF9"/>
    <w:rsid w:val="00B610F4"/>
    <w:rsid w:val="00B613B9"/>
    <w:rsid w:val="00B6141E"/>
    <w:rsid w:val="00B61619"/>
    <w:rsid w:val="00B619F4"/>
    <w:rsid w:val="00B61A01"/>
    <w:rsid w:val="00B61F4E"/>
    <w:rsid w:val="00B62590"/>
    <w:rsid w:val="00B626C0"/>
    <w:rsid w:val="00B62700"/>
    <w:rsid w:val="00B62F20"/>
    <w:rsid w:val="00B6327D"/>
    <w:rsid w:val="00B632FF"/>
    <w:rsid w:val="00B6393A"/>
    <w:rsid w:val="00B63970"/>
    <w:rsid w:val="00B646A9"/>
    <w:rsid w:val="00B64AA0"/>
    <w:rsid w:val="00B64C7F"/>
    <w:rsid w:val="00B651B5"/>
    <w:rsid w:val="00B65904"/>
    <w:rsid w:val="00B65AF3"/>
    <w:rsid w:val="00B6634B"/>
    <w:rsid w:val="00B66381"/>
    <w:rsid w:val="00B663F1"/>
    <w:rsid w:val="00B6684C"/>
    <w:rsid w:val="00B670BA"/>
    <w:rsid w:val="00B67271"/>
    <w:rsid w:val="00B6729F"/>
    <w:rsid w:val="00B676E1"/>
    <w:rsid w:val="00B7006C"/>
    <w:rsid w:val="00B706E2"/>
    <w:rsid w:val="00B70A8C"/>
    <w:rsid w:val="00B720D4"/>
    <w:rsid w:val="00B721B4"/>
    <w:rsid w:val="00B7222D"/>
    <w:rsid w:val="00B7267A"/>
    <w:rsid w:val="00B72988"/>
    <w:rsid w:val="00B730C2"/>
    <w:rsid w:val="00B7361F"/>
    <w:rsid w:val="00B73788"/>
    <w:rsid w:val="00B742DF"/>
    <w:rsid w:val="00B74BA0"/>
    <w:rsid w:val="00B74E9A"/>
    <w:rsid w:val="00B754A4"/>
    <w:rsid w:val="00B755ED"/>
    <w:rsid w:val="00B75608"/>
    <w:rsid w:val="00B75682"/>
    <w:rsid w:val="00B757F1"/>
    <w:rsid w:val="00B759AA"/>
    <w:rsid w:val="00B75B4F"/>
    <w:rsid w:val="00B75DB8"/>
    <w:rsid w:val="00B760B4"/>
    <w:rsid w:val="00B76292"/>
    <w:rsid w:val="00B76535"/>
    <w:rsid w:val="00B766B0"/>
    <w:rsid w:val="00B768C2"/>
    <w:rsid w:val="00B76BDD"/>
    <w:rsid w:val="00B76C7B"/>
    <w:rsid w:val="00B76D3B"/>
    <w:rsid w:val="00B76DBB"/>
    <w:rsid w:val="00B77B49"/>
    <w:rsid w:val="00B77BBF"/>
    <w:rsid w:val="00B77D2C"/>
    <w:rsid w:val="00B77F1D"/>
    <w:rsid w:val="00B77F57"/>
    <w:rsid w:val="00B8048B"/>
    <w:rsid w:val="00B80772"/>
    <w:rsid w:val="00B80B50"/>
    <w:rsid w:val="00B812BB"/>
    <w:rsid w:val="00B81389"/>
    <w:rsid w:val="00B81AA6"/>
    <w:rsid w:val="00B81C48"/>
    <w:rsid w:val="00B81F24"/>
    <w:rsid w:val="00B823A7"/>
    <w:rsid w:val="00B82567"/>
    <w:rsid w:val="00B82627"/>
    <w:rsid w:val="00B82D02"/>
    <w:rsid w:val="00B83298"/>
    <w:rsid w:val="00B83403"/>
    <w:rsid w:val="00B8358F"/>
    <w:rsid w:val="00B83A4B"/>
    <w:rsid w:val="00B84331"/>
    <w:rsid w:val="00B84913"/>
    <w:rsid w:val="00B84A8E"/>
    <w:rsid w:val="00B84B30"/>
    <w:rsid w:val="00B84B6C"/>
    <w:rsid w:val="00B84DB6"/>
    <w:rsid w:val="00B84EED"/>
    <w:rsid w:val="00B84F29"/>
    <w:rsid w:val="00B85271"/>
    <w:rsid w:val="00B8528E"/>
    <w:rsid w:val="00B85B5C"/>
    <w:rsid w:val="00B8624B"/>
    <w:rsid w:val="00B86804"/>
    <w:rsid w:val="00B8693B"/>
    <w:rsid w:val="00B86978"/>
    <w:rsid w:val="00B86AF9"/>
    <w:rsid w:val="00B871F0"/>
    <w:rsid w:val="00B87403"/>
    <w:rsid w:val="00B8751C"/>
    <w:rsid w:val="00B87802"/>
    <w:rsid w:val="00B878BC"/>
    <w:rsid w:val="00B87951"/>
    <w:rsid w:val="00B879CE"/>
    <w:rsid w:val="00B87BCE"/>
    <w:rsid w:val="00B90A0B"/>
    <w:rsid w:val="00B90AA7"/>
    <w:rsid w:val="00B90D03"/>
    <w:rsid w:val="00B9137B"/>
    <w:rsid w:val="00B91453"/>
    <w:rsid w:val="00B91A26"/>
    <w:rsid w:val="00B9230F"/>
    <w:rsid w:val="00B923CA"/>
    <w:rsid w:val="00B925CD"/>
    <w:rsid w:val="00B92825"/>
    <w:rsid w:val="00B92B39"/>
    <w:rsid w:val="00B93311"/>
    <w:rsid w:val="00B93798"/>
    <w:rsid w:val="00B937BA"/>
    <w:rsid w:val="00B93809"/>
    <w:rsid w:val="00B938DC"/>
    <w:rsid w:val="00B940D0"/>
    <w:rsid w:val="00B941ED"/>
    <w:rsid w:val="00B94335"/>
    <w:rsid w:val="00B944A0"/>
    <w:rsid w:val="00B94569"/>
    <w:rsid w:val="00B94879"/>
    <w:rsid w:val="00B94887"/>
    <w:rsid w:val="00B94D92"/>
    <w:rsid w:val="00B95273"/>
    <w:rsid w:val="00B957B9"/>
    <w:rsid w:val="00B95AD0"/>
    <w:rsid w:val="00B95FBC"/>
    <w:rsid w:val="00B9655A"/>
    <w:rsid w:val="00B96777"/>
    <w:rsid w:val="00B96A15"/>
    <w:rsid w:val="00B96C94"/>
    <w:rsid w:val="00B96CDE"/>
    <w:rsid w:val="00B96E12"/>
    <w:rsid w:val="00B97943"/>
    <w:rsid w:val="00B979EE"/>
    <w:rsid w:val="00B97A8A"/>
    <w:rsid w:val="00B97ACA"/>
    <w:rsid w:val="00B97AD7"/>
    <w:rsid w:val="00BA0002"/>
    <w:rsid w:val="00BA0033"/>
    <w:rsid w:val="00BA012A"/>
    <w:rsid w:val="00BA0152"/>
    <w:rsid w:val="00BA0B59"/>
    <w:rsid w:val="00BA0D13"/>
    <w:rsid w:val="00BA0FC7"/>
    <w:rsid w:val="00BA12A2"/>
    <w:rsid w:val="00BA168B"/>
    <w:rsid w:val="00BA17DE"/>
    <w:rsid w:val="00BA1810"/>
    <w:rsid w:val="00BA18C8"/>
    <w:rsid w:val="00BA206E"/>
    <w:rsid w:val="00BA230D"/>
    <w:rsid w:val="00BA23CC"/>
    <w:rsid w:val="00BA24E0"/>
    <w:rsid w:val="00BA24EC"/>
    <w:rsid w:val="00BA2837"/>
    <w:rsid w:val="00BA2952"/>
    <w:rsid w:val="00BA2C95"/>
    <w:rsid w:val="00BA2F9B"/>
    <w:rsid w:val="00BA303A"/>
    <w:rsid w:val="00BA32B2"/>
    <w:rsid w:val="00BA3359"/>
    <w:rsid w:val="00BA35C7"/>
    <w:rsid w:val="00BA3717"/>
    <w:rsid w:val="00BA386D"/>
    <w:rsid w:val="00BA38F6"/>
    <w:rsid w:val="00BA3DA3"/>
    <w:rsid w:val="00BA40EA"/>
    <w:rsid w:val="00BA4C59"/>
    <w:rsid w:val="00BA4C9E"/>
    <w:rsid w:val="00BA4EC4"/>
    <w:rsid w:val="00BA55A6"/>
    <w:rsid w:val="00BA56C3"/>
    <w:rsid w:val="00BA5DD3"/>
    <w:rsid w:val="00BA60C8"/>
    <w:rsid w:val="00BA659D"/>
    <w:rsid w:val="00BA65E5"/>
    <w:rsid w:val="00BA68D1"/>
    <w:rsid w:val="00BA6CEE"/>
    <w:rsid w:val="00BA70B4"/>
    <w:rsid w:val="00BA75E4"/>
    <w:rsid w:val="00BA7903"/>
    <w:rsid w:val="00BA7A62"/>
    <w:rsid w:val="00BA7D37"/>
    <w:rsid w:val="00BA7DB3"/>
    <w:rsid w:val="00BB0386"/>
    <w:rsid w:val="00BB09DF"/>
    <w:rsid w:val="00BB0D58"/>
    <w:rsid w:val="00BB0F75"/>
    <w:rsid w:val="00BB128A"/>
    <w:rsid w:val="00BB13D3"/>
    <w:rsid w:val="00BB1B43"/>
    <w:rsid w:val="00BB1B4C"/>
    <w:rsid w:val="00BB2028"/>
    <w:rsid w:val="00BB210A"/>
    <w:rsid w:val="00BB23CE"/>
    <w:rsid w:val="00BB2ACB"/>
    <w:rsid w:val="00BB2B29"/>
    <w:rsid w:val="00BB2BBC"/>
    <w:rsid w:val="00BB36E3"/>
    <w:rsid w:val="00BB3FC5"/>
    <w:rsid w:val="00BB4226"/>
    <w:rsid w:val="00BB4456"/>
    <w:rsid w:val="00BB4627"/>
    <w:rsid w:val="00BB48D2"/>
    <w:rsid w:val="00BB4A61"/>
    <w:rsid w:val="00BB4BCA"/>
    <w:rsid w:val="00BB4C11"/>
    <w:rsid w:val="00BB551D"/>
    <w:rsid w:val="00BB5D8E"/>
    <w:rsid w:val="00BB60A2"/>
    <w:rsid w:val="00BB6281"/>
    <w:rsid w:val="00BB64D6"/>
    <w:rsid w:val="00BB6B54"/>
    <w:rsid w:val="00BB702E"/>
    <w:rsid w:val="00BB7751"/>
    <w:rsid w:val="00BB7B9C"/>
    <w:rsid w:val="00BC09FB"/>
    <w:rsid w:val="00BC0A2C"/>
    <w:rsid w:val="00BC0A61"/>
    <w:rsid w:val="00BC0C95"/>
    <w:rsid w:val="00BC1E27"/>
    <w:rsid w:val="00BC2098"/>
    <w:rsid w:val="00BC20C8"/>
    <w:rsid w:val="00BC24D8"/>
    <w:rsid w:val="00BC2605"/>
    <w:rsid w:val="00BC2790"/>
    <w:rsid w:val="00BC28D1"/>
    <w:rsid w:val="00BC2B3B"/>
    <w:rsid w:val="00BC2B7D"/>
    <w:rsid w:val="00BC2EFC"/>
    <w:rsid w:val="00BC30E2"/>
    <w:rsid w:val="00BC31AA"/>
    <w:rsid w:val="00BC3232"/>
    <w:rsid w:val="00BC36A7"/>
    <w:rsid w:val="00BC39FC"/>
    <w:rsid w:val="00BC3A6A"/>
    <w:rsid w:val="00BC4008"/>
    <w:rsid w:val="00BC4198"/>
    <w:rsid w:val="00BC4579"/>
    <w:rsid w:val="00BC463D"/>
    <w:rsid w:val="00BC4661"/>
    <w:rsid w:val="00BC47AE"/>
    <w:rsid w:val="00BC49B1"/>
    <w:rsid w:val="00BC4ACA"/>
    <w:rsid w:val="00BC4F8B"/>
    <w:rsid w:val="00BC5799"/>
    <w:rsid w:val="00BC6254"/>
    <w:rsid w:val="00BC65C6"/>
    <w:rsid w:val="00BC695E"/>
    <w:rsid w:val="00BC6E8B"/>
    <w:rsid w:val="00BC6EBC"/>
    <w:rsid w:val="00BC72DD"/>
    <w:rsid w:val="00BC7606"/>
    <w:rsid w:val="00BC79D1"/>
    <w:rsid w:val="00BC7D96"/>
    <w:rsid w:val="00BD01BF"/>
    <w:rsid w:val="00BD0B1B"/>
    <w:rsid w:val="00BD0BB6"/>
    <w:rsid w:val="00BD11D4"/>
    <w:rsid w:val="00BD13E7"/>
    <w:rsid w:val="00BD1464"/>
    <w:rsid w:val="00BD165F"/>
    <w:rsid w:val="00BD1940"/>
    <w:rsid w:val="00BD1BDE"/>
    <w:rsid w:val="00BD21B0"/>
    <w:rsid w:val="00BD2853"/>
    <w:rsid w:val="00BD2F79"/>
    <w:rsid w:val="00BD3D24"/>
    <w:rsid w:val="00BD469D"/>
    <w:rsid w:val="00BD49FD"/>
    <w:rsid w:val="00BD4A85"/>
    <w:rsid w:val="00BD4B1A"/>
    <w:rsid w:val="00BD5C5C"/>
    <w:rsid w:val="00BD62E0"/>
    <w:rsid w:val="00BD640F"/>
    <w:rsid w:val="00BD6551"/>
    <w:rsid w:val="00BD67FF"/>
    <w:rsid w:val="00BD6A77"/>
    <w:rsid w:val="00BD6C77"/>
    <w:rsid w:val="00BD6C86"/>
    <w:rsid w:val="00BD6EEE"/>
    <w:rsid w:val="00BD7B2F"/>
    <w:rsid w:val="00BD7B3E"/>
    <w:rsid w:val="00BD7C26"/>
    <w:rsid w:val="00BD7DD8"/>
    <w:rsid w:val="00BE0854"/>
    <w:rsid w:val="00BE0C60"/>
    <w:rsid w:val="00BE0CA9"/>
    <w:rsid w:val="00BE1650"/>
    <w:rsid w:val="00BE1FDD"/>
    <w:rsid w:val="00BE206D"/>
    <w:rsid w:val="00BE24E5"/>
    <w:rsid w:val="00BE27F2"/>
    <w:rsid w:val="00BE2855"/>
    <w:rsid w:val="00BE2ACF"/>
    <w:rsid w:val="00BE2FE9"/>
    <w:rsid w:val="00BE36E0"/>
    <w:rsid w:val="00BE3CCE"/>
    <w:rsid w:val="00BE3E6B"/>
    <w:rsid w:val="00BE409A"/>
    <w:rsid w:val="00BE4768"/>
    <w:rsid w:val="00BE48AD"/>
    <w:rsid w:val="00BE491C"/>
    <w:rsid w:val="00BE4D48"/>
    <w:rsid w:val="00BE50EE"/>
    <w:rsid w:val="00BE5447"/>
    <w:rsid w:val="00BE55AE"/>
    <w:rsid w:val="00BE59A1"/>
    <w:rsid w:val="00BE5A5F"/>
    <w:rsid w:val="00BE6000"/>
    <w:rsid w:val="00BE6240"/>
    <w:rsid w:val="00BE63AF"/>
    <w:rsid w:val="00BE6EC8"/>
    <w:rsid w:val="00BE6FA7"/>
    <w:rsid w:val="00BE71AE"/>
    <w:rsid w:val="00BE7238"/>
    <w:rsid w:val="00BE7398"/>
    <w:rsid w:val="00BE7465"/>
    <w:rsid w:val="00BE769B"/>
    <w:rsid w:val="00BE7C40"/>
    <w:rsid w:val="00BF01CB"/>
    <w:rsid w:val="00BF02A3"/>
    <w:rsid w:val="00BF0BA7"/>
    <w:rsid w:val="00BF0BD7"/>
    <w:rsid w:val="00BF0C46"/>
    <w:rsid w:val="00BF0CD1"/>
    <w:rsid w:val="00BF0D9D"/>
    <w:rsid w:val="00BF1AF1"/>
    <w:rsid w:val="00BF1CBD"/>
    <w:rsid w:val="00BF1FD8"/>
    <w:rsid w:val="00BF20E8"/>
    <w:rsid w:val="00BF2C44"/>
    <w:rsid w:val="00BF2D81"/>
    <w:rsid w:val="00BF3782"/>
    <w:rsid w:val="00BF38CD"/>
    <w:rsid w:val="00BF38DC"/>
    <w:rsid w:val="00BF3BCA"/>
    <w:rsid w:val="00BF5997"/>
    <w:rsid w:val="00BF59CA"/>
    <w:rsid w:val="00BF5BDD"/>
    <w:rsid w:val="00BF5C35"/>
    <w:rsid w:val="00BF5C7E"/>
    <w:rsid w:val="00BF6050"/>
    <w:rsid w:val="00BF63B6"/>
    <w:rsid w:val="00BF66EE"/>
    <w:rsid w:val="00BF71A3"/>
    <w:rsid w:val="00BF75A1"/>
    <w:rsid w:val="00BF7680"/>
    <w:rsid w:val="00BF796C"/>
    <w:rsid w:val="00BF7A2C"/>
    <w:rsid w:val="00BF7A2E"/>
    <w:rsid w:val="00BF7A78"/>
    <w:rsid w:val="00BF7E8C"/>
    <w:rsid w:val="00C0018A"/>
    <w:rsid w:val="00C0037D"/>
    <w:rsid w:val="00C003B9"/>
    <w:rsid w:val="00C00905"/>
    <w:rsid w:val="00C00A7C"/>
    <w:rsid w:val="00C0104C"/>
    <w:rsid w:val="00C01170"/>
    <w:rsid w:val="00C0156D"/>
    <w:rsid w:val="00C01892"/>
    <w:rsid w:val="00C01BBB"/>
    <w:rsid w:val="00C01FD1"/>
    <w:rsid w:val="00C024A5"/>
    <w:rsid w:val="00C02CE1"/>
    <w:rsid w:val="00C02D1E"/>
    <w:rsid w:val="00C0314D"/>
    <w:rsid w:val="00C0331F"/>
    <w:rsid w:val="00C035B5"/>
    <w:rsid w:val="00C036AC"/>
    <w:rsid w:val="00C03865"/>
    <w:rsid w:val="00C03D5A"/>
    <w:rsid w:val="00C04A19"/>
    <w:rsid w:val="00C05264"/>
    <w:rsid w:val="00C05276"/>
    <w:rsid w:val="00C054A3"/>
    <w:rsid w:val="00C05622"/>
    <w:rsid w:val="00C05851"/>
    <w:rsid w:val="00C05ECD"/>
    <w:rsid w:val="00C06BEC"/>
    <w:rsid w:val="00C07620"/>
    <w:rsid w:val="00C07AB6"/>
    <w:rsid w:val="00C07ACB"/>
    <w:rsid w:val="00C102F3"/>
    <w:rsid w:val="00C106B8"/>
    <w:rsid w:val="00C108DC"/>
    <w:rsid w:val="00C10AFD"/>
    <w:rsid w:val="00C10B22"/>
    <w:rsid w:val="00C10C3F"/>
    <w:rsid w:val="00C10C52"/>
    <w:rsid w:val="00C11623"/>
    <w:rsid w:val="00C1172F"/>
    <w:rsid w:val="00C119A0"/>
    <w:rsid w:val="00C11A92"/>
    <w:rsid w:val="00C11ABD"/>
    <w:rsid w:val="00C129D9"/>
    <w:rsid w:val="00C13089"/>
    <w:rsid w:val="00C134DA"/>
    <w:rsid w:val="00C13C06"/>
    <w:rsid w:val="00C13C90"/>
    <w:rsid w:val="00C13CF2"/>
    <w:rsid w:val="00C14F19"/>
    <w:rsid w:val="00C14F3E"/>
    <w:rsid w:val="00C14FB2"/>
    <w:rsid w:val="00C15205"/>
    <w:rsid w:val="00C1575F"/>
    <w:rsid w:val="00C15B0C"/>
    <w:rsid w:val="00C15DE5"/>
    <w:rsid w:val="00C16621"/>
    <w:rsid w:val="00C168CF"/>
    <w:rsid w:val="00C16912"/>
    <w:rsid w:val="00C17007"/>
    <w:rsid w:val="00C17204"/>
    <w:rsid w:val="00C17304"/>
    <w:rsid w:val="00C1748F"/>
    <w:rsid w:val="00C176AC"/>
    <w:rsid w:val="00C17CE1"/>
    <w:rsid w:val="00C2058B"/>
    <w:rsid w:val="00C20668"/>
    <w:rsid w:val="00C208B8"/>
    <w:rsid w:val="00C209AD"/>
    <w:rsid w:val="00C20B13"/>
    <w:rsid w:val="00C2103A"/>
    <w:rsid w:val="00C2164B"/>
    <w:rsid w:val="00C21DA3"/>
    <w:rsid w:val="00C21EF9"/>
    <w:rsid w:val="00C21FE6"/>
    <w:rsid w:val="00C221C0"/>
    <w:rsid w:val="00C222A1"/>
    <w:rsid w:val="00C222F7"/>
    <w:rsid w:val="00C22397"/>
    <w:rsid w:val="00C224E3"/>
    <w:rsid w:val="00C22AAB"/>
    <w:rsid w:val="00C22ECB"/>
    <w:rsid w:val="00C23BB4"/>
    <w:rsid w:val="00C23F47"/>
    <w:rsid w:val="00C242C1"/>
    <w:rsid w:val="00C24589"/>
    <w:rsid w:val="00C24707"/>
    <w:rsid w:val="00C24792"/>
    <w:rsid w:val="00C24839"/>
    <w:rsid w:val="00C24D35"/>
    <w:rsid w:val="00C2525E"/>
    <w:rsid w:val="00C2584D"/>
    <w:rsid w:val="00C25F77"/>
    <w:rsid w:val="00C26159"/>
    <w:rsid w:val="00C2629C"/>
    <w:rsid w:val="00C262ED"/>
    <w:rsid w:val="00C265C9"/>
    <w:rsid w:val="00C26968"/>
    <w:rsid w:val="00C26A69"/>
    <w:rsid w:val="00C27037"/>
    <w:rsid w:val="00C27C23"/>
    <w:rsid w:val="00C30019"/>
    <w:rsid w:val="00C301CF"/>
    <w:rsid w:val="00C309E6"/>
    <w:rsid w:val="00C30B6D"/>
    <w:rsid w:val="00C30C46"/>
    <w:rsid w:val="00C311E2"/>
    <w:rsid w:val="00C31439"/>
    <w:rsid w:val="00C31460"/>
    <w:rsid w:val="00C31808"/>
    <w:rsid w:val="00C31ACA"/>
    <w:rsid w:val="00C31D03"/>
    <w:rsid w:val="00C31D26"/>
    <w:rsid w:val="00C31E1D"/>
    <w:rsid w:val="00C32064"/>
    <w:rsid w:val="00C3223A"/>
    <w:rsid w:val="00C326B5"/>
    <w:rsid w:val="00C32CA7"/>
    <w:rsid w:val="00C32E58"/>
    <w:rsid w:val="00C330B7"/>
    <w:rsid w:val="00C33183"/>
    <w:rsid w:val="00C33706"/>
    <w:rsid w:val="00C33A05"/>
    <w:rsid w:val="00C33B39"/>
    <w:rsid w:val="00C33F14"/>
    <w:rsid w:val="00C34760"/>
    <w:rsid w:val="00C34D0A"/>
    <w:rsid w:val="00C35028"/>
    <w:rsid w:val="00C357EA"/>
    <w:rsid w:val="00C35941"/>
    <w:rsid w:val="00C35A3D"/>
    <w:rsid w:val="00C35BCA"/>
    <w:rsid w:val="00C3616F"/>
    <w:rsid w:val="00C36691"/>
    <w:rsid w:val="00C366C6"/>
    <w:rsid w:val="00C36A9F"/>
    <w:rsid w:val="00C374C1"/>
    <w:rsid w:val="00C37611"/>
    <w:rsid w:val="00C37666"/>
    <w:rsid w:val="00C37B9E"/>
    <w:rsid w:val="00C37CF3"/>
    <w:rsid w:val="00C40013"/>
    <w:rsid w:val="00C411E9"/>
    <w:rsid w:val="00C416FD"/>
    <w:rsid w:val="00C417CC"/>
    <w:rsid w:val="00C417F5"/>
    <w:rsid w:val="00C41AFB"/>
    <w:rsid w:val="00C41C84"/>
    <w:rsid w:val="00C41DF7"/>
    <w:rsid w:val="00C41E33"/>
    <w:rsid w:val="00C41F79"/>
    <w:rsid w:val="00C424DF"/>
    <w:rsid w:val="00C426CE"/>
    <w:rsid w:val="00C428FF"/>
    <w:rsid w:val="00C42C84"/>
    <w:rsid w:val="00C42FAA"/>
    <w:rsid w:val="00C43051"/>
    <w:rsid w:val="00C43314"/>
    <w:rsid w:val="00C43EA9"/>
    <w:rsid w:val="00C4473A"/>
    <w:rsid w:val="00C44D46"/>
    <w:rsid w:val="00C44DED"/>
    <w:rsid w:val="00C45289"/>
    <w:rsid w:val="00C454D9"/>
    <w:rsid w:val="00C45525"/>
    <w:rsid w:val="00C45537"/>
    <w:rsid w:val="00C45779"/>
    <w:rsid w:val="00C45C60"/>
    <w:rsid w:val="00C4684C"/>
    <w:rsid w:val="00C469F2"/>
    <w:rsid w:val="00C46D29"/>
    <w:rsid w:val="00C46E19"/>
    <w:rsid w:val="00C471F0"/>
    <w:rsid w:val="00C47541"/>
    <w:rsid w:val="00C475C7"/>
    <w:rsid w:val="00C47601"/>
    <w:rsid w:val="00C47DF2"/>
    <w:rsid w:val="00C50AAE"/>
    <w:rsid w:val="00C5119C"/>
    <w:rsid w:val="00C51591"/>
    <w:rsid w:val="00C515B0"/>
    <w:rsid w:val="00C51702"/>
    <w:rsid w:val="00C5171D"/>
    <w:rsid w:val="00C517ED"/>
    <w:rsid w:val="00C51B08"/>
    <w:rsid w:val="00C51BA8"/>
    <w:rsid w:val="00C51C23"/>
    <w:rsid w:val="00C51C57"/>
    <w:rsid w:val="00C51DB8"/>
    <w:rsid w:val="00C51FF9"/>
    <w:rsid w:val="00C5298A"/>
    <w:rsid w:val="00C5304F"/>
    <w:rsid w:val="00C530D5"/>
    <w:rsid w:val="00C53513"/>
    <w:rsid w:val="00C53730"/>
    <w:rsid w:val="00C53A44"/>
    <w:rsid w:val="00C53E49"/>
    <w:rsid w:val="00C540B9"/>
    <w:rsid w:val="00C54398"/>
    <w:rsid w:val="00C54411"/>
    <w:rsid w:val="00C54CC3"/>
    <w:rsid w:val="00C54D6E"/>
    <w:rsid w:val="00C54EE3"/>
    <w:rsid w:val="00C552F9"/>
    <w:rsid w:val="00C554D4"/>
    <w:rsid w:val="00C554D9"/>
    <w:rsid w:val="00C560DB"/>
    <w:rsid w:val="00C56532"/>
    <w:rsid w:val="00C56D39"/>
    <w:rsid w:val="00C57155"/>
    <w:rsid w:val="00C5715C"/>
    <w:rsid w:val="00C57A92"/>
    <w:rsid w:val="00C57C0D"/>
    <w:rsid w:val="00C57E63"/>
    <w:rsid w:val="00C601E4"/>
    <w:rsid w:val="00C6069B"/>
    <w:rsid w:val="00C607D1"/>
    <w:rsid w:val="00C60A86"/>
    <w:rsid w:val="00C60CB5"/>
    <w:rsid w:val="00C60D11"/>
    <w:rsid w:val="00C60FBF"/>
    <w:rsid w:val="00C61109"/>
    <w:rsid w:val="00C61324"/>
    <w:rsid w:val="00C6183D"/>
    <w:rsid w:val="00C61AB2"/>
    <w:rsid w:val="00C61B02"/>
    <w:rsid w:val="00C61E90"/>
    <w:rsid w:val="00C61F1C"/>
    <w:rsid w:val="00C61FD2"/>
    <w:rsid w:val="00C620D4"/>
    <w:rsid w:val="00C6222B"/>
    <w:rsid w:val="00C6276A"/>
    <w:rsid w:val="00C62798"/>
    <w:rsid w:val="00C6297B"/>
    <w:rsid w:val="00C62AB4"/>
    <w:rsid w:val="00C63BFA"/>
    <w:rsid w:val="00C64208"/>
    <w:rsid w:val="00C643EB"/>
    <w:rsid w:val="00C644C4"/>
    <w:rsid w:val="00C644F2"/>
    <w:rsid w:val="00C64544"/>
    <w:rsid w:val="00C645FD"/>
    <w:rsid w:val="00C64868"/>
    <w:rsid w:val="00C64DA3"/>
    <w:rsid w:val="00C64E8C"/>
    <w:rsid w:val="00C64FAD"/>
    <w:rsid w:val="00C6539B"/>
    <w:rsid w:val="00C6540F"/>
    <w:rsid w:val="00C65840"/>
    <w:rsid w:val="00C65D6D"/>
    <w:rsid w:val="00C65FF3"/>
    <w:rsid w:val="00C6642E"/>
    <w:rsid w:val="00C66494"/>
    <w:rsid w:val="00C66676"/>
    <w:rsid w:val="00C666B9"/>
    <w:rsid w:val="00C66B92"/>
    <w:rsid w:val="00C66E98"/>
    <w:rsid w:val="00C670FC"/>
    <w:rsid w:val="00C70072"/>
    <w:rsid w:val="00C702A2"/>
    <w:rsid w:val="00C70370"/>
    <w:rsid w:val="00C70585"/>
    <w:rsid w:val="00C70975"/>
    <w:rsid w:val="00C709F0"/>
    <w:rsid w:val="00C71490"/>
    <w:rsid w:val="00C71783"/>
    <w:rsid w:val="00C719A2"/>
    <w:rsid w:val="00C71DC7"/>
    <w:rsid w:val="00C71F6D"/>
    <w:rsid w:val="00C72165"/>
    <w:rsid w:val="00C72184"/>
    <w:rsid w:val="00C72773"/>
    <w:rsid w:val="00C72A19"/>
    <w:rsid w:val="00C72B8E"/>
    <w:rsid w:val="00C72D7B"/>
    <w:rsid w:val="00C73AB0"/>
    <w:rsid w:val="00C73D66"/>
    <w:rsid w:val="00C74167"/>
    <w:rsid w:val="00C741A7"/>
    <w:rsid w:val="00C741D2"/>
    <w:rsid w:val="00C7486E"/>
    <w:rsid w:val="00C74929"/>
    <w:rsid w:val="00C74D98"/>
    <w:rsid w:val="00C75357"/>
    <w:rsid w:val="00C7574B"/>
    <w:rsid w:val="00C757AE"/>
    <w:rsid w:val="00C758BD"/>
    <w:rsid w:val="00C75A6D"/>
    <w:rsid w:val="00C75CEB"/>
    <w:rsid w:val="00C76268"/>
    <w:rsid w:val="00C76624"/>
    <w:rsid w:val="00C76661"/>
    <w:rsid w:val="00C7692D"/>
    <w:rsid w:val="00C76AAF"/>
    <w:rsid w:val="00C76C46"/>
    <w:rsid w:val="00C76E35"/>
    <w:rsid w:val="00C77478"/>
    <w:rsid w:val="00C774A1"/>
    <w:rsid w:val="00C775A0"/>
    <w:rsid w:val="00C80848"/>
    <w:rsid w:val="00C80C41"/>
    <w:rsid w:val="00C80CEF"/>
    <w:rsid w:val="00C80E40"/>
    <w:rsid w:val="00C81120"/>
    <w:rsid w:val="00C81432"/>
    <w:rsid w:val="00C82490"/>
    <w:rsid w:val="00C828B8"/>
    <w:rsid w:val="00C82994"/>
    <w:rsid w:val="00C82E07"/>
    <w:rsid w:val="00C82EC5"/>
    <w:rsid w:val="00C83041"/>
    <w:rsid w:val="00C838C3"/>
    <w:rsid w:val="00C8452A"/>
    <w:rsid w:val="00C848A7"/>
    <w:rsid w:val="00C849C0"/>
    <w:rsid w:val="00C84F2E"/>
    <w:rsid w:val="00C85035"/>
    <w:rsid w:val="00C851F6"/>
    <w:rsid w:val="00C858FF"/>
    <w:rsid w:val="00C85AE0"/>
    <w:rsid w:val="00C85E30"/>
    <w:rsid w:val="00C86BFA"/>
    <w:rsid w:val="00C86E8E"/>
    <w:rsid w:val="00C8712F"/>
    <w:rsid w:val="00C876A0"/>
    <w:rsid w:val="00C878CA"/>
    <w:rsid w:val="00C87AF2"/>
    <w:rsid w:val="00C87B57"/>
    <w:rsid w:val="00C87FC6"/>
    <w:rsid w:val="00C908C6"/>
    <w:rsid w:val="00C90B42"/>
    <w:rsid w:val="00C91074"/>
    <w:rsid w:val="00C9182B"/>
    <w:rsid w:val="00C91C5F"/>
    <w:rsid w:val="00C91CFC"/>
    <w:rsid w:val="00C9213E"/>
    <w:rsid w:val="00C9255D"/>
    <w:rsid w:val="00C9296C"/>
    <w:rsid w:val="00C92DFF"/>
    <w:rsid w:val="00C93384"/>
    <w:rsid w:val="00C93FD8"/>
    <w:rsid w:val="00C94170"/>
    <w:rsid w:val="00C945C2"/>
    <w:rsid w:val="00C946B2"/>
    <w:rsid w:val="00C946F6"/>
    <w:rsid w:val="00C9475D"/>
    <w:rsid w:val="00C94B1E"/>
    <w:rsid w:val="00C95056"/>
    <w:rsid w:val="00C95115"/>
    <w:rsid w:val="00C951FD"/>
    <w:rsid w:val="00C952C3"/>
    <w:rsid w:val="00C9536E"/>
    <w:rsid w:val="00C95A15"/>
    <w:rsid w:val="00C95A37"/>
    <w:rsid w:val="00C95A68"/>
    <w:rsid w:val="00C95D21"/>
    <w:rsid w:val="00C961DD"/>
    <w:rsid w:val="00C962F3"/>
    <w:rsid w:val="00C963BF"/>
    <w:rsid w:val="00C96516"/>
    <w:rsid w:val="00C965B0"/>
    <w:rsid w:val="00C970A1"/>
    <w:rsid w:val="00C97397"/>
    <w:rsid w:val="00C975E6"/>
    <w:rsid w:val="00C978FE"/>
    <w:rsid w:val="00C97D48"/>
    <w:rsid w:val="00C97EAC"/>
    <w:rsid w:val="00CA06E0"/>
    <w:rsid w:val="00CA0C2D"/>
    <w:rsid w:val="00CA0E9B"/>
    <w:rsid w:val="00CA10D0"/>
    <w:rsid w:val="00CA1333"/>
    <w:rsid w:val="00CA13DE"/>
    <w:rsid w:val="00CA1458"/>
    <w:rsid w:val="00CA175E"/>
    <w:rsid w:val="00CA19A9"/>
    <w:rsid w:val="00CA1B16"/>
    <w:rsid w:val="00CA1E51"/>
    <w:rsid w:val="00CA21A9"/>
    <w:rsid w:val="00CA43F9"/>
    <w:rsid w:val="00CA4458"/>
    <w:rsid w:val="00CA45FC"/>
    <w:rsid w:val="00CA481F"/>
    <w:rsid w:val="00CA487E"/>
    <w:rsid w:val="00CA4D9A"/>
    <w:rsid w:val="00CA516C"/>
    <w:rsid w:val="00CA52B2"/>
    <w:rsid w:val="00CA56C5"/>
    <w:rsid w:val="00CA59C2"/>
    <w:rsid w:val="00CA5C47"/>
    <w:rsid w:val="00CA5C82"/>
    <w:rsid w:val="00CA5D80"/>
    <w:rsid w:val="00CA5E60"/>
    <w:rsid w:val="00CA62EE"/>
    <w:rsid w:val="00CA65EF"/>
    <w:rsid w:val="00CA6647"/>
    <w:rsid w:val="00CA679A"/>
    <w:rsid w:val="00CA7414"/>
    <w:rsid w:val="00CA7632"/>
    <w:rsid w:val="00CA7682"/>
    <w:rsid w:val="00CA7854"/>
    <w:rsid w:val="00CA7A75"/>
    <w:rsid w:val="00CA7E03"/>
    <w:rsid w:val="00CA7F28"/>
    <w:rsid w:val="00CA7F39"/>
    <w:rsid w:val="00CB00EA"/>
    <w:rsid w:val="00CB0125"/>
    <w:rsid w:val="00CB01EF"/>
    <w:rsid w:val="00CB01F6"/>
    <w:rsid w:val="00CB029E"/>
    <w:rsid w:val="00CB0768"/>
    <w:rsid w:val="00CB0A1F"/>
    <w:rsid w:val="00CB0CE9"/>
    <w:rsid w:val="00CB131F"/>
    <w:rsid w:val="00CB1320"/>
    <w:rsid w:val="00CB16C4"/>
    <w:rsid w:val="00CB1A00"/>
    <w:rsid w:val="00CB2121"/>
    <w:rsid w:val="00CB21AF"/>
    <w:rsid w:val="00CB221C"/>
    <w:rsid w:val="00CB2476"/>
    <w:rsid w:val="00CB2E15"/>
    <w:rsid w:val="00CB33D0"/>
    <w:rsid w:val="00CB3555"/>
    <w:rsid w:val="00CB3693"/>
    <w:rsid w:val="00CB372C"/>
    <w:rsid w:val="00CB3E69"/>
    <w:rsid w:val="00CB434C"/>
    <w:rsid w:val="00CB439C"/>
    <w:rsid w:val="00CB452B"/>
    <w:rsid w:val="00CB4900"/>
    <w:rsid w:val="00CB4DC2"/>
    <w:rsid w:val="00CB4DCD"/>
    <w:rsid w:val="00CB4E4B"/>
    <w:rsid w:val="00CB4F2D"/>
    <w:rsid w:val="00CB53F8"/>
    <w:rsid w:val="00CB544A"/>
    <w:rsid w:val="00CB5E59"/>
    <w:rsid w:val="00CB5FF4"/>
    <w:rsid w:val="00CB603C"/>
    <w:rsid w:val="00CB6272"/>
    <w:rsid w:val="00CB6B3F"/>
    <w:rsid w:val="00CB6C9D"/>
    <w:rsid w:val="00CB7418"/>
    <w:rsid w:val="00CB7A7D"/>
    <w:rsid w:val="00CB7C49"/>
    <w:rsid w:val="00CB7EC4"/>
    <w:rsid w:val="00CC01EB"/>
    <w:rsid w:val="00CC0670"/>
    <w:rsid w:val="00CC0743"/>
    <w:rsid w:val="00CC0BBE"/>
    <w:rsid w:val="00CC100B"/>
    <w:rsid w:val="00CC1311"/>
    <w:rsid w:val="00CC1690"/>
    <w:rsid w:val="00CC1969"/>
    <w:rsid w:val="00CC19DE"/>
    <w:rsid w:val="00CC2213"/>
    <w:rsid w:val="00CC2221"/>
    <w:rsid w:val="00CC23B3"/>
    <w:rsid w:val="00CC27FE"/>
    <w:rsid w:val="00CC2A78"/>
    <w:rsid w:val="00CC2D98"/>
    <w:rsid w:val="00CC2E06"/>
    <w:rsid w:val="00CC3066"/>
    <w:rsid w:val="00CC367D"/>
    <w:rsid w:val="00CC3A33"/>
    <w:rsid w:val="00CC3D23"/>
    <w:rsid w:val="00CC4210"/>
    <w:rsid w:val="00CC4238"/>
    <w:rsid w:val="00CC44F1"/>
    <w:rsid w:val="00CC44FE"/>
    <w:rsid w:val="00CC4921"/>
    <w:rsid w:val="00CC5431"/>
    <w:rsid w:val="00CC644D"/>
    <w:rsid w:val="00CC658D"/>
    <w:rsid w:val="00CC665A"/>
    <w:rsid w:val="00CC67EC"/>
    <w:rsid w:val="00CC6FB8"/>
    <w:rsid w:val="00CC718D"/>
    <w:rsid w:val="00CC7210"/>
    <w:rsid w:val="00CC74A2"/>
    <w:rsid w:val="00CC779C"/>
    <w:rsid w:val="00CC7F36"/>
    <w:rsid w:val="00CD005A"/>
    <w:rsid w:val="00CD0492"/>
    <w:rsid w:val="00CD0518"/>
    <w:rsid w:val="00CD0593"/>
    <w:rsid w:val="00CD07CA"/>
    <w:rsid w:val="00CD07DE"/>
    <w:rsid w:val="00CD107A"/>
    <w:rsid w:val="00CD1184"/>
    <w:rsid w:val="00CD1311"/>
    <w:rsid w:val="00CD146B"/>
    <w:rsid w:val="00CD155B"/>
    <w:rsid w:val="00CD1A3E"/>
    <w:rsid w:val="00CD1FD1"/>
    <w:rsid w:val="00CD20D4"/>
    <w:rsid w:val="00CD2187"/>
    <w:rsid w:val="00CD246B"/>
    <w:rsid w:val="00CD2519"/>
    <w:rsid w:val="00CD251C"/>
    <w:rsid w:val="00CD2C94"/>
    <w:rsid w:val="00CD2CDC"/>
    <w:rsid w:val="00CD2F34"/>
    <w:rsid w:val="00CD3B66"/>
    <w:rsid w:val="00CD3FF7"/>
    <w:rsid w:val="00CD4817"/>
    <w:rsid w:val="00CD4CB3"/>
    <w:rsid w:val="00CD4CEB"/>
    <w:rsid w:val="00CD4F23"/>
    <w:rsid w:val="00CD4FC6"/>
    <w:rsid w:val="00CD520E"/>
    <w:rsid w:val="00CD5217"/>
    <w:rsid w:val="00CD5562"/>
    <w:rsid w:val="00CD558B"/>
    <w:rsid w:val="00CD55B3"/>
    <w:rsid w:val="00CD59D9"/>
    <w:rsid w:val="00CD5A05"/>
    <w:rsid w:val="00CD5B7D"/>
    <w:rsid w:val="00CD5D9A"/>
    <w:rsid w:val="00CD5F3B"/>
    <w:rsid w:val="00CD6ABC"/>
    <w:rsid w:val="00CD750A"/>
    <w:rsid w:val="00CD7CD0"/>
    <w:rsid w:val="00CD7E16"/>
    <w:rsid w:val="00CD7EE5"/>
    <w:rsid w:val="00CD7FD7"/>
    <w:rsid w:val="00CE0097"/>
    <w:rsid w:val="00CE04A0"/>
    <w:rsid w:val="00CE04BA"/>
    <w:rsid w:val="00CE06BD"/>
    <w:rsid w:val="00CE07A2"/>
    <w:rsid w:val="00CE0855"/>
    <w:rsid w:val="00CE1AAD"/>
    <w:rsid w:val="00CE23B9"/>
    <w:rsid w:val="00CE3042"/>
    <w:rsid w:val="00CE30A7"/>
    <w:rsid w:val="00CE30B0"/>
    <w:rsid w:val="00CE30E6"/>
    <w:rsid w:val="00CE333D"/>
    <w:rsid w:val="00CE341F"/>
    <w:rsid w:val="00CE345F"/>
    <w:rsid w:val="00CE34DC"/>
    <w:rsid w:val="00CE368B"/>
    <w:rsid w:val="00CE36DD"/>
    <w:rsid w:val="00CE3BF2"/>
    <w:rsid w:val="00CE3F11"/>
    <w:rsid w:val="00CE4BBB"/>
    <w:rsid w:val="00CE4D3C"/>
    <w:rsid w:val="00CE5899"/>
    <w:rsid w:val="00CE593C"/>
    <w:rsid w:val="00CE5E98"/>
    <w:rsid w:val="00CE5F30"/>
    <w:rsid w:val="00CE60CD"/>
    <w:rsid w:val="00CE69FC"/>
    <w:rsid w:val="00CE6CC6"/>
    <w:rsid w:val="00CE6E7E"/>
    <w:rsid w:val="00CE6E81"/>
    <w:rsid w:val="00CF0219"/>
    <w:rsid w:val="00CF04B4"/>
    <w:rsid w:val="00CF05DB"/>
    <w:rsid w:val="00CF0B33"/>
    <w:rsid w:val="00CF0B8C"/>
    <w:rsid w:val="00CF0FC4"/>
    <w:rsid w:val="00CF1089"/>
    <w:rsid w:val="00CF1C79"/>
    <w:rsid w:val="00CF1D89"/>
    <w:rsid w:val="00CF2157"/>
    <w:rsid w:val="00CF26C2"/>
    <w:rsid w:val="00CF2708"/>
    <w:rsid w:val="00CF2C08"/>
    <w:rsid w:val="00CF2C97"/>
    <w:rsid w:val="00CF2F64"/>
    <w:rsid w:val="00CF2FFE"/>
    <w:rsid w:val="00CF311A"/>
    <w:rsid w:val="00CF3359"/>
    <w:rsid w:val="00CF3400"/>
    <w:rsid w:val="00CF379F"/>
    <w:rsid w:val="00CF42DF"/>
    <w:rsid w:val="00CF4307"/>
    <w:rsid w:val="00CF570D"/>
    <w:rsid w:val="00CF7FAF"/>
    <w:rsid w:val="00D0008E"/>
    <w:rsid w:val="00D007CD"/>
    <w:rsid w:val="00D009E6"/>
    <w:rsid w:val="00D00EEC"/>
    <w:rsid w:val="00D01453"/>
    <w:rsid w:val="00D018FE"/>
    <w:rsid w:val="00D01954"/>
    <w:rsid w:val="00D01ED5"/>
    <w:rsid w:val="00D021F0"/>
    <w:rsid w:val="00D02271"/>
    <w:rsid w:val="00D02456"/>
    <w:rsid w:val="00D026BC"/>
    <w:rsid w:val="00D02946"/>
    <w:rsid w:val="00D02AD7"/>
    <w:rsid w:val="00D02C47"/>
    <w:rsid w:val="00D03458"/>
    <w:rsid w:val="00D03E7A"/>
    <w:rsid w:val="00D04827"/>
    <w:rsid w:val="00D04EFF"/>
    <w:rsid w:val="00D051A6"/>
    <w:rsid w:val="00D051E5"/>
    <w:rsid w:val="00D05245"/>
    <w:rsid w:val="00D05307"/>
    <w:rsid w:val="00D0557D"/>
    <w:rsid w:val="00D05669"/>
    <w:rsid w:val="00D05DFF"/>
    <w:rsid w:val="00D06878"/>
    <w:rsid w:val="00D06A55"/>
    <w:rsid w:val="00D06CBF"/>
    <w:rsid w:val="00D06DE4"/>
    <w:rsid w:val="00D0713C"/>
    <w:rsid w:val="00D078C6"/>
    <w:rsid w:val="00D07FB4"/>
    <w:rsid w:val="00D1036E"/>
    <w:rsid w:val="00D1060A"/>
    <w:rsid w:val="00D107E7"/>
    <w:rsid w:val="00D10D0E"/>
    <w:rsid w:val="00D10E7B"/>
    <w:rsid w:val="00D10E91"/>
    <w:rsid w:val="00D1105A"/>
    <w:rsid w:val="00D1137B"/>
    <w:rsid w:val="00D11DB6"/>
    <w:rsid w:val="00D12482"/>
    <w:rsid w:val="00D12700"/>
    <w:rsid w:val="00D1298F"/>
    <w:rsid w:val="00D12BB7"/>
    <w:rsid w:val="00D132D5"/>
    <w:rsid w:val="00D13621"/>
    <w:rsid w:val="00D13E53"/>
    <w:rsid w:val="00D151EA"/>
    <w:rsid w:val="00D15303"/>
    <w:rsid w:val="00D16051"/>
    <w:rsid w:val="00D160F7"/>
    <w:rsid w:val="00D16297"/>
    <w:rsid w:val="00D168DB"/>
    <w:rsid w:val="00D169DA"/>
    <w:rsid w:val="00D16EF2"/>
    <w:rsid w:val="00D17788"/>
    <w:rsid w:val="00D20039"/>
    <w:rsid w:val="00D20461"/>
    <w:rsid w:val="00D20B75"/>
    <w:rsid w:val="00D20EB0"/>
    <w:rsid w:val="00D21163"/>
    <w:rsid w:val="00D2148E"/>
    <w:rsid w:val="00D218BB"/>
    <w:rsid w:val="00D21A6E"/>
    <w:rsid w:val="00D21FA8"/>
    <w:rsid w:val="00D220EF"/>
    <w:rsid w:val="00D22166"/>
    <w:rsid w:val="00D22675"/>
    <w:rsid w:val="00D22B80"/>
    <w:rsid w:val="00D22B8A"/>
    <w:rsid w:val="00D236B7"/>
    <w:rsid w:val="00D23BE3"/>
    <w:rsid w:val="00D23E48"/>
    <w:rsid w:val="00D244BE"/>
    <w:rsid w:val="00D244CE"/>
    <w:rsid w:val="00D24537"/>
    <w:rsid w:val="00D24640"/>
    <w:rsid w:val="00D2482F"/>
    <w:rsid w:val="00D24B50"/>
    <w:rsid w:val="00D24B54"/>
    <w:rsid w:val="00D25352"/>
    <w:rsid w:val="00D25410"/>
    <w:rsid w:val="00D25964"/>
    <w:rsid w:val="00D25EC9"/>
    <w:rsid w:val="00D25FED"/>
    <w:rsid w:val="00D263FE"/>
    <w:rsid w:val="00D268D9"/>
    <w:rsid w:val="00D2692A"/>
    <w:rsid w:val="00D26A83"/>
    <w:rsid w:val="00D26D2F"/>
    <w:rsid w:val="00D26F36"/>
    <w:rsid w:val="00D27232"/>
    <w:rsid w:val="00D27375"/>
    <w:rsid w:val="00D278E5"/>
    <w:rsid w:val="00D278F4"/>
    <w:rsid w:val="00D27B83"/>
    <w:rsid w:val="00D27F2D"/>
    <w:rsid w:val="00D300E9"/>
    <w:rsid w:val="00D30118"/>
    <w:rsid w:val="00D30264"/>
    <w:rsid w:val="00D30334"/>
    <w:rsid w:val="00D304CF"/>
    <w:rsid w:val="00D3090A"/>
    <w:rsid w:val="00D310F3"/>
    <w:rsid w:val="00D3111E"/>
    <w:rsid w:val="00D31221"/>
    <w:rsid w:val="00D31318"/>
    <w:rsid w:val="00D316DF"/>
    <w:rsid w:val="00D31700"/>
    <w:rsid w:val="00D31851"/>
    <w:rsid w:val="00D31F8D"/>
    <w:rsid w:val="00D323F9"/>
    <w:rsid w:val="00D32449"/>
    <w:rsid w:val="00D32664"/>
    <w:rsid w:val="00D326D0"/>
    <w:rsid w:val="00D32D36"/>
    <w:rsid w:val="00D32FA5"/>
    <w:rsid w:val="00D3300B"/>
    <w:rsid w:val="00D336AD"/>
    <w:rsid w:val="00D33C32"/>
    <w:rsid w:val="00D33EBE"/>
    <w:rsid w:val="00D34058"/>
    <w:rsid w:val="00D34376"/>
    <w:rsid w:val="00D34615"/>
    <w:rsid w:val="00D347CA"/>
    <w:rsid w:val="00D34E0C"/>
    <w:rsid w:val="00D35357"/>
    <w:rsid w:val="00D353B4"/>
    <w:rsid w:val="00D35755"/>
    <w:rsid w:val="00D35E91"/>
    <w:rsid w:val="00D35FE9"/>
    <w:rsid w:val="00D361D9"/>
    <w:rsid w:val="00D36CB6"/>
    <w:rsid w:val="00D36CFB"/>
    <w:rsid w:val="00D373FF"/>
    <w:rsid w:val="00D375EF"/>
    <w:rsid w:val="00D37ECC"/>
    <w:rsid w:val="00D401AB"/>
    <w:rsid w:val="00D401C6"/>
    <w:rsid w:val="00D4049E"/>
    <w:rsid w:val="00D40508"/>
    <w:rsid w:val="00D406B2"/>
    <w:rsid w:val="00D40B95"/>
    <w:rsid w:val="00D40EAE"/>
    <w:rsid w:val="00D4111E"/>
    <w:rsid w:val="00D414C7"/>
    <w:rsid w:val="00D41905"/>
    <w:rsid w:val="00D41A59"/>
    <w:rsid w:val="00D41CF9"/>
    <w:rsid w:val="00D41E77"/>
    <w:rsid w:val="00D4281E"/>
    <w:rsid w:val="00D42B97"/>
    <w:rsid w:val="00D43096"/>
    <w:rsid w:val="00D43B5E"/>
    <w:rsid w:val="00D43BC4"/>
    <w:rsid w:val="00D43D89"/>
    <w:rsid w:val="00D43DE4"/>
    <w:rsid w:val="00D43F83"/>
    <w:rsid w:val="00D44715"/>
    <w:rsid w:val="00D44DEF"/>
    <w:rsid w:val="00D44FC7"/>
    <w:rsid w:val="00D45001"/>
    <w:rsid w:val="00D458E5"/>
    <w:rsid w:val="00D45A7A"/>
    <w:rsid w:val="00D45DA9"/>
    <w:rsid w:val="00D45DEB"/>
    <w:rsid w:val="00D4610D"/>
    <w:rsid w:val="00D463A2"/>
    <w:rsid w:val="00D46593"/>
    <w:rsid w:val="00D46852"/>
    <w:rsid w:val="00D469D9"/>
    <w:rsid w:val="00D46AB2"/>
    <w:rsid w:val="00D46C90"/>
    <w:rsid w:val="00D46D50"/>
    <w:rsid w:val="00D471ED"/>
    <w:rsid w:val="00D472D9"/>
    <w:rsid w:val="00D47331"/>
    <w:rsid w:val="00D47815"/>
    <w:rsid w:val="00D47A4F"/>
    <w:rsid w:val="00D47D2C"/>
    <w:rsid w:val="00D500D3"/>
    <w:rsid w:val="00D501AA"/>
    <w:rsid w:val="00D501FA"/>
    <w:rsid w:val="00D50344"/>
    <w:rsid w:val="00D503A5"/>
    <w:rsid w:val="00D5050B"/>
    <w:rsid w:val="00D5069A"/>
    <w:rsid w:val="00D51477"/>
    <w:rsid w:val="00D51647"/>
    <w:rsid w:val="00D516BD"/>
    <w:rsid w:val="00D518A7"/>
    <w:rsid w:val="00D51F0F"/>
    <w:rsid w:val="00D52283"/>
    <w:rsid w:val="00D526F8"/>
    <w:rsid w:val="00D5276E"/>
    <w:rsid w:val="00D527C8"/>
    <w:rsid w:val="00D5287C"/>
    <w:rsid w:val="00D52B7E"/>
    <w:rsid w:val="00D52BBB"/>
    <w:rsid w:val="00D52E6A"/>
    <w:rsid w:val="00D53509"/>
    <w:rsid w:val="00D53637"/>
    <w:rsid w:val="00D5376F"/>
    <w:rsid w:val="00D5392D"/>
    <w:rsid w:val="00D53953"/>
    <w:rsid w:val="00D5396D"/>
    <w:rsid w:val="00D53BC0"/>
    <w:rsid w:val="00D53CE6"/>
    <w:rsid w:val="00D54840"/>
    <w:rsid w:val="00D54B50"/>
    <w:rsid w:val="00D552EE"/>
    <w:rsid w:val="00D5567E"/>
    <w:rsid w:val="00D557F0"/>
    <w:rsid w:val="00D55928"/>
    <w:rsid w:val="00D55AF0"/>
    <w:rsid w:val="00D55F0F"/>
    <w:rsid w:val="00D5648E"/>
    <w:rsid w:val="00D565D4"/>
    <w:rsid w:val="00D567A6"/>
    <w:rsid w:val="00D56B70"/>
    <w:rsid w:val="00D56F15"/>
    <w:rsid w:val="00D5713D"/>
    <w:rsid w:val="00D57180"/>
    <w:rsid w:val="00D572E6"/>
    <w:rsid w:val="00D573EC"/>
    <w:rsid w:val="00D577B7"/>
    <w:rsid w:val="00D578F0"/>
    <w:rsid w:val="00D57AB1"/>
    <w:rsid w:val="00D57B11"/>
    <w:rsid w:val="00D60157"/>
    <w:rsid w:val="00D60805"/>
    <w:rsid w:val="00D60A87"/>
    <w:rsid w:val="00D61217"/>
    <w:rsid w:val="00D612FF"/>
    <w:rsid w:val="00D614B7"/>
    <w:rsid w:val="00D6173B"/>
    <w:rsid w:val="00D61981"/>
    <w:rsid w:val="00D619FD"/>
    <w:rsid w:val="00D625AA"/>
    <w:rsid w:val="00D62DB6"/>
    <w:rsid w:val="00D62F7C"/>
    <w:rsid w:val="00D63447"/>
    <w:rsid w:val="00D6347A"/>
    <w:rsid w:val="00D6356D"/>
    <w:rsid w:val="00D635CE"/>
    <w:rsid w:val="00D636D3"/>
    <w:rsid w:val="00D63934"/>
    <w:rsid w:val="00D63B98"/>
    <w:rsid w:val="00D63E85"/>
    <w:rsid w:val="00D63F89"/>
    <w:rsid w:val="00D64059"/>
    <w:rsid w:val="00D6428D"/>
    <w:rsid w:val="00D6437F"/>
    <w:rsid w:val="00D644C2"/>
    <w:rsid w:val="00D64667"/>
    <w:rsid w:val="00D64833"/>
    <w:rsid w:val="00D65425"/>
    <w:rsid w:val="00D6553D"/>
    <w:rsid w:val="00D655E5"/>
    <w:rsid w:val="00D656EB"/>
    <w:rsid w:val="00D65D96"/>
    <w:rsid w:val="00D65F20"/>
    <w:rsid w:val="00D66181"/>
    <w:rsid w:val="00D6686E"/>
    <w:rsid w:val="00D66BA4"/>
    <w:rsid w:val="00D66CFF"/>
    <w:rsid w:val="00D679FD"/>
    <w:rsid w:val="00D701E8"/>
    <w:rsid w:val="00D70222"/>
    <w:rsid w:val="00D703B9"/>
    <w:rsid w:val="00D707A9"/>
    <w:rsid w:val="00D708E9"/>
    <w:rsid w:val="00D71026"/>
    <w:rsid w:val="00D7149A"/>
    <w:rsid w:val="00D71528"/>
    <w:rsid w:val="00D715B2"/>
    <w:rsid w:val="00D720DF"/>
    <w:rsid w:val="00D721E0"/>
    <w:rsid w:val="00D7250F"/>
    <w:rsid w:val="00D72544"/>
    <w:rsid w:val="00D72A83"/>
    <w:rsid w:val="00D72BF1"/>
    <w:rsid w:val="00D72CBF"/>
    <w:rsid w:val="00D72FDC"/>
    <w:rsid w:val="00D730B0"/>
    <w:rsid w:val="00D73385"/>
    <w:rsid w:val="00D73744"/>
    <w:rsid w:val="00D73B88"/>
    <w:rsid w:val="00D749C1"/>
    <w:rsid w:val="00D74D67"/>
    <w:rsid w:val="00D7506D"/>
    <w:rsid w:val="00D7563F"/>
    <w:rsid w:val="00D75B70"/>
    <w:rsid w:val="00D76269"/>
    <w:rsid w:val="00D7637C"/>
    <w:rsid w:val="00D765A0"/>
    <w:rsid w:val="00D76684"/>
    <w:rsid w:val="00D766AA"/>
    <w:rsid w:val="00D76998"/>
    <w:rsid w:val="00D76AB5"/>
    <w:rsid w:val="00D771FD"/>
    <w:rsid w:val="00D7796D"/>
    <w:rsid w:val="00D77FDB"/>
    <w:rsid w:val="00D800F7"/>
    <w:rsid w:val="00D80855"/>
    <w:rsid w:val="00D80B1A"/>
    <w:rsid w:val="00D80C06"/>
    <w:rsid w:val="00D8111F"/>
    <w:rsid w:val="00D812C7"/>
    <w:rsid w:val="00D81B18"/>
    <w:rsid w:val="00D821B3"/>
    <w:rsid w:val="00D82253"/>
    <w:rsid w:val="00D82666"/>
    <w:rsid w:val="00D831DB"/>
    <w:rsid w:val="00D8327F"/>
    <w:rsid w:val="00D83541"/>
    <w:rsid w:val="00D836EA"/>
    <w:rsid w:val="00D836F8"/>
    <w:rsid w:val="00D83768"/>
    <w:rsid w:val="00D8435E"/>
    <w:rsid w:val="00D8466B"/>
    <w:rsid w:val="00D8487E"/>
    <w:rsid w:val="00D84B4D"/>
    <w:rsid w:val="00D84D05"/>
    <w:rsid w:val="00D8501A"/>
    <w:rsid w:val="00D856AF"/>
    <w:rsid w:val="00D85F1D"/>
    <w:rsid w:val="00D86281"/>
    <w:rsid w:val="00D86421"/>
    <w:rsid w:val="00D865F5"/>
    <w:rsid w:val="00D866A4"/>
    <w:rsid w:val="00D86757"/>
    <w:rsid w:val="00D86BED"/>
    <w:rsid w:val="00D86F9B"/>
    <w:rsid w:val="00D873DC"/>
    <w:rsid w:val="00D87453"/>
    <w:rsid w:val="00D8794E"/>
    <w:rsid w:val="00D87C14"/>
    <w:rsid w:val="00D90161"/>
    <w:rsid w:val="00D901AD"/>
    <w:rsid w:val="00D903DE"/>
    <w:rsid w:val="00D906D9"/>
    <w:rsid w:val="00D91390"/>
    <w:rsid w:val="00D91540"/>
    <w:rsid w:val="00D91B3E"/>
    <w:rsid w:val="00D91F6E"/>
    <w:rsid w:val="00D92148"/>
    <w:rsid w:val="00D9223B"/>
    <w:rsid w:val="00D922E4"/>
    <w:rsid w:val="00D927AC"/>
    <w:rsid w:val="00D92832"/>
    <w:rsid w:val="00D92A3A"/>
    <w:rsid w:val="00D9355C"/>
    <w:rsid w:val="00D939A2"/>
    <w:rsid w:val="00D93A16"/>
    <w:rsid w:val="00D93B28"/>
    <w:rsid w:val="00D93B89"/>
    <w:rsid w:val="00D93C1B"/>
    <w:rsid w:val="00D93CD5"/>
    <w:rsid w:val="00D93D55"/>
    <w:rsid w:val="00D93E19"/>
    <w:rsid w:val="00D94187"/>
    <w:rsid w:val="00D945AB"/>
    <w:rsid w:val="00D9496D"/>
    <w:rsid w:val="00D94E49"/>
    <w:rsid w:val="00D9500A"/>
    <w:rsid w:val="00D96288"/>
    <w:rsid w:val="00D96356"/>
    <w:rsid w:val="00D96699"/>
    <w:rsid w:val="00D96DBC"/>
    <w:rsid w:val="00D96DCC"/>
    <w:rsid w:val="00D96E5F"/>
    <w:rsid w:val="00D96ED8"/>
    <w:rsid w:val="00D97252"/>
    <w:rsid w:val="00D975AB"/>
    <w:rsid w:val="00D97BEF"/>
    <w:rsid w:val="00D97CAF"/>
    <w:rsid w:val="00D97F9A"/>
    <w:rsid w:val="00DA004C"/>
    <w:rsid w:val="00DA05D8"/>
    <w:rsid w:val="00DA0768"/>
    <w:rsid w:val="00DA076C"/>
    <w:rsid w:val="00DA0E91"/>
    <w:rsid w:val="00DA161A"/>
    <w:rsid w:val="00DA1CD0"/>
    <w:rsid w:val="00DA20A3"/>
    <w:rsid w:val="00DA2220"/>
    <w:rsid w:val="00DA2886"/>
    <w:rsid w:val="00DA2C18"/>
    <w:rsid w:val="00DA32A5"/>
    <w:rsid w:val="00DA3494"/>
    <w:rsid w:val="00DA3633"/>
    <w:rsid w:val="00DA3A39"/>
    <w:rsid w:val="00DA3E2F"/>
    <w:rsid w:val="00DA3EEE"/>
    <w:rsid w:val="00DA4039"/>
    <w:rsid w:val="00DA4258"/>
    <w:rsid w:val="00DA43A0"/>
    <w:rsid w:val="00DA46CD"/>
    <w:rsid w:val="00DA475F"/>
    <w:rsid w:val="00DA4850"/>
    <w:rsid w:val="00DA4968"/>
    <w:rsid w:val="00DA4F7F"/>
    <w:rsid w:val="00DA5A94"/>
    <w:rsid w:val="00DA5D37"/>
    <w:rsid w:val="00DA6514"/>
    <w:rsid w:val="00DA6824"/>
    <w:rsid w:val="00DA6A04"/>
    <w:rsid w:val="00DA6C16"/>
    <w:rsid w:val="00DA7191"/>
    <w:rsid w:val="00DA752A"/>
    <w:rsid w:val="00DA7597"/>
    <w:rsid w:val="00DA7634"/>
    <w:rsid w:val="00DA7727"/>
    <w:rsid w:val="00DA7863"/>
    <w:rsid w:val="00DA7953"/>
    <w:rsid w:val="00DA7A46"/>
    <w:rsid w:val="00DA7A60"/>
    <w:rsid w:val="00DA7C81"/>
    <w:rsid w:val="00DA7EFD"/>
    <w:rsid w:val="00DA7F1B"/>
    <w:rsid w:val="00DB012F"/>
    <w:rsid w:val="00DB031B"/>
    <w:rsid w:val="00DB0324"/>
    <w:rsid w:val="00DB05B7"/>
    <w:rsid w:val="00DB05BD"/>
    <w:rsid w:val="00DB061A"/>
    <w:rsid w:val="00DB0867"/>
    <w:rsid w:val="00DB1044"/>
    <w:rsid w:val="00DB1144"/>
    <w:rsid w:val="00DB14EB"/>
    <w:rsid w:val="00DB1B4A"/>
    <w:rsid w:val="00DB1C73"/>
    <w:rsid w:val="00DB1FCF"/>
    <w:rsid w:val="00DB2355"/>
    <w:rsid w:val="00DB2914"/>
    <w:rsid w:val="00DB2CF9"/>
    <w:rsid w:val="00DB2E7C"/>
    <w:rsid w:val="00DB316D"/>
    <w:rsid w:val="00DB35FF"/>
    <w:rsid w:val="00DB38DC"/>
    <w:rsid w:val="00DB3BB4"/>
    <w:rsid w:val="00DB3EA6"/>
    <w:rsid w:val="00DB40E4"/>
    <w:rsid w:val="00DB43B7"/>
    <w:rsid w:val="00DB4403"/>
    <w:rsid w:val="00DB45AB"/>
    <w:rsid w:val="00DB4717"/>
    <w:rsid w:val="00DB5415"/>
    <w:rsid w:val="00DB541B"/>
    <w:rsid w:val="00DB5620"/>
    <w:rsid w:val="00DB56E0"/>
    <w:rsid w:val="00DB5777"/>
    <w:rsid w:val="00DB5889"/>
    <w:rsid w:val="00DB5B8E"/>
    <w:rsid w:val="00DB5F6C"/>
    <w:rsid w:val="00DB6699"/>
    <w:rsid w:val="00DB66C5"/>
    <w:rsid w:val="00DB6F15"/>
    <w:rsid w:val="00DB74B3"/>
    <w:rsid w:val="00DB762B"/>
    <w:rsid w:val="00DB7A2E"/>
    <w:rsid w:val="00DB7CF1"/>
    <w:rsid w:val="00DB7FDD"/>
    <w:rsid w:val="00DC0015"/>
    <w:rsid w:val="00DC023A"/>
    <w:rsid w:val="00DC07A1"/>
    <w:rsid w:val="00DC0BFE"/>
    <w:rsid w:val="00DC0DB1"/>
    <w:rsid w:val="00DC0F02"/>
    <w:rsid w:val="00DC0F8D"/>
    <w:rsid w:val="00DC1325"/>
    <w:rsid w:val="00DC19B4"/>
    <w:rsid w:val="00DC1EAA"/>
    <w:rsid w:val="00DC1FBF"/>
    <w:rsid w:val="00DC2132"/>
    <w:rsid w:val="00DC2284"/>
    <w:rsid w:val="00DC2483"/>
    <w:rsid w:val="00DC24F1"/>
    <w:rsid w:val="00DC2956"/>
    <w:rsid w:val="00DC2D04"/>
    <w:rsid w:val="00DC2DED"/>
    <w:rsid w:val="00DC2E98"/>
    <w:rsid w:val="00DC2EB4"/>
    <w:rsid w:val="00DC34F2"/>
    <w:rsid w:val="00DC3639"/>
    <w:rsid w:val="00DC3718"/>
    <w:rsid w:val="00DC38AC"/>
    <w:rsid w:val="00DC38DA"/>
    <w:rsid w:val="00DC3CA4"/>
    <w:rsid w:val="00DC3E76"/>
    <w:rsid w:val="00DC40D2"/>
    <w:rsid w:val="00DC410B"/>
    <w:rsid w:val="00DC420E"/>
    <w:rsid w:val="00DC4304"/>
    <w:rsid w:val="00DC49F5"/>
    <w:rsid w:val="00DC4FAF"/>
    <w:rsid w:val="00DC5201"/>
    <w:rsid w:val="00DC53B8"/>
    <w:rsid w:val="00DC556C"/>
    <w:rsid w:val="00DC5AD1"/>
    <w:rsid w:val="00DC5B96"/>
    <w:rsid w:val="00DC5C0D"/>
    <w:rsid w:val="00DC6158"/>
    <w:rsid w:val="00DC7032"/>
    <w:rsid w:val="00DC72A4"/>
    <w:rsid w:val="00DC72D1"/>
    <w:rsid w:val="00DC746E"/>
    <w:rsid w:val="00DC76EE"/>
    <w:rsid w:val="00DC7D95"/>
    <w:rsid w:val="00DD01CA"/>
    <w:rsid w:val="00DD02F4"/>
    <w:rsid w:val="00DD043A"/>
    <w:rsid w:val="00DD069E"/>
    <w:rsid w:val="00DD1176"/>
    <w:rsid w:val="00DD1A7E"/>
    <w:rsid w:val="00DD1B4E"/>
    <w:rsid w:val="00DD2329"/>
    <w:rsid w:val="00DD245C"/>
    <w:rsid w:val="00DD2484"/>
    <w:rsid w:val="00DD295D"/>
    <w:rsid w:val="00DD2E0D"/>
    <w:rsid w:val="00DD304A"/>
    <w:rsid w:val="00DD32D6"/>
    <w:rsid w:val="00DD399A"/>
    <w:rsid w:val="00DD3A13"/>
    <w:rsid w:val="00DD3BDC"/>
    <w:rsid w:val="00DD3CA5"/>
    <w:rsid w:val="00DD4D92"/>
    <w:rsid w:val="00DD552F"/>
    <w:rsid w:val="00DD5A48"/>
    <w:rsid w:val="00DD5A72"/>
    <w:rsid w:val="00DD5BF3"/>
    <w:rsid w:val="00DD6621"/>
    <w:rsid w:val="00DD6705"/>
    <w:rsid w:val="00DD6B1E"/>
    <w:rsid w:val="00DD6D1F"/>
    <w:rsid w:val="00DD6E9C"/>
    <w:rsid w:val="00DD6F42"/>
    <w:rsid w:val="00DD742C"/>
    <w:rsid w:val="00DD75C0"/>
    <w:rsid w:val="00DD75EF"/>
    <w:rsid w:val="00DD7CB3"/>
    <w:rsid w:val="00DD7FA5"/>
    <w:rsid w:val="00DE03A0"/>
    <w:rsid w:val="00DE077F"/>
    <w:rsid w:val="00DE0B17"/>
    <w:rsid w:val="00DE1255"/>
    <w:rsid w:val="00DE1376"/>
    <w:rsid w:val="00DE1C0E"/>
    <w:rsid w:val="00DE1CF4"/>
    <w:rsid w:val="00DE2193"/>
    <w:rsid w:val="00DE228D"/>
    <w:rsid w:val="00DE2293"/>
    <w:rsid w:val="00DE2417"/>
    <w:rsid w:val="00DE246B"/>
    <w:rsid w:val="00DE2953"/>
    <w:rsid w:val="00DE2D56"/>
    <w:rsid w:val="00DE2DB1"/>
    <w:rsid w:val="00DE2E9D"/>
    <w:rsid w:val="00DE3440"/>
    <w:rsid w:val="00DE36A9"/>
    <w:rsid w:val="00DE374E"/>
    <w:rsid w:val="00DE37BE"/>
    <w:rsid w:val="00DE4103"/>
    <w:rsid w:val="00DE4210"/>
    <w:rsid w:val="00DE42F6"/>
    <w:rsid w:val="00DE4578"/>
    <w:rsid w:val="00DE4812"/>
    <w:rsid w:val="00DE4C5E"/>
    <w:rsid w:val="00DE4CD1"/>
    <w:rsid w:val="00DE4DA8"/>
    <w:rsid w:val="00DE51B4"/>
    <w:rsid w:val="00DE5403"/>
    <w:rsid w:val="00DE55CB"/>
    <w:rsid w:val="00DE57C5"/>
    <w:rsid w:val="00DE58E6"/>
    <w:rsid w:val="00DE591A"/>
    <w:rsid w:val="00DE5E6A"/>
    <w:rsid w:val="00DE70FC"/>
    <w:rsid w:val="00DE7805"/>
    <w:rsid w:val="00DE782B"/>
    <w:rsid w:val="00DE7B41"/>
    <w:rsid w:val="00DF005A"/>
    <w:rsid w:val="00DF010F"/>
    <w:rsid w:val="00DF0155"/>
    <w:rsid w:val="00DF04EE"/>
    <w:rsid w:val="00DF08AE"/>
    <w:rsid w:val="00DF0D8B"/>
    <w:rsid w:val="00DF1879"/>
    <w:rsid w:val="00DF198F"/>
    <w:rsid w:val="00DF1E48"/>
    <w:rsid w:val="00DF1E89"/>
    <w:rsid w:val="00DF1F1E"/>
    <w:rsid w:val="00DF24F8"/>
    <w:rsid w:val="00DF2549"/>
    <w:rsid w:val="00DF26FF"/>
    <w:rsid w:val="00DF2741"/>
    <w:rsid w:val="00DF2BD1"/>
    <w:rsid w:val="00DF3038"/>
    <w:rsid w:val="00DF32E7"/>
    <w:rsid w:val="00DF33DD"/>
    <w:rsid w:val="00DF3467"/>
    <w:rsid w:val="00DF34EF"/>
    <w:rsid w:val="00DF3743"/>
    <w:rsid w:val="00DF3757"/>
    <w:rsid w:val="00DF3E35"/>
    <w:rsid w:val="00DF40FE"/>
    <w:rsid w:val="00DF42E0"/>
    <w:rsid w:val="00DF441A"/>
    <w:rsid w:val="00DF4742"/>
    <w:rsid w:val="00DF53A0"/>
    <w:rsid w:val="00DF5B56"/>
    <w:rsid w:val="00DF6076"/>
    <w:rsid w:val="00DF620E"/>
    <w:rsid w:val="00DF6326"/>
    <w:rsid w:val="00DF66E4"/>
    <w:rsid w:val="00DF6E6E"/>
    <w:rsid w:val="00DF718E"/>
    <w:rsid w:val="00DF7249"/>
    <w:rsid w:val="00DF7D84"/>
    <w:rsid w:val="00DF7FC3"/>
    <w:rsid w:val="00E00460"/>
    <w:rsid w:val="00E004BA"/>
    <w:rsid w:val="00E006E9"/>
    <w:rsid w:val="00E00844"/>
    <w:rsid w:val="00E00924"/>
    <w:rsid w:val="00E00C71"/>
    <w:rsid w:val="00E00EAA"/>
    <w:rsid w:val="00E01034"/>
    <w:rsid w:val="00E0103C"/>
    <w:rsid w:val="00E01934"/>
    <w:rsid w:val="00E01ECD"/>
    <w:rsid w:val="00E0220F"/>
    <w:rsid w:val="00E02399"/>
    <w:rsid w:val="00E0240A"/>
    <w:rsid w:val="00E0274F"/>
    <w:rsid w:val="00E02814"/>
    <w:rsid w:val="00E02D97"/>
    <w:rsid w:val="00E02FD4"/>
    <w:rsid w:val="00E0338D"/>
    <w:rsid w:val="00E0339C"/>
    <w:rsid w:val="00E038DC"/>
    <w:rsid w:val="00E03A5F"/>
    <w:rsid w:val="00E03ED5"/>
    <w:rsid w:val="00E03F68"/>
    <w:rsid w:val="00E04119"/>
    <w:rsid w:val="00E0443B"/>
    <w:rsid w:val="00E04491"/>
    <w:rsid w:val="00E044AB"/>
    <w:rsid w:val="00E047E5"/>
    <w:rsid w:val="00E04AE7"/>
    <w:rsid w:val="00E04C97"/>
    <w:rsid w:val="00E05508"/>
    <w:rsid w:val="00E05A10"/>
    <w:rsid w:val="00E0623D"/>
    <w:rsid w:val="00E06243"/>
    <w:rsid w:val="00E062B6"/>
    <w:rsid w:val="00E0632A"/>
    <w:rsid w:val="00E065DF"/>
    <w:rsid w:val="00E06853"/>
    <w:rsid w:val="00E068D6"/>
    <w:rsid w:val="00E068ED"/>
    <w:rsid w:val="00E06E3E"/>
    <w:rsid w:val="00E07169"/>
    <w:rsid w:val="00E071D5"/>
    <w:rsid w:val="00E0722D"/>
    <w:rsid w:val="00E07358"/>
    <w:rsid w:val="00E07828"/>
    <w:rsid w:val="00E0783F"/>
    <w:rsid w:val="00E07885"/>
    <w:rsid w:val="00E07ABA"/>
    <w:rsid w:val="00E109C1"/>
    <w:rsid w:val="00E10F9C"/>
    <w:rsid w:val="00E1114D"/>
    <w:rsid w:val="00E11277"/>
    <w:rsid w:val="00E11282"/>
    <w:rsid w:val="00E1144B"/>
    <w:rsid w:val="00E11807"/>
    <w:rsid w:val="00E11863"/>
    <w:rsid w:val="00E11BA4"/>
    <w:rsid w:val="00E11D0F"/>
    <w:rsid w:val="00E11D92"/>
    <w:rsid w:val="00E11DF4"/>
    <w:rsid w:val="00E12185"/>
    <w:rsid w:val="00E12378"/>
    <w:rsid w:val="00E124AF"/>
    <w:rsid w:val="00E128FF"/>
    <w:rsid w:val="00E12F0C"/>
    <w:rsid w:val="00E130AD"/>
    <w:rsid w:val="00E13601"/>
    <w:rsid w:val="00E136BF"/>
    <w:rsid w:val="00E13C52"/>
    <w:rsid w:val="00E13FCA"/>
    <w:rsid w:val="00E14D4B"/>
    <w:rsid w:val="00E14E5F"/>
    <w:rsid w:val="00E15026"/>
    <w:rsid w:val="00E157D3"/>
    <w:rsid w:val="00E15A4F"/>
    <w:rsid w:val="00E15D54"/>
    <w:rsid w:val="00E15E7A"/>
    <w:rsid w:val="00E15FCB"/>
    <w:rsid w:val="00E15FEC"/>
    <w:rsid w:val="00E162A4"/>
    <w:rsid w:val="00E162D7"/>
    <w:rsid w:val="00E16569"/>
    <w:rsid w:val="00E16717"/>
    <w:rsid w:val="00E16869"/>
    <w:rsid w:val="00E16888"/>
    <w:rsid w:val="00E1688C"/>
    <w:rsid w:val="00E1725C"/>
    <w:rsid w:val="00E172C5"/>
    <w:rsid w:val="00E17391"/>
    <w:rsid w:val="00E17CFF"/>
    <w:rsid w:val="00E17E8E"/>
    <w:rsid w:val="00E2006F"/>
    <w:rsid w:val="00E20955"/>
    <w:rsid w:val="00E20995"/>
    <w:rsid w:val="00E20DCA"/>
    <w:rsid w:val="00E20E33"/>
    <w:rsid w:val="00E21877"/>
    <w:rsid w:val="00E219B4"/>
    <w:rsid w:val="00E21AD0"/>
    <w:rsid w:val="00E220C6"/>
    <w:rsid w:val="00E22665"/>
    <w:rsid w:val="00E227AE"/>
    <w:rsid w:val="00E23185"/>
    <w:rsid w:val="00E233E7"/>
    <w:rsid w:val="00E23526"/>
    <w:rsid w:val="00E23D56"/>
    <w:rsid w:val="00E23F4E"/>
    <w:rsid w:val="00E24469"/>
    <w:rsid w:val="00E24799"/>
    <w:rsid w:val="00E2482D"/>
    <w:rsid w:val="00E2486C"/>
    <w:rsid w:val="00E24906"/>
    <w:rsid w:val="00E24AF1"/>
    <w:rsid w:val="00E24B28"/>
    <w:rsid w:val="00E24C10"/>
    <w:rsid w:val="00E24C62"/>
    <w:rsid w:val="00E24C6A"/>
    <w:rsid w:val="00E24FB5"/>
    <w:rsid w:val="00E25365"/>
    <w:rsid w:val="00E25E05"/>
    <w:rsid w:val="00E26810"/>
    <w:rsid w:val="00E2682C"/>
    <w:rsid w:val="00E269D9"/>
    <w:rsid w:val="00E276A9"/>
    <w:rsid w:val="00E30029"/>
    <w:rsid w:val="00E30037"/>
    <w:rsid w:val="00E30499"/>
    <w:rsid w:val="00E30B51"/>
    <w:rsid w:val="00E30B8E"/>
    <w:rsid w:val="00E3102A"/>
    <w:rsid w:val="00E31116"/>
    <w:rsid w:val="00E31290"/>
    <w:rsid w:val="00E312B8"/>
    <w:rsid w:val="00E31767"/>
    <w:rsid w:val="00E324BB"/>
    <w:rsid w:val="00E32983"/>
    <w:rsid w:val="00E32A7A"/>
    <w:rsid w:val="00E32ECD"/>
    <w:rsid w:val="00E338C4"/>
    <w:rsid w:val="00E339F0"/>
    <w:rsid w:val="00E341F5"/>
    <w:rsid w:val="00E34287"/>
    <w:rsid w:val="00E34324"/>
    <w:rsid w:val="00E344CB"/>
    <w:rsid w:val="00E345EC"/>
    <w:rsid w:val="00E34796"/>
    <w:rsid w:val="00E347A0"/>
    <w:rsid w:val="00E34884"/>
    <w:rsid w:val="00E34B1D"/>
    <w:rsid w:val="00E34D8C"/>
    <w:rsid w:val="00E35427"/>
    <w:rsid w:val="00E35718"/>
    <w:rsid w:val="00E35C76"/>
    <w:rsid w:val="00E35E8B"/>
    <w:rsid w:val="00E36CE6"/>
    <w:rsid w:val="00E37017"/>
    <w:rsid w:val="00E373AC"/>
    <w:rsid w:val="00E37424"/>
    <w:rsid w:val="00E375C1"/>
    <w:rsid w:val="00E377E8"/>
    <w:rsid w:val="00E37821"/>
    <w:rsid w:val="00E37B7F"/>
    <w:rsid w:val="00E37C98"/>
    <w:rsid w:val="00E37E42"/>
    <w:rsid w:val="00E37E88"/>
    <w:rsid w:val="00E40283"/>
    <w:rsid w:val="00E40444"/>
    <w:rsid w:val="00E40986"/>
    <w:rsid w:val="00E40A6B"/>
    <w:rsid w:val="00E40D34"/>
    <w:rsid w:val="00E40F22"/>
    <w:rsid w:val="00E415B1"/>
    <w:rsid w:val="00E416FC"/>
    <w:rsid w:val="00E41711"/>
    <w:rsid w:val="00E41C77"/>
    <w:rsid w:val="00E41CA3"/>
    <w:rsid w:val="00E41E0A"/>
    <w:rsid w:val="00E41FB9"/>
    <w:rsid w:val="00E427F0"/>
    <w:rsid w:val="00E42BE9"/>
    <w:rsid w:val="00E42C72"/>
    <w:rsid w:val="00E42EDF"/>
    <w:rsid w:val="00E43055"/>
    <w:rsid w:val="00E43464"/>
    <w:rsid w:val="00E43542"/>
    <w:rsid w:val="00E4394A"/>
    <w:rsid w:val="00E43A9B"/>
    <w:rsid w:val="00E43AED"/>
    <w:rsid w:val="00E43C11"/>
    <w:rsid w:val="00E43D44"/>
    <w:rsid w:val="00E44270"/>
    <w:rsid w:val="00E44414"/>
    <w:rsid w:val="00E44472"/>
    <w:rsid w:val="00E44AD2"/>
    <w:rsid w:val="00E451BE"/>
    <w:rsid w:val="00E4564D"/>
    <w:rsid w:val="00E456B4"/>
    <w:rsid w:val="00E45D80"/>
    <w:rsid w:val="00E45EF9"/>
    <w:rsid w:val="00E46181"/>
    <w:rsid w:val="00E471D4"/>
    <w:rsid w:val="00E4767B"/>
    <w:rsid w:val="00E477EE"/>
    <w:rsid w:val="00E47A69"/>
    <w:rsid w:val="00E47C85"/>
    <w:rsid w:val="00E501F9"/>
    <w:rsid w:val="00E50A52"/>
    <w:rsid w:val="00E50B87"/>
    <w:rsid w:val="00E50C35"/>
    <w:rsid w:val="00E51472"/>
    <w:rsid w:val="00E518D2"/>
    <w:rsid w:val="00E51919"/>
    <w:rsid w:val="00E51AB6"/>
    <w:rsid w:val="00E51E3A"/>
    <w:rsid w:val="00E51EAD"/>
    <w:rsid w:val="00E521A6"/>
    <w:rsid w:val="00E523E2"/>
    <w:rsid w:val="00E52CF0"/>
    <w:rsid w:val="00E532C7"/>
    <w:rsid w:val="00E5330C"/>
    <w:rsid w:val="00E534C6"/>
    <w:rsid w:val="00E53857"/>
    <w:rsid w:val="00E53967"/>
    <w:rsid w:val="00E53F73"/>
    <w:rsid w:val="00E546DA"/>
    <w:rsid w:val="00E5545A"/>
    <w:rsid w:val="00E55696"/>
    <w:rsid w:val="00E556F7"/>
    <w:rsid w:val="00E5578F"/>
    <w:rsid w:val="00E55D5A"/>
    <w:rsid w:val="00E561DE"/>
    <w:rsid w:val="00E56347"/>
    <w:rsid w:val="00E56410"/>
    <w:rsid w:val="00E564DD"/>
    <w:rsid w:val="00E5650C"/>
    <w:rsid w:val="00E56DAC"/>
    <w:rsid w:val="00E571BB"/>
    <w:rsid w:val="00E577C9"/>
    <w:rsid w:val="00E60147"/>
    <w:rsid w:val="00E603B9"/>
    <w:rsid w:val="00E60430"/>
    <w:rsid w:val="00E60774"/>
    <w:rsid w:val="00E6086D"/>
    <w:rsid w:val="00E6092E"/>
    <w:rsid w:val="00E60A84"/>
    <w:rsid w:val="00E60B92"/>
    <w:rsid w:val="00E61404"/>
    <w:rsid w:val="00E615CB"/>
    <w:rsid w:val="00E6162C"/>
    <w:rsid w:val="00E61990"/>
    <w:rsid w:val="00E61F08"/>
    <w:rsid w:val="00E620F9"/>
    <w:rsid w:val="00E625F7"/>
    <w:rsid w:val="00E62740"/>
    <w:rsid w:val="00E62C15"/>
    <w:rsid w:val="00E62DFB"/>
    <w:rsid w:val="00E631AB"/>
    <w:rsid w:val="00E63760"/>
    <w:rsid w:val="00E637D7"/>
    <w:rsid w:val="00E6383D"/>
    <w:rsid w:val="00E638A3"/>
    <w:rsid w:val="00E63E86"/>
    <w:rsid w:val="00E64233"/>
    <w:rsid w:val="00E6435E"/>
    <w:rsid w:val="00E643C6"/>
    <w:rsid w:val="00E64B24"/>
    <w:rsid w:val="00E64D19"/>
    <w:rsid w:val="00E64DF4"/>
    <w:rsid w:val="00E65145"/>
    <w:rsid w:val="00E652D3"/>
    <w:rsid w:val="00E65370"/>
    <w:rsid w:val="00E655E8"/>
    <w:rsid w:val="00E6657E"/>
    <w:rsid w:val="00E665F9"/>
    <w:rsid w:val="00E666B9"/>
    <w:rsid w:val="00E6697E"/>
    <w:rsid w:val="00E66F79"/>
    <w:rsid w:val="00E670C0"/>
    <w:rsid w:val="00E67128"/>
    <w:rsid w:val="00E675E0"/>
    <w:rsid w:val="00E67A21"/>
    <w:rsid w:val="00E706CF"/>
    <w:rsid w:val="00E70957"/>
    <w:rsid w:val="00E70BF2"/>
    <w:rsid w:val="00E7122A"/>
    <w:rsid w:val="00E71C50"/>
    <w:rsid w:val="00E71DDF"/>
    <w:rsid w:val="00E7229E"/>
    <w:rsid w:val="00E72A82"/>
    <w:rsid w:val="00E73434"/>
    <w:rsid w:val="00E73B44"/>
    <w:rsid w:val="00E73BE1"/>
    <w:rsid w:val="00E742D4"/>
    <w:rsid w:val="00E742F5"/>
    <w:rsid w:val="00E74435"/>
    <w:rsid w:val="00E7444B"/>
    <w:rsid w:val="00E74860"/>
    <w:rsid w:val="00E74A0E"/>
    <w:rsid w:val="00E74B5D"/>
    <w:rsid w:val="00E74E72"/>
    <w:rsid w:val="00E74F46"/>
    <w:rsid w:val="00E74F92"/>
    <w:rsid w:val="00E75236"/>
    <w:rsid w:val="00E7566E"/>
    <w:rsid w:val="00E75866"/>
    <w:rsid w:val="00E758AD"/>
    <w:rsid w:val="00E75F53"/>
    <w:rsid w:val="00E76430"/>
    <w:rsid w:val="00E7691E"/>
    <w:rsid w:val="00E76A86"/>
    <w:rsid w:val="00E76DAC"/>
    <w:rsid w:val="00E76E17"/>
    <w:rsid w:val="00E774A2"/>
    <w:rsid w:val="00E77A79"/>
    <w:rsid w:val="00E77D4E"/>
    <w:rsid w:val="00E801BC"/>
    <w:rsid w:val="00E80898"/>
    <w:rsid w:val="00E80AF8"/>
    <w:rsid w:val="00E81119"/>
    <w:rsid w:val="00E816B3"/>
    <w:rsid w:val="00E817E4"/>
    <w:rsid w:val="00E81B1A"/>
    <w:rsid w:val="00E82880"/>
    <w:rsid w:val="00E82958"/>
    <w:rsid w:val="00E829CA"/>
    <w:rsid w:val="00E82B73"/>
    <w:rsid w:val="00E831E5"/>
    <w:rsid w:val="00E83650"/>
    <w:rsid w:val="00E848C5"/>
    <w:rsid w:val="00E84B9A"/>
    <w:rsid w:val="00E8509A"/>
    <w:rsid w:val="00E8529E"/>
    <w:rsid w:val="00E85A5D"/>
    <w:rsid w:val="00E85EF5"/>
    <w:rsid w:val="00E860BF"/>
    <w:rsid w:val="00E864A7"/>
    <w:rsid w:val="00E86B7B"/>
    <w:rsid w:val="00E874B0"/>
    <w:rsid w:val="00E874FA"/>
    <w:rsid w:val="00E87908"/>
    <w:rsid w:val="00E900F1"/>
    <w:rsid w:val="00E90457"/>
    <w:rsid w:val="00E90472"/>
    <w:rsid w:val="00E90533"/>
    <w:rsid w:val="00E90685"/>
    <w:rsid w:val="00E90B49"/>
    <w:rsid w:val="00E90B9C"/>
    <w:rsid w:val="00E90D4C"/>
    <w:rsid w:val="00E91860"/>
    <w:rsid w:val="00E91C12"/>
    <w:rsid w:val="00E91E5B"/>
    <w:rsid w:val="00E92395"/>
    <w:rsid w:val="00E9256D"/>
    <w:rsid w:val="00E9283C"/>
    <w:rsid w:val="00E92AC9"/>
    <w:rsid w:val="00E92B67"/>
    <w:rsid w:val="00E92C15"/>
    <w:rsid w:val="00E932AE"/>
    <w:rsid w:val="00E937DD"/>
    <w:rsid w:val="00E93D55"/>
    <w:rsid w:val="00E9431A"/>
    <w:rsid w:val="00E9460B"/>
    <w:rsid w:val="00E9498C"/>
    <w:rsid w:val="00E9505D"/>
    <w:rsid w:val="00E954B7"/>
    <w:rsid w:val="00E95CEB"/>
    <w:rsid w:val="00E9627C"/>
    <w:rsid w:val="00E965F6"/>
    <w:rsid w:val="00E96768"/>
    <w:rsid w:val="00E96CCA"/>
    <w:rsid w:val="00E96E58"/>
    <w:rsid w:val="00E96FDB"/>
    <w:rsid w:val="00E976AC"/>
    <w:rsid w:val="00E9794E"/>
    <w:rsid w:val="00E97C3D"/>
    <w:rsid w:val="00E97CF8"/>
    <w:rsid w:val="00E97E43"/>
    <w:rsid w:val="00EA0075"/>
    <w:rsid w:val="00EA00F9"/>
    <w:rsid w:val="00EA031F"/>
    <w:rsid w:val="00EA032A"/>
    <w:rsid w:val="00EA059C"/>
    <w:rsid w:val="00EA074A"/>
    <w:rsid w:val="00EA0D29"/>
    <w:rsid w:val="00EA107B"/>
    <w:rsid w:val="00EA1186"/>
    <w:rsid w:val="00EA2328"/>
    <w:rsid w:val="00EA23F6"/>
    <w:rsid w:val="00EA2A96"/>
    <w:rsid w:val="00EA2E80"/>
    <w:rsid w:val="00EA34D0"/>
    <w:rsid w:val="00EA3575"/>
    <w:rsid w:val="00EA3CF7"/>
    <w:rsid w:val="00EA3ED8"/>
    <w:rsid w:val="00EA40A6"/>
    <w:rsid w:val="00EA4232"/>
    <w:rsid w:val="00EA43AA"/>
    <w:rsid w:val="00EA43EE"/>
    <w:rsid w:val="00EA44D4"/>
    <w:rsid w:val="00EA4645"/>
    <w:rsid w:val="00EA478E"/>
    <w:rsid w:val="00EA4D40"/>
    <w:rsid w:val="00EA59C6"/>
    <w:rsid w:val="00EA63C3"/>
    <w:rsid w:val="00EA64A8"/>
    <w:rsid w:val="00EA6BA8"/>
    <w:rsid w:val="00EA6D62"/>
    <w:rsid w:val="00EA75E0"/>
    <w:rsid w:val="00EA76EE"/>
    <w:rsid w:val="00EA79F7"/>
    <w:rsid w:val="00EA7AEE"/>
    <w:rsid w:val="00EA7F09"/>
    <w:rsid w:val="00EB0691"/>
    <w:rsid w:val="00EB0BE2"/>
    <w:rsid w:val="00EB0E5A"/>
    <w:rsid w:val="00EB1029"/>
    <w:rsid w:val="00EB1098"/>
    <w:rsid w:val="00EB10AC"/>
    <w:rsid w:val="00EB13D5"/>
    <w:rsid w:val="00EB196D"/>
    <w:rsid w:val="00EB196F"/>
    <w:rsid w:val="00EB2100"/>
    <w:rsid w:val="00EB3295"/>
    <w:rsid w:val="00EB356D"/>
    <w:rsid w:val="00EB3CE5"/>
    <w:rsid w:val="00EB3D5C"/>
    <w:rsid w:val="00EB3F40"/>
    <w:rsid w:val="00EB47C0"/>
    <w:rsid w:val="00EB4A21"/>
    <w:rsid w:val="00EB4A93"/>
    <w:rsid w:val="00EB4C29"/>
    <w:rsid w:val="00EB506B"/>
    <w:rsid w:val="00EB50A1"/>
    <w:rsid w:val="00EB5A97"/>
    <w:rsid w:val="00EB5C8A"/>
    <w:rsid w:val="00EB5E0E"/>
    <w:rsid w:val="00EB641F"/>
    <w:rsid w:val="00EB6750"/>
    <w:rsid w:val="00EB67A9"/>
    <w:rsid w:val="00EB6889"/>
    <w:rsid w:val="00EB69A1"/>
    <w:rsid w:val="00EB6AB9"/>
    <w:rsid w:val="00EB6D31"/>
    <w:rsid w:val="00EB745E"/>
    <w:rsid w:val="00EB76D5"/>
    <w:rsid w:val="00EB784E"/>
    <w:rsid w:val="00EB7A93"/>
    <w:rsid w:val="00EC06CC"/>
    <w:rsid w:val="00EC0A7E"/>
    <w:rsid w:val="00EC0DFD"/>
    <w:rsid w:val="00EC10A0"/>
    <w:rsid w:val="00EC1195"/>
    <w:rsid w:val="00EC1383"/>
    <w:rsid w:val="00EC13D0"/>
    <w:rsid w:val="00EC1591"/>
    <w:rsid w:val="00EC16C6"/>
    <w:rsid w:val="00EC16F1"/>
    <w:rsid w:val="00EC1C8A"/>
    <w:rsid w:val="00EC1DFD"/>
    <w:rsid w:val="00EC20D8"/>
    <w:rsid w:val="00EC282D"/>
    <w:rsid w:val="00EC2840"/>
    <w:rsid w:val="00EC2B0D"/>
    <w:rsid w:val="00EC3573"/>
    <w:rsid w:val="00EC36A8"/>
    <w:rsid w:val="00EC419F"/>
    <w:rsid w:val="00EC50A2"/>
    <w:rsid w:val="00EC518D"/>
    <w:rsid w:val="00EC52B8"/>
    <w:rsid w:val="00EC54F8"/>
    <w:rsid w:val="00EC5791"/>
    <w:rsid w:val="00EC57C6"/>
    <w:rsid w:val="00EC591D"/>
    <w:rsid w:val="00EC5FB8"/>
    <w:rsid w:val="00EC628D"/>
    <w:rsid w:val="00EC6763"/>
    <w:rsid w:val="00EC6C28"/>
    <w:rsid w:val="00EC6D0E"/>
    <w:rsid w:val="00EC6DFD"/>
    <w:rsid w:val="00EC6EF3"/>
    <w:rsid w:val="00EC7048"/>
    <w:rsid w:val="00EC71CB"/>
    <w:rsid w:val="00EC71D1"/>
    <w:rsid w:val="00EC769C"/>
    <w:rsid w:val="00EC76F3"/>
    <w:rsid w:val="00EC7797"/>
    <w:rsid w:val="00EC78BC"/>
    <w:rsid w:val="00EC7D87"/>
    <w:rsid w:val="00EC7E17"/>
    <w:rsid w:val="00ED00DD"/>
    <w:rsid w:val="00ED05D6"/>
    <w:rsid w:val="00ED060E"/>
    <w:rsid w:val="00ED0C6F"/>
    <w:rsid w:val="00ED0D88"/>
    <w:rsid w:val="00ED13D1"/>
    <w:rsid w:val="00ED1AA8"/>
    <w:rsid w:val="00ED22F7"/>
    <w:rsid w:val="00ED233E"/>
    <w:rsid w:val="00ED29F2"/>
    <w:rsid w:val="00ED2D3B"/>
    <w:rsid w:val="00ED2FCC"/>
    <w:rsid w:val="00ED3028"/>
    <w:rsid w:val="00ED3A81"/>
    <w:rsid w:val="00ED3F32"/>
    <w:rsid w:val="00ED4967"/>
    <w:rsid w:val="00ED4C12"/>
    <w:rsid w:val="00ED4E12"/>
    <w:rsid w:val="00ED50D8"/>
    <w:rsid w:val="00ED53B0"/>
    <w:rsid w:val="00ED5646"/>
    <w:rsid w:val="00ED668B"/>
    <w:rsid w:val="00ED67CE"/>
    <w:rsid w:val="00ED6997"/>
    <w:rsid w:val="00ED7559"/>
    <w:rsid w:val="00ED7637"/>
    <w:rsid w:val="00ED7A84"/>
    <w:rsid w:val="00EE0279"/>
    <w:rsid w:val="00EE03BB"/>
    <w:rsid w:val="00EE0538"/>
    <w:rsid w:val="00EE05EC"/>
    <w:rsid w:val="00EE0625"/>
    <w:rsid w:val="00EE0A4C"/>
    <w:rsid w:val="00EE0B6E"/>
    <w:rsid w:val="00EE0F57"/>
    <w:rsid w:val="00EE0F97"/>
    <w:rsid w:val="00EE1046"/>
    <w:rsid w:val="00EE1B10"/>
    <w:rsid w:val="00EE1F65"/>
    <w:rsid w:val="00EE2371"/>
    <w:rsid w:val="00EE28A4"/>
    <w:rsid w:val="00EE28CE"/>
    <w:rsid w:val="00EE28F4"/>
    <w:rsid w:val="00EE2D19"/>
    <w:rsid w:val="00EE3728"/>
    <w:rsid w:val="00EE38B6"/>
    <w:rsid w:val="00EE3E7B"/>
    <w:rsid w:val="00EE3E83"/>
    <w:rsid w:val="00EE4261"/>
    <w:rsid w:val="00EE4493"/>
    <w:rsid w:val="00EE45C5"/>
    <w:rsid w:val="00EE4ADF"/>
    <w:rsid w:val="00EE4B3E"/>
    <w:rsid w:val="00EE5A6B"/>
    <w:rsid w:val="00EE5B3C"/>
    <w:rsid w:val="00EE5F75"/>
    <w:rsid w:val="00EE63BE"/>
    <w:rsid w:val="00EE6972"/>
    <w:rsid w:val="00EE6A2B"/>
    <w:rsid w:val="00EE6B04"/>
    <w:rsid w:val="00EE6B89"/>
    <w:rsid w:val="00EE712F"/>
    <w:rsid w:val="00EE73B5"/>
    <w:rsid w:val="00EE79AF"/>
    <w:rsid w:val="00EF0024"/>
    <w:rsid w:val="00EF0799"/>
    <w:rsid w:val="00EF09CD"/>
    <w:rsid w:val="00EF10CC"/>
    <w:rsid w:val="00EF12C5"/>
    <w:rsid w:val="00EF15F5"/>
    <w:rsid w:val="00EF1C75"/>
    <w:rsid w:val="00EF1EB2"/>
    <w:rsid w:val="00EF2006"/>
    <w:rsid w:val="00EF21AF"/>
    <w:rsid w:val="00EF24F7"/>
    <w:rsid w:val="00EF2722"/>
    <w:rsid w:val="00EF2A35"/>
    <w:rsid w:val="00EF2B93"/>
    <w:rsid w:val="00EF2DB3"/>
    <w:rsid w:val="00EF363D"/>
    <w:rsid w:val="00EF3850"/>
    <w:rsid w:val="00EF40A5"/>
    <w:rsid w:val="00EF40BE"/>
    <w:rsid w:val="00EF416B"/>
    <w:rsid w:val="00EF41D3"/>
    <w:rsid w:val="00EF4469"/>
    <w:rsid w:val="00EF4590"/>
    <w:rsid w:val="00EF47BD"/>
    <w:rsid w:val="00EF4AE4"/>
    <w:rsid w:val="00EF5107"/>
    <w:rsid w:val="00EF5B55"/>
    <w:rsid w:val="00EF5CE4"/>
    <w:rsid w:val="00EF5E9A"/>
    <w:rsid w:val="00EF5EEA"/>
    <w:rsid w:val="00EF6294"/>
    <w:rsid w:val="00EF6601"/>
    <w:rsid w:val="00EF6805"/>
    <w:rsid w:val="00EF696D"/>
    <w:rsid w:val="00EF6D9B"/>
    <w:rsid w:val="00EF6EAE"/>
    <w:rsid w:val="00EF711F"/>
    <w:rsid w:val="00EF730B"/>
    <w:rsid w:val="00EF768F"/>
    <w:rsid w:val="00EF78A0"/>
    <w:rsid w:val="00EF7CF2"/>
    <w:rsid w:val="00EF7D85"/>
    <w:rsid w:val="00EF7F31"/>
    <w:rsid w:val="00F00508"/>
    <w:rsid w:val="00F00B2E"/>
    <w:rsid w:val="00F01490"/>
    <w:rsid w:val="00F01820"/>
    <w:rsid w:val="00F0193F"/>
    <w:rsid w:val="00F01C5B"/>
    <w:rsid w:val="00F01E52"/>
    <w:rsid w:val="00F02473"/>
    <w:rsid w:val="00F0256E"/>
    <w:rsid w:val="00F02DCB"/>
    <w:rsid w:val="00F0319D"/>
    <w:rsid w:val="00F0389E"/>
    <w:rsid w:val="00F04286"/>
    <w:rsid w:val="00F042DC"/>
    <w:rsid w:val="00F04309"/>
    <w:rsid w:val="00F0448B"/>
    <w:rsid w:val="00F0463B"/>
    <w:rsid w:val="00F046BD"/>
    <w:rsid w:val="00F04D63"/>
    <w:rsid w:val="00F04E40"/>
    <w:rsid w:val="00F04E72"/>
    <w:rsid w:val="00F0526B"/>
    <w:rsid w:val="00F0576E"/>
    <w:rsid w:val="00F057C2"/>
    <w:rsid w:val="00F0584D"/>
    <w:rsid w:val="00F05999"/>
    <w:rsid w:val="00F059AB"/>
    <w:rsid w:val="00F05B05"/>
    <w:rsid w:val="00F06322"/>
    <w:rsid w:val="00F06894"/>
    <w:rsid w:val="00F06906"/>
    <w:rsid w:val="00F06C35"/>
    <w:rsid w:val="00F06DDD"/>
    <w:rsid w:val="00F07099"/>
    <w:rsid w:val="00F07383"/>
    <w:rsid w:val="00F074FA"/>
    <w:rsid w:val="00F07A90"/>
    <w:rsid w:val="00F07B75"/>
    <w:rsid w:val="00F102A7"/>
    <w:rsid w:val="00F105EA"/>
    <w:rsid w:val="00F107E1"/>
    <w:rsid w:val="00F10B8A"/>
    <w:rsid w:val="00F10F10"/>
    <w:rsid w:val="00F1106A"/>
    <w:rsid w:val="00F1109A"/>
    <w:rsid w:val="00F11117"/>
    <w:rsid w:val="00F111B8"/>
    <w:rsid w:val="00F112B0"/>
    <w:rsid w:val="00F11304"/>
    <w:rsid w:val="00F11768"/>
    <w:rsid w:val="00F11D55"/>
    <w:rsid w:val="00F11DC7"/>
    <w:rsid w:val="00F11FA7"/>
    <w:rsid w:val="00F12541"/>
    <w:rsid w:val="00F13580"/>
    <w:rsid w:val="00F13586"/>
    <w:rsid w:val="00F143EE"/>
    <w:rsid w:val="00F14435"/>
    <w:rsid w:val="00F14C45"/>
    <w:rsid w:val="00F1510D"/>
    <w:rsid w:val="00F15233"/>
    <w:rsid w:val="00F15618"/>
    <w:rsid w:val="00F15E91"/>
    <w:rsid w:val="00F164D2"/>
    <w:rsid w:val="00F16E72"/>
    <w:rsid w:val="00F16F98"/>
    <w:rsid w:val="00F1735C"/>
    <w:rsid w:val="00F17473"/>
    <w:rsid w:val="00F178FF"/>
    <w:rsid w:val="00F1792A"/>
    <w:rsid w:val="00F17C97"/>
    <w:rsid w:val="00F17F93"/>
    <w:rsid w:val="00F2064C"/>
    <w:rsid w:val="00F20B53"/>
    <w:rsid w:val="00F20B5F"/>
    <w:rsid w:val="00F21056"/>
    <w:rsid w:val="00F21961"/>
    <w:rsid w:val="00F21A42"/>
    <w:rsid w:val="00F21BA6"/>
    <w:rsid w:val="00F21C71"/>
    <w:rsid w:val="00F21D12"/>
    <w:rsid w:val="00F21D48"/>
    <w:rsid w:val="00F21FB3"/>
    <w:rsid w:val="00F22035"/>
    <w:rsid w:val="00F2291C"/>
    <w:rsid w:val="00F22A18"/>
    <w:rsid w:val="00F22C19"/>
    <w:rsid w:val="00F22D18"/>
    <w:rsid w:val="00F22FD6"/>
    <w:rsid w:val="00F2300F"/>
    <w:rsid w:val="00F23350"/>
    <w:rsid w:val="00F23434"/>
    <w:rsid w:val="00F235FB"/>
    <w:rsid w:val="00F23664"/>
    <w:rsid w:val="00F2367A"/>
    <w:rsid w:val="00F23880"/>
    <w:rsid w:val="00F23F3C"/>
    <w:rsid w:val="00F24450"/>
    <w:rsid w:val="00F24686"/>
    <w:rsid w:val="00F24B44"/>
    <w:rsid w:val="00F2521E"/>
    <w:rsid w:val="00F25B50"/>
    <w:rsid w:val="00F25D28"/>
    <w:rsid w:val="00F26073"/>
    <w:rsid w:val="00F26137"/>
    <w:rsid w:val="00F2624C"/>
    <w:rsid w:val="00F26270"/>
    <w:rsid w:val="00F26385"/>
    <w:rsid w:val="00F2678A"/>
    <w:rsid w:val="00F267AE"/>
    <w:rsid w:val="00F26AA8"/>
    <w:rsid w:val="00F26AF2"/>
    <w:rsid w:val="00F26B6B"/>
    <w:rsid w:val="00F27D48"/>
    <w:rsid w:val="00F27E00"/>
    <w:rsid w:val="00F3026A"/>
    <w:rsid w:val="00F3039A"/>
    <w:rsid w:val="00F307B3"/>
    <w:rsid w:val="00F30A58"/>
    <w:rsid w:val="00F30A91"/>
    <w:rsid w:val="00F30BB4"/>
    <w:rsid w:val="00F30F8A"/>
    <w:rsid w:val="00F312B5"/>
    <w:rsid w:val="00F313C9"/>
    <w:rsid w:val="00F3174C"/>
    <w:rsid w:val="00F31837"/>
    <w:rsid w:val="00F31DD9"/>
    <w:rsid w:val="00F31E7F"/>
    <w:rsid w:val="00F31EC4"/>
    <w:rsid w:val="00F327CC"/>
    <w:rsid w:val="00F32A89"/>
    <w:rsid w:val="00F32F13"/>
    <w:rsid w:val="00F33F9F"/>
    <w:rsid w:val="00F34042"/>
    <w:rsid w:val="00F34FC3"/>
    <w:rsid w:val="00F357BC"/>
    <w:rsid w:val="00F3582B"/>
    <w:rsid w:val="00F358B7"/>
    <w:rsid w:val="00F361D0"/>
    <w:rsid w:val="00F368E6"/>
    <w:rsid w:val="00F369C2"/>
    <w:rsid w:val="00F36C87"/>
    <w:rsid w:val="00F36E5C"/>
    <w:rsid w:val="00F376F4"/>
    <w:rsid w:val="00F37AAC"/>
    <w:rsid w:val="00F37C04"/>
    <w:rsid w:val="00F37D6F"/>
    <w:rsid w:val="00F40460"/>
    <w:rsid w:val="00F40485"/>
    <w:rsid w:val="00F4165C"/>
    <w:rsid w:val="00F41869"/>
    <w:rsid w:val="00F41A52"/>
    <w:rsid w:val="00F41E2A"/>
    <w:rsid w:val="00F420C8"/>
    <w:rsid w:val="00F4256F"/>
    <w:rsid w:val="00F427F0"/>
    <w:rsid w:val="00F42C4B"/>
    <w:rsid w:val="00F4325B"/>
    <w:rsid w:val="00F4348E"/>
    <w:rsid w:val="00F439C9"/>
    <w:rsid w:val="00F43DE0"/>
    <w:rsid w:val="00F44339"/>
    <w:rsid w:val="00F4433B"/>
    <w:rsid w:val="00F44995"/>
    <w:rsid w:val="00F44A07"/>
    <w:rsid w:val="00F44EC9"/>
    <w:rsid w:val="00F45218"/>
    <w:rsid w:val="00F468D3"/>
    <w:rsid w:val="00F46927"/>
    <w:rsid w:val="00F47062"/>
    <w:rsid w:val="00F4771A"/>
    <w:rsid w:val="00F5047A"/>
    <w:rsid w:val="00F504F3"/>
    <w:rsid w:val="00F50999"/>
    <w:rsid w:val="00F51129"/>
    <w:rsid w:val="00F51302"/>
    <w:rsid w:val="00F51396"/>
    <w:rsid w:val="00F516DA"/>
    <w:rsid w:val="00F51AA5"/>
    <w:rsid w:val="00F51C6A"/>
    <w:rsid w:val="00F51C8A"/>
    <w:rsid w:val="00F51C95"/>
    <w:rsid w:val="00F51D13"/>
    <w:rsid w:val="00F52406"/>
    <w:rsid w:val="00F53237"/>
    <w:rsid w:val="00F5385F"/>
    <w:rsid w:val="00F538BE"/>
    <w:rsid w:val="00F53CC4"/>
    <w:rsid w:val="00F543CC"/>
    <w:rsid w:val="00F54498"/>
    <w:rsid w:val="00F54889"/>
    <w:rsid w:val="00F5493B"/>
    <w:rsid w:val="00F55097"/>
    <w:rsid w:val="00F55854"/>
    <w:rsid w:val="00F55A50"/>
    <w:rsid w:val="00F55A97"/>
    <w:rsid w:val="00F55CEC"/>
    <w:rsid w:val="00F5609A"/>
    <w:rsid w:val="00F5634E"/>
    <w:rsid w:val="00F56813"/>
    <w:rsid w:val="00F5686F"/>
    <w:rsid w:val="00F56FAE"/>
    <w:rsid w:val="00F57BEC"/>
    <w:rsid w:val="00F57F4B"/>
    <w:rsid w:val="00F600BC"/>
    <w:rsid w:val="00F60257"/>
    <w:rsid w:val="00F60B8D"/>
    <w:rsid w:val="00F60CA1"/>
    <w:rsid w:val="00F60F15"/>
    <w:rsid w:val="00F6180A"/>
    <w:rsid w:val="00F627EF"/>
    <w:rsid w:val="00F62D42"/>
    <w:rsid w:val="00F62DDB"/>
    <w:rsid w:val="00F62EDF"/>
    <w:rsid w:val="00F63515"/>
    <w:rsid w:val="00F63565"/>
    <w:rsid w:val="00F636AC"/>
    <w:rsid w:val="00F63B8F"/>
    <w:rsid w:val="00F63DC4"/>
    <w:rsid w:val="00F63F59"/>
    <w:rsid w:val="00F6422C"/>
    <w:rsid w:val="00F64584"/>
    <w:rsid w:val="00F64A79"/>
    <w:rsid w:val="00F64B3B"/>
    <w:rsid w:val="00F64FA9"/>
    <w:rsid w:val="00F6534F"/>
    <w:rsid w:val="00F65413"/>
    <w:rsid w:val="00F656A6"/>
    <w:rsid w:val="00F656E3"/>
    <w:rsid w:val="00F65A32"/>
    <w:rsid w:val="00F65CFF"/>
    <w:rsid w:val="00F66298"/>
    <w:rsid w:val="00F663EB"/>
    <w:rsid w:val="00F66617"/>
    <w:rsid w:val="00F67053"/>
    <w:rsid w:val="00F70110"/>
    <w:rsid w:val="00F7011F"/>
    <w:rsid w:val="00F707C2"/>
    <w:rsid w:val="00F711DA"/>
    <w:rsid w:val="00F718A1"/>
    <w:rsid w:val="00F71A2D"/>
    <w:rsid w:val="00F71AC2"/>
    <w:rsid w:val="00F71B54"/>
    <w:rsid w:val="00F71B9E"/>
    <w:rsid w:val="00F71E9A"/>
    <w:rsid w:val="00F721A0"/>
    <w:rsid w:val="00F72587"/>
    <w:rsid w:val="00F72A80"/>
    <w:rsid w:val="00F72C93"/>
    <w:rsid w:val="00F731F4"/>
    <w:rsid w:val="00F732F8"/>
    <w:rsid w:val="00F733EB"/>
    <w:rsid w:val="00F73671"/>
    <w:rsid w:val="00F736F7"/>
    <w:rsid w:val="00F73AAB"/>
    <w:rsid w:val="00F73F0F"/>
    <w:rsid w:val="00F74288"/>
    <w:rsid w:val="00F746B3"/>
    <w:rsid w:val="00F74A58"/>
    <w:rsid w:val="00F74B4B"/>
    <w:rsid w:val="00F74CB4"/>
    <w:rsid w:val="00F754C2"/>
    <w:rsid w:val="00F75843"/>
    <w:rsid w:val="00F75A5A"/>
    <w:rsid w:val="00F77498"/>
    <w:rsid w:val="00F800B8"/>
    <w:rsid w:val="00F80131"/>
    <w:rsid w:val="00F8031E"/>
    <w:rsid w:val="00F80496"/>
    <w:rsid w:val="00F80662"/>
    <w:rsid w:val="00F80866"/>
    <w:rsid w:val="00F80A88"/>
    <w:rsid w:val="00F80B4E"/>
    <w:rsid w:val="00F80F5A"/>
    <w:rsid w:val="00F80F6B"/>
    <w:rsid w:val="00F81498"/>
    <w:rsid w:val="00F81858"/>
    <w:rsid w:val="00F818A0"/>
    <w:rsid w:val="00F81B22"/>
    <w:rsid w:val="00F81DCC"/>
    <w:rsid w:val="00F81F72"/>
    <w:rsid w:val="00F823F5"/>
    <w:rsid w:val="00F824BE"/>
    <w:rsid w:val="00F826A2"/>
    <w:rsid w:val="00F82D98"/>
    <w:rsid w:val="00F82EE9"/>
    <w:rsid w:val="00F837A3"/>
    <w:rsid w:val="00F8386F"/>
    <w:rsid w:val="00F8399B"/>
    <w:rsid w:val="00F83B2A"/>
    <w:rsid w:val="00F83D29"/>
    <w:rsid w:val="00F83D92"/>
    <w:rsid w:val="00F83EB1"/>
    <w:rsid w:val="00F840E9"/>
    <w:rsid w:val="00F84207"/>
    <w:rsid w:val="00F848F9"/>
    <w:rsid w:val="00F85721"/>
    <w:rsid w:val="00F85B1B"/>
    <w:rsid w:val="00F85EB7"/>
    <w:rsid w:val="00F85F5C"/>
    <w:rsid w:val="00F85F71"/>
    <w:rsid w:val="00F86028"/>
    <w:rsid w:val="00F860DC"/>
    <w:rsid w:val="00F8626D"/>
    <w:rsid w:val="00F863A8"/>
    <w:rsid w:val="00F86519"/>
    <w:rsid w:val="00F86799"/>
    <w:rsid w:val="00F86903"/>
    <w:rsid w:val="00F86B66"/>
    <w:rsid w:val="00F86EF2"/>
    <w:rsid w:val="00F86F78"/>
    <w:rsid w:val="00F877FF"/>
    <w:rsid w:val="00F879DA"/>
    <w:rsid w:val="00F87CCC"/>
    <w:rsid w:val="00F902DB"/>
    <w:rsid w:val="00F90311"/>
    <w:rsid w:val="00F91011"/>
    <w:rsid w:val="00F9170D"/>
    <w:rsid w:val="00F91AD1"/>
    <w:rsid w:val="00F920C9"/>
    <w:rsid w:val="00F926E2"/>
    <w:rsid w:val="00F92734"/>
    <w:rsid w:val="00F932D3"/>
    <w:rsid w:val="00F935A7"/>
    <w:rsid w:val="00F93824"/>
    <w:rsid w:val="00F93B52"/>
    <w:rsid w:val="00F93D18"/>
    <w:rsid w:val="00F93D8D"/>
    <w:rsid w:val="00F93F47"/>
    <w:rsid w:val="00F94368"/>
    <w:rsid w:val="00F94423"/>
    <w:rsid w:val="00F945EB"/>
    <w:rsid w:val="00F9472E"/>
    <w:rsid w:val="00F9494C"/>
    <w:rsid w:val="00F94A0E"/>
    <w:rsid w:val="00F94C8B"/>
    <w:rsid w:val="00F94EC4"/>
    <w:rsid w:val="00F958D7"/>
    <w:rsid w:val="00F95A03"/>
    <w:rsid w:val="00F962C0"/>
    <w:rsid w:val="00F965D3"/>
    <w:rsid w:val="00F96E89"/>
    <w:rsid w:val="00F97103"/>
    <w:rsid w:val="00F971B0"/>
    <w:rsid w:val="00F9733D"/>
    <w:rsid w:val="00F97691"/>
    <w:rsid w:val="00F97A46"/>
    <w:rsid w:val="00F97A61"/>
    <w:rsid w:val="00F97CB8"/>
    <w:rsid w:val="00FA038E"/>
    <w:rsid w:val="00FA0597"/>
    <w:rsid w:val="00FA0840"/>
    <w:rsid w:val="00FA0BF6"/>
    <w:rsid w:val="00FA15C8"/>
    <w:rsid w:val="00FA1640"/>
    <w:rsid w:val="00FA21D5"/>
    <w:rsid w:val="00FA2C5D"/>
    <w:rsid w:val="00FA2D86"/>
    <w:rsid w:val="00FA348C"/>
    <w:rsid w:val="00FA39D5"/>
    <w:rsid w:val="00FA3D87"/>
    <w:rsid w:val="00FA3EBD"/>
    <w:rsid w:val="00FA463F"/>
    <w:rsid w:val="00FA4AED"/>
    <w:rsid w:val="00FA4C57"/>
    <w:rsid w:val="00FA4F25"/>
    <w:rsid w:val="00FA515B"/>
    <w:rsid w:val="00FA53D8"/>
    <w:rsid w:val="00FA5721"/>
    <w:rsid w:val="00FA6201"/>
    <w:rsid w:val="00FA645E"/>
    <w:rsid w:val="00FA6674"/>
    <w:rsid w:val="00FA6792"/>
    <w:rsid w:val="00FA679E"/>
    <w:rsid w:val="00FA6961"/>
    <w:rsid w:val="00FA6A7C"/>
    <w:rsid w:val="00FA7EB1"/>
    <w:rsid w:val="00FB0185"/>
    <w:rsid w:val="00FB027A"/>
    <w:rsid w:val="00FB045F"/>
    <w:rsid w:val="00FB0A85"/>
    <w:rsid w:val="00FB0AD8"/>
    <w:rsid w:val="00FB0C38"/>
    <w:rsid w:val="00FB0E05"/>
    <w:rsid w:val="00FB12DE"/>
    <w:rsid w:val="00FB16A9"/>
    <w:rsid w:val="00FB1A3B"/>
    <w:rsid w:val="00FB20E7"/>
    <w:rsid w:val="00FB2AC3"/>
    <w:rsid w:val="00FB2E17"/>
    <w:rsid w:val="00FB2E47"/>
    <w:rsid w:val="00FB363C"/>
    <w:rsid w:val="00FB3802"/>
    <w:rsid w:val="00FB39F1"/>
    <w:rsid w:val="00FB3D71"/>
    <w:rsid w:val="00FB404B"/>
    <w:rsid w:val="00FB45E7"/>
    <w:rsid w:val="00FB4A29"/>
    <w:rsid w:val="00FB4C1F"/>
    <w:rsid w:val="00FB4C99"/>
    <w:rsid w:val="00FB4D6C"/>
    <w:rsid w:val="00FB4DBB"/>
    <w:rsid w:val="00FB5016"/>
    <w:rsid w:val="00FB5526"/>
    <w:rsid w:val="00FB552F"/>
    <w:rsid w:val="00FB5753"/>
    <w:rsid w:val="00FB58C0"/>
    <w:rsid w:val="00FB59C2"/>
    <w:rsid w:val="00FB5E1E"/>
    <w:rsid w:val="00FB5F97"/>
    <w:rsid w:val="00FB64FC"/>
    <w:rsid w:val="00FB66E4"/>
    <w:rsid w:val="00FB6AD1"/>
    <w:rsid w:val="00FB6C5B"/>
    <w:rsid w:val="00FB6E68"/>
    <w:rsid w:val="00FB7337"/>
    <w:rsid w:val="00FB748F"/>
    <w:rsid w:val="00FB7622"/>
    <w:rsid w:val="00FB792A"/>
    <w:rsid w:val="00FB7A57"/>
    <w:rsid w:val="00FB7B0F"/>
    <w:rsid w:val="00FB7D3F"/>
    <w:rsid w:val="00FC023D"/>
    <w:rsid w:val="00FC0BFA"/>
    <w:rsid w:val="00FC0EBC"/>
    <w:rsid w:val="00FC13AD"/>
    <w:rsid w:val="00FC13E5"/>
    <w:rsid w:val="00FC1510"/>
    <w:rsid w:val="00FC1717"/>
    <w:rsid w:val="00FC195C"/>
    <w:rsid w:val="00FC1A06"/>
    <w:rsid w:val="00FC1B86"/>
    <w:rsid w:val="00FC1C1E"/>
    <w:rsid w:val="00FC1D33"/>
    <w:rsid w:val="00FC1FFE"/>
    <w:rsid w:val="00FC2007"/>
    <w:rsid w:val="00FC21E3"/>
    <w:rsid w:val="00FC244B"/>
    <w:rsid w:val="00FC28B1"/>
    <w:rsid w:val="00FC2974"/>
    <w:rsid w:val="00FC3557"/>
    <w:rsid w:val="00FC36EE"/>
    <w:rsid w:val="00FC3A39"/>
    <w:rsid w:val="00FC3BED"/>
    <w:rsid w:val="00FC43D1"/>
    <w:rsid w:val="00FC45A5"/>
    <w:rsid w:val="00FC46CA"/>
    <w:rsid w:val="00FC4CF8"/>
    <w:rsid w:val="00FC531B"/>
    <w:rsid w:val="00FC5701"/>
    <w:rsid w:val="00FC5757"/>
    <w:rsid w:val="00FC59AD"/>
    <w:rsid w:val="00FC7206"/>
    <w:rsid w:val="00FC7740"/>
    <w:rsid w:val="00FC7D7A"/>
    <w:rsid w:val="00FD000D"/>
    <w:rsid w:val="00FD00AA"/>
    <w:rsid w:val="00FD0147"/>
    <w:rsid w:val="00FD019D"/>
    <w:rsid w:val="00FD0423"/>
    <w:rsid w:val="00FD05BA"/>
    <w:rsid w:val="00FD08D4"/>
    <w:rsid w:val="00FD0C68"/>
    <w:rsid w:val="00FD0CD9"/>
    <w:rsid w:val="00FD1065"/>
    <w:rsid w:val="00FD10FE"/>
    <w:rsid w:val="00FD1749"/>
    <w:rsid w:val="00FD18D4"/>
    <w:rsid w:val="00FD1954"/>
    <w:rsid w:val="00FD1C2B"/>
    <w:rsid w:val="00FD2050"/>
    <w:rsid w:val="00FD2393"/>
    <w:rsid w:val="00FD24DE"/>
    <w:rsid w:val="00FD260F"/>
    <w:rsid w:val="00FD45BD"/>
    <w:rsid w:val="00FD51F3"/>
    <w:rsid w:val="00FD5907"/>
    <w:rsid w:val="00FD592E"/>
    <w:rsid w:val="00FD6AEB"/>
    <w:rsid w:val="00FD6B8A"/>
    <w:rsid w:val="00FD6C12"/>
    <w:rsid w:val="00FD717A"/>
    <w:rsid w:val="00FD7374"/>
    <w:rsid w:val="00FD74B9"/>
    <w:rsid w:val="00FD7546"/>
    <w:rsid w:val="00FD795A"/>
    <w:rsid w:val="00FD79E4"/>
    <w:rsid w:val="00FD7DAB"/>
    <w:rsid w:val="00FE0249"/>
    <w:rsid w:val="00FE030E"/>
    <w:rsid w:val="00FE032C"/>
    <w:rsid w:val="00FE040A"/>
    <w:rsid w:val="00FE0471"/>
    <w:rsid w:val="00FE0C45"/>
    <w:rsid w:val="00FE0C87"/>
    <w:rsid w:val="00FE0D40"/>
    <w:rsid w:val="00FE0DAB"/>
    <w:rsid w:val="00FE136C"/>
    <w:rsid w:val="00FE1406"/>
    <w:rsid w:val="00FE15C1"/>
    <w:rsid w:val="00FE1AC3"/>
    <w:rsid w:val="00FE1EC3"/>
    <w:rsid w:val="00FE21B4"/>
    <w:rsid w:val="00FE23E4"/>
    <w:rsid w:val="00FE2459"/>
    <w:rsid w:val="00FE24FF"/>
    <w:rsid w:val="00FE253B"/>
    <w:rsid w:val="00FE2C17"/>
    <w:rsid w:val="00FE3496"/>
    <w:rsid w:val="00FE369C"/>
    <w:rsid w:val="00FE39C8"/>
    <w:rsid w:val="00FE3E6C"/>
    <w:rsid w:val="00FE434D"/>
    <w:rsid w:val="00FE4472"/>
    <w:rsid w:val="00FE47AE"/>
    <w:rsid w:val="00FE48E8"/>
    <w:rsid w:val="00FE4B98"/>
    <w:rsid w:val="00FE4D0B"/>
    <w:rsid w:val="00FE5131"/>
    <w:rsid w:val="00FE518B"/>
    <w:rsid w:val="00FE5C60"/>
    <w:rsid w:val="00FE699F"/>
    <w:rsid w:val="00FE69B9"/>
    <w:rsid w:val="00FE6DFE"/>
    <w:rsid w:val="00FE71D5"/>
    <w:rsid w:val="00FE736A"/>
    <w:rsid w:val="00FE7446"/>
    <w:rsid w:val="00FE7E05"/>
    <w:rsid w:val="00FE7E4E"/>
    <w:rsid w:val="00FE7FAF"/>
    <w:rsid w:val="00FF01D7"/>
    <w:rsid w:val="00FF02CF"/>
    <w:rsid w:val="00FF0402"/>
    <w:rsid w:val="00FF0406"/>
    <w:rsid w:val="00FF050E"/>
    <w:rsid w:val="00FF072F"/>
    <w:rsid w:val="00FF0841"/>
    <w:rsid w:val="00FF09C7"/>
    <w:rsid w:val="00FF0A81"/>
    <w:rsid w:val="00FF0DA3"/>
    <w:rsid w:val="00FF0DF0"/>
    <w:rsid w:val="00FF1027"/>
    <w:rsid w:val="00FF1589"/>
    <w:rsid w:val="00FF15AE"/>
    <w:rsid w:val="00FF15B5"/>
    <w:rsid w:val="00FF1A4E"/>
    <w:rsid w:val="00FF1CBE"/>
    <w:rsid w:val="00FF1D48"/>
    <w:rsid w:val="00FF1F04"/>
    <w:rsid w:val="00FF20D7"/>
    <w:rsid w:val="00FF246E"/>
    <w:rsid w:val="00FF2B14"/>
    <w:rsid w:val="00FF2D85"/>
    <w:rsid w:val="00FF35B8"/>
    <w:rsid w:val="00FF3733"/>
    <w:rsid w:val="00FF3ED1"/>
    <w:rsid w:val="00FF3FF2"/>
    <w:rsid w:val="00FF4613"/>
    <w:rsid w:val="00FF46C3"/>
    <w:rsid w:val="00FF477B"/>
    <w:rsid w:val="00FF489E"/>
    <w:rsid w:val="00FF534A"/>
    <w:rsid w:val="00FF5373"/>
    <w:rsid w:val="00FF55B1"/>
    <w:rsid w:val="00FF5937"/>
    <w:rsid w:val="00FF6658"/>
    <w:rsid w:val="00FF7707"/>
    <w:rsid w:val="00FF7F6A"/>
    <w:rsid w:val="09B8C5CE"/>
    <w:rsid w:val="0ABB79E3"/>
    <w:rsid w:val="0CA3AE72"/>
    <w:rsid w:val="1A10DA79"/>
    <w:rsid w:val="23B22024"/>
    <w:rsid w:val="24F50054"/>
    <w:rsid w:val="2A6DE07B"/>
    <w:rsid w:val="2CFC9453"/>
    <w:rsid w:val="31BA9522"/>
    <w:rsid w:val="32082CDF"/>
    <w:rsid w:val="3495AE98"/>
    <w:rsid w:val="3EEEC718"/>
    <w:rsid w:val="456E2746"/>
    <w:rsid w:val="460D8C84"/>
    <w:rsid w:val="46F25864"/>
    <w:rsid w:val="477855AB"/>
    <w:rsid w:val="4917E216"/>
    <w:rsid w:val="49BC46E6"/>
    <w:rsid w:val="4E940D90"/>
    <w:rsid w:val="4FA0265A"/>
    <w:rsid w:val="50274945"/>
    <w:rsid w:val="512A003F"/>
    <w:rsid w:val="5280316E"/>
    <w:rsid w:val="53A7A6C3"/>
    <w:rsid w:val="590B4D12"/>
    <w:rsid w:val="59F70394"/>
    <w:rsid w:val="5B5760B0"/>
    <w:rsid w:val="5B788B4C"/>
    <w:rsid w:val="5D3C852E"/>
    <w:rsid w:val="63365415"/>
    <w:rsid w:val="63F84288"/>
    <w:rsid w:val="66AFCFA2"/>
    <w:rsid w:val="6D757224"/>
    <w:rsid w:val="73B22ADA"/>
    <w:rsid w:val="759F9767"/>
    <w:rsid w:val="75D948AC"/>
    <w:rsid w:val="78394C23"/>
    <w:rsid w:val="7EF362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FB76D"/>
  <w15:docId w15:val="{A73CED5C-A531-4579-8CA9-9F009ED4F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695B"/>
    <w:pPr>
      <w:tabs>
        <w:tab w:val="left" w:pos="567"/>
      </w:tabs>
      <w:spacing w:before="120" w:after="0" w:line="254" w:lineRule="auto"/>
    </w:pPr>
    <w:rPr>
      <w:rFonts w:ascii="Open Sans Light" w:hAnsi="Open Sans Light"/>
      <w:sz w:val="20"/>
    </w:rPr>
  </w:style>
  <w:style w:type="paragraph" w:styleId="Heading1">
    <w:name w:val="heading 1"/>
    <w:basedOn w:val="Normal"/>
    <w:next w:val="Normal"/>
    <w:link w:val="Heading1Char"/>
    <w:uiPriority w:val="9"/>
    <w:qFormat/>
    <w:rsid w:val="002B274C"/>
    <w:pPr>
      <w:tabs>
        <w:tab w:val="clear" w:pos="567"/>
      </w:tabs>
      <w:spacing w:before="360" w:after="200" w:line="276" w:lineRule="auto"/>
      <w:outlineLvl w:val="0"/>
    </w:pPr>
    <w:rPr>
      <w:rFonts w:ascii="Work Sans" w:eastAsia="Times New Roman" w:hAnsi="Work Sans" w:cs="Open Sans"/>
      <w:b/>
      <w:bCs/>
      <w:color w:val="006991"/>
      <w:sz w:val="40"/>
      <w:szCs w:val="40"/>
    </w:rPr>
  </w:style>
  <w:style w:type="paragraph" w:styleId="Heading2">
    <w:name w:val="heading 2"/>
    <w:aliases w:val="CGC 2025 Heading 2"/>
    <w:basedOn w:val="Normal"/>
    <w:next w:val="Heading3"/>
    <w:link w:val="Heading2Char"/>
    <w:uiPriority w:val="9"/>
    <w:qFormat/>
    <w:rsid w:val="007C4D64"/>
    <w:pPr>
      <w:tabs>
        <w:tab w:val="clear" w:pos="567"/>
      </w:tabs>
      <w:spacing w:before="360" w:after="200" w:line="276" w:lineRule="auto"/>
      <w:outlineLvl w:val="1"/>
    </w:pPr>
    <w:rPr>
      <w:rFonts w:ascii="Work Sans" w:eastAsia="Times New Roman" w:hAnsi="Work Sans" w:cs="Open Sans"/>
      <w:b/>
      <w:bCs/>
      <w:color w:val="006991"/>
      <w:sz w:val="36"/>
      <w:szCs w:val="36"/>
    </w:rPr>
  </w:style>
  <w:style w:type="paragraph" w:styleId="Heading3">
    <w:name w:val="heading 3"/>
    <w:aliases w:val="CGC 2025 Heading 3"/>
    <w:basedOn w:val="Normal"/>
    <w:next w:val="Heading4"/>
    <w:link w:val="Heading3Char"/>
    <w:uiPriority w:val="9"/>
    <w:qFormat/>
    <w:rsid w:val="009A2C92"/>
    <w:pPr>
      <w:tabs>
        <w:tab w:val="clear" w:pos="567"/>
      </w:tabs>
      <w:spacing w:before="240" w:after="200" w:line="276" w:lineRule="auto"/>
      <w:outlineLvl w:val="2"/>
    </w:pPr>
    <w:rPr>
      <w:rFonts w:ascii="Work Sans" w:eastAsia="Times New Roman" w:hAnsi="Work Sans" w:cs="Open Sans"/>
      <w:b/>
      <w:bCs/>
      <w:color w:val="006991"/>
      <w:sz w:val="28"/>
      <w:szCs w:val="28"/>
    </w:rPr>
  </w:style>
  <w:style w:type="paragraph" w:styleId="Heading4">
    <w:name w:val="heading 4"/>
    <w:aliases w:val="CGC 2025 Heading 4"/>
    <w:basedOn w:val="Normal"/>
    <w:next w:val="Heading5"/>
    <w:link w:val="Heading4Char"/>
    <w:uiPriority w:val="9"/>
    <w:qFormat/>
    <w:rsid w:val="00BD6EEE"/>
    <w:pPr>
      <w:keepNext/>
      <w:widowControl w:val="0"/>
      <w:spacing w:before="240" w:line="240" w:lineRule="auto"/>
      <w:outlineLvl w:val="3"/>
    </w:pPr>
    <w:rPr>
      <w:rFonts w:ascii="Work Sans" w:eastAsiaTheme="majorEastAsia" w:hAnsi="Work Sans" w:cstheme="majorBidi"/>
      <w:b/>
      <w:bCs/>
      <w:iCs/>
      <w:color w:val="006991"/>
      <w:sz w:val="24"/>
    </w:rPr>
  </w:style>
  <w:style w:type="paragraph" w:styleId="Heading5">
    <w:name w:val="heading 5"/>
    <w:aliases w:val="CGC 2025 Heading 5"/>
    <w:basedOn w:val="Normal"/>
    <w:next w:val="Heading6"/>
    <w:link w:val="Heading5Char"/>
    <w:uiPriority w:val="9"/>
    <w:qFormat/>
    <w:rsid w:val="00BD13E7"/>
    <w:pPr>
      <w:keepNext/>
      <w:tabs>
        <w:tab w:val="clear" w:pos="567"/>
      </w:tabs>
      <w:outlineLvl w:val="4"/>
    </w:pPr>
    <w:rPr>
      <w:rFonts w:ascii="Montserrat Semi Bold" w:eastAsiaTheme="majorEastAsia" w:hAnsi="Montserrat Semi Bold" w:cstheme="majorBidi"/>
      <w:color w:val="636466"/>
    </w:rPr>
  </w:style>
  <w:style w:type="paragraph" w:styleId="Heading6">
    <w:name w:val="heading 6"/>
    <w:basedOn w:val="Normal"/>
    <w:next w:val="Normal"/>
    <w:link w:val="Heading6Char"/>
    <w:uiPriority w:val="9"/>
    <w:qFormat/>
    <w:rsid w:val="00782EC4"/>
    <w:pPr>
      <w:keepNext/>
      <w:keepLines/>
      <w:outlineLvl w:val="5"/>
    </w:pPr>
    <w:rPr>
      <w:rFonts w:ascii="Montserrat Semi Bold" w:eastAsiaTheme="majorEastAsia" w:hAnsi="Montserrat Semi Bold" w:cstheme="majorBidi"/>
      <w:i/>
      <w:iCs/>
      <w:color w:val="636466"/>
    </w:rPr>
  </w:style>
  <w:style w:type="paragraph" w:styleId="Heading7">
    <w:name w:val="heading 7"/>
    <w:basedOn w:val="Normal"/>
    <w:next w:val="Normal"/>
    <w:link w:val="Heading7Char"/>
    <w:uiPriority w:val="9"/>
    <w:semiHidden/>
    <w:rsid w:val="0062266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semiHidden/>
    <w:rsid w:val="00765BA8"/>
    <w:pPr>
      <w:numPr>
        <w:ilvl w:val="7"/>
        <w:numId w:val="1"/>
      </w:numPr>
      <w:spacing w:before="240" w:after="60"/>
      <w:outlineLvl w:val="7"/>
    </w:pPr>
    <w:rPr>
      <w:rFonts w:ascii="Arial" w:hAnsi="Arial"/>
      <w:i/>
      <w:szCs w:val="20"/>
    </w:rPr>
  </w:style>
  <w:style w:type="paragraph" w:styleId="Heading9">
    <w:name w:val="heading 9"/>
    <w:aliases w:val="Heading 9 (Do not use),(Subsubsection Nos)"/>
    <w:basedOn w:val="Normal"/>
    <w:next w:val="Normal"/>
    <w:semiHidden/>
    <w:rsid w:val="00765BA8"/>
    <w:pPr>
      <w:numPr>
        <w:ilvl w:val="8"/>
        <w:numId w:val="1"/>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GCTableheader">
    <w:name w:val="CGC Table header"/>
    <w:basedOn w:val="Normal"/>
    <w:next w:val="Normal"/>
    <w:rsid w:val="00F74B4B"/>
    <w:pPr>
      <w:tabs>
        <w:tab w:val="left" w:pos="680"/>
      </w:tabs>
      <w:spacing w:before="0" w:line="240" w:lineRule="auto"/>
      <w:jc w:val="right"/>
    </w:pPr>
    <w:rPr>
      <w:rFonts w:ascii="Open Sans" w:hAnsi="Open Sans"/>
      <w:b/>
      <w:color w:val="FFFFFF" w:themeColor="background1"/>
      <w:sz w:val="16"/>
      <w:lang w:val="en-US"/>
    </w:rPr>
  </w:style>
  <w:style w:type="paragraph" w:styleId="Caption">
    <w:name w:val="caption"/>
    <w:basedOn w:val="Normal"/>
    <w:next w:val="Normal"/>
    <w:link w:val="CaptionChar"/>
    <w:uiPriority w:val="35"/>
    <w:qFormat/>
    <w:rsid w:val="00485F13"/>
    <w:pPr>
      <w:keepNext/>
      <w:keepLines/>
      <w:tabs>
        <w:tab w:val="clear" w:pos="567"/>
        <w:tab w:val="left" w:pos="1134"/>
        <w:tab w:val="left" w:pos="1418"/>
      </w:tabs>
      <w:spacing w:before="240" w:after="120" w:line="240" w:lineRule="auto"/>
      <w:ind w:left="1134" w:hanging="1134"/>
    </w:pPr>
    <w:rPr>
      <w:rFonts w:ascii="Montserrat Ultra Light" w:hAnsi="Montserrat Ultra Light"/>
      <w:b/>
      <w:bCs/>
      <w:szCs w:val="20"/>
    </w:rPr>
  </w:style>
  <w:style w:type="paragraph" w:customStyle="1" w:styleId="CGCSubbulletlist">
    <w:name w:val="CGC Sub bullet list"/>
    <w:aliases w:val="CGC List 2"/>
    <w:basedOn w:val="Normal"/>
    <w:rsid w:val="00C21EF9"/>
    <w:pPr>
      <w:numPr>
        <w:numId w:val="2"/>
      </w:numPr>
      <w:tabs>
        <w:tab w:val="clear" w:pos="567"/>
        <w:tab w:val="clear" w:pos="927"/>
        <w:tab w:val="left" w:pos="1701"/>
      </w:tabs>
      <w:spacing w:line="300" w:lineRule="atLeast"/>
      <w:ind w:left="1701" w:hanging="567"/>
    </w:pPr>
    <w:rPr>
      <w:szCs w:val="20"/>
    </w:rPr>
  </w:style>
  <w:style w:type="paragraph" w:customStyle="1" w:styleId="CGCTableFootnote">
    <w:name w:val="CGC Table Footnote"/>
    <w:basedOn w:val="Normal"/>
    <w:next w:val="NoSpacing"/>
    <w:rsid w:val="00641D96"/>
    <w:pPr>
      <w:tabs>
        <w:tab w:val="clear" w:pos="567"/>
        <w:tab w:val="left" w:pos="851"/>
      </w:tabs>
      <w:spacing w:before="0" w:line="240" w:lineRule="auto"/>
      <w:ind w:left="851" w:hanging="851"/>
    </w:pPr>
    <w:rPr>
      <w:szCs w:val="24"/>
    </w:rPr>
  </w:style>
  <w:style w:type="paragraph" w:customStyle="1" w:styleId="CGCTableHeading">
    <w:name w:val="CGC Table Heading"/>
    <w:basedOn w:val="Normal"/>
    <w:next w:val="Normal"/>
    <w:link w:val="CGCTableHeadingChar"/>
    <w:rsid w:val="00FE5C60"/>
    <w:pPr>
      <w:keepNext/>
      <w:keepLines/>
      <w:tabs>
        <w:tab w:val="clear" w:pos="567"/>
        <w:tab w:val="left" w:pos="1134"/>
        <w:tab w:val="left" w:pos="1420"/>
      </w:tabs>
      <w:spacing w:before="240" w:after="120" w:line="240" w:lineRule="auto"/>
    </w:pPr>
    <w:rPr>
      <w:rFonts w:ascii="Montserrat Ultra Light" w:hAnsi="Montserrat Ultra Light"/>
      <w:b/>
      <w:szCs w:val="20"/>
    </w:rPr>
  </w:style>
  <w:style w:type="paragraph" w:styleId="DocumentMap">
    <w:name w:val="Document Map"/>
    <w:basedOn w:val="Normal"/>
    <w:rsid w:val="00765BA8"/>
    <w:pPr>
      <w:shd w:val="clear" w:color="auto" w:fill="000080"/>
    </w:pPr>
    <w:rPr>
      <w:rFonts w:ascii="Tahoma" w:hAnsi="Tahoma" w:cs="Tahoma"/>
      <w:szCs w:val="20"/>
    </w:rPr>
  </w:style>
  <w:style w:type="paragraph" w:styleId="Footer">
    <w:name w:val="footer"/>
    <w:basedOn w:val="Normal"/>
    <w:link w:val="FooterChar"/>
    <w:uiPriority w:val="99"/>
    <w:unhideWhenUsed/>
    <w:rsid w:val="007A1785"/>
    <w:pPr>
      <w:tabs>
        <w:tab w:val="clear" w:pos="567"/>
        <w:tab w:val="center" w:pos="4513"/>
        <w:tab w:val="right" w:pos="9026"/>
      </w:tabs>
      <w:spacing w:before="0" w:line="240" w:lineRule="auto"/>
      <w:ind w:left="-284" w:right="-284"/>
      <w:jc w:val="right"/>
    </w:pPr>
    <w:rPr>
      <w:rFonts w:ascii="Montserrat Ultra Light" w:hAnsi="Montserrat Ultra Light"/>
      <w:b/>
      <w:color w:val="004563"/>
    </w:rPr>
  </w:style>
  <w:style w:type="character" w:styleId="FootnoteReference">
    <w:name w:val="footnote reference"/>
    <w:uiPriority w:val="99"/>
    <w:qFormat/>
    <w:rsid w:val="0026115B"/>
    <w:rPr>
      <w:rFonts w:ascii="Work Sans" w:hAnsi="Work Sans"/>
      <w:sz w:val="20"/>
      <w:szCs w:val="20"/>
      <w:vertAlign w:val="superscript"/>
    </w:rPr>
  </w:style>
  <w:style w:type="paragraph" w:styleId="FootnoteText">
    <w:name w:val="footnote text"/>
    <w:basedOn w:val="Normal"/>
    <w:link w:val="FootnoteTextChar"/>
    <w:autoRedefine/>
    <w:uiPriority w:val="99"/>
    <w:qFormat/>
    <w:rsid w:val="00EB76D5"/>
    <w:pPr>
      <w:spacing w:before="40" w:line="240" w:lineRule="auto"/>
      <w:ind w:left="142" w:hanging="142"/>
    </w:pPr>
    <w:rPr>
      <w:rFonts w:ascii="Work Sans" w:hAnsi="Work Sans"/>
      <w:sz w:val="14"/>
      <w:szCs w:val="16"/>
    </w:rPr>
  </w:style>
  <w:style w:type="paragraph" w:styleId="Header">
    <w:name w:val="header"/>
    <w:basedOn w:val="Footer"/>
    <w:link w:val="HeaderChar"/>
    <w:uiPriority w:val="99"/>
    <w:unhideWhenUsed/>
    <w:rsid w:val="007A1785"/>
  </w:style>
  <w:style w:type="character" w:styleId="Hyperlink">
    <w:name w:val="Hyperlink"/>
    <w:basedOn w:val="DefaultParagraphFont"/>
    <w:uiPriority w:val="99"/>
    <w:unhideWhenUsed/>
    <w:qFormat/>
    <w:rsid w:val="00782EC4"/>
    <w:rPr>
      <w:color w:val="006991"/>
      <w:u w:val="single"/>
    </w:rPr>
  </w:style>
  <w:style w:type="character" w:styleId="PageNumber">
    <w:name w:val="page number"/>
    <w:basedOn w:val="DefaultParagraphFont"/>
    <w:rsid w:val="00765BA8"/>
  </w:style>
  <w:style w:type="paragraph" w:customStyle="1" w:styleId="Single">
    <w:name w:val="Single"/>
    <w:basedOn w:val="Normal"/>
    <w:next w:val="Normal"/>
    <w:rsid w:val="00765BA8"/>
    <w:pPr>
      <w:spacing w:line="240" w:lineRule="auto"/>
    </w:pPr>
  </w:style>
  <w:style w:type="table" w:styleId="TableGrid">
    <w:name w:val="Table Grid"/>
    <w:basedOn w:val="TableNormal"/>
    <w:uiPriority w:val="39"/>
    <w:rsid w:val="0062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485F13"/>
    <w:pPr>
      <w:tabs>
        <w:tab w:val="clear" w:pos="567"/>
        <w:tab w:val="right" w:pos="8942"/>
      </w:tabs>
      <w:spacing w:before="200"/>
      <w:ind w:left="113"/>
    </w:pPr>
    <w:rPr>
      <w:rFonts w:ascii="Open Sans" w:hAnsi="Open Sans"/>
      <w:b/>
      <w:bCs/>
      <w:color w:val="636466"/>
      <w:szCs w:val="20"/>
    </w:rPr>
  </w:style>
  <w:style w:type="paragraph" w:styleId="TOC2">
    <w:name w:val="toc 2"/>
    <w:basedOn w:val="TOC1"/>
    <w:next w:val="Normal"/>
    <w:uiPriority w:val="39"/>
    <w:rsid w:val="00EB6889"/>
    <w:pPr>
      <w:spacing w:before="120"/>
    </w:pPr>
    <w:rPr>
      <w:rFonts w:ascii="Work Sans" w:hAnsi="Work Sans"/>
      <w:b w:val="0"/>
    </w:rPr>
  </w:style>
  <w:style w:type="paragraph" w:styleId="TOC3">
    <w:name w:val="toc 3"/>
    <w:basedOn w:val="TOC2"/>
    <w:next w:val="Normal"/>
    <w:uiPriority w:val="39"/>
    <w:rsid w:val="00485F13"/>
    <w:pPr>
      <w:ind w:left="397"/>
    </w:pPr>
    <w:rPr>
      <w:rFonts w:ascii="Open Sans Light" w:hAnsi="Open Sans Light"/>
      <w:iCs/>
    </w:rPr>
  </w:style>
  <w:style w:type="paragraph" w:styleId="TOC4">
    <w:name w:val="toc 4"/>
    <w:basedOn w:val="TOC3"/>
    <w:next w:val="Normal"/>
    <w:uiPriority w:val="39"/>
    <w:rsid w:val="00FE5C60"/>
    <w:pPr>
      <w:ind w:left="680"/>
    </w:pPr>
    <w:rPr>
      <w:i/>
    </w:rPr>
  </w:style>
  <w:style w:type="paragraph" w:styleId="TOC5">
    <w:name w:val="toc 5"/>
    <w:basedOn w:val="TOC3"/>
    <w:next w:val="Normal"/>
    <w:uiPriority w:val="39"/>
    <w:rsid w:val="007A1785"/>
    <w:pPr>
      <w:spacing w:before="0"/>
      <w:ind w:left="964"/>
    </w:pPr>
    <w:rPr>
      <w:szCs w:val="18"/>
    </w:rPr>
  </w:style>
  <w:style w:type="paragraph" w:styleId="TOC6">
    <w:name w:val="toc 6"/>
    <w:basedOn w:val="TOC5"/>
    <w:next w:val="Normal"/>
    <w:uiPriority w:val="39"/>
    <w:rsid w:val="007A1785"/>
    <w:rPr>
      <w:i/>
    </w:rPr>
  </w:style>
  <w:style w:type="paragraph" w:styleId="TOC7">
    <w:name w:val="toc 7"/>
    <w:basedOn w:val="Normal"/>
    <w:next w:val="Normal"/>
    <w:rsid w:val="00765BA8"/>
    <w:pPr>
      <w:tabs>
        <w:tab w:val="clear" w:pos="567"/>
      </w:tabs>
      <w:ind w:left="1320"/>
    </w:pPr>
    <w:rPr>
      <w:sz w:val="18"/>
      <w:szCs w:val="18"/>
    </w:rPr>
  </w:style>
  <w:style w:type="paragraph" w:styleId="TOC8">
    <w:name w:val="toc 8"/>
    <w:basedOn w:val="Normal"/>
    <w:next w:val="Normal"/>
    <w:rsid w:val="00765BA8"/>
    <w:pPr>
      <w:tabs>
        <w:tab w:val="clear" w:pos="567"/>
      </w:tabs>
      <w:ind w:left="1540"/>
    </w:pPr>
    <w:rPr>
      <w:sz w:val="18"/>
      <w:szCs w:val="18"/>
    </w:rPr>
  </w:style>
  <w:style w:type="paragraph" w:styleId="TOC9">
    <w:name w:val="toc 9"/>
    <w:basedOn w:val="Normal"/>
    <w:next w:val="Normal"/>
    <w:rsid w:val="00765BA8"/>
    <w:pPr>
      <w:tabs>
        <w:tab w:val="clear" w:pos="567"/>
      </w:tabs>
      <w:ind w:left="1760"/>
    </w:pPr>
    <w:rPr>
      <w:sz w:val="18"/>
      <w:szCs w:val="18"/>
    </w:rPr>
  </w:style>
  <w:style w:type="character" w:customStyle="1" w:styleId="Heading1Char">
    <w:name w:val="Heading 1 Char"/>
    <w:basedOn w:val="DefaultParagraphFont"/>
    <w:link w:val="Heading1"/>
    <w:uiPriority w:val="9"/>
    <w:rsid w:val="002B274C"/>
    <w:rPr>
      <w:rFonts w:ascii="Work Sans" w:eastAsia="Times New Roman" w:hAnsi="Work Sans" w:cs="Open Sans"/>
      <w:b/>
      <w:bCs/>
      <w:color w:val="006991"/>
      <w:sz w:val="40"/>
      <w:szCs w:val="40"/>
    </w:rPr>
  </w:style>
  <w:style w:type="character" w:customStyle="1" w:styleId="Heading2Char">
    <w:name w:val="Heading 2 Char"/>
    <w:aliases w:val="CGC 2025 Heading 2 Char"/>
    <w:basedOn w:val="DefaultParagraphFont"/>
    <w:link w:val="Heading2"/>
    <w:uiPriority w:val="9"/>
    <w:rsid w:val="007C4D64"/>
    <w:rPr>
      <w:rFonts w:ascii="Work Sans" w:eastAsia="Times New Roman" w:hAnsi="Work Sans" w:cs="Open Sans"/>
      <w:b/>
      <w:bCs/>
      <w:color w:val="006991"/>
      <w:sz w:val="36"/>
      <w:szCs w:val="36"/>
    </w:rPr>
  </w:style>
  <w:style w:type="character" w:customStyle="1" w:styleId="Heading3Char">
    <w:name w:val="Heading 3 Char"/>
    <w:aliases w:val="CGC 2025 Heading 3 Char"/>
    <w:basedOn w:val="DefaultParagraphFont"/>
    <w:link w:val="Heading3"/>
    <w:uiPriority w:val="9"/>
    <w:rsid w:val="009A2C92"/>
    <w:rPr>
      <w:rFonts w:ascii="Work Sans" w:eastAsia="Times New Roman" w:hAnsi="Work Sans" w:cs="Open Sans"/>
      <w:b/>
      <w:bCs/>
      <w:color w:val="006991"/>
      <w:sz w:val="28"/>
      <w:szCs w:val="28"/>
    </w:rPr>
  </w:style>
  <w:style w:type="character" w:customStyle="1" w:styleId="Heading4Char">
    <w:name w:val="Heading 4 Char"/>
    <w:aliases w:val="CGC 2025 Heading 4 Char"/>
    <w:basedOn w:val="DefaultParagraphFont"/>
    <w:link w:val="Heading4"/>
    <w:uiPriority w:val="9"/>
    <w:rsid w:val="00BD6EEE"/>
    <w:rPr>
      <w:rFonts w:ascii="Work Sans" w:eastAsiaTheme="majorEastAsia" w:hAnsi="Work Sans" w:cstheme="majorBidi"/>
      <w:b/>
      <w:bCs/>
      <w:iCs/>
      <w:color w:val="006991"/>
      <w:sz w:val="24"/>
    </w:rPr>
  </w:style>
  <w:style w:type="character" w:customStyle="1" w:styleId="Heading5Char">
    <w:name w:val="Heading 5 Char"/>
    <w:aliases w:val="CGC 2025 Heading 5 Char"/>
    <w:basedOn w:val="DefaultParagraphFont"/>
    <w:link w:val="Heading5"/>
    <w:uiPriority w:val="9"/>
    <w:rsid w:val="00BD13E7"/>
    <w:rPr>
      <w:rFonts w:ascii="Montserrat Semi Bold" w:eastAsiaTheme="majorEastAsia" w:hAnsi="Montserrat Semi Bold" w:cstheme="majorBidi"/>
      <w:color w:val="636466"/>
      <w:sz w:val="20"/>
    </w:rPr>
  </w:style>
  <w:style w:type="paragraph" w:styleId="NoSpacing">
    <w:name w:val="No Spacing"/>
    <w:link w:val="NoSpacingChar"/>
    <w:uiPriority w:val="1"/>
    <w:qFormat/>
    <w:rsid w:val="00782EC4"/>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782EC4"/>
    <w:rPr>
      <w:sz w:val="24"/>
    </w:rPr>
  </w:style>
  <w:style w:type="paragraph" w:styleId="ListParagraph">
    <w:name w:val="List Paragraph"/>
    <w:basedOn w:val="Normal"/>
    <w:link w:val="ListParagraphChar"/>
    <w:uiPriority w:val="34"/>
    <w:qFormat/>
    <w:rsid w:val="00622669"/>
    <w:pPr>
      <w:ind w:left="720"/>
      <w:contextualSpacing/>
    </w:pPr>
  </w:style>
  <w:style w:type="paragraph" w:styleId="TOCHeading">
    <w:name w:val="TOC Heading"/>
    <w:aliases w:val="CGC 2025 TOC Heading"/>
    <w:basedOn w:val="Heading1"/>
    <w:next w:val="Normal"/>
    <w:uiPriority w:val="39"/>
    <w:unhideWhenUsed/>
    <w:qFormat/>
    <w:rsid w:val="00032318"/>
    <w:pPr>
      <w:keepLines/>
      <w:spacing w:before="480" w:line="320" w:lineRule="atLeast"/>
      <w:outlineLvl w:val="9"/>
    </w:pPr>
    <w:rPr>
      <w:caps/>
      <w:color w:val="365F91" w:themeColor="accent1" w:themeShade="BF"/>
      <w:sz w:val="28"/>
    </w:rPr>
  </w:style>
  <w:style w:type="character" w:customStyle="1" w:styleId="FooterChar">
    <w:name w:val="Footer Char"/>
    <w:basedOn w:val="DefaultParagraphFont"/>
    <w:link w:val="Footer"/>
    <w:uiPriority w:val="99"/>
    <w:rsid w:val="007A1785"/>
    <w:rPr>
      <w:rFonts w:ascii="Montserrat Ultra Light" w:hAnsi="Montserrat Ultra Light"/>
      <w:b/>
      <w:color w:val="004563"/>
      <w:sz w:val="20"/>
    </w:rPr>
  </w:style>
  <w:style w:type="character" w:customStyle="1" w:styleId="HeaderChar">
    <w:name w:val="Header Char"/>
    <w:basedOn w:val="DefaultParagraphFont"/>
    <w:link w:val="Header"/>
    <w:uiPriority w:val="99"/>
    <w:rsid w:val="007A1785"/>
    <w:rPr>
      <w:rFonts w:ascii="Montserrat Ultra Light" w:hAnsi="Montserrat Ultra Light"/>
      <w:b/>
      <w:color w:val="004563"/>
      <w:sz w:val="20"/>
    </w:rPr>
  </w:style>
  <w:style w:type="paragraph" w:customStyle="1" w:styleId="CGCDataCaption">
    <w:name w:val="CGC Data Caption"/>
    <w:basedOn w:val="CGCTableFootnote"/>
    <w:next w:val="NoSpacing"/>
    <w:link w:val="DataCaptionChar"/>
    <w:rsid w:val="00622669"/>
  </w:style>
  <w:style w:type="character" w:customStyle="1" w:styleId="CaptionChar">
    <w:name w:val="Caption Char"/>
    <w:basedOn w:val="DefaultParagraphFont"/>
    <w:link w:val="Caption"/>
    <w:uiPriority w:val="35"/>
    <w:rsid w:val="00485F13"/>
    <w:rPr>
      <w:rFonts w:ascii="Montserrat Ultra Light" w:hAnsi="Montserrat Ultra Light"/>
      <w:b/>
      <w:bCs/>
      <w:sz w:val="20"/>
      <w:szCs w:val="20"/>
    </w:rPr>
  </w:style>
  <w:style w:type="character" w:customStyle="1" w:styleId="DataCaptionChar">
    <w:name w:val="Data Caption Char"/>
    <w:basedOn w:val="DefaultParagraphFont"/>
    <w:link w:val="CGCDataCaption"/>
    <w:rsid w:val="00622669"/>
    <w:rPr>
      <w:sz w:val="20"/>
      <w:szCs w:val="24"/>
    </w:rPr>
  </w:style>
  <w:style w:type="character" w:customStyle="1" w:styleId="FootnoteTextChar">
    <w:name w:val="Footnote Text Char"/>
    <w:basedOn w:val="DefaultParagraphFont"/>
    <w:link w:val="FootnoteText"/>
    <w:uiPriority w:val="99"/>
    <w:rsid w:val="00EB76D5"/>
    <w:rPr>
      <w:rFonts w:ascii="Work Sans" w:hAnsi="Work Sans"/>
      <w:sz w:val="14"/>
      <w:szCs w:val="16"/>
    </w:rPr>
  </w:style>
  <w:style w:type="character" w:customStyle="1" w:styleId="Heading6Char">
    <w:name w:val="Heading 6 Char"/>
    <w:basedOn w:val="DefaultParagraphFont"/>
    <w:link w:val="Heading6"/>
    <w:uiPriority w:val="9"/>
    <w:rsid w:val="00782EC4"/>
    <w:rPr>
      <w:rFonts w:ascii="Montserrat Semi Bold" w:eastAsiaTheme="majorEastAsia" w:hAnsi="Montserrat Semi Bold" w:cstheme="majorBidi"/>
      <w:i/>
      <w:iCs/>
      <w:color w:val="636466"/>
      <w:sz w:val="20"/>
    </w:rPr>
  </w:style>
  <w:style w:type="character" w:customStyle="1" w:styleId="Heading7Char">
    <w:name w:val="Heading 7 Char"/>
    <w:basedOn w:val="DefaultParagraphFont"/>
    <w:link w:val="Heading7"/>
    <w:uiPriority w:val="9"/>
    <w:semiHidden/>
    <w:rsid w:val="00622669"/>
    <w:rPr>
      <w:rFonts w:asciiTheme="majorHAnsi" w:eastAsiaTheme="majorEastAsia" w:hAnsiTheme="majorHAnsi" w:cstheme="majorBidi"/>
      <w:i/>
      <w:iCs/>
      <w:color w:val="404040" w:themeColor="text1" w:themeTint="BF"/>
      <w:sz w:val="24"/>
    </w:rPr>
  </w:style>
  <w:style w:type="paragraph" w:customStyle="1" w:styleId="CGCParaNumber">
    <w:name w:val="CGC Para Number"/>
    <w:basedOn w:val="Normal"/>
    <w:qFormat/>
    <w:rsid w:val="00956C4E"/>
    <w:pPr>
      <w:numPr>
        <w:numId w:val="7"/>
      </w:numPr>
      <w:ind w:left="567" w:hanging="567"/>
    </w:pPr>
    <w:rPr>
      <w:rFonts w:ascii="Work Sans" w:hAnsi="Work Sans"/>
      <w:szCs w:val="20"/>
    </w:rPr>
  </w:style>
  <w:style w:type="paragraph" w:customStyle="1" w:styleId="CGC2025Bullet1">
    <w:name w:val="CGC 2025 Bullet 1"/>
    <w:basedOn w:val="Normal"/>
    <w:qFormat/>
    <w:rsid w:val="00956C4E"/>
    <w:pPr>
      <w:numPr>
        <w:numId w:val="3"/>
      </w:numPr>
    </w:pPr>
    <w:rPr>
      <w:rFonts w:ascii="Work Sans" w:hAnsi="Work Sans"/>
      <w:szCs w:val="20"/>
    </w:rPr>
  </w:style>
  <w:style w:type="paragraph" w:customStyle="1" w:styleId="CGCBullet2">
    <w:name w:val="CGC Bullet 2"/>
    <w:basedOn w:val="Normal"/>
    <w:qFormat/>
    <w:rsid w:val="00DA7A60"/>
    <w:pPr>
      <w:numPr>
        <w:numId w:val="4"/>
      </w:numPr>
    </w:pPr>
  </w:style>
  <w:style w:type="paragraph" w:customStyle="1" w:styleId="CGCBullet3">
    <w:name w:val="CGC Bullet 3"/>
    <w:basedOn w:val="Normal"/>
    <w:qFormat/>
    <w:rsid w:val="007A1785"/>
    <w:pPr>
      <w:numPr>
        <w:numId w:val="5"/>
      </w:numPr>
      <w:ind w:left="1491" w:hanging="357"/>
    </w:pPr>
  </w:style>
  <w:style w:type="paragraph" w:customStyle="1" w:styleId="CGCQuoteText">
    <w:name w:val="CGC Quote Text"/>
    <w:basedOn w:val="Normal"/>
    <w:next w:val="Normal"/>
    <w:rsid w:val="00782EC4"/>
    <w:pPr>
      <w:spacing w:after="120"/>
      <w:ind w:left="1418" w:right="1134"/>
    </w:pPr>
  </w:style>
  <w:style w:type="paragraph" w:customStyle="1" w:styleId="CGCQuoteBullet">
    <w:name w:val="CGC Quote Bullet"/>
    <w:basedOn w:val="CGCQuoteText"/>
    <w:next w:val="Normal"/>
    <w:rsid w:val="00782EC4"/>
    <w:pPr>
      <w:numPr>
        <w:numId w:val="6"/>
      </w:numPr>
      <w:ind w:right="1418"/>
    </w:pPr>
  </w:style>
  <w:style w:type="paragraph" w:customStyle="1" w:styleId="CGCTablerow">
    <w:name w:val="CGC Table row"/>
    <w:basedOn w:val="Normal"/>
    <w:qFormat/>
    <w:rsid w:val="00782EC4"/>
    <w:pPr>
      <w:spacing w:before="0" w:line="240" w:lineRule="auto"/>
    </w:pPr>
    <w:rPr>
      <w:sz w:val="16"/>
    </w:rPr>
  </w:style>
  <w:style w:type="paragraph" w:customStyle="1" w:styleId="CGCTablenote">
    <w:name w:val="CGC Table note"/>
    <w:basedOn w:val="Normal"/>
    <w:next w:val="Normal"/>
    <w:link w:val="CGCTablenoteChar"/>
    <w:qFormat/>
    <w:rsid w:val="00FE5C60"/>
    <w:pPr>
      <w:tabs>
        <w:tab w:val="left" w:pos="680"/>
      </w:tabs>
      <w:spacing w:before="40" w:line="240" w:lineRule="auto"/>
      <w:ind w:left="340" w:hanging="227"/>
    </w:pPr>
    <w:rPr>
      <w:sz w:val="14"/>
    </w:rPr>
  </w:style>
  <w:style w:type="character" w:customStyle="1" w:styleId="CGCTableHeadingChar">
    <w:name w:val="CGC Table Heading Char"/>
    <w:basedOn w:val="DefaultParagraphFont"/>
    <w:link w:val="CGCTableHeading"/>
    <w:rsid w:val="00FE5C60"/>
    <w:rPr>
      <w:rFonts w:ascii="Montserrat Ultra Light" w:hAnsi="Montserrat Ultra Light"/>
      <w:b/>
      <w:sz w:val="20"/>
      <w:szCs w:val="20"/>
    </w:rPr>
  </w:style>
  <w:style w:type="paragraph" w:customStyle="1" w:styleId="TOCtitle">
    <w:name w:val="TOC title"/>
    <w:basedOn w:val="Normal"/>
    <w:next w:val="Normal"/>
    <w:rsid w:val="001C1121"/>
    <w:rPr>
      <w:rFonts w:ascii="Montserrat Semi Bold" w:hAnsi="Montserrat Semi Bold"/>
      <w:color w:val="004563"/>
      <w:sz w:val="36"/>
      <w:lang w:val="en-US"/>
    </w:rPr>
  </w:style>
  <w:style w:type="character" w:styleId="CommentReference">
    <w:name w:val="annotation reference"/>
    <w:basedOn w:val="DefaultParagraphFont"/>
    <w:semiHidden/>
    <w:unhideWhenUsed/>
    <w:rsid w:val="00CA7A75"/>
    <w:rPr>
      <w:sz w:val="16"/>
      <w:szCs w:val="16"/>
    </w:rPr>
  </w:style>
  <w:style w:type="paragraph" w:styleId="CommentText">
    <w:name w:val="annotation text"/>
    <w:basedOn w:val="Normal"/>
    <w:link w:val="CommentTextChar"/>
    <w:unhideWhenUsed/>
    <w:rsid w:val="00CA7A75"/>
    <w:pPr>
      <w:spacing w:line="240" w:lineRule="auto"/>
    </w:pPr>
    <w:rPr>
      <w:szCs w:val="20"/>
    </w:rPr>
  </w:style>
  <w:style w:type="character" w:customStyle="1" w:styleId="CommentTextChar">
    <w:name w:val="Comment Text Char"/>
    <w:basedOn w:val="DefaultParagraphFont"/>
    <w:link w:val="CommentText"/>
    <w:rsid w:val="00CA7A75"/>
    <w:rPr>
      <w:rFonts w:ascii="Open Sans Light" w:hAnsi="Open Sans Light"/>
      <w:sz w:val="20"/>
      <w:szCs w:val="20"/>
    </w:rPr>
  </w:style>
  <w:style w:type="paragraph" w:styleId="CommentSubject">
    <w:name w:val="annotation subject"/>
    <w:basedOn w:val="CommentText"/>
    <w:next w:val="CommentText"/>
    <w:link w:val="CommentSubjectChar"/>
    <w:semiHidden/>
    <w:unhideWhenUsed/>
    <w:rsid w:val="00CA7A75"/>
    <w:rPr>
      <w:b/>
      <w:bCs/>
    </w:rPr>
  </w:style>
  <w:style w:type="character" w:customStyle="1" w:styleId="CommentSubjectChar">
    <w:name w:val="Comment Subject Char"/>
    <w:basedOn w:val="CommentTextChar"/>
    <w:link w:val="CommentSubject"/>
    <w:semiHidden/>
    <w:rsid w:val="00CA7A75"/>
    <w:rPr>
      <w:rFonts w:ascii="Open Sans Light" w:hAnsi="Open Sans Light"/>
      <w:b/>
      <w:bCs/>
      <w:sz w:val="20"/>
      <w:szCs w:val="20"/>
    </w:rPr>
  </w:style>
  <w:style w:type="paragraph" w:customStyle="1" w:styleId="CGCTablesubhead1">
    <w:name w:val="CGC Table subhead1"/>
    <w:basedOn w:val="Normal"/>
    <w:rsid w:val="00BF20E8"/>
    <w:pPr>
      <w:spacing w:before="0" w:line="240" w:lineRule="auto"/>
    </w:pPr>
    <w:rPr>
      <w:rFonts w:ascii="Open Sans Semibold" w:hAnsi="Open Sans Semibold"/>
      <w:sz w:val="16"/>
    </w:rPr>
  </w:style>
  <w:style w:type="character" w:styleId="UnresolvedMention">
    <w:name w:val="Unresolved Mention"/>
    <w:basedOn w:val="DefaultParagraphFont"/>
    <w:uiPriority w:val="99"/>
    <w:unhideWhenUsed/>
    <w:rsid w:val="004F4A13"/>
    <w:rPr>
      <w:color w:val="605E5C"/>
      <w:shd w:val="clear" w:color="auto" w:fill="E1DFDD"/>
    </w:rPr>
  </w:style>
  <w:style w:type="character" w:styleId="Mention">
    <w:name w:val="Mention"/>
    <w:basedOn w:val="DefaultParagraphFont"/>
    <w:uiPriority w:val="99"/>
    <w:unhideWhenUsed/>
    <w:rsid w:val="004F4A13"/>
    <w:rPr>
      <w:color w:val="2B579A"/>
      <w:shd w:val="clear" w:color="auto" w:fill="E1DFDD"/>
    </w:rPr>
  </w:style>
  <w:style w:type="paragraph" w:customStyle="1" w:styleId="Bulletpoint">
    <w:name w:val="Bullet point"/>
    <w:basedOn w:val="ListParagraph"/>
    <w:link w:val="BulletpointChar"/>
    <w:qFormat/>
    <w:rsid w:val="00A5102B"/>
    <w:pPr>
      <w:spacing w:before="240" w:line="300" w:lineRule="atLeast"/>
      <w:ind w:left="360" w:hanging="360"/>
      <w:contextualSpacing w:val="0"/>
      <w:jc w:val="both"/>
    </w:pPr>
  </w:style>
  <w:style w:type="character" w:customStyle="1" w:styleId="ListParagraphChar">
    <w:name w:val="List Paragraph Char"/>
    <w:basedOn w:val="DefaultParagraphFont"/>
    <w:link w:val="ListParagraph"/>
    <w:uiPriority w:val="34"/>
    <w:rsid w:val="00A5102B"/>
    <w:rPr>
      <w:rFonts w:ascii="Open Sans Light" w:hAnsi="Open Sans Light"/>
      <w:sz w:val="20"/>
    </w:rPr>
  </w:style>
  <w:style w:type="character" w:customStyle="1" w:styleId="BulletpointChar">
    <w:name w:val="Bullet point Char"/>
    <w:basedOn w:val="ListParagraphChar"/>
    <w:link w:val="Bulletpoint"/>
    <w:rsid w:val="00A5102B"/>
    <w:rPr>
      <w:rFonts w:ascii="Open Sans Light" w:hAnsi="Open Sans Light"/>
      <w:sz w:val="20"/>
    </w:rPr>
  </w:style>
  <w:style w:type="paragraph" w:styleId="Revision">
    <w:name w:val="Revision"/>
    <w:hidden/>
    <w:uiPriority w:val="99"/>
    <w:semiHidden/>
    <w:rsid w:val="001B76A8"/>
    <w:pPr>
      <w:spacing w:after="0" w:line="240" w:lineRule="auto"/>
    </w:pPr>
    <w:rPr>
      <w:rFonts w:ascii="Open Sans Light" w:hAnsi="Open Sans Light"/>
      <w:sz w:val="20"/>
    </w:rPr>
  </w:style>
  <w:style w:type="paragraph" w:customStyle="1" w:styleId="CGCBulletlist">
    <w:name w:val="CGC Bullet list"/>
    <w:aliases w:val="CGC List 1"/>
    <w:basedOn w:val="Normal"/>
    <w:link w:val="CGCBulletlistChar"/>
    <w:qFormat/>
    <w:rsid w:val="001307A8"/>
    <w:pPr>
      <w:numPr>
        <w:numId w:val="8"/>
      </w:numPr>
      <w:tabs>
        <w:tab w:val="clear" w:pos="567"/>
        <w:tab w:val="left" w:pos="1134"/>
      </w:tabs>
      <w:spacing w:before="80" w:after="80" w:line="300" w:lineRule="atLeast"/>
    </w:pPr>
    <w:rPr>
      <w:rFonts w:asciiTheme="minorHAnsi" w:hAnsiTheme="minorHAnsi"/>
      <w:sz w:val="24"/>
      <w:szCs w:val="20"/>
    </w:rPr>
  </w:style>
  <w:style w:type="paragraph" w:customStyle="1" w:styleId="CGCNumberedPara">
    <w:name w:val="CGC Numbered Para"/>
    <w:aliases w:val="CGC Para No"/>
    <w:basedOn w:val="Normal"/>
    <w:rsid w:val="001307A8"/>
    <w:pPr>
      <w:numPr>
        <w:ilvl w:val="1"/>
        <w:numId w:val="9"/>
      </w:numPr>
      <w:tabs>
        <w:tab w:val="clear" w:pos="567"/>
      </w:tabs>
      <w:spacing w:after="80" w:line="320" w:lineRule="atLeast"/>
    </w:pPr>
    <w:rPr>
      <w:rFonts w:asciiTheme="minorHAnsi" w:hAnsiTheme="minorHAnsi"/>
      <w:sz w:val="24"/>
      <w:szCs w:val="24"/>
    </w:rPr>
  </w:style>
  <w:style w:type="character" w:customStyle="1" w:styleId="CGCBulletlistChar">
    <w:name w:val="CGC Bullet list Char"/>
    <w:aliases w:val="CGC List 1 Char"/>
    <w:basedOn w:val="DefaultParagraphFont"/>
    <w:link w:val="CGCBulletlist"/>
    <w:locked/>
    <w:rsid w:val="001307A8"/>
    <w:rPr>
      <w:sz w:val="24"/>
      <w:szCs w:val="20"/>
    </w:rPr>
  </w:style>
  <w:style w:type="character" w:customStyle="1" w:styleId="cf01">
    <w:name w:val="cf01"/>
    <w:basedOn w:val="DefaultParagraphFont"/>
    <w:rsid w:val="002F0D1B"/>
    <w:rPr>
      <w:rFonts w:ascii="Segoe UI" w:hAnsi="Segoe UI" w:cs="Segoe UI" w:hint="default"/>
      <w:sz w:val="18"/>
      <w:szCs w:val="18"/>
    </w:rPr>
  </w:style>
  <w:style w:type="table" w:customStyle="1" w:styleId="TableGrid1">
    <w:name w:val="Table Grid1"/>
    <w:basedOn w:val="TableNormal"/>
    <w:next w:val="TableGrid"/>
    <w:uiPriority w:val="39"/>
    <w:rsid w:val="002F089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6E3848"/>
    <w:rPr>
      <w:color w:val="800080" w:themeColor="followedHyperlink"/>
      <w:u w:val="single"/>
    </w:rPr>
  </w:style>
  <w:style w:type="paragraph" w:customStyle="1" w:styleId="CGC2025QuestionNumbers">
    <w:name w:val="CGC 2025 Question Numbers"/>
    <w:basedOn w:val="Normal"/>
    <w:qFormat/>
    <w:rsid w:val="00084EE0"/>
    <w:pPr>
      <w:numPr>
        <w:numId w:val="12"/>
      </w:numPr>
      <w:spacing w:after="120"/>
    </w:pPr>
    <w:rPr>
      <w:rFonts w:ascii="Work Sans" w:hAnsi="Work Sans" w:cs="Open Sans Light"/>
      <w:szCs w:val="20"/>
    </w:rPr>
  </w:style>
  <w:style w:type="numbering" w:customStyle="1" w:styleId="CGCConsultQuestion">
    <w:name w:val="CGC Consult Question"/>
    <w:basedOn w:val="NoList"/>
    <w:uiPriority w:val="99"/>
    <w:rsid w:val="00084EE0"/>
    <w:pPr>
      <w:numPr>
        <w:numId w:val="11"/>
      </w:numPr>
    </w:pPr>
  </w:style>
  <w:style w:type="paragraph" w:customStyle="1" w:styleId="CGC2025ParaNumbers">
    <w:name w:val="CGC 2025 Para Numbers"/>
    <w:basedOn w:val="CGCNumberedPara"/>
    <w:rsid w:val="004477FF"/>
    <w:rPr>
      <w:rFonts w:ascii="Work Sans" w:hAnsi="Work Sans"/>
      <w:sz w:val="20"/>
    </w:rPr>
  </w:style>
  <w:style w:type="paragraph" w:customStyle="1" w:styleId="CGC2025Bullet2">
    <w:name w:val="CGC 2025 Bullet 2"/>
    <w:basedOn w:val="CGCBullet2"/>
    <w:rsid w:val="00294D2F"/>
    <w:rPr>
      <w:rFonts w:ascii="Work Sans" w:hAnsi="Work Sans"/>
    </w:rPr>
  </w:style>
  <w:style w:type="paragraph" w:customStyle="1" w:styleId="CGC2025Heading2AttachmentFollower">
    <w:name w:val="CGC 2025 Heading 2 Attachment Follower"/>
    <w:basedOn w:val="Heading2"/>
    <w:rsid w:val="00294D2F"/>
    <w:rPr>
      <w:b w:val="0"/>
      <w:bCs w:val="0"/>
    </w:rPr>
  </w:style>
  <w:style w:type="paragraph" w:customStyle="1" w:styleId="CGC2025Caption">
    <w:name w:val="CGC 2025 Caption"/>
    <w:basedOn w:val="Normal"/>
    <w:qFormat/>
    <w:rsid w:val="0036695B"/>
    <w:pPr>
      <w:spacing w:before="240" w:after="120" w:line="240" w:lineRule="auto"/>
    </w:pPr>
    <w:rPr>
      <w:rFonts w:ascii="Work Sans" w:hAnsi="Work Sans"/>
      <w:b/>
    </w:rPr>
  </w:style>
  <w:style w:type="paragraph" w:customStyle="1" w:styleId="CGC2025Questionsnumbers2">
    <w:name w:val="CGC 2025 Questions numbers 2"/>
    <w:basedOn w:val="Normal"/>
    <w:next w:val="CGC2025ParaNumbers"/>
    <w:qFormat/>
    <w:rsid w:val="004824F0"/>
    <w:pPr>
      <w:numPr>
        <w:numId w:val="13"/>
      </w:numPr>
      <w:ind w:left="454" w:hanging="454"/>
    </w:pPr>
    <w:rPr>
      <w:rFonts w:ascii="Work Sans" w:hAnsi="Work Sans" w:cs="Open Sans"/>
      <w:bCs/>
      <w:szCs w:val="56"/>
    </w:rPr>
  </w:style>
  <w:style w:type="paragraph" w:customStyle="1" w:styleId="CGC2025TableNote">
    <w:name w:val="CGC 2025 Table Note"/>
    <w:basedOn w:val="CGCTablenote"/>
    <w:link w:val="CGC2025TableNoteChar"/>
    <w:qFormat/>
    <w:rsid w:val="00FB59C2"/>
    <w:rPr>
      <w:rFonts w:ascii="Work Sans" w:hAnsi="Work Sans"/>
    </w:rPr>
  </w:style>
  <w:style w:type="character" w:customStyle="1" w:styleId="CGCTablenoteChar">
    <w:name w:val="CGC Table note Char"/>
    <w:basedOn w:val="DefaultParagraphFont"/>
    <w:link w:val="CGCTablenote"/>
    <w:rsid w:val="00FB59C2"/>
    <w:rPr>
      <w:rFonts w:ascii="Open Sans Light" w:hAnsi="Open Sans Light"/>
      <w:sz w:val="14"/>
    </w:rPr>
  </w:style>
  <w:style w:type="character" w:customStyle="1" w:styleId="CGC2025TableNoteChar">
    <w:name w:val="CGC 2025 Table Note Char"/>
    <w:basedOn w:val="CGCTablenoteChar"/>
    <w:link w:val="CGC2025TableNote"/>
    <w:rsid w:val="00FB59C2"/>
    <w:rPr>
      <w:rFonts w:ascii="Work Sans" w:hAnsi="Work Sans"/>
      <w:sz w:val="14"/>
    </w:rPr>
  </w:style>
  <w:style w:type="paragraph" w:customStyle="1" w:styleId="CGCBullet1">
    <w:name w:val="CGC Bullet 1"/>
    <w:basedOn w:val="Normal"/>
    <w:qFormat/>
    <w:rsid w:val="00A11A9E"/>
    <w:pPr>
      <w:ind w:left="927" w:hanging="360"/>
    </w:pPr>
    <w:rPr>
      <w:rFonts w:ascii="Work Sans" w:hAnsi="Work Sans"/>
    </w:rPr>
  </w:style>
  <w:style w:type="paragraph" w:styleId="Bibliography">
    <w:name w:val="Bibliography"/>
    <w:basedOn w:val="Normal"/>
    <w:next w:val="Normal"/>
    <w:uiPriority w:val="37"/>
    <w:unhideWhenUsed/>
    <w:rsid w:val="00DB66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302">
      <w:bodyDiv w:val="1"/>
      <w:marLeft w:val="0"/>
      <w:marRight w:val="0"/>
      <w:marTop w:val="0"/>
      <w:marBottom w:val="0"/>
      <w:divBdr>
        <w:top w:val="none" w:sz="0" w:space="0" w:color="auto"/>
        <w:left w:val="none" w:sz="0" w:space="0" w:color="auto"/>
        <w:bottom w:val="none" w:sz="0" w:space="0" w:color="auto"/>
        <w:right w:val="none" w:sz="0" w:space="0" w:color="auto"/>
      </w:divBdr>
    </w:div>
    <w:div w:id="2976334">
      <w:bodyDiv w:val="1"/>
      <w:marLeft w:val="0"/>
      <w:marRight w:val="0"/>
      <w:marTop w:val="0"/>
      <w:marBottom w:val="0"/>
      <w:divBdr>
        <w:top w:val="none" w:sz="0" w:space="0" w:color="auto"/>
        <w:left w:val="none" w:sz="0" w:space="0" w:color="auto"/>
        <w:bottom w:val="none" w:sz="0" w:space="0" w:color="auto"/>
        <w:right w:val="none" w:sz="0" w:space="0" w:color="auto"/>
      </w:divBdr>
    </w:div>
    <w:div w:id="19476126">
      <w:bodyDiv w:val="1"/>
      <w:marLeft w:val="0"/>
      <w:marRight w:val="0"/>
      <w:marTop w:val="0"/>
      <w:marBottom w:val="0"/>
      <w:divBdr>
        <w:top w:val="none" w:sz="0" w:space="0" w:color="auto"/>
        <w:left w:val="none" w:sz="0" w:space="0" w:color="auto"/>
        <w:bottom w:val="none" w:sz="0" w:space="0" w:color="auto"/>
        <w:right w:val="none" w:sz="0" w:space="0" w:color="auto"/>
      </w:divBdr>
    </w:div>
    <w:div w:id="28343417">
      <w:bodyDiv w:val="1"/>
      <w:marLeft w:val="0"/>
      <w:marRight w:val="0"/>
      <w:marTop w:val="0"/>
      <w:marBottom w:val="0"/>
      <w:divBdr>
        <w:top w:val="none" w:sz="0" w:space="0" w:color="auto"/>
        <w:left w:val="none" w:sz="0" w:space="0" w:color="auto"/>
        <w:bottom w:val="none" w:sz="0" w:space="0" w:color="auto"/>
        <w:right w:val="none" w:sz="0" w:space="0" w:color="auto"/>
      </w:divBdr>
    </w:div>
    <w:div w:id="84965298">
      <w:bodyDiv w:val="1"/>
      <w:marLeft w:val="0"/>
      <w:marRight w:val="0"/>
      <w:marTop w:val="0"/>
      <w:marBottom w:val="0"/>
      <w:divBdr>
        <w:top w:val="none" w:sz="0" w:space="0" w:color="auto"/>
        <w:left w:val="none" w:sz="0" w:space="0" w:color="auto"/>
        <w:bottom w:val="none" w:sz="0" w:space="0" w:color="auto"/>
        <w:right w:val="none" w:sz="0" w:space="0" w:color="auto"/>
      </w:divBdr>
    </w:div>
    <w:div w:id="96684897">
      <w:bodyDiv w:val="1"/>
      <w:marLeft w:val="0"/>
      <w:marRight w:val="0"/>
      <w:marTop w:val="0"/>
      <w:marBottom w:val="0"/>
      <w:divBdr>
        <w:top w:val="none" w:sz="0" w:space="0" w:color="auto"/>
        <w:left w:val="none" w:sz="0" w:space="0" w:color="auto"/>
        <w:bottom w:val="none" w:sz="0" w:space="0" w:color="auto"/>
        <w:right w:val="none" w:sz="0" w:space="0" w:color="auto"/>
      </w:divBdr>
    </w:div>
    <w:div w:id="101802365">
      <w:bodyDiv w:val="1"/>
      <w:marLeft w:val="0"/>
      <w:marRight w:val="0"/>
      <w:marTop w:val="0"/>
      <w:marBottom w:val="0"/>
      <w:divBdr>
        <w:top w:val="none" w:sz="0" w:space="0" w:color="auto"/>
        <w:left w:val="none" w:sz="0" w:space="0" w:color="auto"/>
        <w:bottom w:val="none" w:sz="0" w:space="0" w:color="auto"/>
        <w:right w:val="none" w:sz="0" w:space="0" w:color="auto"/>
      </w:divBdr>
    </w:div>
    <w:div w:id="105739114">
      <w:bodyDiv w:val="1"/>
      <w:marLeft w:val="0"/>
      <w:marRight w:val="0"/>
      <w:marTop w:val="0"/>
      <w:marBottom w:val="0"/>
      <w:divBdr>
        <w:top w:val="none" w:sz="0" w:space="0" w:color="auto"/>
        <w:left w:val="none" w:sz="0" w:space="0" w:color="auto"/>
        <w:bottom w:val="none" w:sz="0" w:space="0" w:color="auto"/>
        <w:right w:val="none" w:sz="0" w:space="0" w:color="auto"/>
      </w:divBdr>
    </w:div>
    <w:div w:id="107235896">
      <w:bodyDiv w:val="1"/>
      <w:marLeft w:val="0"/>
      <w:marRight w:val="0"/>
      <w:marTop w:val="0"/>
      <w:marBottom w:val="0"/>
      <w:divBdr>
        <w:top w:val="none" w:sz="0" w:space="0" w:color="auto"/>
        <w:left w:val="none" w:sz="0" w:space="0" w:color="auto"/>
        <w:bottom w:val="none" w:sz="0" w:space="0" w:color="auto"/>
        <w:right w:val="none" w:sz="0" w:space="0" w:color="auto"/>
      </w:divBdr>
    </w:div>
    <w:div w:id="125127611">
      <w:bodyDiv w:val="1"/>
      <w:marLeft w:val="0"/>
      <w:marRight w:val="0"/>
      <w:marTop w:val="0"/>
      <w:marBottom w:val="0"/>
      <w:divBdr>
        <w:top w:val="none" w:sz="0" w:space="0" w:color="auto"/>
        <w:left w:val="none" w:sz="0" w:space="0" w:color="auto"/>
        <w:bottom w:val="none" w:sz="0" w:space="0" w:color="auto"/>
        <w:right w:val="none" w:sz="0" w:space="0" w:color="auto"/>
      </w:divBdr>
    </w:div>
    <w:div w:id="126165844">
      <w:bodyDiv w:val="1"/>
      <w:marLeft w:val="0"/>
      <w:marRight w:val="0"/>
      <w:marTop w:val="0"/>
      <w:marBottom w:val="0"/>
      <w:divBdr>
        <w:top w:val="none" w:sz="0" w:space="0" w:color="auto"/>
        <w:left w:val="none" w:sz="0" w:space="0" w:color="auto"/>
        <w:bottom w:val="none" w:sz="0" w:space="0" w:color="auto"/>
        <w:right w:val="none" w:sz="0" w:space="0" w:color="auto"/>
      </w:divBdr>
    </w:div>
    <w:div w:id="162819994">
      <w:bodyDiv w:val="1"/>
      <w:marLeft w:val="0"/>
      <w:marRight w:val="0"/>
      <w:marTop w:val="0"/>
      <w:marBottom w:val="0"/>
      <w:divBdr>
        <w:top w:val="none" w:sz="0" w:space="0" w:color="auto"/>
        <w:left w:val="none" w:sz="0" w:space="0" w:color="auto"/>
        <w:bottom w:val="none" w:sz="0" w:space="0" w:color="auto"/>
        <w:right w:val="none" w:sz="0" w:space="0" w:color="auto"/>
      </w:divBdr>
    </w:div>
    <w:div w:id="215361513">
      <w:bodyDiv w:val="1"/>
      <w:marLeft w:val="0"/>
      <w:marRight w:val="0"/>
      <w:marTop w:val="0"/>
      <w:marBottom w:val="0"/>
      <w:divBdr>
        <w:top w:val="none" w:sz="0" w:space="0" w:color="auto"/>
        <w:left w:val="none" w:sz="0" w:space="0" w:color="auto"/>
        <w:bottom w:val="none" w:sz="0" w:space="0" w:color="auto"/>
        <w:right w:val="none" w:sz="0" w:space="0" w:color="auto"/>
      </w:divBdr>
    </w:div>
    <w:div w:id="240608006">
      <w:bodyDiv w:val="1"/>
      <w:marLeft w:val="0"/>
      <w:marRight w:val="0"/>
      <w:marTop w:val="0"/>
      <w:marBottom w:val="0"/>
      <w:divBdr>
        <w:top w:val="none" w:sz="0" w:space="0" w:color="auto"/>
        <w:left w:val="none" w:sz="0" w:space="0" w:color="auto"/>
        <w:bottom w:val="none" w:sz="0" w:space="0" w:color="auto"/>
        <w:right w:val="none" w:sz="0" w:space="0" w:color="auto"/>
      </w:divBdr>
    </w:div>
    <w:div w:id="248123965">
      <w:bodyDiv w:val="1"/>
      <w:marLeft w:val="0"/>
      <w:marRight w:val="0"/>
      <w:marTop w:val="0"/>
      <w:marBottom w:val="0"/>
      <w:divBdr>
        <w:top w:val="none" w:sz="0" w:space="0" w:color="auto"/>
        <w:left w:val="none" w:sz="0" w:space="0" w:color="auto"/>
        <w:bottom w:val="none" w:sz="0" w:space="0" w:color="auto"/>
        <w:right w:val="none" w:sz="0" w:space="0" w:color="auto"/>
      </w:divBdr>
    </w:div>
    <w:div w:id="283461682">
      <w:bodyDiv w:val="1"/>
      <w:marLeft w:val="0"/>
      <w:marRight w:val="0"/>
      <w:marTop w:val="0"/>
      <w:marBottom w:val="0"/>
      <w:divBdr>
        <w:top w:val="none" w:sz="0" w:space="0" w:color="auto"/>
        <w:left w:val="none" w:sz="0" w:space="0" w:color="auto"/>
        <w:bottom w:val="none" w:sz="0" w:space="0" w:color="auto"/>
        <w:right w:val="none" w:sz="0" w:space="0" w:color="auto"/>
      </w:divBdr>
    </w:div>
    <w:div w:id="289669450">
      <w:bodyDiv w:val="1"/>
      <w:marLeft w:val="0"/>
      <w:marRight w:val="0"/>
      <w:marTop w:val="0"/>
      <w:marBottom w:val="0"/>
      <w:divBdr>
        <w:top w:val="none" w:sz="0" w:space="0" w:color="auto"/>
        <w:left w:val="none" w:sz="0" w:space="0" w:color="auto"/>
        <w:bottom w:val="none" w:sz="0" w:space="0" w:color="auto"/>
        <w:right w:val="none" w:sz="0" w:space="0" w:color="auto"/>
      </w:divBdr>
    </w:div>
    <w:div w:id="335619354">
      <w:bodyDiv w:val="1"/>
      <w:marLeft w:val="0"/>
      <w:marRight w:val="0"/>
      <w:marTop w:val="0"/>
      <w:marBottom w:val="0"/>
      <w:divBdr>
        <w:top w:val="none" w:sz="0" w:space="0" w:color="auto"/>
        <w:left w:val="none" w:sz="0" w:space="0" w:color="auto"/>
        <w:bottom w:val="none" w:sz="0" w:space="0" w:color="auto"/>
        <w:right w:val="none" w:sz="0" w:space="0" w:color="auto"/>
      </w:divBdr>
    </w:div>
    <w:div w:id="352416889">
      <w:bodyDiv w:val="1"/>
      <w:marLeft w:val="0"/>
      <w:marRight w:val="0"/>
      <w:marTop w:val="0"/>
      <w:marBottom w:val="0"/>
      <w:divBdr>
        <w:top w:val="none" w:sz="0" w:space="0" w:color="auto"/>
        <w:left w:val="none" w:sz="0" w:space="0" w:color="auto"/>
        <w:bottom w:val="none" w:sz="0" w:space="0" w:color="auto"/>
        <w:right w:val="none" w:sz="0" w:space="0" w:color="auto"/>
      </w:divBdr>
    </w:div>
    <w:div w:id="358245519">
      <w:bodyDiv w:val="1"/>
      <w:marLeft w:val="0"/>
      <w:marRight w:val="0"/>
      <w:marTop w:val="0"/>
      <w:marBottom w:val="0"/>
      <w:divBdr>
        <w:top w:val="none" w:sz="0" w:space="0" w:color="auto"/>
        <w:left w:val="none" w:sz="0" w:space="0" w:color="auto"/>
        <w:bottom w:val="none" w:sz="0" w:space="0" w:color="auto"/>
        <w:right w:val="none" w:sz="0" w:space="0" w:color="auto"/>
      </w:divBdr>
    </w:div>
    <w:div w:id="372653288">
      <w:bodyDiv w:val="1"/>
      <w:marLeft w:val="0"/>
      <w:marRight w:val="0"/>
      <w:marTop w:val="0"/>
      <w:marBottom w:val="0"/>
      <w:divBdr>
        <w:top w:val="none" w:sz="0" w:space="0" w:color="auto"/>
        <w:left w:val="none" w:sz="0" w:space="0" w:color="auto"/>
        <w:bottom w:val="none" w:sz="0" w:space="0" w:color="auto"/>
        <w:right w:val="none" w:sz="0" w:space="0" w:color="auto"/>
      </w:divBdr>
    </w:div>
    <w:div w:id="523597020">
      <w:bodyDiv w:val="1"/>
      <w:marLeft w:val="0"/>
      <w:marRight w:val="0"/>
      <w:marTop w:val="0"/>
      <w:marBottom w:val="0"/>
      <w:divBdr>
        <w:top w:val="none" w:sz="0" w:space="0" w:color="auto"/>
        <w:left w:val="none" w:sz="0" w:space="0" w:color="auto"/>
        <w:bottom w:val="none" w:sz="0" w:space="0" w:color="auto"/>
        <w:right w:val="none" w:sz="0" w:space="0" w:color="auto"/>
      </w:divBdr>
    </w:div>
    <w:div w:id="526219649">
      <w:bodyDiv w:val="1"/>
      <w:marLeft w:val="0"/>
      <w:marRight w:val="0"/>
      <w:marTop w:val="0"/>
      <w:marBottom w:val="0"/>
      <w:divBdr>
        <w:top w:val="none" w:sz="0" w:space="0" w:color="auto"/>
        <w:left w:val="none" w:sz="0" w:space="0" w:color="auto"/>
        <w:bottom w:val="none" w:sz="0" w:space="0" w:color="auto"/>
        <w:right w:val="none" w:sz="0" w:space="0" w:color="auto"/>
      </w:divBdr>
    </w:div>
    <w:div w:id="528180250">
      <w:bodyDiv w:val="1"/>
      <w:marLeft w:val="0"/>
      <w:marRight w:val="0"/>
      <w:marTop w:val="0"/>
      <w:marBottom w:val="0"/>
      <w:divBdr>
        <w:top w:val="none" w:sz="0" w:space="0" w:color="auto"/>
        <w:left w:val="none" w:sz="0" w:space="0" w:color="auto"/>
        <w:bottom w:val="none" w:sz="0" w:space="0" w:color="auto"/>
        <w:right w:val="none" w:sz="0" w:space="0" w:color="auto"/>
      </w:divBdr>
    </w:div>
    <w:div w:id="542055706">
      <w:bodyDiv w:val="1"/>
      <w:marLeft w:val="0"/>
      <w:marRight w:val="0"/>
      <w:marTop w:val="0"/>
      <w:marBottom w:val="0"/>
      <w:divBdr>
        <w:top w:val="none" w:sz="0" w:space="0" w:color="auto"/>
        <w:left w:val="none" w:sz="0" w:space="0" w:color="auto"/>
        <w:bottom w:val="none" w:sz="0" w:space="0" w:color="auto"/>
        <w:right w:val="none" w:sz="0" w:space="0" w:color="auto"/>
      </w:divBdr>
    </w:div>
    <w:div w:id="547255162">
      <w:bodyDiv w:val="1"/>
      <w:marLeft w:val="0"/>
      <w:marRight w:val="0"/>
      <w:marTop w:val="0"/>
      <w:marBottom w:val="0"/>
      <w:divBdr>
        <w:top w:val="none" w:sz="0" w:space="0" w:color="auto"/>
        <w:left w:val="none" w:sz="0" w:space="0" w:color="auto"/>
        <w:bottom w:val="none" w:sz="0" w:space="0" w:color="auto"/>
        <w:right w:val="none" w:sz="0" w:space="0" w:color="auto"/>
      </w:divBdr>
    </w:div>
    <w:div w:id="611522579">
      <w:bodyDiv w:val="1"/>
      <w:marLeft w:val="0"/>
      <w:marRight w:val="0"/>
      <w:marTop w:val="0"/>
      <w:marBottom w:val="0"/>
      <w:divBdr>
        <w:top w:val="none" w:sz="0" w:space="0" w:color="auto"/>
        <w:left w:val="none" w:sz="0" w:space="0" w:color="auto"/>
        <w:bottom w:val="none" w:sz="0" w:space="0" w:color="auto"/>
        <w:right w:val="none" w:sz="0" w:space="0" w:color="auto"/>
      </w:divBdr>
    </w:div>
    <w:div w:id="612902319">
      <w:bodyDiv w:val="1"/>
      <w:marLeft w:val="0"/>
      <w:marRight w:val="0"/>
      <w:marTop w:val="0"/>
      <w:marBottom w:val="0"/>
      <w:divBdr>
        <w:top w:val="none" w:sz="0" w:space="0" w:color="auto"/>
        <w:left w:val="none" w:sz="0" w:space="0" w:color="auto"/>
        <w:bottom w:val="none" w:sz="0" w:space="0" w:color="auto"/>
        <w:right w:val="none" w:sz="0" w:space="0" w:color="auto"/>
      </w:divBdr>
    </w:div>
    <w:div w:id="633024440">
      <w:bodyDiv w:val="1"/>
      <w:marLeft w:val="0"/>
      <w:marRight w:val="0"/>
      <w:marTop w:val="0"/>
      <w:marBottom w:val="0"/>
      <w:divBdr>
        <w:top w:val="none" w:sz="0" w:space="0" w:color="auto"/>
        <w:left w:val="none" w:sz="0" w:space="0" w:color="auto"/>
        <w:bottom w:val="none" w:sz="0" w:space="0" w:color="auto"/>
        <w:right w:val="none" w:sz="0" w:space="0" w:color="auto"/>
      </w:divBdr>
    </w:div>
    <w:div w:id="659116111">
      <w:bodyDiv w:val="1"/>
      <w:marLeft w:val="0"/>
      <w:marRight w:val="0"/>
      <w:marTop w:val="0"/>
      <w:marBottom w:val="0"/>
      <w:divBdr>
        <w:top w:val="none" w:sz="0" w:space="0" w:color="auto"/>
        <w:left w:val="none" w:sz="0" w:space="0" w:color="auto"/>
        <w:bottom w:val="none" w:sz="0" w:space="0" w:color="auto"/>
        <w:right w:val="none" w:sz="0" w:space="0" w:color="auto"/>
      </w:divBdr>
    </w:div>
    <w:div w:id="679813372">
      <w:bodyDiv w:val="1"/>
      <w:marLeft w:val="0"/>
      <w:marRight w:val="0"/>
      <w:marTop w:val="0"/>
      <w:marBottom w:val="0"/>
      <w:divBdr>
        <w:top w:val="none" w:sz="0" w:space="0" w:color="auto"/>
        <w:left w:val="none" w:sz="0" w:space="0" w:color="auto"/>
        <w:bottom w:val="none" w:sz="0" w:space="0" w:color="auto"/>
        <w:right w:val="none" w:sz="0" w:space="0" w:color="auto"/>
      </w:divBdr>
    </w:div>
    <w:div w:id="704869077">
      <w:bodyDiv w:val="1"/>
      <w:marLeft w:val="0"/>
      <w:marRight w:val="0"/>
      <w:marTop w:val="0"/>
      <w:marBottom w:val="0"/>
      <w:divBdr>
        <w:top w:val="none" w:sz="0" w:space="0" w:color="auto"/>
        <w:left w:val="none" w:sz="0" w:space="0" w:color="auto"/>
        <w:bottom w:val="none" w:sz="0" w:space="0" w:color="auto"/>
        <w:right w:val="none" w:sz="0" w:space="0" w:color="auto"/>
      </w:divBdr>
    </w:div>
    <w:div w:id="714280260">
      <w:bodyDiv w:val="1"/>
      <w:marLeft w:val="0"/>
      <w:marRight w:val="0"/>
      <w:marTop w:val="0"/>
      <w:marBottom w:val="0"/>
      <w:divBdr>
        <w:top w:val="none" w:sz="0" w:space="0" w:color="auto"/>
        <w:left w:val="none" w:sz="0" w:space="0" w:color="auto"/>
        <w:bottom w:val="none" w:sz="0" w:space="0" w:color="auto"/>
        <w:right w:val="none" w:sz="0" w:space="0" w:color="auto"/>
      </w:divBdr>
    </w:div>
    <w:div w:id="741756186">
      <w:bodyDiv w:val="1"/>
      <w:marLeft w:val="0"/>
      <w:marRight w:val="0"/>
      <w:marTop w:val="0"/>
      <w:marBottom w:val="0"/>
      <w:divBdr>
        <w:top w:val="none" w:sz="0" w:space="0" w:color="auto"/>
        <w:left w:val="none" w:sz="0" w:space="0" w:color="auto"/>
        <w:bottom w:val="none" w:sz="0" w:space="0" w:color="auto"/>
        <w:right w:val="none" w:sz="0" w:space="0" w:color="auto"/>
      </w:divBdr>
    </w:div>
    <w:div w:id="751239815">
      <w:bodyDiv w:val="1"/>
      <w:marLeft w:val="0"/>
      <w:marRight w:val="0"/>
      <w:marTop w:val="0"/>
      <w:marBottom w:val="0"/>
      <w:divBdr>
        <w:top w:val="none" w:sz="0" w:space="0" w:color="auto"/>
        <w:left w:val="none" w:sz="0" w:space="0" w:color="auto"/>
        <w:bottom w:val="none" w:sz="0" w:space="0" w:color="auto"/>
        <w:right w:val="none" w:sz="0" w:space="0" w:color="auto"/>
      </w:divBdr>
    </w:div>
    <w:div w:id="758454277">
      <w:bodyDiv w:val="1"/>
      <w:marLeft w:val="0"/>
      <w:marRight w:val="0"/>
      <w:marTop w:val="0"/>
      <w:marBottom w:val="0"/>
      <w:divBdr>
        <w:top w:val="none" w:sz="0" w:space="0" w:color="auto"/>
        <w:left w:val="none" w:sz="0" w:space="0" w:color="auto"/>
        <w:bottom w:val="none" w:sz="0" w:space="0" w:color="auto"/>
        <w:right w:val="none" w:sz="0" w:space="0" w:color="auto"/>
      </w:divBdr>
    </w:div>
    <w:div w:id="778529905">
      <w:bodyDiv w:val="1"/>
      <w:marLeft w:val="0"/>
      <w:marRight w:val="0"/>
      <w:marTop w:val="0"/>
      <w:marBottom w:val="0"/>
      <w:divBdr>
        <w:top w:val="none" w:sz="0" w:space="0" w:color="auto"/>
        <w:left w:val="none" w:sz="0" w:space="0" w:color="auto"/>
        <w:bottom w:val="none" w:sz="0" w:space="0" w:color="auto"/>
        <w:right w:val="none" w:sz="0" w:space="0" w:color="auto"/>
      </w:divBdr>
    </w:div>
    <w:div w:id="826088990">
      <w:bodyDiv w:val="1"/>
      <w:marLeft w:val="0"/>
      <w:marRight w:val="0"/>
      <w:marTop w:val="0"/>
      <w:marBottom w:val="0"/>
      <w:divBdr>
        <w:top w:val="none" w:sz="0" w:space="0" w:color="auto"/>
        <w:left w:val="none" w:sz="0" w:space="0" w:color="auto"/>
        <w:bottom w:val="none" w:sz="0" w:space="0" w:color="auto"/>
        <w:right w:val="none" w:sz="0" w:space="0" w:color="auto"/>
      </w:divBdr>
    </w:div>
    <w:div w:id="894314632">
      <w:bodyDiv w:val="1"/>
      <w:marLeft w:val="0"/>
      <w:marRight w:val="0"/>
      <w:marTop w:val="0"/>
      <w:marBottom w:val="0"/>
      <w:divBdr>
        <w:top w:val="none" w:sz="0" w:space="0" w:color="auto"/>
        <w:left w:val="none" w:sz="0" w:space="0" w:color="auto"/>
        <w:bottom w:val="none" w:sz="0" w:space="0" w:color="auto"/>
        <w:right w:val="none" w:sz="0" w:space="0" w:color="auto"/>
      </w:divBdr>
    </w:div>
    <w:div w:id="901789176">
      <w:bodyDiv w:val="1"/>
      <w:marLeft w:val="0"/>
      <w:marRight w:val="0"/>
      <w:marTop w:val="0"/>
      <w:marBottom w:val="0"/>
      <w:divBdr>
        <w:top w:val="none" w:sz="0" w:space="0" w:color="auto"/>
        <w:left w:val="none" w:sz="0" w:space="0" w:color="auto"/>
        <w:bottom w:val="none" w:sz="0" w:space="0" w:color="auto"/>
        <w:right w:val="none" w:sz="0" w:space="0" w:color="auto"/>
      </w:divBdr>
    </w:div>
    <w:div w:id="927470766">
      <w:bodyDiv w:val="1"/>
      <w:marLeft w:val="0"/>
      <w:marRight w:val="0"/>
      <w:marTop w:val="0"/>
      <w:marBottom w:val="0"/>
      <w:divBdr>
        <w:top w:val="none" w:sz="0" w:space="0" w:color="auto"/>
        <w:left w:val="none" w:sz="0" w:space="0" w:color="auto"/>
        <w:bottom w:val="none" w:sz="0" w:space="0" w:color="auto"/>
        <w:right w:val="none" w:sz="0" w:space="0" w:color="auto"/>
      </w:divBdr>
    </w:div>
    <w:div w:id="949510616">
      <w:bodyDiv w:val="1"/>
      <w:marLeft w:val="0"/>
      <w:marRight w:val="0"/>
      <w:marTop w:val="0"/>
      <w:marBottom w:val="0"/>
      <w:divBdr>
        <w:top w:val="none" w:sz="0" w:space="0" w:color="auto"/>
        <w:left w:val="none" w:sz="0" w:space="0" w:color="auto"/>
        <w:bottom w:val="none" w:sz="0" w:space="0" w:color="auto"/>
        <w:right w:val="none" w:sz="0" w:space="0" w:color="auto"/>
      </w:divBdr>
    </w:div>
    <w:div w:id="988174286">
      <w:bodyDiv w:val="1"/>
      <w:marLeft w:val="0"/>
      <w:marRight w:val="0"/>
      <w:marTop w:val="0"/>
      <w:marBottom w:val="0"/>
      <w:divBdr>
        <w:top w:val="none" w:sz="0" w:space="0" w:color="auto"/>
        <w:left w:val="none" w:sz="0" w:space="0" w:color="auto"/>
        <w:bottom w:val="none" w:sz="0" w:space="0" w:color="auto"/>
        <w:right w:val="none" w:sz="0" w:space="0" w:color="auto"/>
      </w:divBdr>
    </w:div>
    <w:div w:id="997612217">
      <w:bodyDiv w:val="1"/>
      <w:marLeft w:val="0"/>
      <w:marRight w:val="0"/>
      <w:marTop w:val="0"/>
      <w:marBottom w:val="0"/>
      <w:divBdr>
        <w:top w:val="none" w:sz="0" w:space="0" w:color="auto"/>
        <w:left w:val="none" w:sz="0" w:space="0" w:color="auto"/>
        <w:bottom w:val="none" w:sz="0" w:space="0" w:color="auto"/>
        <w:right w:val="none" w:sz="0" w:space="0" w:color="auto"/>
      </w:divBdr>
    </w:div>
    <w:div w:id="1020083346">
      <w:bodyDiv w:val="1"/>
      <w:marLeft w:val="0"/>
      <w:marRight w:val="0"/>
      <w:marTop w:val="0"/>
      <w:marBottom w:val="0"/>
      <w:divBdr>
        <w:top w:val="none" w:sz="0" w:space="0" w:color="auto"/>
        <w:left w:val="none" w:sz="0" w:space="0" w:color="auto"/>
        <w:bottom w:val="none" w:sz="0" w:space="0" w:color="auto"/>
        <w:right w:val="none" w:sz="0" w:space="0" w:color="auto"/>
      </w:divBdr>
    </w:div>
    <w:div w:id="1140420186">
      <w:bodyDiv w:val="1"/>
      <w:marLeft w:val="0"/>
      <w:marRight w:val="0"/>
      <w:marTop w:val="0"/>
      <w:marBottom w:val="0"/>
      <w:divBdr>
        <w:top w:val="none" w:sz="0" w:space="0" w:color="auto"/>
        <w:left w:val="none" w:sz="0" w:space="0" w:color="auto"/>
        <w:bottom w:val="none" w:sz="0" w:space="0" w:color="auto"/>
        <w:right w:val="none" w:sz="0" w:space="0" w:color="auto"/>
      </w:divBdr>
    </w:div>
    <w:div w:id="1142189634">
      <w:bodyDiv w:val="1"/>
      <w:marLeft w:val="0"/>
      <w:marRight w:val="0"/>
      <w:marTop w:val="0"/>
      <w:marBottom w:val="0"/>
      <w:divBdr>
        <w:top w:val="none" w:sz="0" w:space="0" w:color="auto"/>
        <w:left w:val="none" w:sz="0" w:space="0" w:color="auto"/>
        <w:bottom w:val="none" w:sz="0" w:space="0" w:color="auto"/>
        <w:right w:val="none" w:sz="0" w:space="0" w:color="auto"/>
      </w:divBdr>
    </w:div>
    <w:div w:id="1221673140">
      <w:bodyDiv w:val="1"/>
      <w:marLeft w:val="0"/>
      <w:marRight w:val="0"/>
      <w:marTop w:val="0"/>
      <w:marBottom w:val="0"/>
      <w:divBdr>
        <w:top w:val="none" w:sz="0" w:space="0" w:color="auto"/>
        <w:left w:val="none" w:sz="0" w:space="0" w:color="auto"/>
        <w:bottom w:val="none" w:sz="0" w:space="0" w:color="auto"/>
        <w:right w:val="none" w:sz="0" w:space="0" w:color="auto"/>
      </w:divBdr>
    </w:div>
    <w:div w:id="1229682430">
      <w:bodyDiv w:val="1"/>
      <w:marLeft w:val="0"/>
      <w:marRight w:val="0"/>
      <w:marTop w:val="0"/>
      <w:marBottom w:val="0"/>
      <w:divBdr>
        <w:top w:val="none" w:sz="0" w:space="0" w:color="auto"/>
        <w:left w:val="none" w:sz="0" w:space="0" w:color="auto"/>
        <w:bottom w:val="none" w:sz="0" w:space="0" w:color="auto"/>
        <w:right w:val="none" w:sz="0" w:space="0" w:color="auto"/>
      </w:divBdr>
    </w:div>
    <w:div w:id="1240751527">
      <w:bodyDiv w:val="1"/>
      <w:marLeft w:val="0"/>
      <w:marRight w:val="0"/>
      <w:marTop w:val="0"/>
      <w:marBottom w:val="0"/>
      <w:divBdr>
        <w:top w:val="none" w:sz="0" w:space="0" w:color="auto"/>
        <w:left w:val="none" w:sz="0" w:space="0" w:color="auto"/>
        <w:bottom w:val="none" w:sz="0" w:space="0" w:color="auto"/>
        <w:right w:val="none" w:sz="0" w:space="0" w:color="auto"/>
      </w:divBdr>
    </w:div>
    <w:div w:id="1329018852">
      <w:bodyDiv w:val="1"/>
      <w:marLeft w:val="0"/>
      <w:marRight w:val="0"/>
      <w:marTop w:val="0"/>
      <w:marBottom w:val="0"/>
      <w:divBdr>
        <w:top w:val="none" w:sz="0" w:space="0" w:color="auto"/>
        <w:left w:val="none" w:sz="0" w:space="0" w:color="auto"/>
        <w:bottom w:val="none" w:sz="0" w:space="0" w:color="auto"/>
        <w:right w:val="none" w:sz="0" w:space="0" w:color="auto"/>
      </w:divBdr>
    </w:div>
    <w:div w:id="1352416629">
      <w:bodyDiv w:val="1"/>
      <w:marLeft w:val="0"/>
      <w:marRight w:val="0"/>
      <w:marTop w:val="0"/>
      <w:marBottom w:val="0"/>
      <w:divBdr>
        <w:top w:val="none" w:sz="0" w:space="0" w:color="auto"/>
        <w:left w:val="none" w:sz="0" w:space="0" w:color="auto"/>
        <w:bottom w:val="none" w:sz="0" w:space="0" w:color="auto"/>
        <w:right w:val="none" w:sz="0" w:space="0" w:color="auto"/>
      </w:divBdr>
    </w:div>
    <w:div w:id="1379433095">
      <w:bodyDiv w:val="1"/>
      <w:marLeft w:val="0"/>
      <w:marRight w:val="0"/>
      <w:marTop w:val="0"/>
      <w:marBottom w:val="0"/>
      <w:divBdr>
        <w:top w:val="none" w:sz="0" w:space="0" w:color="auto"/>
        <w:left w:val="none" w:sz="0" w:space="0" w:color="auto"/>
        <w:bottom w:val="none" w:sz="0" w:space="0" w:color="auto"/>
        <w:right w:val="none" w:sz="0" w:space="0" w:color="auto"/>
      </w:divBdr>
    </w:div>
    <w:div w:id="1402630938">
      <w:bodyDiv w:val="1"/>
      <w:marLeft w:val="0"/>
      <w:marRight w:val="0"/>
      <w:marTop w:val="0"/>
      <w:marBottom w:val="0"/>
      <w:divBdr>
        <w:top w:val="none" w:sz="0" w:space="0" w:color="auto"/>
        <w:left w:val="none" w:sz="0" w:space="0" w:color="auto"/>
        <w:bottom w:val="none" w:sz="0" w:space="0" w:color="auto"/>
        <w:right w:val="none" w:sz="0" w:space="0" w:color="auto"/>
      </w:divBdr>
    </w:div>
    <w:div w:id="1439527422">
      <w:bodyDiv w:val="1"/>
      <w:marLeft w:val="0"/>
      <w:marRight w:val="0"/>
      <w:marTop w:val="0"/>
      <w:marBottom w:val="0"/>
      <w:divBdr>
        <w:top w:val="none" w:sz="0" w:space="0" w:color="auto"/>
        <w:left w:val="none" w:sz="0" w:space="0" w:color="auto"/>
        <w:bottom w:val="none" w:sz="0" w:space="0" w:color="auto"/>
        <w:right w:val="none" w:sz="0" w:space="0" w:color="auto"/>
      </w:divBdr>
    </w:div>
    <w:div w:id="1461997063">
      <w:bodyDiv w:val="1"/>
      <w:marLeft w:val="0"/>
      <w:marRight w:val="0"/>
      <w:marTop w:val="0"/>
      <w:marBottom w:val="0"/>
      <w:divBdr>
        <w:top w:val="none" w:sz="0" w:space="0" w:color="auto"/>
        <w:left w:val="none" w:sz="0" w:space="0" w:color="auto"/>
        <w:bottom w:val="none" w:sz="0" w:space="0" w:color="auto"/>
        <w:right w:val="none" w:sz="0" w:space="0" w:color="auto"/>
      </w:divBdr>
    </w:div>
    <w:div w:id="1477988927">
      <w:bodyDiv w:val="1"/>
      <w:marLeft w:val="0"/>
      <w:marRight w:val="0"/>
      <w:marTop w:val="0"/>
      <w:marBottom w:val="0"/>
      <w:divBdr>
        <w:top w:val="none" w:sz="0" w:space="0" w:color="auto"/>
        <w:left w:val="none" w:sz="0" w:space="0" w:color="auto"/>
        <w:bottom w:val="none" w:sz="0" w:space="0" w:color="auto"/>
        <w:right w:val="none" w:sz="0" w:space="0" w:color="auto"/>
      </w:divBdr>
    </w:div>
    <w:div w:id="1485076633">
      <w:bodyDiv w:val="1"/>
      <w:marLeft w:val="0"/>
      <w:marRight w:val="0"/>
      <w:marTop w:val="0"/>
      <w:marBottom w:val="0"/>
      <w:divBdr>
        <w:top w:val="none" w:sz="0" w:space="0" w:color="auto"/>
        <w:left w:val="none" w:sz="0" w:space="0" w:color="auto"/>
        <w:bottom w:val="none" w:sz="0" w:space="0" w:color="auto"/>
        <w:right w:val="none" w:sz="0" w:space="0" w:color="auto"/>
      </w:divBdr>
    </w:div>
    <w:div w:id="1513835799">
      <w:bodyDiv w:val="1"/>
      <w:marLeft w:val="0"/>
      <w:marRight w:val="0"/>
      <w:marTop w:val="0"/>
      <w:marBottom w:val="0"/>
      <w:divBdr>
        <w:top w:val="none" w:sz="0" w:space="0" w:color="auto"/>
        <w:left w:val="none" w:sz="0" w:space="0" w:color="auto"/>
        <w:bottom w:val="none" w:sz="0" w:space="0" w:color="auto"/>
        <w:right w:val="none" w:sz="0" w:space="0" w:color="auto"/>
      </w:divBdr>
    </w:div>
    <w:div w:id="1518809167">
      <w:bodyDiv w:val="1"/>
      <w:marLeft w:val="0"/>
      <w:marRight w:val="0"/>
      <w:marTop w:val="0"/>
      <w:marBottom w:val="0"/>
      <w:divBdr>
        <w:top w:val="none" w:sz="0" w:space="0" w:color="auto"/>
        <w:left w:val="none" w:sz="0" w:space="0" w:color="auto"/>
        <w:bottom w:val="none" w:sz="0" w:space="0" w:color="auto"/>
        <w:right w:val="none" w:sz="0" w:space="0" w:color="auto"/>
      </w:divBdr>
    </w:div>
    <w:div w:id="1531607131">
      <w:bodyDiv w:val="1"/>
      <w:marLeft w:val="0"/>
      <w:marRight w:val="0"/>
      <w:marTop w:val="0"/>
      <w:marBottom w:val="0"/>
      <w:divBdr>
        <w:top w:val="none" w:sz="0" w:space="0" w:color="auto"/>
        <w:left w:val="none" w:sz="0" w:space="0" w:color="auto"/>
        <w:bottom w:val="none" w:sz="0" w:space="0" w:color="auto"/>
        <w:right w:val="none" w:sz="0" w:space="0" w:color="auto"/>
      </w:divBdr>
    </w:div>
    <w:div w:id="1578975730">
      <w:bodyDiv w:val="1"/>
      <w:marLeft w:val="0"/>
      <w:marRight w:val="0"/>
      <w:marTop w:val="0"/>
      <w:marBottom w:val="0"/>
      <w:divBdr>
        <w:top w:val="none" w:sz="0" w:space="0" w:color="auto"/>
        <w:left w:val="none" w:sz="0" w:space="0" w:color="auto"/>
        <w:bottom w:val="none" w:sz="0" w:space="0" w:color="auto"/>
        <w:right w:val="none" w:sz="0" w:space="0" w:color="auto"/>
      </w:divBdr>
    </w:div>
    <w:div w:id="1673294271">
      <w:bodyDiv w:val="1"/>
      <w:marLeft w:val="0"/>
      <w:marRight w:val="0"/>
      <w:marTop w:val="0"/>
      <w:marBottom w:val="0"/>
      <w:divBdr>
        <w:top w:val="none" w:sz="0" w:space="0" w:color="auto"/>
        <w:left w:val="none" w:sz="0" w:space="0" w:color="auto"/>
        <w:bottom w:val="none" w:sz="0" w:space="0" w:color="auto"/>
        <w:right w:val="none" w:sz="0" w:space="0" w:color="auto"/>
      </w:divBdr>
    </w:div>
    <w:div w:id="1721401154">
      <w:bodyDiv w:val="1"/>
      <w:marLeft w:val="0"/>
      <w:marRight w:val="0"/>
      <w:marTop w:val="0"/>
      <w:marBottom w:val="0"/>
      <w:divBdr>
        <w:top w:val="none" w:sz="0" w:space="0" w:color="auto"/>
        <w:left w:val="none" w:sz="0" w:space="0" w:color="auto"/>
        <w:bottom w:val="none" w:sz="0" w:space="0" w:color="auto"/>
        <w:right w:val="none" w:sz="0" w:space="0" w:color="auto"/>
      </w:divBdr>
    </w:div>
    <w:div w:id="1750693866">
      <w:bodyDiv w:val="1"/>
      <w:marLeft w:val="0"/>
      <w:marRight w:val="0"/>
      <w:marTop w:val="0"/>
      <w:marBottom w:val="0"/>
      <w:divBdr>
        <w:top w:val="none" w:sz="0" w:space="0" w:color="auto"/>
        <w:left w:val="none" w:sz="0" w:space="0" w:color="auto"/>
        <w:bottom w:val="none" w:sz="0" w:space="0" w:color="auto"/>
        <w:right w:val="none" w:sz="0" w:space="0" w:color="auto"/>
      </w:divBdr>
    </w:div>
    <w:div w:id="1762018797">
      <w:bodyDiv w:val="1"/>
      <w:marLeft w:val="0"/>
      <w:marRight w:val="0"/>
      <w:marTop w:val="0"/>
      <w:marBottom w:val="0"/>
      <w:divBdr>
        <w:top w:val="none" w:sz="0" w:space="0" w:color="auto"/>
        <w:left w:val="none" w:sz="0" w:space="0" w:color="auto"/>
        <w:bottom w:val="none" w:sz="0" w:space="0" w:color="auto"/>
        <w:right w:val="none" w:sz="0" w:space="0" w:color="auto"/>
      </w:divBdr>
    </w:div>
    <w:div w:id="1769735264">
      <w:bodyDiv w:val="1"/>
      <w:marLeft w:val="0"/>
      <w:marRight w:val="0"/>
      <w:marTop w:val="0"/>
      <w:marBottom w:val="0"/>
      <w:divBdr>
        <w:top w:val="none" w:sz="0" w:space="0" w:color="auto"/>
        <w:left w:val="none" w:sz="0" w:space="0" w:color="auto"/>
        <w:bottom w:val="none" w:sz="0" w:space="0" w:color="auto"/>
        <w:right w:val="none" w:sz="0" w:space="0" w:color="auto"/>
      </w:divBdr>
    </w:div>
    <w:div w:id="1811439548">
      <w:bodyDiv w:val="1"/>
      <w:marLeft w:val="0"/>
      <w:marRight w:val="0"/>
      <w:marTop w:val="0"/>
      <w:marBottom w:val="0"/>
      <w:divBdr>
        <w:top w:val="none" w:sz="0" w:space="0" w:color="auto"/>
        <w:left w:val="none" w:sz="0" w:space="0" w:color="auto"/>
        <w:bottom w:val="none" w:sz="0" w:space="0" w:color="auto"/>
        <w:right w:val="none" w:sz="0" w:space="0" w:color="auto"/>
      </w:divBdr>
    </w:div>
    <w:div w:id="1855532205">
      <w:bodyDiv w:val="1"/>
      <w:marLeft w:val="0"/>
      <w:marRight w:val="0"/>
      <w:marTop w:val="0"/>
      <w:marBottom w:val="0"/>
      <w:divBdr>
        <w:top w:val="none" w:sz="0" w:space="0" w:color="auto"/>
        <w:left w:val="none" w:sz="0" w:space="0" w:color="auto"/>
        <w:bottom w:val="none" w:sz="0" w:space="0" w:color="auto"/>
        <w:right w:val="none" w:sz="0" w:space="0" w:color="auto"/>
      </w:divBdr>
    </w:div>
    <w:div w:id="1903054235">
      <w:bodyDiv w:val="1"/>
      <w:marLeft w:val="0"/>
      <w:marRight w:val="0"/>
      <w:marTop w:val="0"/>
      <w:marBottom w:val="0"/>
      <w:divBdr>
        <w:top w:val="none" w:sz="0" w:space="0" w:color="auto"/>
        <w:left w:val="none" w:sz="0" w:space="0" w:color="auto"/>
        <w:bottom w:val="none" w:sz="0" w:space="0" w:color="auto"/>
        <w:right w:val="none" w:sz="0" w:space="0" w:color="auto"/>
      </w:divBdr>
    </w:div>
    <w:div w:id="1934701863">
      <w:bodyDiv w:val="1"/>
      <w:marLeft w:val="0"/>
      <w:marRight w:val="0"/>
      <w:marTop w:val="0"/>
      <w:marBottom w:val="0"/>
      <w:divBdr>
        <w:top w:val="none" w:sz="0" w:space="0" w:color="auto"/>
        <w:left w:val="none" w:sz="0" w:space="0" w:color="auto"/>
        <w:bottom w:val="none" w:sz="0" w:space="0" w:color="auto"/>
        <w:right w:val="none" w:sz="0" w:space="0" w:color="auto"/>
      </w:divBdr>
    </w:div>
    <w:div w:id="1936592479">
      <w:bodyDiv w:val="1"/>
      <w:marLeft w:val="0"/>
      <w:marRight w:val="0"/>
      <w:marTop w:val="0"/>
      <w:marBottom w:val="0"/>
      <w:divBdr>
        <w:top w:val="none" w:sz="0" w:space="0" w:color="auto"/>
        <w:left w:val="none" w:sz="0" w:space="0" w:color="auto"/>
        <w:bottom w:val="none" w:sz="0" w:space="0" w:color="auto"/>
        <w:right w:val="none" w:sz="0" w:space="0" w:color="auto"/>
      </w:divBdr>
    </w:div>
    <w:div w:id="1948123806">
      <w:bodyDiv w:val="1"/>
      <w:marLeft w:val="0"/>
      <w:marRight w:val="0"/>
      <w:marTop w:val="0"/>
      <w:marBottom w:val="0"/>
      <w:divBdr>
        <w:top w:val="none" w:sz="0" w:space="0" w:color="auto"/>
        <w:left w:val="none" w:sz="0" w:space="0" w:color="auto"/>
        <w:bottom w:val="none" w:sz="0" w:space="0" w:color="auto"/>
        <w:right w:val="none" w:sz="0" w:space="0" w:color="auto"/>
      </w:divBdr>
    </w:div>
    <w:div w:id="1980760930">
      <w:bodyDiv w:val="1"/>
      <w:marLeft w:val="0"/>
      <w:marRight w:val="0"/>
      <w:marTop w:val="0"/>
      <w:marBottom w:val="0"/>
      <w:divBdr>
        <w:top w:val="none" w:sz="0" w:space="0" w:color="auto"/>
        <w:left w:val="none" w:sz="0" w:space="0" w:color="auto"/>
        <w:bottom w:val="none" w:sz="0" w:space="0" w:color="auto"/>
        <w:right w:val="none" w:sz="0" w:space="0" w:color="auto"/>
      </w:divBdr>
    </w:div>
    <w:div w:id="1993672917">
      <w:bodyDiv w:val="1"/>
      <w:marLeft w:val="0"/>
      <w:marRight w:val="0"/>
      <w:marTop w:val="0"/>
      <w:marBottom w:val="0"/>
      <w:divBdr>
        <w:top w:val="none" w:sz="0" w:space="0" w:color="auto"/>
        <w:left w:val="none" w:sz="0" w:space="0" w:color="auto"/>
        <w:bottom w:val="none" w:sz="0" w:space="0" w:color="auto"/>
        <w:right w:val="none" w:sz="0" w:space="0" w:color="auto"/>
      </w:divBdr>
    </w:div>
    <w:div w:id="2020351465">
      <w:bodyDiv w:val="1"/>
      <w:marLeft w:val="0"/>
      <w:marRight w:val="0"/>
      <w:marTop w:val="0"/>
      <w:marBottom w:val="0"/>
      <w:divBdr>
        <w:top w:val="none" w:sz="0" w:space="0" w:color="auto"/>
        <w:left w:val="none" w:sz="0" w:space="0" w:color="auto"/>
        <w:bottom w:val="none" w:sz="0" w:space="0" w:color="auto"/>
        <w:right w:val="none" w:sz="0" w:space="0" w:color="auto"/>
      </w:divBdr>
    </w:div>
    <w:div w:id="2054423432">
      <w:bodyDiv w:val="1"/>
      <w:marLeft w:val="0"/>
      <w:marRight w:val="0"/>
      <w:marTop w:val="0"/>
      <w:marBottom w:val="0"/>
      <w:divBdr>
        <w:top w:val="none" w:sz="0" w:space="0" w:color="auto"/>
        <w:left w:val="none" w:sz="0" w:space="0" w:color="auto"/>
        <w:bottom w:val="none" w:sz="0" w:space="0" w:color="auto"/>
        <w:right w:val="none" w:sz="0" w:space="0" w:color="auto"/>
      </w:divBdr>
    </w:div>
    <w:div w:id="2114397901">
      <w:bodyDiv w:val="1"/>
      <w:marLeft w:val="0"/>
      <w:marRight w:val="0"/>
      <w:marTop w:val="0"/>
      <w:marBottom w:val="0"/>
      <w:divBdr>
        <w:top w:val="none" w:sz="0" w:space="0" w:color="auto"/>
        <w:left w:val="none" w:sz="0" w:space="0" w:color="auto"/>
        <w:bottom w:val="none" w:sz="0" w:space="0" w:color="auto"/>
        <w:right w:val="none" w:sz="0" w:space="0" w:color="auto"/>
      </w:divBdr>
    </w:div>
    <w:div w:id="212411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cgc.gov.au/sites/default/files/2022-03/New%20issues%20in%20the%202022%20Update%20-%20with%20title%20page.pdf" TargetMode="Externa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cgc.gov.au/reports-for-government/2020-review"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emf"/><Relationship Id="rId28"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hyperlink" Target="https://www.cgc.gov.au/sites/default/files/2023-03/New%20Issues%20in%20the%202023%20Update%20%20%281%29.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emf"/><Relationship Id="rId27" Type="http://schemas.openxmlformats.org/officeDocument/2006/relationships/image" Target="media/image10.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0229631F80714C9595CC742C6B48E8" ma:contentTypeVersion="16" ma:contentTypeDescription="Create a new document." ma:contentTypeScope="" ma:versionID="587377675d66a617c05529d80887533c">
  <xsd:schema xmlns:xsd="http://www.w3.org/2001/XMLSchema" xmlns:xs="http://www.w3.org/2001/XMLSchema" xmlns:p="http://schemas.microsoft.com/office/2006/metadata/properties" xmlns:ns2="b947e97b-0e0d-4a37-b7a7-c36958e104ca" xmlns:ns3="cde6150a-2887-4330-9d33-41179dba62e9" targetNamespace="http://schemas.microsoft.com/office/2006/metadata/properties" ma:root="true" ma:fieldsID="6ef3d4c26885e350e4ca4a1c7d57392c" ns2:_="" ns3:_="">
    <xsd:import namespace="b947e97b-0e0d-4a37-b7a7-c36958e104ca"/>
    <xsd:import namespace="cde6150a-2887-4330-9d33-41179dba62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7e97b-0e0d-4a37-b7a7-c36958e10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0b90d-15e3-4b68-b4ed-e1e0d46dd5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e6150a-2887-4330-9d33-41179dba62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da1c902-3ee1-4304-9c6c-5526e8376569}" ma:internalName="TaxCatchAll" ma:showField="CatchAllData" ma:web="cde6150a-2887-4330-9d33-41179dba62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Web00</b:Tag>
    <b:SourceType>JournalArticle</b:SourceType>
    <b:Guid>{C3646100-A80F-4A49-B0E9-4A4E0CD55651}</b:Guid>
    <b:Author>
      <b:Author>
        <b:NameList>
          <b:Person>
            <b:Last>Webster</b:Last>
            <b:First>Elizabeth</b:First>
          </b:Person>
          <b:Person>
            <b:Last>Tseng</b:Last>
            <b:First>Yi-Ping</b:First>
          </b:Person>
        </b:NameList>
      </b:Author>
    </b:Author>
    <b:Title>The Determinants of Relative Wage Change in Australia</b:Title>
    <b:JournalName>Melboune Instiutute Working Paper Series</b:JournalName>
    <b:Year>2000</b:Year>
    <b:RefOrder>1</b:RefOrder>
  </b:Source>
  <b:Source>
    <b:Tag>Vya22</b:Tag>
    <b:SourceType>JournalArticle</b:SourceType>
    <b:Guid>{C4F081A4-FB4D-4884-A5CA-274CED10D13E}</b:Guid>
    <b:Title>"New normal" at work in a post-COVID world: work-life balance and labor markets</b:Title>
    <b:Year>2022</b:Year>
    <b:Pages>155-167</b:Pages>
    <b:Author>
      <b:Author>
        <b:NameList>
          <b:Person>
            <b:Last>Vyas</b:Last>
            <b:First>L</b:First>
          </b:Person>
        </b:NameList>
      </b:Author>
    </b:Author>
    <b:JournalName>Politics and Society, Volume 41, Issue 1</b:JournalName>
    <b:RefOrder>2</b:RefOrder>
  </b:Source>
  <b:Source>
    <b:Tag>Per17</b:Tag>
    <b:SourceType>JournalArticle</b:SourceType>
    <b:Guid>{B6115BE6-EF92-49A8-917D-E72C52838A00}</b:Guid>
    <b:Author>
      <b:Author>
        <b:NameList>
          <b:Person>
            <b:Last>Perales</b:Last>
            <b:First>Francisco</b:First>
          </b:Person>
          <b:Person>
            <b:Last>Chesters</b:Last>
            <b:First>Jenny</b:First>
          </b:Person>
        </b:NameList>
      </b:Author>
    </b:Author>
    <b:Title>The returns to mature-age education in Australia</b:Title>
    <b:JournalName>International Journal of Educational Research</b:JournalName>
    <b:Year>2017</b:Year>
    <b:Pages>87-98</b:Pages>
    <b:RefOrder>3</b:RefOrder>
  </b:Source>
  <b:Source>
    <b:Tag>Mur201</b:Tag>
    <b:SourceType>JournalArticle</b:SourceType>
    <b:Guid>{E6047952-19FC-4936-82BE-E96CBDB1E377}</b:Guid>
    <b:Title>Revisiting interregional wage differentials: New evidence from Spain with matched employer-employee data</b:Title>
    <b:JournalName>Journal of Regional Science</b:JournalName>
    <b:Year>2020</b:Year>
    <b:Pages>296-347</b:Pages>
    <b:Author>
      <b:Author>
        <b:NameList>
          <b:Person>
            <b:Last>Murillo Huertas</b:Last>
            <b:Middle>P.</b:Middle>
            <b:First>I.</b:First>
          </b:Person>
          <b:Person>
            <b:Last>Ramos</b:Last>
            <b:First>R.</b:First>
          </b:Person>
          <b:Person>
            <b:Last>Simòn</b:Last>
            <b:First>H.</b:First>
          </b:Person>
        </b:NameList>
      </b:Author>
    </b:Author>
    <b:RefOrder>4</b:RefOrder>
  </b:Source>
  <b:Source>
    <b:Tag>Kir22</b:Tag>
    <b:SourceType>InternetSite</b:SourceType>
    <b:Guid>{ED15F892-24DF-4A0C-987F-42D5382C2807}</b:Guid>
    <b:Title>YouGov</b:Title>
    <b:Year>2022</b:Year>
    <b:Author>
      <b:Author>
        <b:NameList>
          <b:Person>
            <b:Last>Kirk</b:Last>
            <b:First>Isabelle</b:First>
          </b:Person>
        </b:NameList>
      </b:Author>
    </b:Author>
    <b:InternetSiteTitle>YouGov</b:InternetSiteTitle>
    <b:Month>February</b:Month>
    <b:Day>24</b:Day>
    <b:URL>https://yougov.co.uk/topics/international/articles-reports/2022/02/24/how-has-covid-19-pandemic-changed-attitudes-workin</b:URL>
    <b:RefOrder>5</b:RefOrder>
  </b:Source>
  <b:Source>
    <b:Tag>Hec03</b:Tag>
    <b:SourceType>JournalArticle</b:SourceType>
    <b:Guid>{31B61037-781B-4950-8B3F-83C90E5D8C9E}</b:Guid>
    <b:Title>Fifty Years of Mincer Earnings Regressions</b:Title>
    <b:Year>2003</b:Year>
    <b:Pages>9732-</b:Pages>
    <b:Author>
      <b:Author>
        <b:NameList>
          <b:Person>
            <b:Last>Heckman</b:Last>
            <b:First>James</b:First>
            <b:Middle>J.</b:Middle>
          </b:Person>
          <b:Person>
            <b:Last>Lochner</b:Last>
            <b:First>Lance</b:First>
            <b:Middle>J.</b:Middle>
          </b:Person>
          <b:Person>
            <b:Last>Todd</b:Last>
            <b:First>Petra</b:First>
            <b:Middle>E.</b:Middle>
          </b:Person>
        </b:NameList>
      </b:Author>
    </b:Author>
    <b:JournalName>NBER Working Paper Series</b:JournalName>
    <b:RefOrder>6</b:RefOrder>
  </b:Source>
  <b:Source>
    <b:Tag>Gro141</b:Tag>
    <b:SourceType>JournalArticle</b:SourceType>
    <b:Guid>{C39FE512-C52F-4C8E-AD7E-321641437E71}</b:Guid>
    <b:Title>Regional Wage Differences in the Netherlands: Micro Evidence on Agglomeration Externalities</b:Title>
    <b:JournalName>Journal of Regional Science</b:JournalName>
    <b:Year>2014</b:Year>
    <b:Pages>503-523</b:Pages>
    <b:Author>
      <b:Author>
        <b:NameList>
          <b:Person>
            <b:Last>Groot</b:Last>
            <b:First>S.</b:First>
          </b:Person>
          <b:Person>
            <b:Last>de Groot</b:Last>
            <b:First>H.</b:First>
          </b:Person>
          <b:Person>
            <b:Last>Smit</b:Last>
            <b:First>M.</b:First>
          </b:Person>
        </b:NameList>
      </b:Author>
    </b:Author>
    <b:RefOrder>7</b:RefOrder>
  </b:Source>
  <b:Source>
    <b:Tag>Fox92</b:Tag>
    <b:SourceType>JournalArticle</b:SourceType>
    <b:Guid>{D65A6AE0-B784-43D8-9E95-44B69707EB86}</b:Guid>
    <b:Title>Generalized Collinearity Diagnostics</b:Title>
    <b:Year>1992</b:Year>
    <b:Author>
      <b:Author>
        <b:NameList>
          <b:Person>
            <b:Last>Fox</b:Last>
            <b:First>John</b:First>
          </b:Person>
          <b:Person>
            <b:Last>Monette</b:Last>
            <b:First>Georges</b:First>
          </b:Person>
        </b:NameList>
      </b:Author>
    </b:Author>
    <b:JournalName>Journal of the American Statistical Association</b:JournalName>
    <b:Pages>178-183</b:Pages>
    <b:Month>March</b:Month>
    <b:Volume>87</b:Volume>
    <b:DOI>10.2307/2290467</b:DOI>
    <b:Issue>417</b:Issue>
    <b:RefOrder>8</b:RefOrder>
  </b:Source>
  <b:Source>
    <b:Tag>Com151</b:Tag>
    <b:SourceType>BookSection</b:SourceType>
    <b:Guid>{DF1E2425-FFA1-4B24-8687-AD6C5E3D38EF}</b:Guid>
    <b:Title>The Empirics of Agglomeration Economies</b:Title>
    <b:Year>2015</b:Year>
    <b:Publisher>Elsevier</b:Publisher>
    <b:Author>
      <b:Author>
        <b:NameList>
          <b:Person>
            <b:Last>Combes</b:Last>
            <b:First>P-P.</b:First>
          </b:Person>
          <b:Person>
            <b:Last>Gobillon</b:Last>
            <b:First>L.</b:First>
          </b:Person>
        </b:NameList>
      </b:Author>
    </b:Author>
    <b:BookTitle>Handbook of Regional and Urban Economics, Volume 5</b:BookTitle>
    <b:Pages>247-348</b:Pages>
    <b:RefOrder>9</b:RefOrder>
  </b:Source>
  <b:Source>
    <b:Tag>Com081</b:Tag>
    <b:SourceType>JournalArticle</b:SourceType>
    <b:Guid>{708EDDB8-B6F5-4967-8714-D1AD2D42C943}</b:Guid>
    <b:Title>Spatial Wage Disparities: Sorting Matters</b:Title>
    <b:Year>2008</b:Year>
    <b:Author>
      <b:Author>
        <b:NameList>
          <b:Person>
            <b:Last>Combes</b:Last>
            <b:First>P-P.</b:First>
          </b:Person>
          <b:Person>
            <b:Last>Duranton</b:Last>
            <b:First>G.</b:First>
          </b:Person>
          <b:Person>
            <b:Last>Gobillon</b:Last>
            <b:First>L.</b:First>
          </b:Person>
        </b:NameList>
      </b:Author>
    </b:Author>
    <b:JournalName>Journal of Urban Economics</b:JournalName>
    <b:Pages>723-742</b:Pages>
    <b:RefOrder>10</b:RefOrder>
  </b:Source>
  <b:Source>
    <b:Tag>Car99</b:Tag>
    <b:SourceType>BookSection</b:SourceType>
    <b:Guid>{878F5735-57AE-4DDA-9AA4-C0BA65A77C5E}</b:Guid>
    <b:Title>The Causal Effect of Education on Earnings</b:Title>
    <b:Year>1999</b:Year>
    <b:Pages>1801-1863</b:Pages>
    <b:Author>
      <b:Author>
        <b:NameList>
          <b:Person>
            <b:Last>Card</b:Last>
            <b:First>David</b:First>
          </b:Person>
        </b:NameList>
      </b:Author>
      <b:BookAuthor>
        <b:NameList>
          <b:Person>
            <b:Last>Ashenfelter</b:Last>
            <b:First>Orley</b:First>
            <b:Middle>C.</b:Middle>
          </b:Person>
          <b:Person>
            <b:Last>Card</b:Last>
            <b:First>David</b:First>
          </b:Person>
        </b:NameList>
      </b:BookAuthor>
    </b:Author>
    <b:BookTitle>Handbook of Labor Economics</b:BookTitle>
    <b:Publisher>Elsevier Science B.V.</b:Publisher>
    <b:Volume>3A</b:Volume>
    <b:ChapterNumber>30</b:ChapterNumber>
    <b:RefOrder>11</b:RefOrder>
  </b:Source>
  <b:Source>
    <b:Tag>Bhu17</b:Tag>
    <b:SourceType>JournalArticle</b:SourceType>
    <b:Guid>{822977DC-8CC7-4511-9AB1-FDD3E7840885}</b:Guid>
    <b:Author>
      <b:Author>
        <b:NameList>
          <b:Person>
            <b:Last>Bhuller</b:Last>
            <b:First>Manudeep</b:First>
          </b:Person>
          <b:Person>
            <b:Last>Mogstad</b:Last>
            <b:First>Magne</b:First>
          </b:Person>
          <b:Person>
            <b:Last>Salvanes</b:Last>
            <b:First>Kjell</b:First>
            <b:Middle>G.</b:Middle>
          </b:Person>
        </b:NameList>
      </b:Author>
    </b:Author>
    <b:Title>Life-Cycle Earnings, Education Premiums, and Internal Rates of Return</b:Title>
    <b:JournalName>Journal of Labor Economics</b:JournalName>
    <b:Year>2017</b:Year>
    <b:Pages>993-1030</b:Pages>
    <b:RefOrder>12</b:RefOrder>
  </b:Source>
  <b:Source>
    <b:Tag>ABS21</b:Tag>
    <b:SourceType>ElectronicSource</b:SourceType>
    <b:Guid>{7148247D-0AD2-4E9E-8C6C-4FAF417F5320}</b:Guid>
    <b:Author>
      <b:Author>
        <b:Corporate>ABS</b:Corporate>
      </b:Author>
    </b:Author>
    <b:Title>Working arrangements</b:Title>
    <b:InternetSiteTitle>abs.gov.au</b:InternetSiteTitle>
    <b:Year>2021</b:Year>
    <b:Month>December</b:Month>
    <b:City>Canberra</b:City>
    <b:RefOrder>13</b:RefOrder>
  </b:Source>
  <b:Source>
    <b:Tag>Aus23</b:Tag>
    <b:SourceType>Report</b:SourceType>
    <b:Guid>{74DBBDE5-8FF9-4AFA-8E7B-5848B45BEF51}</b:Guid>
    <b:Author>
      <b:Author>
        <b:Corporate>ABS</b:Corporate>
      </b:Author>
    </b:Author>
    <b:Title>Wage price index, Australia</b:Title>
    <b:Year>2023</b:Year>
    <b:City>Canberra</b:City>
    <b:Publisher>Australian Bureau of Statistics</b:Publisher>
    <b:RefOrder>14</b:RefOrder>
  </b:Source>
  <b:Source>
    <b:Tag>Nat221</b:Tag>
    <b:SourceType>Report</b:SourceType>
    <b:Guid>{D94D9C1C-C66B-41DD-9F2C-B3C41632D7D6}</b:Guid>
    <b:Title>2022 Skills Priority List</b:Title>
    <b:Year>2022</b:Year>
    <b:Author>
      <b:Author>
        <b:Corporate>National Skills Commission</b:Corporate>
      </b:Author>
    </b:Author>
    <b:Publisher>National Skills Commission</b:Publisher>
    <b:City>Canberra</b:City>
    <b:RefOrder>15</b:RefOrder>
  </b:Source>
  <b:Source>
    <b:Tag>Nat21</b:Tag>
    <b:SourceType>Report</b:SourceType>
    <b:Guid>{7FA0B255-29AF-46B1-AAD2-7E8A44E6BB92}</b:Guid>
    <b:Title>The Transformation of Australia's Labour Market</b:Title>
    <b:Year>2021</b:Year>
    <b:Author>
      <b:Author>
        <b:Corporate>National Skills Commission</b:Corporate>
      </b:Author>
    </b:Author>
    <b:Publisher>National Skills Commission</b:Publisher>
    <b:City>Canberra</b:City>
    <b:RefOrder>16</b:RefOrder>
  </b:Source>
  <b:Source>
    <b:Tag>Nat22</b:Tag>
    <b:SourceType>DocumentFromInternetSite</b:SourceType>
    <b:Guid>{1FF2E6A1-3695-4477-982F-401E50D65461}</b:Guid>
    <b:Author>
      <b:Author>
        <b:Corporate>National Skills Commission</b:Corporate>
      </b:Author>
    </b:Author>
    <b:Title>Projecting employment to 2026</b:Title>
    <b:InternetSiteTitle>National Skills Commission</b:InternetSiteTitle>
    <b:Year>2022</b:Year>
    <b:Month>March</b:Month>
    <b:Day>29</b:Day>
    <b:URL>https://www.nationalskillscommission.gov.au/insights/projecting-employment-2026</b:URL>
    <b:RefOrder>17</b:RefOrder>
  </b:Source>
  <b:Source>
    <b:Tag>ABS22</b:Tag>
    <b:SourceType>ElectronicSource</b:SourceType>
    <b:Guid>{376C2E7C-6132-49BC-ABDC-7DCFA807A39C}</b:Guid>
    <b:Title>Industrial Disputes, Australia</b:Title>
    <b:Year>2022</b:Year>
    <b:Author>
      <b:Author>
        <b:Corporate>ABS</b:Corporate>
      </b:Author>
    </b:Author>
    <b:City>Canberra</b:City>
    <b:Month>December</b:Month>
    <b:RefOrder>18</b:RefOrder>
  </b:Source>
  <b:Source>
    <b:Tag>ABS23</b:Tag>
    <b:SourceType>Report</b:SourceType>
    <b:Guid>{873E8E1C-1BA9-40B4-AC52-5DCD94D37A4B}</b:Guid>
    <b:Author>
      <b:Author>
        <b:Corporate>ABS</b:Corporate>
      </b:Author>
    </b:Author>
    <b:Title>Consumer Price Index, Austalia</b:Title>
    <b:Year>2023</b:Year>
    <b:Publisher>Australian Bureau of Statistics</b:Publisher>
    <b:City>Canberra</b:City>
    <b:RefOrder>19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cde6150a-2887-4330-9d33-41179dba62e9">
      <UserInfo>
        <DisplayName>Dermot Doherty</DisplayName>
        <AccountId>30</AccountId>
        <AccountType/>
      </UserInfo>
      <UserInfo>
        <DisplayName>Tim Carlton</DisplayName>
        <AccountId>16</AccountId>
        <AccountType/>
      </UserInfo>
      <UserInfo>
        <DisplayName>Philip Harber</DisplayName>
        <AccountId>57</AccountId>
        <AccountType/>
      </UserInfo>
      <UserInfo>
        <DisplayName>Ben Crabb</DisplayName>
        <AccountId>48</AccountId>
        <AccountType/>
      </UserInfo>
      <UserInfo>
        <DisplayName>Rose Verspaandonk</DisplayName>
        <AccountId>62</AccountId>
        <AccountType/>
      </UserInfo>
    </SharedWithUsers>
    <TaxCatchAll xmlns="cde6150a-2887-4330-9d33-41179dba62e9" xsi:nil="true"/>
    <lcf76f155ced4ddcb4097134ff3c332f xmlns="b947e97b-0e0d-4a37-b7a7-c36958e104c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3EAF45-2963-41A6-9FEC-5DAA0E47D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7e97b-0e0d-4a37-b7a7-c36958e104ca"/>
    <ds:schemaRef ds:uri="cde6150a-2887-4330-9d33-41179dba6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855BE0-9ED2-49D1-A141-F2A49D3D8473}">
  <ds:schemaRefs>
    <ds:schemaRef ds:uri="http://schemas.openxmlformats.org/officeDocument/2006/bibliography"/>
  </ds:schemaRefs>
</ds:datastoreItem>
</file>

<file path=customXml/itemProps3.xml><?xml version="1.0" encoding="utf-8"?>
<ds:datastoreItem xmlns:ds="http://schemas.openxmlformats.org/officeDocument/2006/customXml" ds:itemID="{ED2A4F8F-140F-4856-8B9E-31DCD427886D}">
  <ds:schemaRefs>
    <ds:schemaRef ds:uri="http://purl.org/dc/elements/1.1/"/>
    <ds:schemaRef ds:uri="http://schemas.microsoft.com/office/2006/documentManagement/types"/>
    <ds:schemaRef ds:uri="http://schemas.microsoft.com/office/2006/metadata/properties"/>
    <ds:schemaRef ds:uri="cde6150a-2887-4330-9d33-41179dba62e9"/>
    <ds:schemaRef ds:uri="http://purl.org/dc/dcmitype/"/>
    <ds:schemaRef ds:uri="http://schemas.microsoft.com/office/infopath/2007/PartnerControls"/>
    <ds:schemaRef ds:uri="b947e97b-0e0d-4a37-b7a7-c36958e104ca"/>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0DF9C94A-53B2-4B40-BB19-46D4024B11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32</Pages>
  <Words>8366</Words>
  <Characters>49694</Characters>
  <Application>Microsoft Office Word</Application>
  <DocSecurity>0</DocSecurity>
  <Lines>414</Lines>
  <Paragraphs>115</Paragraphs>
  <ScaleCrop>false</ScaleCrop>
  <HeadingPairs>
    <vt:vector size="2" baseType="variant">
      <vt:variant>
        <vt:lpstr>Title</vt:lpstr>
      </vt:variant>
      <vt:variant>
        <vt:i4>1</vt:i4>
      </vt:variant>
    </vt:vector>
  </HeadingPairs>
  <TitlesOfParts>
    <vt:vector size="1" baseType="lpstr">
      <vt:lpstr>•</vt:lpstr>
    </vt:vector>
  </TitlesOfParts>
  <Company>Hewlett-Packard Company</Company>
  <LinksUpToDate>false</LinksUpToDate>
  <CharactersWithSpaces>57945</CharactersWithSpaces>
  <SharedDoc>false</SharedDoc>
  <HLinks>
    <vt:vector size="234" baseType="variant">
      <vt:variant>
        <vt:i4>98</vt:i4>
      </vt:variant>
      <vt:variant>
        <vt:i4>270</vt:i4>
      </vt:variant>
      <vt:variant>
        <vt:i4>0</vt:i4>
      </vt:variant>
      <vt:variant>
        <vt:i4>5</vt:i4>
      </vt:variant>
      <vt:variant>
        <vt:lpwstr/>
      </vt:variant>
      <vt:variant>
        <vt:lpwstr>B</vt:lpwstr>
      </vt:variant>
      <vt:variant>
        <vt:i4>99</vt:i4>
      </vt:variant>
      <vt:variant>
        <vt:i4>267</vt:i4>
      </vt:variant>
      <vt:variant>
        <vt:i4>0</vt:i4>
      </vt:variant>
      <vt:variant>
        <vt:i4>5</vt:i4>
      </vt:variant>
      <vt:variant>
        <vt:lpwstr/>
      </vt:variant>
      <vt:variant>
        <vt:lpwstr>C</vt:lpwstr>
      </vt:variant>
      <vt:variant>
        <vt:i4>99</vt:i4>
      </vt:variant>
      <vt:variant>
        <vt:i4>264</vt:i4>
      </vt:variant>
      <vt:variant>
        <vt:i4>0</vt:i4>
      </vt:variant>
      <vt:variant>
        <vt:i4>5</vt:i4>
      </vt:variant>
      <vt:variant>
        <vt:lpwstr/>
      </vt:variant>
      <vt:variant>
        <vt:lpwstr>C</vt:lpwstr>
      </vt:variant>
      <vt:variant>
        <vt:i4>99</vt:i4>
      </vt:variant>
      <vt:variant>
        <vt:i4>249</vt:i4>
      </vt:variant>
      <vt:variant>
        <vt:i4>0</vt:i4>
      </vt:variant>
      <vt:variant>
        <vt:i4>5</vt:i4>
      </vt:variant>
      <vt:variant>
        <vt:lpwstr/>
      </vt:variant>
      <vt:variant>
        <vt:lpwstr>C</vt:lpwstr>
      </vt:variant>
      <vt:variant>
        <vt:i4>98</vt:i4>
      </vt:variant>
      <vt:variant>
        <vt:i4>231</vt:i4>
      </vt:variant>
      <vt:variant>
        <vt:i4>0</vt:i4>
      </vt:variant>
      <vt:variant>
        <vt:i4>5</vt:i4>
      </vt:variant>
      <vt:variant>
        <vt:lpwstr/>
      </vt:variant>
      <vt:variant>
        <vt:lpwstr>B</vt:lpwstr>
      </vt:variant>
      <vt:variant>
        <vt:i4>786522</vt:i4>
      </vt:variant>
      <vt:variant>
        <vt:i4>219</vt:i4>
      </vt:variant>
      <vt:variant>
        <vt:i4>0</vt:i4>
      </vt:variant>
      <vt:variant>
        <vt:i4>5</vt:i4>
      </vt:variant>
      <vt:variant>
        <vt:lpwstr>https://www.cgc.gov.au/reports-for-government/2020-review</vt:lpwstr>
      </vt:variant>
      <vt:variant>
        <vt:lpwstr/>
      </vt:variant>
      <vt:variant>
        <vt:i4>1245250</vt:i4>
      </vt:variant>
      <vt:variant>
        <vt:i4>210</vt:i4>
      </vt:variant>
      <vt:variant>
        <vt:i4>0</vt:i4>
      </vt:variant>
      <vt:variant>
        <vt:i4>5</vt:i4>
      </vt:variant>
      <vt:variant>
        <vt:lpwstr>https://www.cgc.gov.au/sites/default/files/2023-03/New Issues in the 2023 Update  %281%29.pdf</vt:lpwstr>
      </vt:variant>
      <vt:variant>
        <vt:lpwstr/>
      </vt:variant>
      <vt:variant>
        <vt:i4>7405610</vt:i4>
      </vt:variant>
      <vt:variant>
        <vt:i4>207</vt:i4>
      </vt:variant>
      <vt:variant>
        <vt:i4>0</vt:i4>
      </vt:variant>
      <vt:variant>
        <vt:i4>5</vt:i4>
      </vt:variant>
      <vt:variant>
        <vt:lpwstr>https://www.cgc.gov.au/sites/default/files/2022-03/New issues in the 2022 Update - with title page.pdf</vt:lpwstr>
      </vt:variant>
      <vt:variant>
        <vt:lpwstr/>
      </vt:variant>
      <vt:variant>
        <vt:i4>1114173</vt:i4>
      </vt:variant>
      <vt:variant>
        <vt:i4>182</vt:i4>
      </vt:variant>
      <vt:variant>
        <vt:i4>0</vt:i4>
      </vt:variant>
      <vt:variant>
        <vt:i4>5</vt:i4>
      </vt:variant>
      <vt:variant>
        <vt:lpwstr/>
      </vt:variant>
      <vt:variant>
        <vt:lpwstr>_Toc138150143</vt:lpwstr>
      </vt:variant>
      <vt:variant>
        <vt:i4>1114173</vt:i4>
      </vt:variant>
      <vt:variant>
        <vt:i4>176</vt:i4>
      </vt:variant>
      <vt:variant>
        <vt:i4>0</vt:i4>
      </vt:variant>
      <vt:variant>
        <vt:i4>5</vt:i4>
      </vt:variant>
      <vt:variant>
        <vt:lpwstr/>
      </vt:variant>
      <vt:variant>
        <vt:lpwstr>_Toc138150142</vt:lpwstr>
      </vt:variant>
      <vt:variant>
        <vt:i4>1114173</vt:i4>
      </vt:variant>
      <vt:variant>
        <vt:i4>170</vt:i4>
      </vt:variant>
      <vt:variant>
        <vt:i4>0</vt:i4>
      </vt:variant>
      <vt:variant>
        <vt:i4>5</vt:i4>
      </vt:variant>
      <vt:variant>
        <vt:lpwstr/>
      </vt:variant>
      <vt:variant>
        <vt:lpwstr>_Toc138150141</vt:lpwstr>
      </vt:variant>
      <vt:variant>
        <vt:i4>1114173</vt:i4>
      </vt:variant>
      <vt:variant>
        <vt:i4>164</vt:i4>
      </vt:variant>
      <vt:variant>
        <vt:i4>0</vt:i4>
      </vt:variant>
      <vt:variant>
        <vt:i4>5</vt:i4>
      </vt:variant>
      <vt:variant>
        <vt:lpwstr/>
      </vt:variant>
      <vt:variant>
        <vt:lpwstr>_Toc138150140</vt:lpwstr>
      </vt:variant>
      <vt:variant>
        <vt:i4>1441853</vt:i4>
      </vt:variant>
      <vt:variant>
        <vt:i4>158</vt:i4>
      </vt:variant>
      <vt:variant>
        <vt:i4>0</vt:i4>
      </vt:variant>
      <vt:variant>
        <vt:i4>5</vt:i4>
      </vt:variant>
      <vt:variant>
        <vt:lpwstr/>
      </vt:variant>
      <vt:variant>
        <vt:lpwstr>_Toc138150139</vt:lpwstr>
      </vt:variant>
      <vt:variant>
        <vt:i4>1441853</vt:i4>
      </vt:variant>
      <vt:variant>
        <vt:i4>152</vt:i4>
      </vt:variant>
      <vt:variant>
        <vt:i4>0</vt:i4>
      </vt:variant>
      <vt:variant>
        <vt:i4>5</vt:i4>
      </vt:variant>
      <vt:variant>
        <vt:lpwstr/>
      </vt:variant>
      <vt:variant>
        <vt:lpwstr>_Toc138150138</vt:lpwstr>
      </vt:variant>
      <vt:variant>
        <vt:i4>1441853</vt:i4>
      </vt:variant>
      <vt:variant>
        <vt:i4>146</vt:i4>
      </vt:variant>
      <vt:variant>
        <vt:i4>0</vt:i4>
      </vt:variant>
      <vt:variant>
        <vt:i4>5</vt:i4>
      </vt:variant>
      <vt:variant>
        <vt:lpwstr/>
      </vt:variant>
      <vt:variant>
        <vt:lpwstr>_Toc138150137</vt:lpwstr>
      </vt:variant>
      <vt:variant>
        <vt:i4>1441853</vt:i4>
      </vt:variant>
      <vt:variant>
        <vt:i4>140</vt:i4>
      </vt:variant>
      <vt:variant>
        <vt:i4>0</vt:i4>
      </vt:variant>
      <vt:variant>
        <vt:i4>5</vt:i4>
      </vt:variant>
      <vt:variant>
        <vt:lpwstr/>
      </vt:variant>
      <vt:variant>
        <vt:lpwstr>_Toc138150136</vt:lpwstr>
      </vt:variant>
      <vt:variant>
        <vt:i4>1441853</vt:i4>
      </vt:variant>
      <vt:variant>
        <vt:i4>134</vt:i4>
      </vt:variant>
      <vt:variant>
        <vt:i4>0</vt:i4>
      </vt:variant>
      <vt:variant>
        <vt:i4>5</vt:i4>
      </vt:variant>
      <vt:variant>
        <vt:lpwstr/>
      </vt:variant>
      <vt:variant>
        <vt:lpwstr>_Toc138150135</vt:lpwstr>
      </vt:variant>
      <vt:variant>
        <vt:i4>1441853</vt:i4>
      </vt:variant>
      <vt:variant>
        <vt:i4>128</vt:i4>
      </vt:variant>
      <vt:variant>
        <vt:i4>0</vt:i4>
      </vt:variant>
      <vt:variant>
        <vt:i4>5</vt:i4>
      </vt:variant>
      <vt:variant>
        <vt:lpwstr/>
      </vt:variant>
      <vt:variant>
        <vt:lpwstr>_Toc138150134</vt:lpwstr>
      </vt:variant>
      <vt:variant>
        <vt:i4>1441853</vt:i4>
      </vt:variant>
      <vt:variant>
        <vt:i4>122</vt:i4>
      </vt:variant>
      <vt:variant>
        <vt:i4>0</vt:i4>
      </vt:variant>
      <vt:variant>
        <vt:i4>5</vt:i4>
      </vt:variant>
      <vt:variant>
        <vt:lpwstr/>
      </vt:variant>
      <vt:variant>
        <vt:lpwstr>_Toc138150133</vt:lpwstr>
      </vt:variant>
      <vt:variant>
        <vt:i4>1441853</vt:i4>
      </vt:variant>
      <vt:variant>
        <vt:i4>116</vt:i4>
      </vt:variant>
      <vt:variant>
        <vt:i4>0</vt:i4>
      </vt:variant>
      <vt:variant>
        <vt:i4>5</vt:i4>
      </vt:variant>
      <vt:variant>
        <vt:lpwstr/>
      </vt:variant>
      <vt:variant>
        <vt:lpwstr>_Toc138150132</vt:lpwstr>
      </vt:variant>
      <vt:variant>
        <vt:i4>1441853</vt:i4>
      </vt:variant>
      <vt:variant>
        <vt:i4>110</vt:i4>
      </vt:variant>
      <vt:variant>
        <vt:i4>0</vt:i4>
      </vt:variant>
      <vt:variant>
        <vt:i4>5</vt:i4>
      </vt:variant>
      <vt:variant>
        <vt:lpwstr/>
      </vt:variant>
      <vt:variant>
        <vt:lpwstr>_Toc138150131</vt:lpwstr>
      </vt:variant>
      <vt:variant>
        <vt:i4>1441853</vt:i4>
      </vt:variant>
      <vt:variant>
        <vt:i4>104</vt:i4>
      </vt:variant>
      <vt:variant>
        <vt:i4>0</vt:i4>
      </vt:variant>
      <vt:variant>
        <vt:i4>5</vt:i4>
      </vt:variant>
      <vt:variant>
        <vt:lpwstr/>
      </vt:variant>
      <vt:variant>
        <vt:lpwstr>_Toc138150130</vt:lpwstr>
      </vt:variant>
      <vt:variant>
        <vt:i4>1507389</vt:i4>
      </vt:variant>
      <vt:variant>
        <vt:i4>98</vt:i4>
      </vt:variant>
      <vt:variant>
        <vt:i4>0</vt:i4>
      </vt:variant>
      <vt:variant>
        <vt:i4>5</vt:i4>
      </vt:variant>
      <vt:variant>
        <vt:lpwstr/>
      </vt:variant>
      <vt:variant>
        <vt:lpwstr>_Toc138150129</vt:lpwstr>
      </vt:variant>
      <vt:variant>
        <vt:i4>1507389</vt:i4>
      </vt:variant>
      <vt:variant>
        <vt:i4>92</vt:i4>
      </vt:variant>
      <vt:variant>
        <vt:i4>0</vt:i4>
      </vt:variant>
      <vt:variant>
        <vt:i4>5</vt:i4>
      </vt:variant>
      <vt:variant>
        <vt:lpwstr/>
      </vt:variant>
      <vt:variant>
        <vt:lpwstr>_Toc138150128</vt:lpwstr>
      </vt:variant>
      <vt:variant>
        <vt:i4>1507389</vt:i4>
      </vt:variant>
      <vt:variant>
        <vt:i4>86</vt:i4>
      </vt:variant>
      <vt:variant>
        <vt:i4>0</vt:i4>
      </vt:variant>
      <vt:variant>
        <vt:i4>5</vt:i4>
      </vt:variant>
      <vt:variant>
        <vt:lpwstr/>
      </vt:variant>
      <vt:variant>
        <vt:lpwstr>_Toc138150127</vt:lpwstr>
      </vt:variant>
      <vt:variant>
        <vt:i4>1507389</vt:i4>
      </vt:variant>
      <vt:variant>
        <vt:i4>80</vt:i4>
      </vt:variant>
      <vt:variant>
        <vt:i4>0</vt:i4>
      </vt:variant>
      <vt:variant>
        <vt:i4>5</vt:i4>
      </vt:variant>
      <vt:variant>
        <vt:lpwstr/>
      </vt:variant>
      <vt:variant>
        <vt:lpwstr>_Toc138150126</vt:lpwstr>
      </vt:variant>
      <vt:variant>
        <vt:i4>1507389</vt:i4>
      </vt:variant>
      <vt:variant>
        <vt:i4>74</vt:i4>
      </vt:variant>
      <vt:variant>
        <vt:i4>0</vt:i4>
      </vt:variant>
      <vt:variant>
        <vt:i4>5</vt:i4>
      </vt:variant>
      <vt:variant>
        <vt:lpwstr/>
      </vt:variant>
      <vt:variant>
        <vt:lpwstr>_Toc138150125</vt:lpwstr>
      </vt:variant>
      <vt:variant>
        <vt:i4>1507389</vt:i4>
      </vt:variant>
      <vt:variant>
        <vt:i4>68</vt:i4>
      </vt:variant>
      <vt:variant>
        <vt:i4>0</vt:i4>
      </vt:variant>
      <vt:variant>
        <vt:i4>5</vt:i4>
      </vt:variant>
      <vt:variant>
        <vt:lpwstr/>
      </vt:variant>
      <vt:variant>
        <vt:lpwstr>_Toc138150124</vt:lpwstr>
      </vt:variant>
      <vt:variant>
        <vt:i4>1507389</vt:i4>
      </vt:variant>
      <vt:variant>
        <vt:i4>62</vt:i4>
      </vt:variant>
      <vt:variant>
        <vt:i4>0</vt:i4>
      </vt:variant>
      <vt:variant>
        <vt:i4>5</vt:i4>
      </vt:variant>
      <vt:variant>
        <vt:lpwstr/>
      </vt:variant>
      <vt:variant>
        <vt:lpwstr>_Toc138150123</vt:lpwstr>
      </vt:variant>
      <vt:variant>
        <vt:i4>1507389</vt:i4>
      </vt:variant>
      <vt:variant>
        <vt:i4>56</vt:i4>
      </vt:variant>
      <vt:variant>
        <vt:i4>0</vt:i4>
      </vt:variant>
      <vt:variant>
        <vt:i4>5</vt:i4>
      </vt:variant>
      <vt:variant>
        <vt:lpwstr/>
      </vt:variant>
      <vt:variant>
        <vt:lpwstr>_Toc138150122</vt:lpwstr>
      </vt:variant>
      <vt:variant>
        <vt:i4>1507389</vt:i4>
      </vt:variant>
      <vt:variant>
        <vt:i4>50</vt:i4>
      </vt:variant>
      <vt:variant>
        <vt:i4>0</vt:i4>
      </vt:variant>
      <vt:variant>
        <vt:i4>5</vt:i4>
      </vt:variant>
      <vt:variant>
        <vt:lpwstr/>
      </vt:variant>
      <vt:variant>
        <vt:lpwstr>_Toc138150121</vt:lpwstr>
      </vt:variant>
      <vt:variant>
        <vt:i4>1507389</vt:i4>
      </vt:variant>
      <vt:variant>
        <vt:i4>44</vt:i4>
      </vt:variant>
      <vt:variant>
        <vt:i4>0</vt:i4>
      </vt:variant>
      <vt:variant>
        <vt:i4>5</vt:i4>
      </vt:variant>
      <vt:variant>
        <vt:lpwstr/>
      </vt:variant>
      <vt:variant>
        <vt:lpwstr>_Toc138150120</vt:lpwstr>
      </vt:variant>
      <vt:variant>
        <vt:i4>1310781</vt:i4>
      </vt:variant>
      <vt:variant>
        <vt:i4>38</vt:i4>
      </vt:variant>
      <vt:variant>
        <vt:i4>0</vt:i4>
      </vt:variant>
      <vt:variant>
        <vt:i4>5</vt:i4>
      </vt:variant>
      <vt:variant>
        <vt:lpwstr/>
      </vt:variant>
      <vt:variant>
        <vt:lpwstr>_Toc138150119</vt:lpwstr>
      </vt:variant>
      <vt:variant>
        <vt:i4>1310781</vt:i4>
      </vt:variant>
      <vt:variant>
        <vt:i4>32</vt:i4>
      </vt:variant>
      <vt:variant>
        <vt:i4>0</vt:i4>
      </vt:variant>
      <vt:variant>
        <vt:i4>5</vt:i4>
      </vt:variant>
      <vt:variant>
        <vt:lpwstr/>
      </vt:variant>
      <vt:variant>
        <vt:lpwstr>_Toc138150118</vt:lpwstr>
      </vt:variant>
      <vt:variant>
        <vt:i4>1310781</vt:i4>
      </vt:variant>
      <vt:variant>
        <vt:i4>26</vt:i4>
      </vt:variant>
      <vt:variant>
        <vt:i4>0</vt:i4>
      </vt:variant>
      <vt:variant>
        <vt:i4>5</vt:i4>
      </vt:variant>
      <vt:variant>
        <vt:lpwstr/>
      </vt:variant>
      <vt:variant>
        <vt:lpwstr>_Toc138150117</vt:lpwstr>
      </vt:variant>
      <vt:variant>
        <vt:i4>1310781</vt:i4>
      </vt:variant>
      <vt:variant>
        <vt:i4>20</vt:i4>
      </vt:variant>
      <vt:variant>
        <vt:i4>0</vt:i4>
      </vt:variant>
      <vt:variant>
        <vt:i4>5</vt:i4>
      </vt:variant>
      <vt:variant>
        <vt:lpwstr/>
      </vt:variant>
      <vt:variant>
        <vt:lpwstr>_Toc138150116</vt:lpwstr>
      </vt:variant>
      <vt:variant>
        <vt:i4>1310781</vt:i4>
      </vt:variant>
      <vt:variant>
        <vt:i4>14</vt:i4>
      </vt:variant>
      <vt:variant>
        <vt:i4>0</vt:i4>
      </vt:variant>
      <vt:variant>
        <vt:i4>5</vt:i4>
      </vt:variant>
      <vt:variant>
        <vt:lpwstr/>
      </vt:variant>
      <vt:variant>
        <vt:lpwstr>_Toc138150115</vt:lpwstr>
      </vt:variant>
      <vt:variant>
        <vt:i4>1310781</vt:i4>
      </vt:variant>
      <vt:variant>
        <vt:i4>8</vt:i4>
      </vt:variant>
      <vt:variant>
        <vt:i4>0</vt:i4>
      </vt:variant>
      <vt:variant>
        <vt:i4>5</vt:i4>
      </vt:variant>
      <vt:variant>
        <vt:lpwstr/>
      </vt:variant>
      <vt:variant>
        <vt:lpwstr>_Toc138150114</vt:lpwstr>
      </vt:variant>
      <vt:variant>
        <vt:i4>1310781</vt:i4>
      </vt:variant>
      <vt:variant>
        <vt:i4>2</vt:i4>
      </vt:variant>
      <vt:variant>
        <vt:i4>0</vt:i4>
      </vt:variant>
      <vt:variant>
        <vt:i4>5</vt:i4>
      </vt:variant>
      <vt:variant>
        <vt:lpwstr/>
      </vt:variant>
      <vt:variant>
        <vt:lpwstr>_Toc138150113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Jeffrey Evans</dc:creator>
  <cp:keywords/>
  <cp:lastModifiedBy>Katrina Baldock</cp:lastModifiedBy>
  <cp:revision>175</cp:revision>
  <cp:lastPrinted>2023-06-15T23:26:00Z</cp:lastPrinted>
  <dcterms:created xsi:type="dcterms:W3CDTF">2023-06-15T19:35:00Z</dcterms:created>
  <dcterms:modified xsi:type="dcterms:W3CDTF">2023-06-20T03:48:00Z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0x010100E60229631F80714C9595CC742C6B48E8</vt:lpwstr>
  </property>
  <property fmtid="{D5CDD505-2E9C-101B-9397-08002B2CF9AE}" pid="3" name="MediaServiceImageTags">
    <vt:lpwstr/>
  </property>
  <property fmtid="{D5CDD505-2E9C-101B-9397-08002B2CF9AE}" pid="4" name="Order">
    <vt:r8>86000600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ColorTag">
    <vt:lpwstr/>
  </property>
  <property fmtid="{D5CDD505-2E9C-101B-9397-08002B2CF9AE}" pid="12" name="_ColorHex">
    <vt:lpwstr/>
  </property>
  <property fmtid="{D5CDD505-2E9C-101B-9397-08002B2CF9AE}" pid="13" name="_Emoji">
    <vt:lpwstr/>
  </property>
</Properties>
</file>