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FF70" w14:textId="77777777"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71F8EC10" wp14:editId="758509CF">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0BD64EE7" wp14:editId="379D9B68">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7D6F4DEA" w14:textId="77777777" w:rsidR="00A5102B" w:rsidRPr="00F0686F" w:rsidRDefault="00A5102B" w:rsidP="00A5102B">
      <w:pPr>
        <w:rPr>
          <w:rFonts w:ascii="Work Sans" w:hAnsi="Work Sans"/>
          <w:sz w:val="24"/>
          <w:szCs w:val="24"/>
        </w:rPr>
      </w:pPr>
    </w:p>
    <w:p w14:paraId="320D0F3B" w14:textId="77777777" w:rsidR="00A5102B" w:rsidRPr="00F0686F" w:rsidRDefault="00A5102B" w:rsidP="00A5102B">
      <w:pPr>
        <w:rPr>
          <w:rFonts w:ascii="Work Sans" w:hAnsi="Work Sans"/>
          <w:sz w:val="24"/>
          <w:szCs w:val="24"/>
        </w:rPr>
      </w:pPr>
    </w:p>
    <w:p w14:paraId="3A0E22C6" w14:textId="77777777" w:rsidR="00A5102B" w:rsidRDefault="00A5102B" w:rsidP="004477FF">
      <w:pPr>
        <w:pStyle w:val="CGCNumberedPara"/>
        <w:numPr>
          <w:ilvl w:val="0"/>
          <w:numId w:val="0"/>
        </w:numPr>
        <w:ind w:left="567" w:hanging="567"/>
      </w:pPr>
    </w:p>
    <w:p w14:paraId="4B58E5B0" w14:textId="77777777" w:rsidR="00246686" w:rsidRDefault="00246686" w:rsidP="00AB13AF">
      <w:pPr>
        <w:tabs>
          <w:tab w:val="clear" w:pos="567"/>
          <w:tab w:val="left" w:pos="2515"/>
        </w:tabs>
        <w:rPr>
          <w:rFonts w:ascii="Work Sans" w:hAnsi="Work Sans"/>
          <w:sz w:val="24"/>
          <w:szCs w:val="24"/>
        </w:rPr>
      </w:pPr>
    </w:p>
    <w:p w14:paraId="2C707006"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345FB40E" wp14:editId="568B5DAB">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548EA874"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7FE13A3C"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FB40E"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548EA874"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7FE13A3C"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70865CE9" w14:textId="77777777" w:rsidR="00A5102B" w:rsidRPr="00F0686F" w:rsidRDefault="00A5102B" w:rsidP="00545F2D">
      <w:pPr>
        <w:rPr>
          <w:rFonts w:ascii="Work Sans" w:hAnsi="Work Sans"/>
          <w:sz w:val="24"/>
          <w:szCs w:val="24"/>
        </w:rPr>
      </w:pPr>
    </w:p>
    <w:p w14:paraId="6DA74277" w14:textId="77777777" w:rsidR="00A5102B" w:rsidRDefault="00A5102B" w:rsidP="00A5102B">
      <w:pPr>
        <w:rPr>
          <w:rFonts w:ascii="Work Sans" w:hAnsi="Work Sans"/>
          <w:sz w:val="24"/>
          <w:szCs w:val="24"/>
        </w:rPr>
      </w:pPr>
    </w:p>
    <w:p w14:paraId="44ADB7C1" w14:textId="77777777" w:rsidR="00A5102B" w:rsidRDefault="00A5102B" w:rsidP="00A5102B">
      <w:pPr>
        <w:rPr>
          <w:rFonts w:ascii="Work Sans" w:hAnsi="Work Sans"/>
          <w:sz w:val="24"/>
          <w:szCs w:val="24"/>
        </w:rPr>
      </w:pPr>
    </w:p>
    <w:p w14:paraId="576F4FF0" w14:textId="77777777" w:rsidR="00A5102B" w:rsidRDefault="00A5102B" w:rsidP="00A5102B">
      <w:pPr>
        <w:rPr>
          <w:rFonts w:ascii="Work Sans" w:hAnsi="Work Sans"/>
          <w:sz w:val="24"/>
          <w:szCs w:val="24"/>
        </w:rPr>
      </w:pPr>
    </w:p>
    <w:p w14:paraId="645A8872" w14:textId="77777777" w:rsidR="00A5102B" w:rsidRDefault="00A5102B" w:rsidP="00A5102B">
      <w:pPr>
        <w:rPr>
          <w:rFonts w:ascii="Work Sans" w:hAnsi="Work Sans"/>
          <w:sz w:val="24"/>
          <w:szCs w:val="24"/>
        </w:rPr>
      </w:pPr>
    </w:p>
    <w:p w14:paraId="00316A97"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3B954821" wp14:editId="68FD001D">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380A5602" w14:textId="3DE8FE2B" w:rsidR="008D493E" w:rsidRDefault="00B1308D" w:rsidP="0036633A">
                            <w:pPr>
                              <w:jc w:val="center"/>
                              <w:rPr>
                                <w:rFonts w:ascii="Work Sans" w:hAnsi="Work Sans" w:cs="Open Sans"/>
                                <w:color w:val="FFFFFF"/>
                                <w:sz w:val="52"/>
                                <w:szCs w:val="56"/>
                              </w:rPr>
                            </w:pPr>
                            <w:r>
                              <w:rPr>
                                <w:rFonts w:ascii="Work Sans" w:hAnsi="Work Sans" w:cs="Open Sans"/>
                                <w:color w:val="FFFFFF"/>
                                <w:sz w:val="52"/>
                                <w:szCs w:val="56"/>
                              </w:rPr>
                              <w:t xml:space="preserve">Commonwealth </w:t>
                            </w:r>
                            <w:r w:rsidR="00722462">
                              <w:rPr>
                                <w:rFonts w:ascii="Work Sans" w:hAnsi="Work Sans" w:cs="Open Sans"/>
                                <w:color w:val="FFFFFF"/>
                                <w:sz w:val="52"/>
                                <w:szCs w:val="56"/>
                              </w:rPr>
                              <w:t>p</w:t>
                            </w:r>
                            <w:r>
                              <w:rPr>
                                <w:rFonts w:ascii="Work Sans" w:hAnsi="Work Sans" w:cs="Open Sans"/>
                                <w:color w:val="FFFFFF"/>
                                <w:sz w:val="52"/>
                                <w:szCs w:val="56"/>
                              </w:rPr>
                              <w:t>ayments</w:t>
                            </w:r>
                          </w:p>
                          <w:p w14:paraId="2C66762A" w14:textId="76D4293A" w:rsidR="0036633A" w:rsidRPr="0036633A" w:rsidRDefault="00722462" w:rsidP="0036633A">
                            <w:pPr>
                              <w:jc w:val="center"/>
                              <w:rPr>
                                <w:rFonts w:ascii="Work Sans" w:hAnsi="Work Sans" w:cs="Open Sans"/>
                                <w:color w:val="FFFFFF"/>
                                <w:sz w:val="52"/>
                                <w:szCs w:val="56"/>
                              </w:rPr>
                            </w:pPr>
                            <w:r>
                              <w:rPr>
                                <w:rFonts w:ascii="Work Sans" w:hAnsi="Work Sans" w:cs="Open Sans"/>
                                <w:color w:val="FFFFFF"/>
                                <w:sz w:val="52"/>
                                <w:szCs w:val="56"/>
                              </w:rPr>
                              <w:t>c</w:t>
                            </w:r>
                            <w:r w:rsidR="00AD368F">
                              <w:rPr>
                                <w:rFonts w:ascii="Work Sans" w:hAnsi="Work Sans" w:cs="Open Sans"/>
                                <w:color w:val="FFFFFF"/>
                                <w:sz w:val="52"/>
                                <w:szCs w:val="56"/>
                              </w:rPr>
                              <w:t>onsultation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821"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380A5602" w14:textId="3DE8FE2B" w:rsidR="008D493E" w:rsidRDefault="00B1308D" w:rsidP="0036633A">
                      <w:pPr>
                        <w:jc w:val="center"/>
                        <w:rPr>
                          <w:rFonts w:ascii="Work Sans" w:hAnsi="Work Sans" w:cs="Open Sans"/>
                          <w:color w:val="FFFFFF"/>
                          <w:sz w:val="52"/>
                          <w:szCs w:val="56"/>
                        </w:rPr>
                      </w:pPr>
                      <w:r>
                        <w:rPr>
                          <w:rFonts w:ascii="Work Sans" w:hAnsi="Work Sans" w:cs="Open Sans"/>
                          <w:color w:val="FFFFFF"/>
                          <w:sz w:val="52"/>
                          <w:szCs w:val="56"/>
                        </w:rPr>
                        <w:t xml:space="preserve">Commonwealth </w:t>
                      </w:r>
                      <w:r w:rsidR="00722462">
                        <w:rPr>
                          <w:rFonts w:ascii="Work Sans" w:hAnsi="Work Sans" w:cs="Open Sans"/>
                          <w:color w:val="FFFFFF"/>
                          <w:sz w:val="52"/>
                          <w:szCs w:val="56"/>
                        </w:rPr>
                        <w:t>p</w:t>
                      </w:r>
                      <w:r>
                        <w:rPr>
                          <w:rFonts w:ascii="Work Sans" w:hAnsi="Work Sans" w:cs="Open Sans"/>
                          <w:color w:val="FFFFFF"/>
                          <w:sz w:val="52"/>
                          <w:szCs w:val="56"/>
                        </w:rPr>
                        <w:t>ayments</w:t>
                      </w:r>
                    </w:p>
                    <w:p w14:paraId="2C66762A" w14:textId="76D4293A" w:rsidR="0036633A" w:rsidRPr="0036633A" w:rsidRDefault="00722462" w:rsidP="0036633A">
                      <w:pPr>
                        <w:jc w:val="center"/>
                        <w:rPr>
                          <w:rFonts w:ascii="Work Sans" w:hAnsi="Work Sans" w:cs="Open Sans"/>
                          <w:color w:val="FFFFFF"/>
                          <w:sz w:val="52"/>
                          <w:szCs w:val="56"/>
                        </w:rPr>
                      </w:pPr>
                      <w:r>
                        <w:rPr>
                          <w:rFonts w:ascii="Work Sans" w:hAnsi="Work Sans" w:cs="Open Sans"/>
                          <w:color w:val="FFFFFF"/>
                          <w:sz w:val="52"/>
                          <w:szCs w:val="56"/>
                        </w:rPr>
                        <w:t>c</w:t>
                      </w:r>
                      <w:r w:rsidR="00AD368F">
                        <w:rPr>
                          <w:rFonts w:ascii="Work Sans" w:hAnsi="Work Sans" w:cs="Open Sans"/>
                          <w:color w:val="FFFFFF"/>
                          <w:sz w:val="52"/>
                          <w:szCs w:val="56"/>
                        </w:rPr>
                        <w:t>onsultation paper</w:t>
                      </w:r>
                    </w:p>
                  </w:txbxContent>
                </v:textbox>
                <w10:wrap anchorx="margin" anchory="page"/>
              </v:shape>
            </w:pict>
          </mc:Fallback>
        </mc:AlternateContent>
      </w:r>
    </w:p>
    <w:p w14:paraId="02D2C8EC" w14:textId="77777777" w:rsidR="00A5102B" w:rsidRDefault="00A5102B" w:rsidP="002A45B1">
      <w:pPr>
        <w:jc w:val="center"/>
        <w:rPr>
          <w:rFonts w:ascii="Work Sans" w:hAnsi="Work Sans"/>
          <w:sz w:val="24"/>
          <w:szCs w:val="24"/>
        </w:rPr>
      </w:pPr>
    </w:p>
    <w:p w14:paraId="6B72C3B3" w14:textId="77777777" w:rsidR="00A5102B" w:rsidRDefault="00A5102B" w:rsidP="00704788">
      <w:pPr>
        <w:rPr>
          <w:rFonts w:ascii="Work Sans" w:hAnsi="Work Sans" w:cs="Open Sans"/>
          <w:color w:val="FFFFFF"/>
          <w:sz w:val="28"/>
          <w:szCs w:val="28"/>
        </w:rPr>
      </w:pPr>
    </w:p>
    <w:p w14:paraId="2CCA9A8F" w14:textId="77777777" w:rsidR="00704788" w:rsidRDefault="00704788" w:rsidP="00704788">
      <w:pPr>
        <w:rPr>
          <w:rFonts w:ascii="Work Sans" w:hAnsi="Work Sans" w:cs="Open Sans"/>
          <w:color w:val="FFFFFF"/>
          <w:sz w:val="28"/>
          <w:szCs w:val="28"/>
        </w:rPr>
      </w:pPr>
    </w:p>
    <w:p w14:paraId="73983331" w14:textId="77777777" w:rsidR="00704788" w:rsidRDefault="00704788" w:rsidP="00704788">
      <w:pPr>
        <w:rPr>
          <w:rFonts w:ascii="Work Sans" w:hAnsi="Work Sans" w:cs="Open Sans"/>
          <w:color w:val="FFFFFF"/>
          <w:sz w:val="28"/>
          <w:szCs w:val="28"/>
        </w:rPr>
      </w:pPr>
    </w:p>
    <w:p w14:paraId="30F0D770" w14:textId="77777777" w:rsidR="00704788" w:rsidRDefault="00704788" w:rsidP="00704788">
      <w:pPr>
        <w:rPr>
          <w:rFonts w:ascii="Work Sans" w:hAnsi="Work Sans" w:cs="Open Sans"/>
          <w:color w:val="FFFFFF"/>
          <w:sz w:val="28"/>
          <w:szCs w:val="28"/>
        </w:rPr>
      </w:pPr>
    </w:p>
    <w:p w14:paraId="2285A840" w14:textId="77777777" w:rsidR="00704788" w:rsidRDefault="00704788" w:rsidP="00704788">
      <w:pPr>
        <w:rPr>
          <w:rFonts w:ascii="Work Sans" w:hAnsi="Work Sans" w:cs="Open Sans"/>
          <w:color w:val="FFFFFF"/>
          <w:sz w:val="28"/>
          <w:szCs w:val="28"/>
        </w:rPr>
      </w:pPr>
    </w:p>
    <w:p w14:paraId="7C945A71" w14:textId="77777777" w:rsidR="00704788" w:rsidRDefault="00704788" w:rsidP="00704788">
      <w:pPr>
        <w:rPr>
          <w:rFonts w:ascii="Work Sans" w:hAnsi="Work Sans" w:cs="Open Sans"/>
          <w:color w:val="FFFFFF"/>
          <w:sz w:val="28"/>
          <w:szCs w:val="28"/>
        </w:rPr>
      </w:pPr>
    </w:p>
    <w:p w14:paraId="625E8DEB"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4CFA487A" wp14:editId="38BB5865">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50CC4D84" w14:textId="6EF4A5C7" w:rsidR="00BA4C59" w:rsidRPr="00BA4C59" w:rsidRDefault="00E92BA1"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487A"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50CC4D84" w14:textId="6EF4A5C7" w:rsidR="00BA4C59" w:rsidRPr="00BA4C59" w:rsidRDefault="00E92BA1"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v:textbox>
                <w10:wrap anchorx="margin" anchory="page"/>
              </v:shape>
            </w:pict>
          </mc:Fallback>
        </mc:AlternateContent>
      </w:r>
    </w:p>
    <w:p w14:paraId="60776DB9" w14:textId="77777777" w:rsidR="00704788" w:rsidRDefault="00704788" w:rsidP="00DB5889">
      <w:pPr>
        <w:rPr>
          <w:rFonts w:ascii="Work Sans" w:hAnsi="Work Sans" w:cs="Open Sans"/>
          <w:color w:val="FFFFFF"/>
          <w:sz w:val="28"/>
          <w:szCs w:val="28"/>
        </w:rPr>
      </w:pPr>
    </w:p>
    <w:p w14:paraId="60B94DFD" w14:textId="77777777" w:rsidR="00DB5889" w:rsidRPr="00704788" w:rsidRDefault="00DB5889" w:rsidP="00DB5889">
      <w:pPr>
        <w:rPr>
          <w:rFonts w:ascii="Work Sans" w:hAnsi="Work Sans" w:cs="Open Sans"/>
          <w:color w:val="FFFFFF"/>
          <w:sz w:val="28"/>
          <w:szCs w:val="28"/>
        </w:rPr>
      </w:pPr>
    </w:p>
    <w:p w14:paraId="3FF1BF72" w14:textId="77777777" w:rsidR="00A5102B" w:rsidRDefault="00A5102B" w:rsidP="00210D9C">
      <w:pPr>
        <w:pStyle w:val="Heading1"/>
        <w:jc w:val="center"/>
        <w:sectPr w:rsidR="00A5102B" w:rsidSect="003A0403">
          <w:footerReference w:type="default" r:id="rId13"/>
          <w:pgSz w:w="11906" w:h="16838"/>
          <w:pgMar w:top="1440" w:right="1440" w:bottom="1440" w:left="1440" w:header="708" w:footer="708" w:gutter="0"/>
          <w:cols w:space="708"/>
          <w:docGrid w:linePitch="360"/>
        </w:sectPr>
      </w:pPr>
    </w:p>
    <w:p w14:paraId="384A5EC4" w14:textId="77777777" w:rsidR="00A5102B" w:rsidRPr="005B6B61" w:rsidRDefault="00A5102B" w:rsidP="005B6B61"/>
    <w:p w14:paraId="182263B1" w14:textId="77777777" w:rsidR="00A5102B" w:rsidRPr="005B6B61" w:rsidRDefault="00A5102B" w:rsidP="005B6B61"/>
    <w:p w14:paraId="7A5732A6" w14:textId="77777777" w:rsidR="00A5102B" w:rsidRPr="005B6B61" w:rsidRDefault="00A5102B" w:rsidP="005B6B61"/>
    <w:p w14:paraId="7E3EF0BA" w14:textId="77777777" w:rsidR="00A5102B" w:rsidRPr="005B6B61" w:rsidRDefault="00A5102B" w:rsidP="005B6B61"/>
    <w:p w14:paraId="4FA61B76" w14:textId="77777777" w:rsidR="00A5102B" w:rsidRPr="005B6B61" w:rsidRDefault="00A5102B" w:rsidP="005B6B61"/>
    <w:p w14:paraId="32785C81" w14:textId="77777777" w:rsidR="00A5102B" w:rsidRPr="005B6B61" w:rsidRDefault="00A5102B" w:rsidP="005B6B61"/>
    <w:p w14:paraId="4E818426" w14:textId="77777777" w:rsidR="00A5102B" w:rsidRPr="005B6B61" w:rsidRDefault="00A5102B" w:rsidP="005B6B61"/>
    <w:p w14:paraId="59B783FD" w14:textId="77777777" w:rsidR="003119A7" w:rsidRDefault="003119A7" w:rsidP="005B6B61"/>
    <w:p w14:paraId="704F671C" w14:textId="77777777" w:rsidR="004F0684" w:rsidRDefault="004F0684" w:rsidP="005B6B61"/>
    <w:p w14:paraId="31339416" w14:textId="77777777" w:rsidR="004F0684" w:rsidRDefault="004F0684" w:rsidP="005B6B61"/>
    <w:p w14:paraId="22C4CDA9" w14:textId="77777777" w:rsidR="004F0684" w:rsidRDefault="004F0684" w:rsidP="005B6B61"/>
    <w:p w14:paraId="731292AD" w14:textId="77777777" w:rsidR="004F0684" w:rsidRDefault="004F0684" w:rsidP="005B6B61"/>
    <w:p w14:paraId="2A91DF39" w14:textId="77777777" w:rsidR="004F0684" w:rsidRPr="005B6B61" w:rsidRDefault="004F0684" w:rsidP="005B6B61"/>
    <w:p w14:paraId="392D6899" w14:textId="77777777" w:rsidR="003119A7" w:rsidRPr="005B6B61" w:rsidRDefault="003119A7" w:rsidP="005B6B61"/>
    <w:p w14:paraId="1E1275B9" w14:textId="77777777" w:rsidR="003119A7" w:rsidRPr="005B6B61" w:rsidRDefault="003119A7" w:rsidP="005B6B61"/>
    <w:p w14:paraId="453B0044" w14:textId="77777777" w:rsidR="00A5102B" w:rsidRPr="005B6B61" w:rsidRDefault="00A5102B" w:rsidP="005B6B61"/>
    <w:p w14:paraId="0386042D"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3C426715" w14:textId="77777777" w:rsidTr="003A0403">
        <w:tc>
          <w:tcPr>
            <w:tcW w:w="2972" w:type="dxa"/>
          </w:tcPr>
          <w:p w14:paraId="475AF329"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072F4A4F" w14:textId="28DEBD29" w:rsidR="00A5102B" w:rsidRPr="003119A7" w:rsidRDefault="00E94E32" w:rsidP="003A0403">
            <w:pPr>
              <w:rPr>
                <w:rFonts w:ascii="Work Sans" w:hAnsi="Work Sans"/>
                <w:szCs w:val="20"/>
              </w:rPr>
            </w:pPr>
            <w:r>
              <w:rPr>
                <w:rFonts w:ascii="Work Sans" w:hAnsi="Work Sans"/>
                <w:szCs w:val="20"/>
              </w:rPr>
              <w:t>27 June 2023</w:t>
            </w:r>
          </w:p>
        </w:tc>
      </w:tr>
      <w:tr w:rsidR="00A5102B" w14:paraId="4CCE32B1" w14:textId="77777777" w:rsidTr="003A0403">
        <w:tc>
          <w:tcPr>
            <w:tcW w:w="2972" w:type="dxa"/>
          </w:tcPr>
          <w:p w14:paraId="5A7954D0"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7BB794A3" w14:textId="66B2BC27" w:rsidR="00A5102B" w:rsidRPr="00A16007" w:rsidRDefault="00B67010" w:rsidP="003A0403">
            <w:pPr>
              <w:rPr>
                <w:rFonts w:ascii="Work Sans" w:hAnsi="Work Sans"/>
                <w:szCs w:val="20"/>
              </w:rPr>
            </w:pPr>
            <w:r w:rsidRPr="00A16007">
              <w:rPr>
                <w:rFonts w:ascii="Work Sans" w:hAnsi="Work Sans"/>
                <w:szCs w:val="20"/>
              </w:rPr>
              <w:t>Naomi Elliott</w:t>
            </w:r>
            <w:r w:rsidR="00A5102B" w:rsidRPr="00A16007">
              <w:rPr>
                <w:rFonts w:ascii="Work Sans" w:hAnsi="Work Sans"/>
                <w:szCs w:val="20"/>
              </w:rPr>
              <w:t xml:space="preserve">, </w:t>
            </w:r>
            <w:r w:rsidR="00414336" w:rsidRPr="00A16007">
              <w:rPr>
                <w:rFonts w:ascii="Work Sans" w:hAnsi="Work Sans"/>
                <w:szCs w:val="20"/>
              </w:rPr>
              <w:t>02 62185725</w:t>
            </w:r>
            <w:r w:rsidR="00A5102B" w:rsidRPr="00A16007">
              <w:rPr>
                <w:rFonts w:ascii="Work Sans" w:hAnsi="Work Sans"/>
                <w:szCs w:val="20"/>
              </w:rPr>
              <w:t>,</w:t>
            </w:r>
            <w:r w:rsidR="007439CC" w:rsidRPr="00A16007">
              <w:rPr>
                <w:rFonts w:ascii="Work Sans" w:hAnsi="Work Sans"/>
                <w:szCs w:val="20"/>
              </w:rPr>
              <w:t xml:space="preserve"> </w:t>
            </w:r>
            <w:r w:rsidR="005C16EB" w:rsidRPr="00A16007">
              <w:rPr>
                <w:rFonts w:ascii="Work Sans" w:hAnsi="Work Sans"/>
                <w:szCs w:val="20"/>
              </w:rPr>
              <w:t>Naomi.Elliott@cgc</w:t>
            </w:r>
            <w:r w:rsidR="00C552E0" w:rsidRPr="00A16007">
              <w:rPr>
                <w:rFonts w:ascii="Work Sans" w:hAnsi="Work Sans"/>
                <w:szCs w:val="20"/>
              </w:rPr>
              <w:t>.gov.au</w:t>
            </w:r>
          </w:p>
        </w:tc>
      </w:tr>
      <w:tr w:rsidR="00A5102B" w14:paraId="750EBA78" w14:textId="77777777" w:rsidTr="003A0403">
        <w:tc>
          <w:tcPr>
            <w:tcW w:w="2972" w:type="dxa"/>
          </w:tcPr>
          <w:p w14:paraId="1D7B8559"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26B76107" w14:textId="2171CB72" w:rsidR="00D76AB5" w:rsidRDefault="00E94E32" w:rsidP="003A0403">
            <w:pPr>
              <w:rPr>
                <w:rFonts w:ascii="Work Sans" w:hAnsi="Work Sans"/>
                <w:szCs w:val="20"/>
              </w:rPr>
            </w:pPr>
            <w:r>
              <w:rPr>
                <w:rFonts w:ascii="Work Sans" w:hAnsi="Work Sans"/>
                <w:szCs w:val="20"/>
              </w:rPr>
              <w:t>13 October 2023</w:t>
            </w:r>
          </w:p>
          <w:p w14:paraId="64121E23" w14:textId="32012F30"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C552E0">
              <w:rPr>
                <w:rFonts w:ascii="Work Sans" w:hAnsi="Work Sans"/>
                <w:szCs w:val="20"/>
              </w:rPr>
              <w:t xml:space="preserve">Katrina </w:t>
            </w:r>
            <w:r w:rsidR="00AA6602">
              <w:rPr>
                <w:rFonts w:ascii="Work Sans" w:hAnsi="Work Sans"/>
                <w:szCs w:val="20"/>
              </w:rPr>
              <w:t>Baldoc</w:t>
            </w:r>
            <w:r w:rsidR="00D85B4C">
              <w:rPr>
                <w:rFonts w:ascii="Work Sans" w:hAnsi="Work Sans"/>
                <w:szCs w:val="20"/>
              </w:rPr>
              <w:t>k</w:t>
            </w:r>
            <w:r w:rsidR="000C53E9" w:rsidRPr="003119A7">
              <w:rPr>
                <w:rFonts w:ascii="Work Sans" w:hAnsi="Work Sans"/>
                <w:szCs w:val="20"/>
              </w:rPr>
              <w:t>.</w:t>
            </w:r>
          </w:p>
          <w:p w14:paraId="261B0154"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3A3D6DD2" w14:textId="77777777" w:rsidTr="003A0403">
        <w:tc>
          <w:tcPr>
            <w:tcW w:w="2972" w:type="dxa"/>
          </w:tcPr>
          <w:p w14:paraId="51148E52"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1CA4BC07"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76CE2305"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63B0000" wp14:editId="207BA34B">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5D2265C9"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0BA7AA50"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61AAD1F3"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71454E1C" w14:textId="77777777" w:rsidR="005B6B61" w:rsidRDefault="005B6B61">
          <w:pPr>
            <w:pStyle w:val="TOCHeading"/>
          </w:pPr>
          <w:r>
            <w:t>Contents</w:t>
          </w:r>
        </w:p>
        <w:p w14:paraId="0369CDEA" w14:textId="5218EE5C" w:rsidR="008D5EA8"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38692161" w:history="1">
            <w:r w:rsidR="008D5EA8" w:rsidRPr="00856F11">
              <w:rPr>
                <w:rStyle w:val="Hyperlink"/>
                <w:noProof/>
              </w:rPr>
              <w:t>Overview of category</w:t>
            </w:r>
            <w:r w:rsidR="008D5EA8">
              <w:rPr>
                <w:noProof/>
                <w:webHidden/>
              </w:rPr>
              <w:tab/>
            </w:r>
            <w:r w:rsidR="008D5EA8">
              <w:rPr>
                <w:noProof/>
                <w:webHidden/>
              </w:rPr>
              <w:fldChar w:fldCharType="begin"/>
            </w:r>
            <w:r w:rsidR="008D5EA8">
              <w:rPr>
                <w:noProof/>
                <w:webHidden/>
              </w:rPr>
              <w:instrText xml:space="preserve"> PAGEREF _Toc138692161 \h </w:instrText>
            </w:r>
            <w:r w:rsidR="008D5EA8">
              <w:rPr>
                <w:noProof/>
                <w:webHidden/>
              </w:rPr>
            </w:r>
            <w:r w:rsidR="008D5EA8">
              <w:rPr>
                <w:noProof/>
                <w:webHidden/>
              </w:rPr>
              <w:fldChar w:fldCharType="separate"/>
            </w:r>
            <w:r w:rsidR="008D5EA8">
              <w:rPr>
                <w:noProof/>
                <w:webHidden/>
              </w:rPr>
              <w:t>4</w:t>
            </w:r>
            <w:r w:rsidR="008D5EA8">
              <w:rPr>
                <w:noProof/>
                <w:webHidden/>
              </w:rPr>
              <w:fldChar w:fldCharType="end"/>
            </w:r>
          </w:hyperlink>
        </w:p>
        <w:p w14:paraId="0D0D2A01" w14:textId="7370FC62" w:rsidR="008D5EA8" w:rsidRDefault="00BB43DA">
          <w:pPr>
            <w:pStyle w:val="TOC2"/>
            <w:rPr>
              <w:rFonts w:asciiTheme="minorHAnsi" w:eastAsiaTheme="minorEastAsia" w:hAnsiTheme="minorHAnsi"/>
              <w:bCs w:val="0"/>
              <w:noProof/>
              <w:color w:val="auto"/>
              <w:kern w:val="2"/>
              <w:sz w:val="22"/>
              <w:szCs w:val="22"/>
              <w:lang w:eastAsia="en-AU"/>
              <w14:ligatures w14:val="standardContextual"/>
            </w:rPr>
          </w:pPr>
          <w:hyperlink w:anchor="_Toc138692162" w:history="1">
            <w:r w:rsidR="008D5EA8" w:rsidRPr="00856F11">
              <w:rPr>
                <w:rStyle w:val="Hyperlink"/>
                <w:noProof/>
              </w:rPr>
              <w:t>Current assessment method — 2020 Review</w:t>
            </w:r>
            <w:r w:rsidR="008D5EA8">
              <w:rPr>
                <w:noProof/>
                <w:webHidden/>
              </w:rPr>
              <w:tab/>
            </w:r>
            <w:r w:rsidR="008D5EA8">
              <w:rPr>
                <w:noProof/>
                <w:webHidden/>
              </w:rPr>
              <w:fldChar w:fldCharType="begin"/>
            </w:r>
            <w:r w:rsidR="008D5EA8">
              <w:rPr>
                <w:noProof/>
                <w:webHidden/>
              </w:rPr>
              <w:instrText xml:space="preserve"> PAGEREF _Toc138692162 \h </w:instrText>
            </w:r>
            <w:r w:rsidR="008D5EA8">
              <w:rPr>
                <w:noProof/>
                <w:webHidden/>
              </w:rPr>
            </w:r>
            <w:r w:rsidR="008D5EA8">
              <w:rPr>
                <w:noProof/>
                <w:webHidden/>
              </w:rPr>
              <w:fldChar w:fldCharType="separate"/>
            </w:r>
            <w:r w:rsidR="008D5EA8">
              <w:rPr>
                <w:noProof/>
                <w:webHidden/>
              </w:rPr>
              <w:t>4</w:t>
            </w:r>
            <w:r w:rsidR="008D5EA8">
              <w:rPr>
                <w:noProof/>
                <w:webHidden/>
              </w:rPr>
              <w:fldChar w:fldCharType="end"/>
            </w:r>
          </w:hyperlink>
        </w:p>
        <w:p w14:paraId="4D113158" w14:textId="3F47E8D7"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63" w:history="1">
            <w:r w:rsidR="008D5EA8" w:rsidRPr="00856F11">
              <w:rPr>
                <w:rStyle w:val="Hyperlink"/>
                <w:noProof/>
              </w:rPr>
              <w:t>Data used in the assessment</w:t>
            </w:r>
            <w:r w:rsidR="008D5EA8">
              <w:rPr>
                <w:noProof/>
                <w:webHidden/>
              </w:rPr>
              <w:tab/>
            </w:r>
            <w:r w:rsidR="008D5EA8">
              <w:rPr>
                <w:noProof/>
                <w:webHidden/>
              </w:rPr>
              <w:fldChar w:fldCharType="begin"/>
            </w:r>
            <w:r w:rsidR="008D5EA8">
              <w:rPr>
                <w:noProof/>
                <w:webHidden/>
              </w:rPr>
              <w:instrText xml:space="preserve"> PAGEREF _Toc138692163 \h </w:instrText>
            </w:r>
            <w:r w:rsidR="008D5EA8">
              <w:rPr>
                <w:noProof/>
                <w:webHidden/>
              </w:rPr>
            </w:r>
            <w:r w:rsidR="008D5EA8">
              <w:rPr>
                <w:noProof/>
                <w:webHidden/>
              </w:rPr>
              <w:fldChar w:fldCharType="separate"/>
            </w:r>
            <w:r w:rsidR="008D5EA8">
              <w:rPr>
                <w:noProof/>
                <w:webHidden/>
              </w:rPr>
              <w:t>5</w:t>
            </w:r>
            <w:r w:rsidR="008D5EA8">
              <w:rPr>
                <w:noProof/>
                <w:webHidden/>
              </w:rPr>
              <w:fldChar w:fldCharType="end"/>
            </w:r>
          </w:hyperlink>
        </w:p>
        <w:p w14:paraId="279ED3AA" w14:textId="7135D846"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64" w:history="1">
            <w:r w:rsidR="008D5EA8" w:rsidRPr="00856F11">
              <w:rPr>
                <w:rStyle w:val="Hyperlink"/>
                <w:noProof/>
              </w:rPr>
              <w:t>Category revenue</w:t>
            </w:r>
            <w:r w:rsidR="008D5EA8">
              <w:rPr>
                <w:noProof/>
                <w:webHidden/>
              </w:rPr>
              <w:tab/>
            </w:r>
            <w:r w:rsidR="008D5EA8">
              <w:rPr>
                <w:noProof/>
                <w:webHidden/>
              </w:rPr>
              <w:fldChar w:fldCharType="begin"/>
            </w:r>
            <w:r w:rsidR="008D5EA8">
              <w:rPr>
                <w:noProof/>
                <w:webHidden/>
              </w:rPr>
              <w:instrText xml:space="preserve"> PAGEREF _Toc138692164 \h </w:instrText>
            </w:r>
            <w:r w:rsidR="008D5EA8">
              <w:rPr>
                <w:noProof/>
                <w:webHidden/>
              </w:rPr>
            </w:r>
            <w:r w:rsidR="008D5EA8">
              <w:rPr>
                <w:noProof/>
                <w:webHidden/>
              </w:rPr>
              <w:fldChar w:fldCharType="separate"/>
            </w:r>
            <w:r w:rsidR="008D5EA8">
              <w:rPr>
                <w:noProof/>
                <w:webHidden/>
              </w:rPr>
              <w:t>6</w:t>
            </w:r>
            <w:r w:rsidR="008D5EA8">
              <w:rPr>
                <w:noProof/>
                <w:webHidden/>
              </w:rPr>
              <w:fldChar w:fldCharType="end"/>
            </w:r>
          </w:hyperlink>
        </w:p>
        <w:p w14:paraId="132ADA4E" w14:textId="473E09CB"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65" w:history="1">
            <w:r w:rsidR="008D5EA8" w:rsidRPr="00856F11">
              <w:rPr>
                <w:rStyle w:val="Hyperlink"/>
                <w:noProof/>
              </w:rPr>
              <w:t>GST distribution in the 2023 Update</w:t>
            </w:r>
            <w:r w:rsidR="008D5EA8">
              <w:rPr>
                <w:noProof/>
                <w:webHidden/>
              </w:rPr>
              <w:tab/>
            </w:r>
            <w:r w:rsidR="008D5EA8">
              <w:rPr>
                <w:noProof/>
                <w:webHidden/>
              </w:rPr>
              <w:fldChar w:fldCharType="begin"/>
            </w:r>
            <w:r w:rsidR="008D5EA8">
              <w:rPr>
                <w:noProof/>
                <w:webHidden/>
              </w:rPr>
              <w:instrText xml:space="preserve"> PAGEREF _Toc138692165 \h </w:instrText>
            </w:r>
            <w:r w:rsidR="008D5EA8">
              <w:rPr>
                <w:noProof/>
                <w:webHidden/>
              </w:rPr>
            </w:r>
            <w:r w:rsidR="008D5EA8">
              <w:rPr>
                <w:noProof/>
                <w:webHidden/>
              </w:rPr>
              <w:fldChar w:fldCharType="separate"/>
            </w:r>
            <w:r w:rsidR="008D5EA8">
              <w:rPr>
                <w:noProof/>
                <w:webHidden/>
              </w:rPr>
              <w:t>7</w:t>
            </w:r>
            <w:r w:rsidR="008D5EA8">
              <w:rPr>
                <w:noProof/>
                <w:webHidden/>
              </w:rPr>
              <w:fldChar w:fldCharType="end"/>
            </w:r>
          </w:hyperlink>
        </w:p>
        <w:p w14:paraId="6E05A8FE" w14:textId="3FE5A890" w:rsidR="008D5EA8" w:rsidRDefault="00BB43DA">
          <w:pPr>
            <w:pStyle w:val="TOC2"/>
            <w:rPr>
              <w:rFonts w:asciiTheme="minorHAnsi" w:eastAsiaTheme="minorEastAsia" w:hAnsiTheme="minorHAnsi"/>
              <w:bCs w:val="0"/>
              <w:noProof/>
              <w:color w:val="auto"/>
              <w:kern w:val="2"/>
              <w:sz w:val="22"/>
              <w:szCs w:val="22"/>
              <w:lang w:eastAsia="en-AU"/>
              <w14:ligatures w14:val="standardContextual"/>
            </w:rPr>
          </w:pPr>
          <w:hyperlink w:anchor="_Toc138692166" w:history="1">
            <w:r w:rsidR="008D5EA8" w:rsidRPr="00856F11">
              <w:rPr>
                <w:rStyle w:val="Hyperlink"/>
                <w:noProof/>
              </w:rPr>
              <w:t>What has changed since the 2020 Review?</w:t>
            </w:r>
            <w:r w:rsidR="008D5EA8">
              <w:rPr>
                <w:noProof/>
                <w:webHidden/>
              </w:rPr>
              <w:tab/>
            </w:r>
            <w:r w:rsidR="008D5EA8">
              <w:rPr>
                <w:noProof/>
                <w:webHidden/>
              </w:rPr>
              <w:fldChar w:fldCharType="begin"/>
            </w:r>
            <w:r w:rsidR="008D5EA8">
              <w:rPr>
                <w:noProof/>
                <w:webHidden/>
              </w:rPr>
              <w:instrText xml:space="preserve"> PAGEREF _Toc138692166 \h </w:instrText>
            </w:r>
            <w:r w:rsidR="008D5EA8">
              <w:rPr>
                <w:noProof/>
                <w:webHidden/>
              </w:rPr>
            </w:r>
            <w:r w:rsidR="008D5EA8">
              <w:rPr>
                <w:noProof/>
                <w:webHidden/>
              </w:rPr>
              <w:fldChar w:fldCharType="separate"/>
            </w:r>
            <w:r w:rsidR="008D5EA8">
              <w:rPr>
                <w:noProof/>
                <w:webHidden/>
              </w:rPr>
              <w:t>7</w:t>
            </w:r>
            <w:r w:rsidR="008D5EA8">
              <w:rPr>
                <w:noProof/>
                <w:webHidden/>
              </w:rPr>
              <w:fldChar w:fldCharType="end"/>
            </w:r>
          </w:hyperlink>
        </w:p>
        <w:p w14:paraId="6A30FD20" w14:textId="578934F9"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67" w:history="1">
            <w:r w:rsidR="008D5EA8" w:rsidRPr="00856F11">
              <w:rPr>
                <w:rStyle w:val="Hyperlink"/>
                <w:noProof/>
              </w:rPr>
              <w:t>Payments addressing structural disadvantage</w:t>
            </w:r>
            <w:r w:rsidR="008D5EA8">
              <w:rPr>
                <w:noProof/>
                <w:webHidden/>
              </w:rPr>
              <w:tab/>
            </w:r>
            <w:r w:rsidR="008D5EA8">
              <w:rPr>
                <w:noProof/>
                <w:webHidden/>
              </w:rPr>
              <w:fldChar w:fldCharType="begin"/>
            </w:r>
            <w:r w:rsidR="008D5EA8">
              <w:rPr>
                <w:noProof/>
                <w:webHidden/>
              </w:rPr>
              <w:instrText xml:space="preserve"> PAGEREF _Toc138692167 \h </w:instrText>
            </w:r>
            <w:r w:rsidR="008D5EA8">
              <w:rPr>
                <w:noProof/>
                <w:webHidden/>
              </w:rPr>
            </w:r>
            <w:r w:rsidR="008D5EA8">
              <w:rPr>
                <w:noProof/>
                <w:webHidden/>
              </w:rPr>
              <w:fldChar w:fldCharType="separate"/>
            </w:r>
            <w:r w:rsidR="008D5EA8">
              <w:rPr>
                <w:noProof/>
                <w:webHidden/>
              </w:rPr>
              <w:t>7</w:t>
            </w:r>
            <w:r w:rsidR="008D5EA8">
              <w:rPr>
                <w:noProof/>
                <w:webHidden/>
              </w:rPr>
              <w:fldChar w:fldCharType="end"/>
            </w:r>
          </w:hyperlink>
        </w:p>
        <w:p w14:paraId="746BA158" w14:textId="5D0DCFEC" w:rsidR="008D5EA8" w:rsidRDefault="00BB43DA">
          <w:pPr>
            <w:pStyle w:val="TOC2"/>
            <w:rPr>
              <w:rFonts w:asciiTheme="minorHAnsi" w:eastAsiaTheme="minorEastAsia" w:hAnsiTheme="minorHAnsi"/>
              <w:bCs w:val="0"/>
              <w:noProof/>
              <w:color w:val="auto"/>
              <w:kern w:val="2"/>
              <w:sz w:val="22"/>
              <w:szCs w:val="22"/>
              <w:lang w:eastAsia="en-AU"/>
              <w14:ligatures w14:val="standardContextual"/>
            </w:rPr>
          </w:pPr>
          <w:hyperlink w:anchor="_Toc138692168" w:history="1">
            <w:r w:rsidR="008D5EA8" w:rsidRPr="00856F11">
              <w:rPr>
                <w:rStyle w:val="Hyperlink"/>
                <w:noProof/>
              </w:rPr>
              <w:t>Implications for assessment</w:t>
            </w:r>
            <w:r w:rsidR="008D5EA8">
              <w:rPr>
                <w:noProof/>
                <w:webHidden/>
              </w:rPr>
              <w:tab/>
            </w:r>
            <w:r w:rsidR="008D5EA8">
              <w:rPr>
                <w:noProof/>
                <w:webHidden/>
              </w:rPr>
              <w:fldChar w:fldCharType="begin"/>
            </w:r>
            <w:r w:rsidR="008D5EA8">
              <w:rPr>
                <w:noProof/>
                <w:webHidden/>
              </w:rPr>
              <w:instrText xml:space="preserve"> PAGEREF _Toc138692168 \h </w:instrText>
            </w:r>
            <w:r w:rsidR="008D5EA8">
              <w:rPr>
                <w:noProof/>
                <w:webHidden/>
              </w:rPr>
            </w:r>
            <w:r w:rsidR="008D5EA8">
              <w:rPr>
                <w:noProof/>
                <w:webHidden/>
              </w:rPr>
              <w:fldChar w:fldCharType="separate"/>
            </w:r>
            <w:r w:rsidR="008D5EA8">
              <w:rPr>
                <w:noProof/>
                <w:webHidden/>
              </w:rPr>
              <w:t>8</w:t>
            </w:r>
            <w:r w:rsidR="008D5EA8">
              <w:rPr>
                <w:noProof/>
                <w:webHidden/>
              </w:rPr>
              <w:fldChar w:fldCharType="end"/>
            </w:r>
          </w:hyperlink>
        </w:p>
        <w:p w14:paraId="60199C50" w14:textId="41C14732"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69" w:history="1">
            <w:r w:rsidR="008D5EA8" w:rsidRPr="00856F11">
              <w:rPr>
                <w:rStyle w:val="Hyperlink"/>
                <w:noProof/>
              </w:rPr>
              <w:t>Applying the treatment guideline</w:t>
            </w:r>
            <w:r w:rsidR="008D5EA8">
              <w:rPr>
                <w:noProof/>
                <w:webHidden/>
              </w:rPr>
              <w:tab/>
            </w:r>
            <w:r w:rsidR="008D5EA8">
              <w:rPr>
                <w:noProof/>
                <w:webHidden/>
              </w:rPr>
              <w:fldChar w:fldCharType="begin"/>
            </w:r>
            <w:r w:rsidR="008D5EA8">
              <w:rPr>
                <w:noProof/>
                <w:webHidden/>
              </w:rPr>
              <w:instrText xml:space="preserve"> PAGEREF _Toc138692169 \h </w:instrText>
            </w:r>
            <w:r w:rsidR="008D5EA8">
              <w:rPr>
                <w:noProof/>
                <w:webHidden/>
              </w:rPr>
            </w:r>
            <w:r w:rsidR="008D5EA8">
              <w:rPr>
                <w:noProof/>
                <w:webHidden/>
              </w:rPr>
              <w:fldChar w:fldCharType="separate"/>
            </w:r>
            <w:r w:rsidR="008D5EA8">
              <w:rPr>
                <w:noProof/>
                <w:webHidden/>
              </w:rPr>
              <w:t>8</w:t>
            </w:r>
            <w:r w:rsidR="008D5EA8">
              <w:rPr>
                <w:noProof/>
                <w:webHidden/>
              </w:rPr>
              <w:fldChar w:fldCharType="end"/>
            </w:r>
          </w:hyperlink>
        </w:p>
        <w:p w14:paraId="518E7FE7" w14:textId="0193BD93"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70" w:history="1">
            <w:r w:rsidR="008D5EA8" w:rsidRPr="00856F11">
              <w:rPr>
                <w:rStyle w:val="Hyperlink"/>
                <w:noProof/>
              </w:rPr>
              <w:t>Commonwealth own-purpose expense payments</w:t>
            </w:r>
            <w:r w:rsidR="008D5EA8">
              <w:rPr>
                <w:noProof/>
                <w:webHidden/>
              </w:rPr>
              <w:tab/>
            </w:r>
            <w:r w:rsidR="008D5EA8">
              <w:rPr>
                <w:noProof/>
                <w:webHidden/>
              </w:rPr>
              <w:fldChar w:fldCharType="begin"/>
            </w:r>
            <w:r w:rsidR="008D5EA8">
              <w:rPr>
                <w:noProof/>
                <w:webHidden/>
              </w:rPr>
              <w:instrText xml:space="preserve"> PAGEREF _Toc138692170 \h </w:instrText>
            </w:r>
            <w:r w:rsidR="008D5EA8">
              <w:rPr>
                <w:noProof/>
                <w:webHidden/>
              </w:rPr>
            </w:r>
            <w:r w:rsidR="008D5EA8">
              <w:rPr>
                <w:noProof/>
                <w:webHidden/>
              </w:rPr>
              <w:fldChar w:fldCharType="separate"/>
            </w:r>
            <w:r w:rsidR="008D5EA8">
              <w:rPr>
                <w:noProof/>
                <w:webHidden/>
              </w:rPr>
              <w:t>9</w:t>
            </w:r>
            <w:r w:rsidR="008D5EA8">
              <w:rPr>
                <w:noProof/>
                <w:webHidden/>
              </w:rPr>
              <w:fldChar w:fldCharType="end"/>
            </w:r>
          </w:hyperlink>
        </w:p>
        <w:p w14:paraId="62CDAEC3" w14:textId="4364339B"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71" w:history="1">
            <w:r w:rsidR="008D5EA8" w:rsidRPr="00856F11">
              <w:rPr>
                <w:rStyle w:val="Hyperlink"/>
                <w:noProof/>
              </w:rPr>
              <w:t>Treatment of Commonwealth payments for pre-existing structural disadvantage</w:t>
            </w:r>
            <w:r w:rsidR="008D5EA8">
              <w:rPr>
                <w:noProof/>
                <w:webHidden/>
              </w:rPr>
              <w:tab/>
            </w:r>
            <w:r w:rsidR="008D5EA8">
              <w:rPr>
                <w:noProof/>
                <w:webHidden/>
              </w:rPr>
              <w:fldChar w:fldCharType="begin"/>
            </w:r>
            <w:r w:rsidR="008D5EA8">
              <w:rPr>
                <w:noProof/>
                <w:webHidden/>
              </w:rPr>
              <w:instrText xml:space="preserve"> PAGEREF _Toc138692171 \h </w:instrText>
            </w:r>
            <w:r w:rsidR="008D5EA8">
              <w:rPr>
                <w:noProof/>
                <w:webHidden/>
              </w:rPr>
            </w:r>
            <w:r w:rsidR="008D5EA8">
              <w:rPr>
                <w:noProof/>
                <w:webHidden/>
              </w:rPr>
              <w:fldChar w:fldCharType="separate"/>
            </w:r>
            <w:r w:rsidR="008D5EA8">
              <w:rPr>
                <w:noProof/>
                <w:webHidden/>
              </w:rPr>
              <w:t>10</w:t>
            </w:r>
            <w:r w:rsidR="008D5EA8">
              <w:rPr>
                <w:noProof/>
                <w:webHidden/>
              </w:rPr>
              <w:fldChar w:fldCharType="end"/>
            </w:r>
          </w:hyperlink>
        </w:p>
        <w:p w14:paraId="07B6539F" w14:textId="53A297ED" w:rsidR="008D5EA8" w:rsidRDefault="00BB43DA">
          <w:pPr>
            <w:pStyle w:val="TOC2"/>
            <w:rPr>
              <w:rFonts w:asciiTheme="minorHAnsi" w:eastAsiaTheme="minorEastAsia" w:hAnsiTheme="minorHAnsi"/>
              <w:bCs w:val="0"/>
              <w:noProof/>
              <w:color w:val="auto"/>
              <w:kern w:val="2"/>
              <w:sz w:val="22"/>
              <w:szCs w:val="22"/>
              <w:lang w:eastAsia="en-AU"/>
              <w14:ligatures w14:val="standardContextual"/>
            </w:rPr>
          </w:pPr>
          <w:hyperlink w:anchor="_Toc138692172" w:history="1">
            <w:r w:rsidR="008D5EA8" w:rsidRPr="00856F11">
              <w:rPr>
                <w:rStyle w:val="Hyperlink"/>
                <w:noProof/>
              </w:rPr>
              <w:t>Proposed assessment</w:t>
            </w:r>
            <w:r w:rsidR="008D5EA8">
              <w:rPr>
                <w:noProof/>
                <w:webHidden/>
              </w:rPr>
              <w:tab/>
            </w:r>
            <w:r w:rsidR="008D5EA8">
              <w:rPr>
                <w:noProof/>
                <w:webHidden/>
              </w:rPr>
              <w:fldChar w:fldCharType="begin"/>
            </w:r>
            <w:r w:rsidR="008D5EA8">
              <w:rPr>
                <w:noProof/>
                <w:webHidden/>
              </w:rPr>
              <w:instrText xml:space="preserve"> PAGEREF _Toc138692172 \h </w:instrText>
            </w:r>
            <w:r w:rsidR="008D5EA8">
              <w:rPr>
                <w:noProof/>
                <w:webHidden/>
              </w:rPr>
            </w:r>
            <w:r w:rsidR="008D5EA8">
              <w:rPr>
                <w:noProof/>
                <w:webHidden/>
              </w:rPr>
              <w:fldChar w:fldCharType="separate"/>
            </w:r>
            <w:r w:rsidR="008D5EA8">
              <w:rPr>
                <w:noProof/>
                <w:webHidden/>
              </w:rPr>
              <w:t>11</w:t>
            </w:r>
            <w:r w:rsidR="008D5EA8">
              <w:rPr>
                <w:noProof/>
                <w:webHidden/>
              </w:rPr>
              <w:fldChar w:fldCharType="end"/>
            </w:r>
          </w:hyperlink>
        </w:p>
        <w:p w14:paraId="78B2BA00" w14:textId="40CEF95F"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73" w:history="1">
            <w:r w:rsidR="008D5EA8" w:rsidRPr="00856F11">
              <w:rPr>
                <w:rStyle w:val="Hyperlink"/>
                <w:noProof/>
              </w:rPr>
              <w:t>Differences from the 2020 Review approach</w:t>
            </w:r>
            <w:r w:rsidR="008D5EA8">
              <w:rPr>
                <w:noProof/>
                <w:webHidden/>
              </w:rPr>
              <w:tab/>
            </w:r>
            <w:r w:rsidR="008D5EA8">
              <w:rPr>
                <w:noProof/>
                <w:webHidden/>
              </w:rPr>
              <w:fldChar w:fldCharType="begin"/>
            </w:r>
            <w:r w:rsidR="008D5EA8">
              <w:rPr>
                <w:noProof/>
                <w:webHidden/>
              </w:rPr>
              <w:instrText xml:space="preserve"> PAGEREF _Toc138692173 \h </w:instrText>
            </w:r>
            <w:r w:rsidR="008D5EA8">
              <w:rPr>
                <w:noProof/>
                <w:webHidden/>
              </w:rPr>
            </w:r>
            <w:r w:rsidR="008D5EA8">
              <w:rPr>
                <w:noProof/>
                <w:webHidden/>
              </w:rPr>
              <w:fldChar w:fldCharType="separate"/>
            </w:r>
            <w:r w:rsidR="008D5EA8">
              <w:rPr>
                <w:noProof/>
                <w:webHidden/>
              </w:rPr>
              <w:t>11</w:t>
            </w:r>
            <w:r w:rsidR="008D5EA8">
              <w:rPr>
                <w:noProof/>
                <w:webHidden/>
              </w:rPr>
              <w:fldChar w:fldCharType="end"/>
            </w:r>
          </w:hyperlink>
        </w:p>
        <w:p w14:paraId="7B967786" w14:textId="326C9BBA" w:rsidR="008D5EA8" w:rsidRDefault="00BB43DA">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692174" w:history="1">
            <w:r w:rsidR="008D5EA8" w:rsidRPr="00856F11">
              <w:rPr>
                <w:rStyle w:val="Hyperlink"/>
                <w:noProof/>
              </w:rPr>
              <w:t>Proposed assessment structure</w:t>
            </w:r>
            <w:r w:rsidR="008D5EA8">
              <w:rPr>
                <w:noProof/>
                <w:webHidden/>
              </w:rPr>
              <w:tab/>
            </w:r>
            <w:r w:rsidR="008D5EA8">
              <w:rPr>
                <w:noProof/>
                <w:webHidden/>
              </w:rPr>
              <w:fldChar w:fldCharType="begin"/>
            </w:r>
            <w:r w:rsidR="008D5EA8">
              <w:rPr>
                <w:noProof/>
                <w:webHidden/>
              </w:rPr>
              <w:instrText xml:space="preserve"> PAGEREF _Toc138692174 \h </w:instrText>
            </w:r>
            <w:r w:rsidR="008D5EA8">
              <w:rPr>
                <w:noProof/>
                <w:webHidden/>
              </w:rPr>
            </w:r>
            <w:r w:rsidR="008D5EA8">
              <w:rPr>
                <w:noProof/>
                <w:webHidden/>
              </w:rPr>
              <w:fldChar w:fldCharType="separate"/>
            </w:r>
            <w:r w:rsidR="008D5EA8">
              <w:rPr>
                <w:noProof/>
                <w:webHidden/>
              </w:rPr>
              <w:t>11</w:t>
            </w:r>
            <w:r w:rsidR="008D5EA8">
              <w:rPr>
                <w:noProof/>
                <w:webHidden/>
              </w:rPr>
              <w:fldChar w:fldCharType="end"/>
            </w:r>
          </w:hyperlink>
        </w:p>
        <w:p w14:paraId="567454AD" w14:textId="2065F91A" w:rsidR="008D5EA8" w:rsidRDefault="00BB43DA">
          <w:pPr>
            <w:pStyle w:val="TOC2"/>
            <w:rPr>
              <w:rFonts w:asciiTheme="minorHAnsi" w:eastAsiaTheme="minorEastAsia" w:hAnsiTheme="minorHAnsi"/>
              <w:bCs w:val="0"/>
              <w:noProof/>
              <w:color w:val="auto"/>
              <w:kern w:val="2"/>
              <w:sz w:val="22"/>
              <w:szCs w:val="22"/>
              <w:lang w:eastAsia="en-AU"/>
              <w14:ligatures w14:val="standardContextual"/>
            </w:rPr>
          </w:pPr>
          <w:hyperlink w:anchor="_Toc138692175" w:history="1">
            <w:r w:rsidR="008D5EA8" w:rsidRPr="00856F11">
              <w:rPr>
                <w:rStyle w:val="Hyperlink"/>
                <w:noProof/>
              </w:rPr>
              <w:t>Consultation</w:t>
            </w:r>
            <w:r w:rsidR="008D5EA8">
              <w:rPr>
                <w:noProof/>
                <w:webHidden/>
              </w:rPr>
              <w:tab/>
            </w:r>
            <w:r w:rsidR="008D5EA8">
              <w:rPr>
                <w:noProof/>
                <w:webHidden/>
              </w:rPr>
              <w:fldChar w:fldCharType="begin"/>
            </w:r>
            <w:r w:rsidR="008D5EA8">
              <w:rPr>
                <w:noProof/>
                <w:webHidden/>
              </w:rPr>
              <w:instrText xml:space="preserve"> PAGEREF _Toc138692175 \h </w:instrText>
            </w:r>
            <w:r w:rsidR="008D5EA8">
              <w:rPr>
                <w:noProof/>
                <w:webHidden/>
              </w:rPr>
            </w:r>
            <w:r w:rsidR="008D5EA8">
              <w:rPr>
                <w:noProof/>
                <w:webHidden/>
              </w:rPr>
              <w:fldChar w:fldCharType="separate"/>
            </w:r>
            <w:r w:rsidR="008D5EA8">
              <w:rPr>
                <w:noProof/>
                <w:webHidden/>
              </w:rPr>
              <w:t>12</w:t>
            </w:r>
            <w:r w:rsidR="008D5EA8">
              <w:rPr>
                <w:noProof/>
                <w:webHidden/>
              </w:rPr>
              <w:fldChar w:fldCharType="end"/>
            </w:r>
          </w:hyperlink>
        </w:p>
        <w:p w14:paraId="68F36A64" w14:textId="47E15A92" w:rsidR="005B6B61" w:rsidRDefault="005B6B61">
          <w:r>
            <w:rPr>
              <w:b/>
              <w:bCs/>
              <w:noProof/>
            </w:rPr>
            <w:fldChar w:fldCharType="end"/>
          </w:r>
        </w:p>
      </w:sdtContent>
    </w:sdt>
    <w:p w14:paraId="5D4562A8" w14:textId="77777777" w:rsidR="00693888" w:rsidRPr="00DF1879" w:rsidRDefault="00693888" w:rsidP="00DF1879">
      <w:r>
        <w:br w:type="page"/>
      </w:r>
    </w:p>
    <w:p w14:paraId="49E6A930" w14:textId="77777777" w:rsidR="00A5102B" w:rsidRPr="007C4D64" w:rsidRDefault="00C53513" w:rsidP="007C4D64">
      <w:pPr>
        <w:pStyle w:val="Heading2"/>
      </w:pPr>
      <w:bookmarkStart w:id="0" w:name="_Toc133236145"/>
      <w:bookmarkStart w:id="1" w:name="_Toc133236171"/>
      <w:bookmarkStart w:id="2" w:name="_Toc138692161"/>
      <w:r>
        <w:lastRenderedPageBreak/>
        <w:t>Overview of category</w:t>
      </w:r>
      <w:bookmarkEnd w:id="0"/>
      <w:bookmarkEnd w:id="1"/>
      <w:bookmarkEnd w:id="2"/>
    </w:p>
    <w:p w14:paraId="06F81DD4" w14:textId="77777777" w:rsidR="000C0319" w:rsidRDefault="000C0319" w:rsidP="000C0319">
      <w:pPr>
        <w:pStyle w:val="CGC2025ParaNumbers"/>
      </w:pPr>
      <w:bookmarkStart w:id="3" w:name="_Toc133236146"/>
      <w:bookmarkStart w:id="4" w:name="_Toc133236172"/>
      <w:r>
        <w:t>In addition to GST payments, the Commonwealth government provides financial assistance to states and territories (states) in the form of payments for specific purposes. These payments, in total, are similar in size to the GST payments.</w:t>
      </w:r>
    </w:p>
    <w:p w14:paraId="779CF6A0" w14:textId="3BF321B6" w:rsidR="000C0319" w:rsidRPr="00765FC4" w:rsidRDefault="000C0319" w:rsidP="000C0319">
      <w:pPr>
        <w:pStyle w:val="CGC2025ParaNumbers"/>
        <w:rPr>
          <w:rFonts w:eastAsia="Yu Gothic Light" w:cs="Open Sans"/>
        </w:rPr>
      </w:pPr>
      <w:r w:rsidRPr="00A41E1D">
        <w:rPr>
          <w:lang w:val="en-GB"/>
        </w:rPr>
        <w:t xml:space="preserve">Given their importance to state budgets, these </w:t>
      </w:r>
      <w:r>
        <w:rPr>
          <w:lang w:val="en-GB"/>
        </w:rPr>
        <w:t xml:space="preserve">Commonwealth </w:t>
      </w:r>
      <w:r w:rsidRPr="00A41E1D">
        <w:rPr>
          <w:lang w:val="en-GB"/>
        </w:rPr>
        <w:t xml:space="preserve">payments are </w:t>
      </w:r>
      <w:proofErr w:type="gramStart"/>
      <w:r w:rsidRPr="00A41E1D">
        <w:rPr>
          <w:lang w:val="en-GB"/>
        </w:rPr>
        <w:t>taken into account</w:t>
      </w:r>
      <w:proofErr w:type="gramEnd"/>
      <w:r w:rsidRPr="00A41E1D">
        <w:rPr>
          <w:lang w:val="en-GB"/>
        </w:rPr>
        <w:t xml:space="preserve"> by the Commission when determining each state’s </w:t>
      </w:r>
      <w:r>
        <w:rPr>
          <w:lang w:val="en-GB"/>
        </w:rPr>
        <w:t xml:space="preserve">relative </w:t>
      </w:r>
      <w:r w:rsidRPr="00A41E1D">
        <w:rPr>
          <w:lang w:val="en-GB"/>
        </w:rPr>
        <w:t xml:space="preserve">fiscal capacity </w:t>
      </w:r>
      <w:r w:rsidRPr="00A41E1D" w:rsidDel="0063344F">
        <w:rPr>
          <w:lang w:val="en-GB"/>
        </w:rPr>
        <w:t xml:space="preserve">and </w:t>
      </w:r>
      <w:r w:rsidRPr="00A41E1D">
        <w:rPr>
          <w:lang w:val="en-GB"/>
        </w:rPr>
        <w:t xml:space="preserve">recommended </w:t>
      </w:r>
      <w:r w:rsidRPr="00A41E1D" w:rsidDel="0063344F">
        <w:rPr>
          <w:lang w:val="en-GB"/>
        </w:rPr>
        <w:t xml:space="preserve">GST share. </w:t>
      </w:r>
      <w:r w:rsidRPr="00A41E1D">
        <w:rPr>
          <w:lang w:val="en-GB"/>
        </w:rPr>
        <w:t>If they were excluded, state fiscal capacities would not be similar and states that receive less revenue from Commonwealth payments would be disadvantaged.</w:t>
      </w:r>
    </w:p>
    <w:p w14:paraId="5BAE4332" w14:textId="5BBD1EC0" w:rsidR="000C0319" w:rsidRPr="00014754" w:rsidRDefault="000C0319" w:rsidP="000C0319">
      <w:pPr>
        <w:pStyle w:val="CGC2025ParaNumbers"/>
      </w:pPr>
      <w:r w:rsidRPr="00A41E1D">
        <w:t xml:space="preserve">Not all Commonwealth payments to states are included in the calculations of </w:t>
      </w:r>
      <w:r>
        <w:t>assessed</w:t>
      </w:r>
      <w:r w:rsidRPr="00A41E1D">
        <w:t xml:space="preserve"> </w:t>
      </w:r>
      <w:r>
        <w:t>needs</w:t>
      </w:r>
      <w:r w:rsidRPr="00A41E1D">
        <w:t xml:space="preserve">. Some payments are excluded as they are for Commonwealth or third-party purposes because the Commission does not </w:t>
      </w:r>
      <w:r>
        <w:t>assess states’ expenditure needs relevant to the payment, or because terms of reference from the Commonwealth Treasurer instruct that they be excluded</w:t>
      </w:r>
      <w:r w:rsidRPr="00A41E1D">
        <w:t>.</w:t>
      </w:r>
      <w:r>
        <w:t xml:space="preserve"> In any one year, approximately a fifth of the value of payments are</w:t>
      </w:r>
      <w:r w:rsidRPr="00A41E1D">
        <w:t xml:space="preserve"> excluded from the GST calculations</w:t>
      </w:r>
      <w:r>
        <w:t>. This increased to a third in 2021–22 (largely due to COVID-19 related health and business support payments, and natural disaster relief payments)</w:t>
      </w:r>
      <w:r w:rsidRPr="00A41E1D">
        <w:t>.</w:t>
      </w:r>
    </w:p>
    <w:p w14:paraId="05396841" w14:textId="0A0AC76A" w:rsidR="001D33AD" w:rsidRPr="001D33AD" w:rsidRDefault="001D33AD" w:rsidP="0093066B">
      <w:pPr>
        <w:pStyle w:val="Heading2"/>
      </w:pPr>
      <w:bookmarkStart w:id="5" w:name="_Toc138692162"/>
      <w:r>
        <w:t xml:space="preserve">Current </w:t>
      </w:r>
      <w:r w:rsidR="0093066B">
        <w:t xml:space="preserve">assessment method </w:t>
      </w:r>
      <w:r w:rsidR="001E1B66">
        <w:t>—</w:t>
      </w:r>
      <w:r w:rsidR="0093066B">
        <w:t xml:space="preserve"> 2020 Review</w:t>
      </w:r>
      <w:bookmarkEnd w:id="3"/>
      <w:bookmarkEnd w:id="4"/>
      <w:bookmarkEnd w:id="5"/>
    </w:p>
    <w:p w14:paraId="288FB4A7" w14:textId="77777777" w:rsidR="00965D80" w:rsidRDefault="00965D80" w:rsidP="00965D80">
      <w:pPr>
        <w:pStyle w:val="CGC2025ParaNumbers"/>
      </w:pPr>
      <w:bookmarkStart w:id="6" w:name="_Toc133236147"/>
      <w:bookmarkStart w:id="7" w:name="_Toc133236173"/>
      <w:r>
        <w:t>Commonwealth payments are assessed on an actual per capita basis. That is, each state’s revenue capacity is equal to the value of payments it received.</w:t>
      </w:r>
    </w:p>
    <w:p w14:paraId="2C124063" w14:textId="77777777" w:rsidR="00965D80" w:rsidRDefault="00965D80" w:rsidP="00965D80">
      <w:pPr>
        <w:pStyle w:val="CGC2025ParaNumbers"/>
      </w:pPr>
      <w:r>
        <w:t xml:space="preserve">Not all payments are included in the assessment. In some cases, the Commonwealth Treasurer instructs the Commission through terms of reference to exclude payments from its calculations (known as ‘quarantining’). </w:t>
      </w:r>
    </w:p>
    <w:p w14:paraId="622890FA" w14:textId="7B7CE6FE" w:rsidR="007F7EF5" w:rsidRDefault="00965D80" w:rsidP="00DC0AF9">
      <w:pPr>
        <w:pStyle w:val="CGC2025ParaNumbers"/>
      </w:pPr>
      <w:r w:rsidRPr="00F444A0">
        <w:t xml:space="preserve">The </w:t>
      </w:r>
      <w:r>
        <w:t xml:space="preserve">2020 Review </w:t>
      </w:r>
      <w:r w:rsidR="001B08B5">
        <w:t>T</w:t>
      </w:r>
      <w:r w:rsidRPr="00F444A0">
        <w:t xml:space="preserve">erms of </w:t>
      </w:r>
      <w:r w:rsidR="001B08B5">
        <w:t>R</w:t>
      </w:r>
      <w:r w:rsidRPr="00F444A0">
        <w:t>eference</w:t>
      </w:r>
      <w:r>
        <w:t xml:space="preserve"> (which are the same for the 2025 Review)</w:t>
      </w:r>
      <w:r w:rsidRPr="00F444A0">
        <w:t xml:space="preserve"> provide </w:t>
      </w:r>
      <w:r>
        <w:t xml:space="preserve">more </w:t>
      </w:r>
      <w:r w:rsidRPr="00F444A0">
        <w:t>guidance to the Commission on the treatment of Commonwealth payments. They ask</w:t>
      </w:r>
      <w:r>
        <w:t>ed</w:t>
      </w:r>
      <w:r w:rsidRPr="00F444A0">
        <w:t xml:space="preserve"> the Commission</w:t>
      </w:r>
      <w:r>
        <w:t xml:space="preserve"> to treat</w:t>
      </w:r>
      <w:r w:rsidRPr="00F444A0">
        <w:t>:</w:t>
      </w:r>
    </w:p>
    <w:p w14:paraId="0F226BE0" w14:textId="77777777" w:rsidR="003052A0" w:rsidRPr="003052A0" w:rsidRDefault="003052A0" w:rsidP="003052A0">
      <w:pPr>
        <w:pStyle w:val="CGC2025Bullet1"/>
      </w:pPr>
      <w:r w:rsidRPr="003052A0">
        <w:t xml:space="preserve">National Specific Purpose Payments, National Health Reform funding, National Housing and Homelessness funding, Quality Schools funding (for government schools) and National Partnership project payments so that they affect the GST </w:t>
      </w:r>
      <w:proofErr w:type="gramStart"/>
      <w:r w:rsidRPr="003052A0">
        <w:t>relativities</w:t>
      </w:r>
      <w:proofErr w:type="gramEnd"/>
    </w:p>
    <w:p w14:paraId="36912068" w14:textId="77777777" w:rsidR="003052A0" w:rsidRPr="003052A0" w:rsidRDefault="003052A0" w:rsidP="003052A0">
      <w:pPr>
        <w:pStyle w:val="CGC2025Bullet1"/>
      </w:pPr>
      <w:r w:rsidRPr="003052A0">
        <w:t>National Partnership facilitation and reward payments</w:t>
      </w:r>
      <w:r w:rsidRPr="003052A0">
        <w:rPr>
          <w:vertAlign w:val="superscript"/>
        </w:rPr>
        <w:footnoteReference w:id="2"/>
      </w:r>
      <w:r w:rsidRPr="003052A0">
        <w:t xml:space="preserve"> so that they do not affect the GST </w:t>
      </w:r>
      <w:proofErr w:type="gramStart"/>
      <w:r w:rsidRPr="003052A0">
        <w:t>relativities</w:t>
      </w:r>
      <w:proofErr w:type="gramEnd"/>
      <w:r w:rsidRPr="003052A0">
        <w:t xml:space="preserve"> </w:t>
      </w:r>
    </w:p>
    <w:p w14:paraId="7894F9D0" w14:textId="77777777" w:rsidR="003052A0" w:rsidRDefault="003052A0" w:rsidP="003052A0">
      <w:pPr>
        <w:pStyle w:val="CGC2025Bullet1"/>
      </w:pPr>
      <w:r w:rsidRPr="003052A0">
        <w:t>general revenue assistance other than the GST so that they affect the GST relativities.</w:t>
      </w:r>
    </w:p>
    <w:p w14:paraId="178AE238" w14:textId="77777777" w:rsidR="00161EE5" w:rsidRDefault="00161EE5" w:rsidP="00161EE5">
      <w:pPr>
        <w:pStyle w:val="CGC2025ParaNumbers"/>
      </w:pPr>
      <w:r w:rsidRPr="00F444A0">
        <w:lastRenderedPageBreak/>
        <w:t xml:space="preserve">However, </w:t>
      </w:r>
      <w:r>
        <w:t xml:space="preserve">terms of reference also give </w:t>
      </w:r>
      <w:r w:rsidRPr="00F444A0">
        <w:t xml:space="preserve">the Commission discretion to vary the treatment of payments where appropriate, reflecting the nature of the </w:t>
      </w:r>
      <w:proofErr w:type="gramStart"/>
      <w:r w:rsidRPr="00F444A0">
        <w:t>particular payment</w:t>
      </w:r>
      <w:proofErr w:type="gramEnd"/>
      <w:r w:rsidRPr="00F444A0">
        <w:t xml:space="preserve"> and the role of </w:t>
      </w:r>
      <w:r>
        <w:t>s</w:t>
      </w:r>
      <w:r w:rsidRPr="00F444A0">
        <w:t>tate governments in providing particular</w:t>
      </w:r>
      <w:r>
        <w:t xml:space="preserve"> </w:t>
      </w:r>
      <w:r w:rsidRPr="00F444A0">
        <w:t>services.</w:t>
      </w:r>
    </w:p>
    <w:p w14:paraId="46152A8D" w14:textId="77777777" w:rsidR="00161EE5" w:rsidRDefault="00161EE5" w:rsidP="00161EE5">
      <w:pPr>
        <w:pStyle w:val="CGC2025ParaNumbers"/>
      </w:pPr>
      <w:r>
        <w:t xml:space="preserve">In exercising its discretion, the Commission uses the following guideline </w:t>
      </w:r>
      <w:r w:rsidRPr="00954851">
        <w:t>to decide the treatment of payments on a case-by-case basis:</w:t>
      </w:r>
    </w:p>
    <w:p w14:paraId="350E4382" w14:textId="77777777" w:rsidR="00161EE5" w:rsidRDefault="00161EE5" w:rsidP="00161EE5">
      <w:pPr>
        <w:pStyle w:val="CGCParaNumber"/>
        <w:numPr>
          <w:ilvl w:val="0"/>
          <w:numId w:val="0"/>
        </w:numPr>
        <w:ind w:left="720"/>
      </w:pPr>
      <w:r w:rsidRPr="00954851">
        <w:t>payments which support</w:t>
      </w:r>
      <w:r>
        <w:t xml:space="preserve"> s</w:t>
      </w:r>
      <w:r w:rsidRPr="00954851">
        <w:t>tate services, and for which expenditure needs are assessed, will impact the relativities.</w:t>
      </w:r>
    </w:p>
    <w:p w14:paraId="2D65296A" w14:textId="01666430" w:rsidR="00896307" w:rsidRDefault="00161EE5" w:rsidP="00B56710">
      <w:pPr>
        <w:pStyle w:val="CGC2025ParaNumbers"/>
      </w:pPr>
      <w:r>
        <w:t>In considering whether needs are assessed for the activity which the payment funds, the Commission considers the main purpose of the payment. In the 2020 Review, the Commission said where the purpose of the payment ‘broadly aligns with the Commission’s expense assessments, the Commission would consider ‘needs are assessed’ for the payment.’</w:t>
      </w:r>
    </w:p>
    <w:p w14:paraId="23C7ADF0" w14:textId="569448D4" w:rsidR="00896307" w:rsidRPr="00896307" w:rsidRDefault="00896307" w:rsidP="00896307">
      <w:pPr>
        <w:pStyle w:val="Caption"/>
        <w:rPr>
          <w:rFonts w:ascii="Work Sans" w:hAnsi="Work Sans"/>
        </w:rPr>
      </w:pPr>
      <w:r w:rsidRPr="00896307">
        <w:rPr>
          <w:rFonts w:ascii="Work Sans" w:hAnsi="Work Sans"/>
        </w:rPr>
        <w:t xml:space="preserve">Figure </w:t>
      </w:r>
      <w:r w:rsidRPr="00896307">
        <w:rPr>
          <w:rFonts w:ascii="Work Sans" w:hAnsi="Work Sans"/>
        </w:rPr>
        <w:fldChar w:fldCharType="begin"/>
      </w:r>
      <w:r w:rsidRPr="00896307">
        <w:rPr>
          <w:rFonts w:ascii="Work Sans" w:hAnsi="Work Sans"/>
        </w:rPr>
        <w:instrText xml:space="preserve"> SEQ Figure \* ARABIC </w:instrText>
      </w:r>
      <w:r w:rsidRPr="00896307">
        <w:rPr>
          <w:rFonts w:ascii="Work Sans" w:hAnsi="Work Sans"/>
        </w:rPr>
        <w:fldChar w:fldCharType="separate"/>
      </w:r>
      <w:r w:rsidRPr="00896307">
        <w:rPr>
          <w:rFonts w:ascii="Work Sans" w:hAnsi="Work Sans"/>
          <w:noProof/>
        </w:rPr>
        <w:t>1</w:t>
      </w:r>
      <w:r w:rsidRPr="00896307">
        <w:rPr>
          <w:rFonts w:ascii="Work Sans" w:hAnsi="Work Sans"/>
        </w:rPr>
        <w:fldChar w:fldCharType="end"/>
      </w:r>
      <w:r w:rsidRPr="00896307">
        <w:rPr>
          <w:rFonts w:ascii="Work Sans" w:hAnsi="Work Sans"/>
        </w:rPr>
        <w:tab/>
        <w:t>Guideline for the treatment of Commonwealth payments</w:t>
      </w:r>
    </w:p>
    <w:p w14:paraId="6DBC233C" w14:textId="77777777" w:rsidR="00F5028B" w:rsidRDefault="00896307" w:rsidP="00F5028B">
      <w:pPr>
        <w:pStyle w:val="CGC2025ParaNumbers"/>
        <w:numPr>
          <w:ilvl w:val="0"/>
          <w:numId w:val="0"/>
        </w:numPr>
        <w:ind w:left="567" w:hanging="567"/>
      </w:pPr>
      <w:r>
        <w:rPr>
          <w:noProof/>
        </w:rPr>
        <w:drawing>
          <wp:inline distT="0" distB="0" distL="0" distR="0" wp14:anchorId="37EE7070" wp14:editId="515C59DE">
            <wp:extent cx="4735530" cy="2945505"/>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35530" cy="2945505"/>
                    </a:xfrm>
                    <a:prstGeom prst="rect">
                      <a:avLst/>
                    </a:prstGeom>
                  </pic:spPr>
                </pic:pic>
              </a:graphicData>
            </a:graphic>
          </wp:inline>
        </w:drawing>
      </w:r>
    </w:p>
    <w:p w14:paraId="212CD330" w14:textId="1B4512F0" w:rsidR="00161EE5" w:rsidRPr="003052A0" w:rsidRDefault="00440346" w:rsidP="00440346">
      <w:pPr>
        <w:pStyle w:val="CGC2025TableNote"/>
      </w:pPr>
      <w:r>
        <w:t>Source: The Commission.</w:t>
      </w:r>
    </w:p>
    <w:p w14:paraId="7F672DF5" w14:textId="701BCC4E" w:rsidR="00C612D4" w:rsidRPr="00C612D4" w:rsidRDefault="00D71528" w:rsidP="009B3C14">
      <w:pPr>
        <w:pStyle w:val="Heading3"/>
      </w:pPr>
      <w:bookmarkStart w:id="8" w:name="_Toc138692163"/>
      <w:r>
        <w:t xml:space="preserve">Data used in the </w:t>
      </w:r>
      <w:proofErr w:type="gramStart"/>
      <w:r>
        <w:t>assessment</w:t>
      </w:r>
      <w:bookmarkEnd w:id="6"/>
      <w:bookmarkEnd w:id="7"/>
      <w:bookmarkEnd w:id="8"/>
      <w:proofErr w:type="gramEnd"/>
    </w:p>
    <w:p w14:paraId="69F1866C" w14:textId="05224307" w:rsidR="0064164B" w:rsidRPr="00D5402F" w:rsidRDefault="0064164B" w:rsidP="004341D7">
      <w:pPr>
        <w:pStyle w:val="CGC2025ParaNumbers"/>
      </w:pPr>
      <w:bookmarkStart w:id="9" w:name="_Toc132729100"/>
      <w:bookmarkStart w:id="10" w:name="_Toc133236148"/>
      <w:bookmarkStart w:id="11" w:name="_Toc133236174"/>
      <w:r w:rsidRPr="00A006D1">
        <w:t>Data on</w:t>
      </w:r>
      <w:r>
        <w:t xml:space="preserve"> total revenue</w:t>
      </w:r>
      <w:r w:rsidRPr="00A006D1">
        <w:t xml:space="preserve"> </w:t>
      </w:r>
      <w:r>
        <w:t>received</w:t>
      </w:r>
      <w:r w:rsidRPr="00A006D1">
        <w:t xml:space="preserve"> </w:t>
      </w:r>
      <w:r>
        <w:t>by each state from Commonwealth payments are</w:t>
      </w:r>
      <w:r w:rsidRPr="00A006D1">
        <w:t xml:space="preserve"> sourced </w:t>
      </w:r>
      <w:bookmarkStart w:id="12" w:name="_Hlk135056896"/>
      <w:r w:rsidRPr="00A006D1">
        <w:t xml:space="preserve">from the Australian Bureau of Statistics’ Government Finance Statistics </w:t>
      </w:r>
      <w:bookmarkEnd w:id="12"/>
      <w:r w:rsidRPr="00A006D1">
        <w:t xml:space="preserve">and, for the last assessment year, </w:t>
      </w:r>
      <w:r>
        <w:t xml:space="preserve">from </w:t>
      </w:r>
      <w:r w:rsidR="004C160F">
        <w:t>s</w:t>
      </w:r>
      <w:r w:rsidRPr="00A006D1">
        <w:t xml:space="preserve">tate </w:t>
      </w:r>
      <w:r w:rsidR="004C160F">
        <w:t>r</w:t>
      </w:r>
      <w:r>
        <w:t xml:space="preserve">evenue </w:t>
      </w:r>
      <w:r w:rsidR="004C160F">
        <w:t>o</w:t>
      </w:r>
      <w:r>
        <w:t>ffices.</w:t>
      </w:r>
      <w:r>
        <w:rPr>
          <w:rStyle w:val="FootnoteReference"/>
          <w:rFonts w:eastAsia="Calibri" w:cs="Arial"/>
        </w:rPr>
        <w:footnoteReference w:id="3"/>
      </w:r>
    </w:p>
    <w:p w14:paraId="71BECFDF" w14:textId="77777777" w:rsidR="0064164B" w:rsidRDefault="0064164B" w:rsidP="004341D7">
      <w:pPr>
        <w:pStyle w:val="CGC2025ParaNumbers"/>
      </w:pPr>
      <w:r>
        <w:t xml:space="preserve">Data on the value of individual payments are sourced each year from the Commonwealth </w:t>
      </w:r>
      <w:r w:rsidRPr="00387790">
        <w:rPr>
          <w:i/>
          <w:iCs/>
        </w:rPr>
        <w:t>Final</w:t>
      </w:r>
      <w:r>
        <w:rPr>
          <w:i/>
          <w:iCs/>
        </w:rPr>
        <w:t> </w:t>
      </w:r>
      <w:r w:rsidRPr="00387790">
        <w:rPr>
          <w:i/>
          <w:iCs/>
        </w:rPr>
        <w:t>Budget Outcome</w:t>
      </w:r>
      <w:r>
        <w:t xml:space="preserve">, supplemented by data from the National </w:t>
      </w:r>
      <w:r>
        <w:lastRenderedPageBreak/>
        <w:t>Indigenous Australians Agency and Department of Health for a limited number of Commonwealth own-purpose expenses.</w:t>
      </w:r>
      <w:r>
        <w:rPr>
          <w:rStyle w:val="FootnoteReference"/>
        </w:rPr>
        <w:footnoteReference w:id="4"/>
      </w:r>
      <w:r>
        <w:t xml:space="preserve"> </w:t>
      </w:r>
    </w:p>
    <w:p w14:paraId="40399AC5" w14:textId="77777777" w:rsidR="0064164B" w:rsidRDefault="0064164B" w:rsidP="00B56710">
      <w:pPr>
        <w:pStyle w:val="CGC2025ParaNumbers"/>
      </w:pPr>
      <w:r>
        <w:t>Data from the Department of Infrastructure, Transport, Regional Development and Communications and the Arts are used to split certain infrastructure payments, where a different treatment is applied to different parts of these payments.</w:t>
      </w:r>
    </w:p>
    <w:p w14:paraId="5EA0325D" w14:textId="250B6AC9" w:rsidR="00361D06" w:rsidRDefault="00361D06" w:rsidP="00554A84">
      <w:pPr>
        <w:pStyle w:val="Heading3"/>
      </w:pPr>
      <w:bookmarkStart w:id="13" w:name="_Toc138692164"/>
      <w:r w:rsidRPr="00927945">
        <w:t xml:space="preserve">Category </w:t>
      </w:r>
      <w:bookmarkEnd w:id="9"/>
      <w:bookmarkEnd w:id="10"/>
      <w:bookmarkEnd w:id="11"/>
      <w:r w:rsidR="004341D7">
        <w:t>revenue</w:t>
      </w:r>
      <w:bookmarkEnd w:id="13"/>
    </w:p>
    <w:p w14:paraId="56A95539" w14:textId="77F50044" w:rsidR="00FA3533" w:rsidRDefault="000D2422" w:rsidP="00726CFD">
      <w:pPr>
        <w:pStyle w:val="CGC2025ParaNumbers"/>
      </w:pPr>
      <w:r>
        <w:t>In 2021</w:t>
      </w:r>
      <w:r w:rsidR="00916A96">
        <w:t>–</w:t>
      </w:r>
      <w:r>
        <w:t>22, states received different per capita amounts of the Commonwealth payments that affect the relativities (</w:t>
      </w:r>
      <w:r w:rsidR="001D716F">
        <w:fldChar w:fldCharType="begin"/>
      </w:r>
      <w:r w:rsidR="001D716F">
        <w:instrText xml:space="preserve"> REF _Ref137738536 \h </w:instrText>
      </w:r>
      <w:r w:rsidR="001D716F">
        <w:fldChar w:fldCharType="separate"/>
      </w:r>
      <w:r w:rsidR="001D716F" w:rsidRPr="005B17B8">
        <w:t xml:space="preserve">Table </w:t>
      </w:r>
      <w:r w:rsidR="001D716F" w:rsidRPr="005B17B8">
        <w:rPr>
          <w:noProof/>
        </w:rPr>
        <w:t>1</w:t>
      </w:r>
      <w:r w:rsidR="001D716F">
        <w:fldChar w:fldCharType="end"/>
      </w:r>
      <w:r>
        <w:t>).</w:t>
      </w:r>
    </w:p>
    <w:p w14:paraId="7FBC7166" w14:textId="35D560EF" w:rsidR="00FA3533" w:rsidRPr="005B17B8" w:rsidRDefault="00FA3533" w:rsidP="00FA3533">
      <w:pPr>
        <w:pStyle w:val="Caption"/>
        <w:rPr>
          <w:rFonts w:ascii="Work Sans" w:hAnsi="Work Sans"/>
        </w:rPr>
      </w:pPr>
      <w:bookmarkStart w:id="14" w:name="_Ref137738536"/>
      <w:r w:rsidRPr="005B17B8">
        <w:rPr>
          <w:rFonts w:ascii="Work Sans" w:hAnsi="Work Sans"/>
        </w:rPr>
        <w:t xml:space="preserve">Table </w:t>
      </w:r>
      <w:r w:rsidRPr="005B17B8">
        <w:rPr>
          <w:rFonts w:ascii="Work Sans" w:hAnsi="Work Sans"/>
        </w:rPr>
        <w:fldChar w:fldCharType="begin"/>
      </w:r>
      <w:r w:rsidRPr="005B17B8">
        <w:rPr>
          <w:rFonts w:ascii="Work Sans" w:hAnsi="Work Sans"/>
        </w:rPr>
        <w:instrText xml:space="preserve"> SEQ Table \* ARABIC </w:instrText>
      </w:r>
      <w:r w:rsidRPr="005B17B8">
        <w:rPr>
          <w:rFonts w:ascii="Work Sans" w:hAnsi="Work Sans"/>
        </w:rPr>
        <w:fldChar w:fldCharType="separate"/>
      </w:r>
      <w:r w:rsidR="003F3418">
        <w:rPr>
          <w:rFonts w:ascii="Work Sans" w:hAnsi="Work Sans"/>
          <w:noProof/>
        </w:rPr>
        <w:t>1</w:t>
      </w:r>
      <w:r w:rsidRPr="005B17B8">
        <w:rPr>
          <w:rFonts w:ascii="Work Sans" w:hAnsi="Work Sans"/>
        </w:rPr>
        <w:fldChar w:fldCharType="end"/>
      </w:r>
      <w:bookmarkEnd w:id="14"/>
      <w:r w:rsidRPr="005B17B8">
        <w:rPr>
          <w:rFonts w:ascii="Work Sans" w:hAnsi="Work Sans"/>
        </w:rPr>
        <w:tab/>
        <w:t>Total Commonwealth payments affecting the relativities, 2021</w:t>
      </w:r>
      <w:r w:rsidR="005B17B8" w:rsidRPr="005B17B8">
        <w:rPr>
          <w:rFonts w:ascii="Work Sans" w:hAnsi="Work Sans"/>
        </w:rPr>
        <w:t>–</w:t>
      </w:r>
      <w:proofErr w:type="gramStart"/>
      <w:r w:rsidRPr="005B17B8">
        <w:rPr>
          <w:rFonts w:ascii="Work Sans" w:hAnsi="Work Sans"/>
        </w:rPr>
        <w:t>22</w:t>
      </w:r>
      <w:proofErr w:type="gramEnd"/>
    </w:p>
    <w:tbl>
      <w:tblPr>
        <w:tblW w:w="8680" w:type="dxa"/>
        <w:tblLook w:val="04A0" w:firstRow="1" w:lastRow="0" w:firstColumn="1" w:lastColumn="0" w:noHBand="0" w:noVBand="1"/>
      </w:tblPr>
      <w:tblGrid>
        <w:gridCol w:w="1900"/>
        <w:gridCol w:w="820"/>
        <w:gridCol w:w="720"/>
        <w:gridCol w:w="820"/>
        <w:gridCol w:w="720"/>
        <w:gridCol w:w="720"/>
        <w:gridCol w:w="720"/>
        <w:gridCol w:w="720"/>
        <w:gridCol w:w="720"/>
        <w:gridCol w:w="820"/>
      </w:tblGrid>
      <w:tr w:rsidR="00FA3533" w:rsidRPr="00205823" w14:paraId="75307AC6" w14:textId="77777777" w:rsidTr="00793742">
        <w:trPr>
          <w:trHeight w:val="381"/>
        </w:trPr>
        <w:tc>
          <w:tcPr>
            <w:tcW w:w="1900" w:type="dxa"/>
            <w:tcBorders>
              <w:top w:val="nil"/>
              <w:left w:val="nil"/>
              <w:bottom w:val="nil"/>
              <w:right w:val="nil"/>
            </w:tcBorders>
            <w:shd w:val="clear" w:color="000000" w:fill="006991"/>
            <w:vAlign w:val="bottom"/>
            <w:hideMark/>
          </w:tcPr>
          <w:p w14:paraId="4CE0DE16" w14:textId="77777777" w:rsidR="00FA3533" w:rsidRPr="00205823" w:rsidRDefault="00FA3533" w:rsidP="00793742">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15" w:name="RANGE!A87:J89"/>
            <w:r w:rsidRPr="00205823">
              <w:rPr>
                <w:rFonts w:ascii="Open Sans Semibold" w:eastAsia="Times New Roman" w:hAnsi="Open Sans Semibold" w:cs="Open Sans Semibold"/>
                <w:color w:val="FFFFFF"/>
                <w:sz w:val="16"/>
                <w:szCs w:val="16"/>
                <w:lang w:eastAsia="en-AU"/>
              </w:rPr>
              <w:t> </w:t>
            </w:r>
            <w:bookmarkEnd w:id="15"/>
          </w:p>
        </w:tc>
        <w:tc>
          <w:tcPr>
            <w:tcW w:w="820" w:type="dxa"/>
            <w:tcBorders>
              <w:top w:val="nil"/>
              <w:left w:val="nil"/>
              <w:bottom w:val="nil"/>
              <w:right w:val="nil"/>
            </w:tcBorders>
            <w:shd w:val="clear" w:color="000000" w:fill="006991"/>
            <w:vAlign w:val="center"/>
            <w:hideMark/>
          </w:tcPr>
          <w:p w14:paraId="69B4DC17"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5A6C3FFC"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Vic</w:t>
            </w:r>
          </w:p>
        </w:tc>
        <w:tc>
          <w:tcPr>
            <w:tcW w:w="820" w:type="dxa"/>
            <w:tcBorders>
              <w:top w:val="nil"/>
              <w:left w:val="nil"/>
              <w:bottom w:val="nil"/>
              <w:right w:val="nil"/>
            </w:tcBorders>
            <w:shd w:val="clear" w:color="000000" w:fill="006991"/>
            <w:vAlign w:val="center"/>
            <w:hideMark/>
          </w:tcPr>
          <w:p w14:paraId="05DF9A64"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6E329AC2"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2667F9AB"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7DE1CBE4"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5A57E190"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78753557"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NT</w:t>
            </w:r>
          </w:p>
        </w:tc>
        <w:tc>
          <w:tcPr>
            <w:tcW w:w="820" w:type="dxa"/>
            <w:tcBorders>
              <w:top w:val="nil"/>
              <w:left w:val="nil"/>
              <w:bottom w:val="nil"/>
              <w:right w:val="nil"/>
            </w:tcBorders>
            <w:shd w:val="clear" w:color="000000" w:fill="006991"/>
            <w:vAlign w:val="center"/>
            <w:hideMark/>
          </w:tcPr>
          <w:p w14:paraId="438C3740" w14:textId="77777777" w:rsidR="00FA3533" w:rsidRPr="00205823" w:rsidRDefault="00FA3533" w:rsidP="0079374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05823">
              <w:rPr>
                <w:rFonts w:ascii="Open Sans Semibold" w:eastAsia="Times New Roman" w:hAnsi="Open Sans Semibold" w:cs="Open Sans Semibold"/>
                <w:color w:val="FFFFFF"/>
                <w:sz w:val="16"/>
                <w:szCs w:val="16"/>
                <w:lang w:eastAsia="en-AU"/>
              </w:rPr>
              <w:t>Total</w:t>
            </w:r>
          </w:p>
        </w:tc>
      </w:tr>
      <w:tr w:rsidR="00FA3533" w:rsidRPr="00205823" w14:paraId="341792D0" w14:textId="77777777" w:rsidTr="00793742">
        <w:trPr>
          <w:trHeight w:val="315"/>
        </w:trPr>
        <w:tc>
          <w:tcPr>
            <w:tcW w:w="1900" w:type="dxa"/>
            <w:tcBorders>
              <w:top w:val="single" w:sz="4" w:space="0" w:color="ADD6EA"/>
              <w:left w:val="nil"/>
              <w:bottom w:val="nil"/>
              <w:right w:val="nil"/>
            </w:tcBorders>
            <w:shd w:val="clear" w:color="auto" w:fill="auto"/>
            <w:vAlign w:val="bottom"/>
            <w:hideMark/>
          </w:tcPr>
          <w:p w14:paraId="5FE2E6AE" w14:textId="77777777" w:rsidR="00FA3533" w:rsidRPr="00205823" w:rsidRDefault="00FA3533" w:rsidP="00793742">
            <w:pPr>
              <w:tabs>
                <w:tab w:val="clear" w:pos="567"/>
              </w:tabs>
              <w:spacing w:before="0" w:line="240" w:lineRule="auto"/>
              <w:rPr>
                <w:rFonts w:eastAsia="Times New Roman" w:cs="Open Sans Light"/>
                <w:color w:val="000000"/>
                <w:sz w:val="16"/>
                <w:szCs w:val="16"/>
                <w:lang w:eastAsia="en-AU"/>
              </w:rPr>
            </w:pPr>
            <w:r w:rsidRPr="00205823">
              <w:rPr>
                <w:rFonts w:eastAsia="Times New Roman" w:cs="Open Sans Light"/>
                <w:color w:val="000000"/>
                <w:sz w:val="16"/>
                <w:szCs w:val="16"/>
                <w:lang w:eastAsia="en-AU"/>
              </w:rPr>
              <w:t>Total payments ($m)</w:t>
            </w:r>
          </w:p>
        </w:tc>
        <w:tc>
          <w:tcPr>
            <w:tcW w:w="820" w:type="dxa"/>
            <w:tcBorders>
              <w:top w:val="single" w:sz="4" w:space="0" w:color="ADD6EA"/>
              <w:left w:val="nil"/>
              <w:bottom w:val="nil"/>
              <w:right w:val="nil"/>
            </w:tcBorders>
            <w:shd w:val="clear" w:color="auto" w:fill="auto"/>
            <w:noWrap/>
            <w:vAlign w:val="bottom"/>
            <w:hideMark/>
          </w:tcPr>
          <w:p w14:paraId="1EB878A8"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13,485</w:t>
            </w:r>
          </w:p>
        </w:tc>
        <w:tc>
          <w:tcPr>
            <w:tcW w:w="720" w:type="dxa"/>
            <w:tcBorders>
              <w:top w:val="single" w:sz="4" w:space="0" w:color="ADD6EA"/>
              <w:left w:val="nil"/>
              <w:bottom w:val="nil"/>
              <w:right w:val="nil"/>
            </w:tcBorders>
            <w:shd w:val="clear" w:color="auto" w:fill="auto"/>
            <w:noWrap/>
            <w:vAlign w:val="bottom"/>
            <w:hideMark/>
          </w:tcPr>
          <w:p w14:paraId="25F97789"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9,906</w:t>
            </w:r>
          </w:p>
        </w:tc>
        <w:tc>
          <w:tcPr>
            <w:tcW w:w="820" w:type="dxa"/>
            <w:tcBorders>
              <w:top w:val="single" w:sz="4" w:space="0" w:color="ADD6EA"/>
              <w:left w:val="nil"/>
              <w:bottom w:val="nil"/>
              <w:right w:val="nil"/>
            </w:tcBorders>
            <w:shd w:val="clear" w:color="auto" w:fill="auto"/>
            <w:noWrap/>
            <w:vAlign w:val="bottom"/>
            <w:hideMark/>
          </w:tcPr>
          <w:p w14:paraId="6E6B8694"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10,230</w:t>
            </w:r>
          </w:p>
        </w:tc>
        <w:tc>
          <w:tcPr>
            <w:tcW w:w="720" w:type="dxa"/>
            <w:tcBorders>
              <w:top w:val="single" w:sz="4" w:space="0" w:color="ADD6EA"/>
              <w:left w:val="nil"/>
              <w:bottom w:val="nil"/>
              <w:right w:val="nil"/>
            </w:tcBorders>
            <w:shd w:val="clear" w:color="auto" w:fill="auto"/>
            <w:noWrap/>
            <w:vAlign w:val="bottom"/>
            <w:hideMark/>
          </w:tcPr>
          <w:p w14:paraId="2E16C45E"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5,168</w:t>
            </w:r>
          </w:p>
        </w:tc>
        <w:tc>
          <w:tcPr>
            <w:tcW w:w="720" w:type="dxa"/>
            <w:tcBorders>
              <w:top w:val="single" w:sz="4" w:space="0" w:color="ADD6EA"/>
              <w:left w:val="nil"/>
              <w:bottom w:val="nil"/>
              <w:right w:val="nil"/>
            </w:tcBorders>
            <w:shd w:val="clear" w:color="auto" w:fill="auto"/>
            <w:noWrap/>
            <w:vAlign w:val="bottom"/>
            <w:hideMark/>
          </w:tcPr>
          <w:p w14:paraId="3A781381"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3,112</w:t>
            </w:r>
          </w:p>
        </w:tc>
        <w:tc>
          <w:tcPr>
            <w:tcW w:w="720" w:type="dxa"/>
            <w:tcBorders>
              <w:top w:val="single" w:sz="4" w:space="0" w:color="ADD6EA"/>
              <w:left w:val="nil"/>
              <w:bottom w:val="nil"/>
              <w:right w:val="nil"/>
            </w:tcBorders>
            <w:shd w:val="clear" w:color="auto" w:fill="auto"/>
            <w:noWrap/>
            <w:vAlign w:val="bottom"/>
            <w:hideMark/>
          </w:tcPr>
          <w:p w14:paraId="2B910F09"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1,041</w:t>
            </w:r>
          </w:p>
        </w:tc>
        <w:tc>
          <w:tcPr>
            <w:tcW w:w="720" w:type="dxa"/>
            <w:tcBorders>
              <w:top w:val="single" w:sz="4" w:space="0" w:color="ADD6EA"/>
              <w:left w:val="nil"/>
              <w:bottom w:val="nil"/>
              <w:right w:val="nil"/>
            </w:tcBorders>
            <w:shd w:val="clear" w:color="auto" w:fill="auto"/>
            <w:noWrap/>
            <w:vAlign w:val="bottom"/>
            <w:hideMark/>
          </w:tcPr>
          <w:p w14:paraId="76FA9792"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671</w:t>
            </w:r>
          </w:p>
        </w:tc>
        <w:tc>
          <w:tcPr>
            <w:tcW w:w="720" w:type="dxa"/>
            <w:tcBorders>
              <w:top w:val="single" w:sz="4" w:space="0" w:color="ADD6EA"/>
              <w:left w:val="nil"/>
              <w:bottom w:val="nil"/>
              <w:right w:val="nil"/>
            </w:tcBorders>
            <w:shd w:val="clear" w:color="auto" w:fill="auto"/>
            <w:noWrap/>
            <w:vAlign w:val="bottom"/>
            <w:hideMark/>
          </w:tcPr>
          <w:p w14:paraId="0695AAF0"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873</w:t>
            </w:r>
          </w:p>
        </w:tc>
        <w:tc>
          <w:tcPr>
            <w:tcW w:w="820" w:type="dxa"/>
            <w:tcBorders>
              <w:top w:val="single" w:sz="4" w:space="0" w:color="ADD6EA"/>
              <w:left w:val="nil"/>
              <w:bottom w:val="nil"/>
              <w:right w:val="nil"/>
            </w:tcBorders>
            <w:shd w:val="clear" w:color="auto" w:fill="auto"/>
            <w:noWrap/>
            <w:vAlign w:val="bottom"/>
            <w:hideMark/>
          </w:tcPr>
          <w:p w14:paraId="36CB6612"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44,487</w:t>
            </w:r>
          </w:p>
        </w:tc>
      </w:tr>
      <w:tr w:rsidR="00FA3533" w:rsidRPr="00205823" w14:paraId="27BAF154" w14:textId="77777777" w:rsidTr="00793742">
        <w:trPr>
          <w:trHeight w:val="315"/>
        </w:trPr>
        <w:tc>
          <w:tcPr>
            <w:tcW w:w="1900" w:type="dxa"/>
            <w:tcBorders>
              <w:top w:val="single" w:sz="4" w:space="0" w:color="ADD6EA"/>
              <w:left w:val="nil"/>
              <w:bottom w:val="single" w:sz="4" w:space="0" w:color="ADD6EA"/>
              <w:right w:val="nil"/>
            </w:tcBorders>
            <w:shd w:val="clear" w:color="auto" w:fill="auto"/>
            <w:vAlign w:val="bottom"/>
            <w:hideMark/>
          </w:tcPr>
          <w:p w14:paraId="0767F9FA" w14:textId="77777777" w:rsidR="00FA3533" w:rsidRPr="00205823" w:rsidRDefault="00FA3533" w:rsidP="00793742">
            <w:pPr>
              <w:tabs>
                <w:tab w:val="clear" w:pos="567"/>
              </w:tabs>
              <w:spacing w:before="0" w:line="240" w:lineRule="auto"/>
              <w:rPr>
                <w:rFonts w:eastAsia="Times New Roman" w:cs="Open Sans Light"/>
                <w:color w:val="000000"/>
                <w:sz w:val="16"/>
                <w:szCs w:val="16"/>
                <w:lang w:eastAsia="en-AU"/>
              </w:rPr>
            </w:pPr>
            <w:r w:rsidRPr="00205823">
              <w:rPr>
                <w:rFonts w:eastAsia="Times New Roman" w:cs="Open Sans Light"/>
                <w:color w:val="000000"/>
                <w:sz w:val="16"/>
                <w:szCs w:val="16"/>
                <w:lang w:eastAsia="en-AU"/>
              </w:rPr>
              <w:t>Total payments ($pc)</w:t>
            </w:r>
          </w:p>
        </w:tc>
        <w:tc>
          <w:tcPr>
            <w:tcW w:w="820" w:type="dxa"/>
            <w:tcBorders>
              <w:top w:val="single" w:sz="4" w:space="0" w:color="ADD6EA"/>
              <w:left w:val="nil"/>
              <w:bottom w:val="single" w:sz="4" w:space="0" w:color="ADD6EA"/>
              <w:right w:val="nil"/>
            </w:tcBorders>
            <w:shd w:val="clear" w:color="auto" w:fill="auto"/>
            <w:noWrap/>
            <w:vAlign w:val="bottom"/>
            <w:hideMark/>
          </w:tcPr>
          <w:p w14:paraId="3AED9914"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1,666</w:t>
            </w:r>
          </w:p>
        </w:tc>
        <w:tc>
          <w:tcPr>
            <w:tcW w:w="720" w:type="dxa"/>
            <w:tcBorders>
              <w:top w:val="single" w:sz="4" w:space="0" w:color="ADD6EA"/>
              <w:left w:val="nil"/>
              <w:bottom w:val="single" w:sz="4" w:space="0" w:color="ADD6EA"/>
              <w:right w:val="nil"/>
            </w:tcBorders>
            <w:shd w:val="clear" w:color="auto" w:fill="auto"/>
            <w:noWrap/>
            <w:vAlign w:val="bottom"/>
            <w:hideMark/>
          </w:tcPr>
          <w:p w14:paraId="48166304"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1,510</w:t>
            </w:r>
          </w:p>
        </w:tc>
        <w:tc>
          <w:tcPr>
            <w:tcW w:w="820" w:type="dxa"/>
            <w:tcBorders>
              <w:top w:val="single" w:sz="4" w:space="0" w:color="ADD6EA"/>
              <w:left w:val="nil"/>
              <w:bottom w:val="single" w:sz="4" w:space="0" w:color="ADD6EA"/>
              <w:right w:val="nil"/>
            </w:tcBorders>
            <w:shd w:val="clear" w:color="auto" w:fill="auto"/>
            <w:noWrap/>
            <w:vAlign w:val="bottom"/>
            <w:hideMark/>
          </w:tcPr>
          <w:p w14:paraId="1DE166A0"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1,943</w:t>
            </w:r>
          </w:p>
        </w:tc>
        <w:tc>
          <w:tcPr>
            <w:tcW w:w="720" w:type="dxa"/>
            <w:tcBorders>
              <w:top w:val="single" w:sz="4" w:space="0" w:color="ADD6EA"/>
              <w:left w:val="nil"/>
              <w:bottom w:val="single" w:sz="4" w:space="0" w:color="ADD6EA"/>
              <w:right w:val="nil"/>
            </w:tcBorders>
            <w:shd w:val="clear" w:color="auto" w:fill="auto"/>
            <w:noWrap/>
            <w:vAlign w:val="bottom"/>
            <w:hideMark/>
          </w:tcPr>
          <w:p w14:paraId="6B2AB741"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1,871</w:t>
            </w:r>
          </w:p>
        </w:tc>
        <w:tc>
          <w:tcPr>
            <w:tcW w:w="720" w:type="dxa"/>
            <w:tcBorders>
              <w:top w:val="single" w:sz="4" w:space="0" w:color="ADD6EA"/>
              <w:left w:val="nil"/>
              <w:bottom w:val="single" w:sz="4" w:space="0" w:color="ADD6EA"/>
              <w:right w:val="nil"/>
            </w:tcBorders>
            <w:shd w:val="clear" w:color="auto" w:fill="auto"/>
            <w:noWrap/>
            <w:vAlign w:val="bottom"/>
            <w:hideMark/>
          </w:tcPr>
          <w:p w14:paraId="60C51C1E"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1,723</w:t>
            </w:r>
          </w:p>
        </w:tc>
        <w:tc>
          <w:tcPr>
            <w:tcW w:w="720" w:type="dxa"/>
            <w:tcBorders>
              <w:top w:val="single" w:sz="4" w:space="0" w:color="ADD6EA"/>
              <w:left w:val="nil"/>
              <w:bottom w:val="single" w:sz="4" w:space="0" w:color="ADD6EA"/>
              <w:right w:val="nil"/>
            </w:tcBorders>
            <w:shd w:val="clear" w:color="auto" w:fill="auto"/>
            <w:noWrap/>
            <w:vAlign w:val="bottom"/>
            <w:hideMark/>
          </w:tcPr>
          <w:p w14:paraId="04D48D22"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1,827</w:t>
            </w:r>
          </w:p>
        </w:tc>
        <w:tc>
          <w:tcPr>
            <w:tcW w:w="720" w:type="dxa"/>
            <w:tcBorders>
              <w:top w:val="single" w:sz="4" w:space="0" w:color="ADD6EA"/>
              <w:left w:val="nil"/>
              <w:bottom w:val="single" w:sz="4" w:space="0" w:color="ADD6EA"/>
              <w:right w:val="nil"/>
            </w:tcBorders>
            <w:shd w:val="clear" w:color="auto" w:fill="auto"/>
            <w:noWrap/>
            <w:vAlign w:val="bottom"/>
            <w:hideMark/>
          </w:tcPr>
          <w:p w14:paraId="693709D8"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1,480</w:t>
            </w:r>
          </w:p>
        </w:tc>
        <w:tc>
          <w:tcPr>
            <w:tcW w:w="720" w:type="dxa"/>
            <w:tcBorders>
              <w:top w:val="single" w:sz="4" w:space="0" w:color="ADD6EA"/>
              <w:left w:val="nil"/>
              <w:bottom w:val="single" w:sz="4" w:space="0" w:color="ADD6EA"/>
              <w:right w:val="nil"/>
            </w:tcBorders>
            <w:shd w:val="clear" w:color="auto" w:fill="auto"/>
            <w:noWrap/>
            <w:vAlign w:val="bottom"/>
            <w:hideMark/>
          </w:tcPr>
          <w:p w14:paraId="7F81A205"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3,502</w:t>
            </w:r>
          </w:p>
        </w:tc>
        <w:tc>
          <w:tcPr>
            <w:tcW w:w="820" w:type="dxa"/>
            <w:tcBorders>
              <w:top w:val="single" w:sz="4" w:space="0" w:color="ADD6EA"/>
              <w:left w:val="nil"/>
              <w:bottom w:val="single" w:sz="4" w:space="0" w:color="ADD6EA"/>
              <w:right w:val="nil"/>
            </w:tcBorders>
            <w:shd w:val="clear" w:color="auto" w:fill="auto"/>
            <w:noWrap/>
            <w:vAlign w:val="bottom"/>
            <w:hideMark/>
          </w:tcPr>
          <w:p w14:paraId="2B319201" w14:textId="77777777" w:rsidR="00FA3533" w:rsidRPr="00205823" w:rsidRDefault="00FA3533" w:rsidP="00793742">
            <w:pPr>
              <w:tabs>
                <w:tab w:val="clear" w:pos="567"/>
              </w:tabs>
              <w:spacing w:before="0" w:line="240" w:lineRule="auto"/>
              <w:jc w:val="right"/>
              <w:rPr>
                <w:rFonts w:eastAsia="Times New Roman" w:cs="Open Sans Light"/>
                <w:color w:val="000000"/>
                <w:sz w:val="16"/>
                <w:szCs w:val="16"/>
                <w:lang w:eastAsia="en-AU"/>
              </w:rPr>
            </w:pPr>
            <w:r w:rsidRPr="00205823">
              <w:rPr>
                <w:rFonts w:eastAsia="Times New Roman" w:cs="Open Sans Light"/>
                <w:color w:val="000000"/>
                <w:sz w:val="16"/>
                <w:szCs w:val="16"/>
                <w:lang w:eastAsia="en-AU"/>
              </w:rPr>
              <w:t>1,727</w:t>
            </w:r>
          </w:p>
        </w:tc>
      </w:tr>
    </w:tbl>
    <w:p w14:paraId="7B021B61" w14:textId="449DC343" w:rsidR="000D2422" w:rsidRDefault="00503618" w:rsidP="00DF6C50">
      <w:pPr>
        <w:pStyle w:val="CGC2025TableNote"/>
      </w:pPr>
      <w:r>
        <w:t>Source</w:t>
      </w:r>
      <w:r w:rsidR="005B17B8">
        <w:t>:</w:t>
      </w:r>
      <w:r w:rsidR="00DF6C50">
        <w:t xml:space="preserve"> Commission calculation.</w:t>
      </w:r>
    </w:p>
    <w:p w14:paraId="29D30B19" w14:textId="77777777" w:rsidR="00726CFD" w:rsidRDefault="00726CFD" w:rsidP="00DF6C50">
      <w:pPr>
        <w:pStyle w:val="CGC2025TableNote"/>
      </w:pPr>
    </w:p>
    <w:p w14:paraId="4B8C1F52" w14:textId="0569C05D" w:rsidR="00943112" w:rsidRDefault="0016344A" w:rsidP="0016344A">
      <w:pPr>
        <w:pStyle w:val="CGC2025ParaNumbers"/>
      </w:pPr>
      <w:r>
        <w:fldChar w:fldCharType="begin"/>
      </w:r>
      <w:r>
        <w:instrText xml:space="preserve"> REF _Ref137738752 \h </w:instrText>
      </w:r>
      <w:r>
        <w:fldChar w:fldCharType="separate"/>
      </w:r>
      <w:r w:rsidRPr="0016344A">
        <w:t xml:space="preserve">Table </w:t>
      </w:r>
      <w:r w:rsidRPr="0016344A">
        <w:rPr>
          <w:noProof/>
        </w:rPr>
        <w:t>2</w:t>
      </w:r>
      <w:r>
        <w:fldChar w:fldCharType="end"/>
      </w:r>
      <w:r>
        <w:t xml:space="preserve"> </w:t>
      </w:r>
      <w:r w:rsidR="00D34E63">
        <w:t xml:space="preserve">shows the breakdown of total </w:t>
      </w:r>
      <w:r w:rsidR="00D34E63">
        <w:rPr>
          <w:noProof/>
        </w:rPr>
        <w:t>Commonwealth contribution to states and the value of payments assessed</w:t>
      </w:r>
      <w:r w:rsidR="00D34E63" w:rsidRPr="0081219B">
        <w:rPr>
          <w:noProof/>
        </w:rPr>
        <w:t>.</w:t>
      </w:r>
    </w:p>
    <w:p w14:paraId="6F3C16EC" w14:textId="18E0B042" w:rsidR="00943112" w:rsidRPr="0016344A" w:rsidRDefault="00943112" w:rsidP="00943112">
      <w:pPr>
        <w:pStyle w:val="Caption"/>
        <w:rPr>
          <w:rFonts w:ascii="Work Sans" w:hAnsi="Work Sans"/>
        </w:rPr>
      </w:pPr>
      <w:bookmarkStart w:id="16" w:name="_Ref137738752"/>
      <w:r w:rsidRPr="0016344A">
        <w:rPr>
          <w:rFonts w:ascii="Work Sans" w:hAnsi="Work Sans"/>
        </w:rPr>
        <w:t xml:space="preserve">Table </w:t>
      </w:r>
      <w:r w:rsidRPr="0016344A">
        <w:rPr>
          <w:rFonts w:ascii="Work Sans" w:hAnsi="Work Sans"/>
        </w:rPr>
        <w:fldChar w:fldCharType="begin"/>
      </w:r>
      <w:r w:rsidRPr="0016344A">
        <w:rPr>
          <w:rFonts w:ascii="Work Sans" w:hAnsi="Work Sans"/>
        </w:rPr>
        <w:instrText xml:space="preserve"> SEQ Table \* ARABIC </w:instrText>
      </w:r>
      <w:r w:rsidRPr="0016344A">
        <w:rPr>
          <w:rFonts w:ascii="Work Sans" w:hAnsi="Work Sans"/>
        </w:rPr>
        <w:fldChar w:fldCharType="separate"/>
      </w:r>
      <w:r w:rsidR="003F3418">
        <w:rPr>
          <w:rFonts w:ascii="Work Sans" w:hAnsi="Work Sans"/>
          <w:noProof/>
        </w:rPr>
        <w:t>2</w:t>
      </w:r>
      <w:r w:rsidRPr="0016344A">
        <w:rPr>
          <w:rFonts w:ascii="Work Sans" w:hAnsi="Work Sans"/>
        </w:rPr>
        <w:fldChar w:fldCharType="end"/>
      </w:r>
      <w:bookmarkEnd w:id="16"/>
      <w:r w:rsidR="0016344A" w:rsidRPr="0016344A">
        <w:rPr>
          <w:rFonts w:ascii="Work Sans" w:hAnsi="Work Sans"/>
        </w:rPr>
        <w:tab/>
      </w:r>
      <w:r w:rsidRPr="0016344A">
        <w:rPr>
          <w:rFonts w:ascii="Work Sans" w:hAnsi="Work Sans"/>
        </w:rPr>
        <w:t>Total Commonwealth contribution to states</w:t>
      </w:r>
    </w:p>
    <w:tbl>
      <w:tblPr>
        <w:tblW w:w="8931" w:type="dxa"/>
        <w:tblLook w:val="04A0" w:firstRow="1" w:lastRow="0" w:firstColumn="1" w:lastColumn="0" w:noHBand="0" w:noVBand="1"/>
      </w:tblPr>
      <w:tblGrid>
        <w:gridCol w:w="4720"/>
        <w:gridCol w:w="1234"/>
        <w:gridCol w:w="992"/>
        <w:gridCol w:w="992"/>
        <w:gridCol w:w="993"/>
      </w:tblGrid>
      <w:tr w:rsidR="00943112" w:rsidRPr="00721FFD" w14:paraId="56C0B99F" w14:textId="77777777" w:rsidTr="00793742">
        <w:trPr>
          <w:trHeight w:val="315"/>
        </w:trPr>
        <w:tc>
          <w:tcPr>
            <w:tcW w:w="4720" w:type="dxa"/>
            <w:tcBorders>
              <w:top w:val="single" w:sz="8" w:space="0" w:color="ADD6EA"/>
              <w:left w:val="nil"/>
              <w:bottom w:val="nil"/>
              <w:right w:val="nil"/>
            </w:tcBorders>
            <w:shd w:val="clear" w:color="000000" w:fill="006991"/>
            <w:noWrap/>
            <w:vAlign w:val="center"/>
            <w:hideMark/>
          </w:tcPr>
          <w:p w14:paraId="70D628EE" w14:textId="77777777" w:rsidR="00943112" w:rsidRPr="00721FFD" w:rsidRDefault="00943112" w:rsidP="00793742">
            <w:pPr>
              <w:tabs>
                <w:tab w:val="clear" w:pos="567"/>
              </w:tabs>
              <w:spacing w:before="0" w:line="240" w:lineRule="auto"/>
              <w:jc w:val="right"/>
              <w:rPr>
                <w:rFonts w:ascii="Work Sans" w:eastAsia="Times New Roman" w:hAnsi="Work Sans" w:cs="Times New Roman"/>
                <w:b/>
                <w:bCs/>
                <w:color w:val="FFFFFF"/>
                <w:sz w:val="16"/>
                <w:szCs w:val="16"/>
                <w:lang w:eastAsia="en-AU"/>
              </w:rPr>
            </w:pPr>
            <w:bookmarkStart w:id="17" w:name="RANGE!A72:E79"/>
            <w:r w:rsidRPr="00721FFD">
              <w:rPr>
                <w:rFonts w:ascii="Work Sans" w:eastAsia="Times New Roman" w:hAnsi="Work Sans" w:cs="Times New Roman"/>
                <w:b/>
                <w:bCs/>
                <w:color w:val="FFFFFF"/>
                <w:sz w:val="16"/>
                <w:szCs w:val="16"/>
                <w:lang w:eastAsia="en-AU"/>
              </w:rPr>
              <w:t> </w:t>
            </w:r>
            <w:bookmarkEnd w:id="17"/>
          </w:p>
        </w:tc>
        <w:tc>
          <w:tcPr>
            <w:tcW w:w="1234" w:type="dxa"/>
            <w:tcBorders>
              <w:top w:val="single" w:sz="8" w:space="0" w:color="ADD6EA"/>
              <w:left w:val="nil"/>
              <w:bottom w:val="nil"/>
              <w:right w:val="nil"/>
            </w:tcBorders>
            <w:shd w:val="clear" w:color="000000" w:fill="006991"/>
            <w:noWrap/>
            <w:vAlign w:val="center"/>
            <w:hideMark/>
          </w:tcPr>
          <w:p w14:paraId="62ED2B18" w14:textId="77777777" w:rsidR="00943112" w:rsidRPr="00721FFD" w:rsidRDefault="00943112" w:rsidP="00793742">
            <w:pPr>
              <w:tabs>
                <w:tab w:val="clear" w:pos="567"/>
              </w:tabs>
              <w:spacing w:before="0" w:line="240" w:lineRule="auto"/>
              <w:jc w:val="right"/>
              <w:rPr>
                <w:rFonts w:ascii="Work Sans" w:eastAsia="Times New Roman" w:hAnsi="Work Sans" w:cs="Times New Roman"/>
                <w:b/>
                <w:bCs/>
                <w:color w:val="FFFFFF"/>
                <w:sz w:val="16"/>
                <w:szCs w:val="16"/>
                <w:lang w:eastAsia="en-AU"/>
              </w:rPr>
            </w:pPr>
            <w:r w:rsidRPr="00721FFD">
              <w:rPr>
                <w:rFonts w:ascii="Work Sans" w:eastAsia="Times New Roman" w:hAnsi="Work Sans" w:cs="Times New Roman"/>
                <w:b/>
                <w:bCs/>
                <w:color w:val="FFFFFF"/>
                <w:sz w:val="16"/>
                <w:szCs w:val="16"/>
                <w:lang w:eastAsia="en-AU"/>
              </w:rPr>
              <w:t>2018</w:t>
            </w:r>
            <w:r>
              <w:rPr>
                <w:rFonts w:ascii="Work Sans" w:eastAsia="Times New Roman" w:hAnsi="Work Sans" w:cs="Times New Roman"/>
                <w:b/>
                <w:bCs/>
                <w:color w:val="FFFFFF"/>
                <w:sz w:val="16"/>
                <w:szCs w:val="16"/>
                <w:lang w:eastAsia="en-AU"/>
              </w:rPr>
              <w:t>–</w:t>
            </w:r>
            <w:r w:rsidRPr="00721FFD">
              <w:rPr>
                <w:rFonts w:ascii="Work Sans" w:eastAsia="Times New Roman" w:hAnsi="Work Sans" w:cs="Times New Roman"/>
                <w:b/>
                <w:bCs/>
                <w:color w:val="FFFFFF"/>
                <w:sz w:val="16"/>
                <w:szCs w:val="16"/>
                <w:lang w:eastAsia="en-AU"/>
              </w:rPr>
              <w:t>19</w:t>
            </w:r>
          </w:p>
        </w:tc>
        <w:tc>
          <w:tcPr>
            <w:tcW w:w="992" w:type="dxa"/>
            <w:tcBorders>
              <w:top w:val="single" w:sz="8" w:space="0" w:color="ADD6EA"/>
              <w:left w:val="nil"/>
              <w:bottom w:val="nil"/>
              <w:right w:val="nil"/>
            </w:tcBorders>
            <w:shd w:val="clear" w:color="000000" w:fill="006991"/>
            <w:noWrap/>
            <w:vAlign w:val="center"/>
            <w:hideMark/>
          </w:tcPr>
          <w:p w14:paraId="3F9B22A4" w14:textId="77777777" w:rsidR="00943112" w:rsidRPr="00721FFD" w:rsidRDefault="00943112" w:rsidP="00793742">
            <w:pPr>
              <w:tabs>
                <w:tab w:val="clear" w:pos="567"/>
              </w:tabs>
              <w:spacing w:before="0" w:line="240" w:lineRule="auto"/>
              <w:jc w:val="right"/>
              <w:rPr>
                <w:rFonts w:ascii="Work Sans" w:eastAsia="Times New Roman" w:hAnsi="Work Sans" w:cs="Times New Roman"/>
                <w:b/>
                <w:bCs/>
                <w:color w:val="FFFFFF"/>
                <w:sz w:val="16"/>
                <w:szCs w:val="16"/>
                <w:lang w:eastAsia="en-AU"/>
              </w:rPr>
            </w:pPr>
            <w:r w:rsidRPr="00721FFD">
              <w:rPr>
                <w:rFonts w:ascii="Work Sans" w:eastAsia="Times New Roman" w:hAnsi="Work Sans" w:cs="Times New Roman"/>
                <w:b/>
                <w:bCs/>
                <w:color w:val="FFFFFF"/>
                <w:sz w:val="16"/>
                <w:szCs w:val="16"/>
                <w:lang w:eastAsia="en-AU"/>
              </w:rPr>
              <w:t>2019</w:t>
            </w:r>
            <w:r>
              <w:rPr>
                <w:rFonts w:ascii="Work Sans" w:eastAsia="Times New Roman" w:hAnsi="Work Sans" w:cs="Times New Roman"/>
                <w:b/>
                <w:bCs/>
                <w:color w:val="FFFFFF"/>
                <w:sz w:val="16"/>
                <w:szCs w:val="16"/>
                <w:lang w:eastAsia="en-AU"/>
              </w:rPr>
              <w:t>–</w:t>
            </w:r>
            <w:r w:rsidRPr="00721FFD">
              <w:rPr>
                <w:rFonts w:ascii="Work Sans" w:eastAsia="Times New Roman" w:hAnsi="Work Sans" w:cs="Times New Roman"/>
                <w:b/>
                <w:bCs/>
                <w:color w:val="FFFFFF"/>
                <w:sz w:val="16"/>
                <w:szCs w:val="16"/>
                <w:lang w:eastAsia="en-AU"/>
              </w:rPr>
              <w:t>20</w:t>
            </w:r>
          </w:p>
        </w:tc>
        <w:tc>
          <w:tcPr>
            <w:tcW w:w="992" w:type="dxa"/>
            <w:tcBorders>
              <w:top w:val="single" w:sz="8" w:space="0" w:color="ADD6EA"/>
              <w:left w:val="nil"/>
              <w:bottom w:val="nil"/>
              <w:right w:val="nil"/>
            </w:tcBorders>
            <w:shd w:val="clear" w:color="000000" w:fill="006991"/>
            <w:noWrap/>
            <w:vAlign w:val="center"/>
            <w:hideMark/>
          </w:tcPr>
          <w:p w14:paraId="3D8CCF23" w14:textId="77777777" w:rsidR="00943112" w:rsidRPr="00721FFD" w:rsidRDefault="00943112" w:rsidP="00793742">
            <w:pPr>
              <w:tabs>
                <w:tab w:val="clear" w:pos="567"/>
              </w:tabs>
              <w:spacing w:before="0" w:line="240" w:lineRule="auto"/>
              <w:jc w:val="right"/>
              <w:rPr>
                <w:rFonts w:ascii="Work Sans" w:eastAsia="Times New Roman" w:hAnsi="Work Sans" w:cs="Times New Roman"/>
                <w:b/>
                <w:bCs/>
                <w:color w:val="FFFFFF"/>
                <w:sz w:val="16"/>
                <w:szCs w:val="16"/>
                <w:lang w:eastAsia="en-AU"/>
              </w:rPr>
            </w:pPr>
            <w:r w:rsidRPr="00721FFD">
              <w:rPr>
                <w:rFonts w:ascii="Work Sans" w:eastAsia="Times New Roman" w:hAnsi="Work Sans" w:cs="Times New Roman"/>
                <w:b/>
                <w:bCs/>
                <w:color w:val="FFFFFF"/>
                <w:sz w:val="16"/>
                <w:szCs w:val="16"/>
                <w:lang w:eastAsia="en-AU"/>
              </w:rPr>
              <w:t>2020</w:t>
            </w:r>
            <w:r>
              <w:rPr>
                <w:rFonts w:ascii="Work Sans" w:eastAsia="Times New Roman" w:hAnsi="Work Sans" w:cs="Times New Roman"/>
                <w:b/>
                <w:bCs/>
                <w:color w:val="FFFFFF"/>
                <w:sz w:val="16"/>
                <w:szCs w:val="16"/>
                <w:lang w:eastAsia="en-AU"/>
              </w:rPr>
              <w:t>–</w:t>
            </w:r>
            <w:r w:rsidRPr="00721FFD">
              <w:rPr>
                <w:rFonts w:ascii="Work Sans" w:eastAsia="Times New Roman" w:hAnsi="Work Sans" w:cs="Times New Roman"/>
                <w:b/>
                <w:bCs/>
                <w:color w:val="FFFFFF"/>
                <w:sz w:val="16"/>
                <w:szCs w:val="16"/>
                <w:lang w:eastAsia="en-AU"/>
              </w:rPr>
              <w:t>21</w:t>
            </w:r>
          </w:p>
        </w:tc>
        <w:tc>
          <w:tcPr>
            <w:tcW w:w="993" w:type="dxa"/>
            <w:tcBorders>
              <w:top w:val="single" w:sz="8" w:space="0" w:color="ADD6EA"/>
              <w:left w:val="nil"/>
              <w:bottom w:val="nil"/>
              <w:right w:val="nil"/>
            </w:tcBorders>
            <w:shd w:val="clear" w:color="000000" w:fill="006991"/>
            <w:noWrap/>
            <w:vAlign w:val="center"/>
            <w:hideMark/>
          </w:tcPr>
          <w:p w14:paraId="5DF33839" w14:textId="77777777" w:rsidR="00943112" w:rsidRPr="00721FFD" w:rsidRDefault="00943112" w:rsidP="00793742">
            <w:pPr>
              <w:tabs>
                <w:tab w:val="clear" w:pos="567"/>
              </w:tabs>
              <w:spacing w:before="0" w:line="240" w:lineRule="auto"/>
              <w:jc w:val="right"/>
              <w:rPr>
                <w:rFonts w:ascii="Work Sans" w:eastAsia="Times New Roman" w:hAnsi="Work Sans" w:cs="Times New Roman"/>
                <w:b/>
                <w:bCs/>
                <w:color w:val="FFFFFF"/>
                <w:sz w:val="16"/>
                <w:szCs w:val="16"/>
                <w:lang w:eastAsia="en-AU"/>
              </w:rPr>
            </w:pPr>
            <w:r w:rsidRPr="00721FFD">
              <w:rPr>
                <w:rFonts w:ascii="Work Sans" w:eastAsia="Times New Roman" w:hAnsi="Work Sans" w:cs="Times New Roman"/>
                <w:b/>
                <w:bCs/>
                <w:color w:val="FFFFFF"/>
                <w:sz w:val="16"/>
                <w:szCs w:val="16"/>
                <w:lang w:eastAsia="en-AU"/>
              </w:rPr>
              <w:t>2021</w:t>
            </w:r>
            <w:r>
              <w:rPr>
                <w:rFonts w:ascii="Work Sans" w:eastAsia="Times New Roman" w:hAnsi="Work Sans" w:cs="Times New Roman"/>
                <w:b/>
                <w:bCs/>
                <w:color w:val="FFFFFF"/>
                <w:sz w:val="16"/>
                <w:szCs w:val="16"/>
                <w:lang w:eastAsia="en-AU"/>
              </w:rPr>
              <w:t>–</w:t>
            </w:r>
            <w:r w:rsidRPr="00721FFD">
              <w:rPr>
                <w:rFonts w:ascii="Work Sans" w:eastAsia="Times New Roman" w:hAnsi="Work Sans" w:cs="Times New Roman"/>
                <w:b/>
                <w:bCs/>
                <w:color w:val="FFFFFF"/>
                <w:sz w:val="16"/>
                <w:szCs w:val="16"/>
                <w:lang w:eastAsia="en-AU"/>
              </w:rPr>
              <w:t>22</w:t>
            </w:r>
          </w:p>
        </w:tc>
      </w:tr>
      <w:tr w:rsidR="00943112" w:rsidRPr="00721FFD" w14:paraId="0269EBF9"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3A9DFD93" w14:textId="77777777" w:rsidR="00943112" w:rsidRPr="00440346" w:rsidRDefault="00943112" w:rsidP="00793742">
            <w:pPr>
              <w:tabs>
                <w:tab w:val="clear" w:pos="567"/>
              </w:tabs>
              <w:spacing w:before="0" w:line="240" w:lineRule="auto"/>
              <w:rPr>
                <w:rFonts w:eastAsia="Times New Roman" w:cs="Open Sans Light"/>
                <w:color w:val="000000"/>
                <w:sz w:val="16"/>
                <w:szCs w:val="16"/>
                <w:lang w:eastAsia="en-AU"/>
              </w:rPr>
            </w:pPr>
            <w:bookmarkStart w:id="18" w:name="RANGE!A73:E83"/>
            <w:r w:rsidRPr="00440346">
              <w:rPr>
                <w:rFonts w:eastAsia="Times New Roman" w:cs="Open Sans Light"/>
                <w:color w:val="000000"/>
                <w:sz w:val="16"/>
                <w:szCs w:val="16"/>
                <w:lang w:eastAsia="en-AU"/>
              </w:rPr>
              <w:t>Total Commonwealth contribution to states ($m)</w:t>
            </w:r>
            <w:bookmarkEnd w:id="18"/>
          </w:p>
        </w:tc>
        <w:tc>
          <w:tcPr>
            <w:tcW w:w="1234" w:type="dxa"/>
            <w:tcBorders>
              <w:top w:val="single" w:sz="4" w:space="0" w:color="ADD6EA"/>
              <w:left w:val="nil"/>
              <w:bottom w:val="nil"/>
              <w:right w:val="nil"/>
            </w:tcBorders>
            <w:shd w:val="clear" w:color="auto" w:fill="auto"/>
            <w:vAlign w:val="bottom"/>
            <w:hideMark/>
          </w:tcPr>
          <w:p w14:paraId="5A15D10F"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117,526</w:t>
            </w:r>
          </w:p>
        </w:tc>
        <w:tc>
          <w:tcPr>
            <w:tcW w:w="992" w:type="dxa"/>
            <w:tcBorders>
              <w:top w:val="single" w:sz="4" w:space="0" w:color="ADD6EA"/>
              <w:left w:val="nil"/>
              <w:bottom w:val="nil"/>
              <w:right w:val="nil"/>
            </w:tcBorders>
            <w:shd w:val="clear" w:color="auto" w:fill="auto"/>
            <w:vAlign w:val="bottom"/>
            <w:hideMark/>
          </w:tcPr>
          <w:p w14:paraId="1202126E"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112,022</w:t>
            </w:r>
          </w:p>
        </w:tc>
        <w:tc>
          <w:tcPr>
            <w:tcW w:w="992" w:type="dxa"/>
            <w:tcBorders>
              <w:top w:val="single" w:sz="4" w:space="0" w:color="ADD6EA"/>
              <w:left w:val="nil"/>
              <w:bottom w:val="nil"/>
              <w:right w:val="nil"/>
            </w:tcBorders>
            <w:shd w:val="clear" w:color="auto" w:fill="auto"/>
            <w:vAlign w:val="bottom"/>
            <w:hideMark/>
          </w:tcPr>
          <w:p w14:paraId="7489C19A"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127,382</w:t>
            </w:r>
          </w:p>
        </w:tc>
        <w:tc>
          <w:tcPr>
            <w:tcW w:w="993" w:type="dxa"/>
            <w:tcBorders>
              <w:top w:val="single" w:sz="4" w:space="0" w:color="ADD6EA"/>
              <w:left w:val="nil"/>
              <w:bottom w:val="nil"/>
              <w:right w:val="nil"/>
            </w:tcBorders>
            <w:shd w:val="clear" w:color="auto" w:fill="auto"/>
            <w:vAlign w:val="bottom"/>
            <w:hideMark/>
          </w:tcPr>
          <w:p w14:paraId="63D52143"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149,493</w:t>
            </w:r>
          </w:p>
        </w:tc>
      </w:tr>
      <w:tr w:rsidR="00943112" w:rsidRPr="00721FFD" w14:paraId="4435AA4E"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348E60C3" w14:textId="77777777" w:rsidR="00943112" w:rsidRPr="00440346" w:rsidRDefault="00943112" w:rsidP="00793742">
            <w:pPr>
              <w:tabs>
                <w:tab w:val="clear" w:pos="567"/>
              </w:tabs>
              <w:spacing w:before="0" w:line="240" w:lineRule="auto"/>
              <w:rPr>
                <w:rFonts w:eastAsia="Times New Roman" w:cs="Open Sans Light"/>
                <w:color w:val="000000"/>
                <w:sz w:val="16"/>
                <w:szCs w:val="16"/>
                <w:lang w:eastAsia="en-AU"/>
              </w:rPr>
            </w:pPr>
            <w:r w:rsidRPr="00440346">
              <w:rPr>
                <w:rFonts w:eastAsia="Times New Roman" w:cs="Open Sans Light"/>
                <w:color w:val="000000"/>
                <w:sz w:val="16"/>
                <w:szCs w:val="16"/>
                <w:lang w:eastAsia="en-AU"/>
              </w:rPr>
              <w:t>Proportion of Commonwealth contribution (%)</w:t>
            </w:r>
          </w:p>
        </w:tc>
        <w:tc>
          <w:tcPr>
            <w:tcW w:w="1234" w:type="dxa"/>
            <w:tcBorders>
              <w:top w:val="single" w:sz="4" w:space="0" w:color="ADD6EA"/>
              <w:left w:val="nil"/>
              <w:bottom w:val="nil"/>
              <w:right w:val="nil"/>
            </w:tcBorders>
            <w:shd w:val="clear" w:color="auto" w:fill="auto"/>
            <w:noWrap/>
            <w:vAlign w:val="bottom"/>
            <w:hideMark/>
          </w:tcPr>
          <w:p w14:paraId="5522E03F"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c>
          <w:tcPr>
            <w:tcW w:w="992" w:type="dxa"/>
            <w:tcBorders>
              <w:top w:val="single" w:sz="4" w:space="0" w:color="ADD6EA"/>
              <w:left w:val="nil"/>
              <w:bottom w:val="nil"/>
              <w:right w:val="nil"/>
            </w:tcBorders>
            <w:shd w:val="clear" w:color="auto" w:fill="auto"/>
            <w:noWrap/>
            <w:vAlign w:val="bottom"/>
            <w:hideMark/>
          </w:tcPr>
          <w:p w14:paraId="3601C5B3"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c>
          <w:tcPr>
            <w:tcW w:w="992" w:type="dxa"/>
            <w:tcBorders>
              <w:top w:val="single" w:sz="4" w:space="0" w:color="ADD6EA"/>
              <w:left w:val="nil"/>
              <w:bottom w:val="nil"/>
              <w:right w:val="nil"/>
            </w:tcBorders>
            <w:shd w:val="clear" w:color="auto" w:fill="auto"/>
            <w:noWrap/>
            <w:vAlign w:val="bottom"/>
            <w:hideMark/>
          </w:tcPr>
          <w:p w14:paraId="7D0A44AE"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c>
          <w:tcPr>
            <w:tcW w:w="993" w:type="dxa"/>
            <w:tcBorders>
              <w:top w:val="single" w:sz="4" w:space="0" w:color="ADD6EA"/>
              <w:left w:val="nil"/>
              <w:bottom w:val="nil"/>
              <w:right w:val="nil"/>
            </w:tcBorders>
            <w:shd w:val="clear" w:color="auto" w:fill="auto"/>
            <w:noWrap/>
            <w:vAlign w:val="bottom"/>
            <w:hideMark/>
          </w:tcPr>
          <w:p w14:paraId="0DF9D38E"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r>
      <w:tr w:rsidR="00943112" w:rsidRPr="00721FFD" w14:paraId="3DF76CCC"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59D34342" w14:textId="77777777" w:rsidR="00943112" w:rsidRPr="00440346" w:rsidRDefault="00943112" w:rsidP="00793742">
            <w:pPr>
              <w:tabs>
                <w:tab w:val="clear" w:pos="567"/>
              </w:tabs>
              <w:spacing w:before="0" w:line="240" w:lineRule="auto"/>
              <w:ind w:firstLineChars="200" w:firstLine="320"/>
              <w:rPr>
                <w:rFonts w:eastAsia="Times New Roman" w:cs="Open Sans Light"/>
                <w:color w:val="000000"/>
                <w:sz w:val="16"/>
                <w:szCs w:val="16"/>
                <w:lang w:eastAsia="en-AU"/>
              </w:rPr>
            </w:pPr>
            <w:r w:rsidRPr="00440346">
              <w:rPr>
                <w:rFonts w:eastAsia="Times New Roman" w:cs="Open Sans Light"/>
                <w:color w:val="000000"/>
                <w:sz w:val="16"/>
                <w:szCs w:val="16"/>
                <w:lang w:eastAsia="en-AU"/>
              </w:rPr>
              <w:t>GST</w:t>
            </w:r>
          </w:p>
        </w:tc>
        <w:tc>
          <w:tcPr>
            <w:tcW w:w="1234" w:type="dxa"/>
            <w:tcBorders>
              <w:top w:val="single" w:sz="4" w:space="0" w:color="ADD6EA"/>
              <w:left w:val="nil"/>
              <w:bottom w:val="nil"/>
              <w:right w:val="nil"/>
            </w:tcBorders>
            <w:shd w:val="clear" w:color="auto" w:fill="auto"/>
            <w:noWrap/>
            <w:vAlign w:val="bottom"/>
            <w:hideMark/>
          </w:tcPr>
          <w:p w14:paraId="18C81B69"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55.4</w:t>
            </w:r>
          </w:p>
        </w:tc>
        <w:tc>
          <w:tcPr>
            <w:tcW w:w="992" w:type="dxa"/>
            <w:tcBorders>
              <w:top w:val="single" w:sz="4" w:space="0" w:color="ADD6EA"/>
              <w:left w:val="nil"/>
              <w:bottom w:val="nil"/>
              <w:right w:val="nil"/>
            </w:tcBorders>
            <w:shd w:val="clear" w:color="auto" w:fill="auto"/>
            <w:noWrap/>
            <w:vAlign w:val="bottom"/>
            <w:hideMark/>
          </w:tcPr>
          <w:p w14:paraId="4FD05C37"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53.8</w:t>
            </w:r>
          </w:p>
        </w:tc>
        <w:tc>
          <w:tcPr>
            <w:tcW w:w="992" w:type="dxa"/>
            <w:tcBorders>
              <w:top w:val="single" w:sz="4" w:space="0" w:color="ADD6EA"/>
              <w:left w:val="nil"/>
              <w:bottom w:val="nil"/>
              <w:right w:val="nil"/>
            </w:tcBorders>
            <w:shd w:val="clear" w:color="auto" w:fill="auto"/>
            <w:noWrap/>
            <w:vAlign w:val="bottom"/>
            <w:hideMark/>
          </w:tcPr>
          <w:p w14:paraId="076E985B"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57.4</w:t>
            </w:r>
          </w:p>
        </w:tc>
        <w:tc>
          <w:tcPr>
            <w:tcW w:w="993" w:type="dxa"/>
            <w:tcBorders>
              <w:top w:val="single" w:sz="4" w:space="0" w:color="ADD6EA"/>
              <w:left w:val="nil"/>
              <w:bottom w:val="nil"/>
              <w:right w:val="nil"/>
            </w:tcBorders>
            <w:shd w:val="clear" w:color="auto" w:fill="auto"/>
            <w:noWrap/>
            <w:vAlign w:val="bottom"/>
            <w:hideMark/>
          </w:tcPr>
          <w:p w14:paraId="38D77D87"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49.6</w:t>
            </w:r>
          </w:p>
        </w:tc>
      </w:tr>
      <w:tr w:rsidR="00943112" w:rsidRPr="00721FFD" w14:paraId="2F34D01A"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5815B642" w14:textId="77777777" w:rsidR="00943112" w:rsidRPr="00440346" w:rsidRDefault="00943112" w:rsidP="00793742">
            <w:pPr>
              <w:tabs>
                <w:tab w:val="clear" w:pos="567"/>
              </w:tabs>
              <w:spacing w:before="0" w:line="240" w:lineRule="auto"/>
              <w:ind w:firstLineChars="200" w:firstLine="320"/>
              <w:rPr>
                <w:rFonts w:eastAsia="Times New Roman" w:cs="Open Sans Light"/>
                <w:color w:val="000000"/>
                <w:sz w:val="16"/>
                <w:szCs w:val="16"/>
                <w:lang w:eastAsia="en-AU"/>
              </w:rPr>
            </w:pPr>
            <w:r w:rsidRPr="00440346">
              <w:rPr>
                <w:rFonts w:eastAsia="Times New Roman" w:cs="Open Sans Light"/>
                <w:color w:val="000000"/>
                <w:sz w:val="16"/>
                <w:szCs w:val="16"/>
                <w:lang w:eastAsia="en-AU"/>
              </w:rPr>
              <w:t>Payments impacting the GST relativities</w:t>
            </w:r>
          </w:p>
        </w:tc>
        <w:tc>
          <w:tcPr>
            <w:tcW w:w="1234" w:type="dxa"/>
            <w:tcBorders>
              <w:top w:val="single" w:sz="4" w:space="0" w:color="ADD6EA"/>
              <w:left w:val="nil"/>
              <w:bottom w:val="nil"/>
              <w:right w:val="nil"/>
            </w:tcBorders>
            <w:shd w:val="clear" w:color="auto" w:fill="auto"/>
            <w:noWrap/>
            <w:vAlign w:val="bottom"/>
            <w:hideMark/>
          </w:tcPr>
          <w:p w14:paraId="53FDEE3F"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31.5</w:t>
            </w:r>
          </w:p>
        </w:tc>
        <w:tc>
          <w:tcPr>
            <w:tcW w:w="992" w:type="dxa"/>
            <w:tcBorders>
              <w:top w:val="single" w:sz="4" w:space="0" w:color="ADD6EA"/>
              <w:left w:val="nil"/>
              <w:bottom w:val="nil"/>
              <w:right w:val="nil"/>
            </w:tcBorders>
            <w:shd w:val="clear" w:color="auto" w:fill="auto"/>
            <w:noWrap/>
            <w:vAlign w:val="bottom"/>
            <w:hideMark/>
          </w:tcPr>
          <w:p w14:paraId="4FA9D2C8"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33.9</w:t>
            </w:r>
          </w:p>
        </w:tc>
        <w:tc>
          <w:tcPr>
            <w:tcW w:w="992" w:type="dxa"/>
            <w:tcBorders>
              <w:top w:val="single" w:sz="4" w:space="0" w:color="ADD6EA"/>
              <w:left w:val="nil"/>
              <w:bottom w:val="nil"/>
              <w:right w:val="nil"/>
            </w:tcBorders>
            <w:shd w:val="clear" w:color="auto" w:fill="auto"/>
            <w:noWrap/>
            <w:vAlign w:val="bottom"/>
            <w:hideMark/>
          </w:tcPr>
          <w:p w14:paraId="41083213"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32.8</w:t>
            </w:r>
          </w:p>
        </w:tc>
        <w:tc>
          <w:tcPr>
            <w:tcW w:w="993" w:type="dxa"/>
            <w:tcBorders>
              <w:top w:val="single" w:sz="4" w:space="0" w:color="ADD6EA"/>
              <w:left w:val="nil"/>
              <w:bottom w:val="nil"/>
              <w:right w:val="nil"/>
            </w:tcBorders>
            <w:shd w:val="clear" w:color="auto" w:fill="auto"/>
            <w:noWrap/>
            <w:vAlign w:val="bottom"/>
            <w:hideMark/>
          </w:tcPr>
          <w:p w14:paraId="7275E08F"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29.8</w:t>
            </w:r>
          </w:p>
        </w:tc>
      </w:tr>
      <w:tr w:rsidR="00943112" w:rsidRPr="00721FFD" w14:paraId="263FA0FA"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18203C8E" w14:textId="77777777" w:rsidR="00943112" w:rsidRPr="00440346" w:rsidRDefault="00943112" w:rsidP="00793742">
            <w:pPr>
              <w:tabs>
                <w:tab w:val="clear" w:pos="567"/>
              </w:tabs>
              <w:spacing w:before="0" w:line="240" w:lineRule="auto"/>
              <w:ind w:firstLineChars="200" w:firstLine="320"/>
              <w:rPr>
                <w:rFonts w:eastAsia="Times New Roman" w:cs="Open Sans Light"/>
                <w:color w:val="000000"/>
                <w:sz w:val="16"/>
                <w:szCs w:val="16"/>
                <w:lang w:eastAsia="en-AU"/>
              </w:rPr>
            </w:pPr>
            <w:r w:rsidRPr="00440346">
              <w:rPr>
                <w:rFonts w:eastAsia="Times New Roman" w:cs="Open Sans Light"/>
                <w:color w:val="000000"/>
                <w:sz w:val="16"/>
                <w:szCs w:val="16"/>
                <w:lang w:eastAsia="en-AU"/>
              </w:rPr>
              <w:t>Payments that do not impact the GST relativities</w:t>
            </w:r>
          </w:p>
        </w:tc>
        <w:tc>
          <w:tcPr>
            <w:tcW w:w="1234" w:type="dxa"/>
            <w:tcBorders>
              <w:top w:val="single" w:sz="4" w:space="0" w:color="ADD6EA"/>
              <w:left w:val="nil"/>
              <w:bottom w:val="nil"/>
              <w:right w:val="nil"/>
            </w:tcBorders>
            <w:shd w:val="clear" w:color="auto" w:fill="auto"/>
            <w:vAlign w:val="bottom"/>
            <w:hideMark/>
          </w:tcPr>
          <w:p w14:paraId="27BFD586"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8.1</w:t>
            </w:r>
          </w:p>
        </w:tc>
        <w:tc>
          <w:tcPr>
            <w:tcW w:w="992" w:type="dxa"/>
            <w:tcBorders>
              <w:top w:val="single" w:sz="4" w:space="0" w:color="ADD6EA"/>
              <w:left w:val="nil"/>
              <w:bottom w:val="nil"/>
              <w:right w:val="nil"/>
            </w:tcBorders>
            <w:shd w:val="clear" w:color="auto" w:fill="auto"/>
            <w:vAlign w:val="bottom"/>
            <w:hideMark/>
          </w:tcPr>
          <w:p w14:paraId="056F4987"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9.7</w:t>
            </w:r>
          </w:p>
        </w:tc>
        <w:tc>
          <w:tcPr>
            <w:tcW w:w="992" w:type="dxa"/>
            <w:tcBorders>
              <w:top w:val="single" w:sz="4" w:space="0" w:color="ADD6EA"/>
              <w:left w:val="nil"/>
              <w:bottom w:val="nil"/>
              <w:right w:val="nil"/>
            </w:tcBorders>
            <w:shd w:val="clear" w:color="auto" w:fill="auto"/>
            <w:vAlign w:val="bottom"/>
            <w:hideMark/>
          </w:tcPr>
          <w:p w14:paraId="19647D56"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9.5</w:t>
            </w:r>
          </w:p>
        </w:tc>
        <w:tc>
          <w:tcPr>
            <w:tcW w:w="993" w:type="dxa"/>
            <w:tcBorders>
              <w:top w:val="single" w:sz="4" w:space="0" w:color="ADD6EA"/>
              <w:left w:val="nil"/>
              <w:bottom w:val="nil"/>
              <w:right w:val="nil"/>
            </w:tcBorders>
            <w:shd w:val="clear" w:color="auto" w:fill="auto"/>
            <w:vAlign w:val="bottom"/>
            <w:hideMark/>
          </w:tcPr>
          <w:p w14:paraId="3F29160C"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17.3</w:t>
            </w:r>
          </w:p>
        </w:tc>
      </w:tr>
      <w:tr w:rsidR="00943112" w:rsidRPr="00721FFD" w14:paraId="6A149ABB"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720F6FC2" w14:textId="77777777" w:rsidR="00943112" w:rsidRPr="00440346" w:rsidRDefault="00943112" w:rsidP="00793742">
            <w:pPr>
              <w:tabs>
                <w:tab w:val="clear" w:pos="567"/>
              </w:tabs>
              <w:spacing w:before="0" w:line="240" w:lineRule="auto"/>
              <w:ind w:firstLineChars="200" w:firstLine="320"/>
              <w:rPr>
                <w:rFonts w:eastAsia="Times New Roman" w:cs="Open Sans Light"/>
                <w:color w:val="000000"/>
                <w:sz w:val="16"/>
                <w:szCs w:val="16"/>
                <w:lang w:eastAsia="en-AU"/>
              </w:rPr>
            </w:pPr>
            <w:r w:rsidRPr="00440346">
              <w:rPr>
                <w:rFonts w:eastAsia="Times New Roman" w:cs="Open Sans Light"/>
                <w:color w:val="000000"/>
                <w:sz w:val="16"/>
                <w:szCs w:val="16"/>
                <w:lang w:eastAsia="en-AU"/>
              </w:rPr>
              <w:t>Payments assessed equal per capita</w:t>
            </w:r>
          </w:p>
        </w:tc>
        <w:tc>
          <w:tcPr>
            <w:tcW w:w="1234" w:type="dxa"/>
            <w:tcBorders>
              <w:top w:val="single" w:sz="4" w:space="0" w:color="ADD6EA"/>
              <w:left w:val="nil"/>
              <w:bottom w:val="nil"/>
              <w:right w:val="nil"/>
            </w:tcBorders>
            <w:shd w:val="clear" w:color="auto" w:fill="auto"/>
            <w:noWrap/>
            <w:vAlign w:val="bottom"/>
            <w:hideMark/>
          </w:tcPr>
          <w:p w14:paraId="553F569E"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4.1</w:t>
            </w:r>
          </w:p>
        </w:tc>
        <w:tc>
          <w:tcPr>
            <w:tcW w:w="992" w:type="dxa"/>
            <w:tcBorders>
              <w:top w:val="single" w:sz="4" w:space="0" w:color="ADD6EA"/>
              <w:left w:val="nil"/>
              <w:bottom w:val="nil"/>
              <w:right w:val="nil"/>
            </w:tcBorders>
            <w:shd w:val="clear" w:color="auto" w:fill="auto"/>
            <w:noWrap/>
            <w:vAlign w:val="bottom"/>
            <w:hideMark/>
          </w:tcPr>
          <w:p w14:paraId="79EAD006"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1.9</w:t>
            </w:r>
          </w:p>
        </w:tc>
        <w:tc>
          <w:tcPr>
            <w:tcW w:w="992" w:type="dxa"/>
            <w:tcBorders>
              <w:top w:val="single" w:sz="4" w:space="0" w:color="ADD6EA"/>
              <w:left w:val="nil"/>
              <w:bottom w:val="nil"/>
              <w:right w:val="nil"/>
            </w:tcBorders>
            <w:shd w:val="clear" w:color="auto" w:fill="auto"/>
            <w:noWrap/>
            <w:vAlign w:val="bottom"/>
            <w:hideMark/>
          </w:tcPr>
          <w:p w14:paraId="403B7436"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0.0</w:t>
            </w:r>
          </w:p>
        </w:tc>
        <w:tc>
          <w:tcPr>
            <w:tcW w:w="993" w:type="dxa"/>
            <w:tcBorders>
              <w:top w:val="single" w:sz="4" w:space="0" w:color="ADD6EA"/>
              <w:left w:val="nil"/>
              <w:bottom w:val="nil"/>
              <w:right w:val="nil"/>
            </w:tcBorders>
            <w:shd w:val="clear" w:color="auto" w:fill="auto"/>
            <w:noWrap/>
            <w:vAlign w:val="bottom"/>
            <w:hideMark/>
          </w:tcPr>
          <w:p w14:paraId="43E6032C"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2.6</w:t>
            </w:r>
          </w:p>
        </w:tc>
      </w:tr>
      <w:tr w:rsidR="00943112" w:rsidRPr="00721FFD" w14:paraId="4744A3CF"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3380D96B" w14:textId="77777777" w:rsidR="00943112" w:rsidRPr="00440346" w:rsidRDefault="00943112" w:rsidP="00793742">
            <w:pPr>
              <w:tabs>
                <w:tab w:val="clear" w:pos="567"/>
              </w:tabs>
              <w:spacing w:before="0" w:line="240" w:lineRule="auto"/>
              <w:ind w:left="317" w:firstLineChars="1" w:firstLine="2"/>
              <w:rPr>
                <w:rFonts w:eastAsia="Times New Roman" w:cs="Open Sans Light"/>
                <w:color w:val="000000"/>
                <w:sz w:val="16"/>
                <w:szCs w:val="16"/>
                <w:lang w:eastAsia="en-AU"/>
              </w:rPr>
            </w:pPr>
            <w:r w:rsidRPr="00440346">
              <w:rPr>
                <w:rFonts w:eastAsia="Times New Roman" w:cs="Open Sans Light"/>
                <w:color w:val="000000"/>
                <w:sz w:val="16"/>
                <w:szCs w:val="16"/>
                <w:lang w:eastAsia="en-AU"/>
              </w:rPr>
              <w:t>Commonwealth payments treated as own-source revenue</w:t>
            </w:r>
          </w:p>
        </w:tc>
        <w:tc>
          <w:tcPr>
            <w:tcW w:w="1234" w:type="dxa"/>
            <w:tcBorders>
              <w:top w:val="single" w:sz="4" w:space="0" w:color="ADD6EA"/>
              <w:left w:val="nil"/>
              <w:bottom w:val="nil"/>
              <w:right w:val="nil"/>
            </w:tcBorders>
            <w:shd w:val="clear" w:color="auto" w:fill="auto"/>
            <w:vAlign w:val="bottom"/>
            <w:hideMark/>
          </w:tcPr>
          <w:p w14:paraId="71219D68"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0.8</w:t>
            </w:r>
          </w:p>
        </w:tc>
        <w:tc>
          <w:tcPr>
            <w:tcW w:w="992" w:type="dxa"/>
            <w:tcBorders>
              <w:top w:val="single" w:sz="4" w:space="0" w:color="ADD6EA"/>
              <w:left w:val="nil"/>
              <w:bottom w:val="nil"/>
              <w:right w:val="nil"/>
            </w:tcBorders>
            <w:shd w:val="clear" w:color="auto" w:fill="auto"/>
            <w:vAlign w:val="bottom"/>
            <w:hideMark/>
          </w:tcPr>
          <w:p w14:paraId="31A0A02F"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0.6</w:t>
            </w:r>
          </w:p>
        </w:tc>
        <w:tc>
          <w:tcPr>
            <w:tcW w:w="992" w:type="dxa"/>
            <w:tcBorders>
              <w:top w:val="single" w:sz="4" w:space="0" w:color="ADD6EA"/>
              <w:left w:val="nil"/>
              <w:bottom w:val="nil"/>
              <w:right w:val="nil"/>
            </w:tcBorders>
            <w:shd w:val="clear" w:color="auto" w:fill="auto"/>
            <w:vAlign w:val="bottom"/>
            <w:hideMark/>
          </w:tcPr>
          <w:p w14:paraId="7A2DF939"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0.3</w:t>
            </w:r>
          </w:p>
        </w:tc>
        <w:tc>
          <w:tcPr>
            <w:tcW w:w="993" w:type="dxa"/>
            <w:tcBorders>
              <w:top w:val="single" w:sz="4" w:space="0" w:color="ADD6EA"/>
              <w:left w:val="nil"/>
              <w:bottom w:val="nil"/>
              <w:right w:val="nil"/>
            </w:tcBorders>
            <w:shd w:val="clear" w:color="auto" w:fill="auto"/>
            <w:vAlign w:val="bottom"/>
            <w:hideMark/>
          </w:tcPr>
          <w:p w14:paraId="50BEEADB"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0.7</w:t>
            </w:r>
          </w:p>
        </w:tc>
      </w:tr>
      <w:tr w:rsidR="00943112" w:rsidRPr="00721FFD" w14:paraId="420BA34F"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2F4D0448" w14:textId="77777777" w:rsidR="00943112" w:rsidRPr="00440346" w:rsidRDefault="00943112" w:rsidP="00793742">
            <w:pPr>
              <w:tabs>
                <w:tab w:val="clear" w:pos="567"/>
              </w:tabs>
              <w:spacing w:before="0" w:line="240" w:lineRule="auto"/>
              <w:rPr>
                <w:rFonts w:eastAsia="Times New Roman" w:cs="Open Sans Light"/>
                <w:color w:val="000000"/>
                <w:sz w:val="16"/>
                <w:szCs w:val="16"/>
                <w:lang w:eastAsia="en-AU"/>
              </w:rPr>
            </w:pPr>
            <w:r w:rsidRPr="00440346">
              <w:rPr>
                <w:rFonts w:eastAsia="Times New Roman" w:cs="Open Sans Light"/>
                <w:color w:val="000000"/>
                <w:sz w:val="16"/>
                <w:szCs w:val="16"/>
                <w:lang w:eastAsia="en-AU"/>
              </w:rPr>
              <w:t>Total assessed payments ($m)</w:t>
            </w:r>
          </w:p>
        </w:tc>
        <w:tc>
          <w:tcPr>
            <w:tcW w:w="1234" w:type="dxa"/>
            <w:tcBorders>
              <w:top w:val="single" w:sz="4" w:space="0" w:color="ADD6EA"/>
              <w:left w:val="nil"/>
              <w:bottom w:val="nil"/>
              <w:right w:val="nil"/>
            </w:tcBorders>
            <w:shd w:val="clear" w:color="auto" w:fill="auto"/>
            <w:noWrap/>
            <w:vAlign w:val="bottom"/>
            <w:hideMark/>
          </w:tcPr>
          <w:p w14:paraId="38AA0DF5"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46,563</w:t>
            </w:r>
          </w:p>
        </w:tc>
        <w:tc>
          <w:tcPr>
            <w:tcW w:w="992" w:type="dxa"/>
            <w:tcBorders>
              <w:top w:val="single" w:sz="4" w:space="0" w:color="ADD6EA"/>
              <w:left w:val="nil"/>
              <w:bottom w:val="nil"/>
              <w:right w:val="nil"/>
            </w:tcBorders>
            <w:shd w:val="clear" w:color="auto" w:fill="auto"/>
            <w:noWrap/>
            <w:vAlign w:val="bottom"/>
            <w:hideMark/>
          </w:tcPr>
          <w:p w14:paraId="6EE634A3"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48,920</w:t>
            </w:r>
          </w:p>
        </w:tc>
        <w:tc>
          <w:tcPr>
            <w:tcW w:w="992" w:type="dxa"/>
            <w:tcBorders>
              <w:top w:val="single" w:sz="4" w:space="0" w:color="ADD6EA"/>
              <w:left w:val="nil"/>
              <w:bottom w:val="nil"/>
              <w:right w:val="nil"/>
            </w:tcBorders>
            <w:shd w:val="clear" w:color="auto" w:fill="auto"/>
            <w:noWrap/>
            <w:vAlign w:val="bottom"/>
            <w:hideMark/>
          </w:tcPr>
          <w:p w14:paraId="107E39BE"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53,921</w:t>
            </w:r>
          </w:p>
        </w:tc>
        <w:tc>
          <w:tcPr>
            <w:tcW w:w="993" w:type="dxa"/>
            <w:tcBorders>
              <w:top w:val="single" w:sz="4" w:space="0" w:color="ADD6EA"/>
              <w:left w:val="nil"/>
              <w:bottom w:val="nil"/>
              <w:right w:val="nil"/>
            </w:tcBorders>
            <w:shd w:val="clear" w:color="auto" w:fill="auto"/>
            <w:noWrap/>
            <w:vAlign w:val="bottom"/>
            <w:hideMark/>
          </w:tcPr>
          <w:p w14:paraId="5579F07C"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70,363</w:t>
            </w:r>
          </w:p>
        </w:tc>
      </w:tr>
      <w:tr w:rsidR="00943112" w:rsidRPr="00721FFD" w14:paraId="5DC54586"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5384D481" w14:textId="77777777" w:rsidR="00943112" w:rsidRPr="00440346" w:rsidRDefault="00943112" w:rsidP="00793742">
            <w:pPr>
              <w:tabs>
                <w:tab w:val="clear" w:pos="567"/>
              </w:tabs>
              <w:spacing w:before="0" w:line="240" w:lineRule="auto"/>
              <w:rPr>
                <w:rFonts w:eastAsia="Times New Roman" w:cs="Open Sans Light"/>
                <w:color w:val="000000"/>
                <w:sz w:val="16"/>
                <w:szCs w:val="16"/>
                <w:lang w:eastAsia="en-AU"/>
              </w:rPr>
            </w:pPr>
            <w:r w:rsidRPr="00440346">
              <w:rPr>
                <w:rFonts w:eastAsia="Times New Roman" w:cs="Open Sans Light"/>
                <w:color w:val="000000"/>
                <w:sz w:val="16"/>
                <w:szCs w:val="16"/>
                <w:lang w:eastAsia="en-AU"/>
              </w:rPr>
              <w:t>Proportion of assessed payments (%)</w:t>
            </w:r>
          </w:p>
        </w:tc>
        <w:tc>
          <w:tcPr>
            <w:tcW w:w="1234" w:type="dxa"/>
            <w:tcBorders>
              <w:top w:val="single" w:sz="4" w:space="0" w:color="ADD6EA"/>
              <w:left w:val="nil"/>
              <w:bottom w:val="nil"/>
              <w:right w:val="nil"/>
            </w:tcBorders>
            <w:shd w:val="clear" w:color="auto" w:fill="auto"/>
            <w:noWrap/>
            <w:vAlign w:val="bottom"/>
            <w:hideMark/>
          </w:tcPr>
          <w:p w14:paraId="29D94BA8"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c>
          <w:tcPr>
            <w:tcW w:w="992" w:type="dxa"/>
            <w:tcBorders>
              <w:top w:val="single" w:sz="4" w:space="0" w:color="ADD6EA"/>
              <w:left w:val="nil"/>
              <w:bottom w:val="nil"/>
              <w:right w:val="nil"/>
            </w:tcBorders>
            <w:shd w:val="clear" w:color="auto" w:fill="auto"/>
            <w:noWrap/>
            <w:vAlign w:val="bottom"/>
            <w:hideMark/>
          </w:tcPr>
          <w:p w14:paraId="10382A00"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c>
          <w:tcPr>
            <w:tcW w:w="992" w:type="dxa"/>
            <w:tcBorders>
              <w:top w:val="single" w:sz="4" w:space="0" w:color="ADD6EA"/>
              <w:left w:val="nil"/>
              <w:bottom w:val="nil"/>
              <w:right w:val="nil"/>
            </w:tcBorders>
            <w:shd w:val="clear" w:color="auto" w:fill="auto"/>
            <w:noWrap/>
            <w:vAlign w:val="bottom"/>
            <w:hideMark/>
          </w:tcPr>
          <w:p w14:paraId="55AFFDCB"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c>
          <w:tcPr>
            <w:tcW w:w="993" w:type="dxa"/>
            <w:tcBorders>
              <w:top w:val="single" w:sz="4" w:space="0" w:color="ADD6EA"/>
              <w:left w:val="nil"/>
              <w:bottom w:val="nil"/>
              <w:right w:val="nil"/>
            </w:tcBorders>
            <w:shd w:val="clear" w:color="auto" w:fill="auto"/>
            <w:noWrap/>
            <w:vAlign w:val="bottom"/>
            <w:hideMark/>
          </w:tcPr>
          <w:p w14:paraId="5BA82CA3"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 </w:t>
            </w:r>
          </w:p>
        </w:tc>
      </w:tr>
      <w:tr w:rsidR="00943112" w:rsidRPr="00721FFD" w14:paraId="7D1D5A1D" w14:textId="77777777" w:rsidTr="00793742">
        <w:trPr>
          <w:trHeight w:val="315"/>
        </w:trPr>
        <w:tc>
          <w:tcPr>
            <w:tcW w:w="4720" w:type="dxa"/>
            <w:tcBorders>
              <w:top w:val="single" w:sz="4" w:space="0" w:color="ADD6EA"/>
              <w:left w:val="nil"/>
              <w:bottom w:val="nil"/>
              <w:right w:val="nil"/>
            </w:tcBorders>
            <w:shd w:val="clear" w:color="auto" w:fill="auto"/>
            <w:vAlign w:val="bottom"/>
            <w:hideMark/>
          </w:tcPr>
          <w:p w14:paraId="74091D7D" w14:textId="77777777" w:rsidR="00943112" w:rsidRPr="00440346" w:rsidRDefault="00943112" w:rsidP="00793742">
            <w:pPr>
              <w:tabs>
                <w:tab w:val="clear" w:pos="567"/>
              </w:tabs>
              <w:spacing w:before="0" w:line="240" w:lineRule="auto"/>
              <w:ind w:firstLineChars="200" w:firstLine="320"/>
              <w:rPr>
                <w:rFonts w:eastAsia="Times New Roman" w:cs="Open Sans Light"/>
                <w:color w:val="000000"/>
                <w:sz w:val="16"/>
                <w:szCs w:val="16"/>
                <w:lang w:eastAsia="en-AU"/>
              </w:rPr>
            </w:pPr>
            <w:r w:rsidRPr="00440346">
              <w:rPr>
                <w:rFonts w:eastAsia="Times New Roman" w:cs="Open Sans Light"/>
                <w:color w:val="000000"/>
                <w:sz w:val="16"/>
                <w:szCs w:val="16"/>
                <w:lang w:eastAsia="en-AU"/>
              </w:rPr>
              <w:t>Payments impacting the GST relativities</w:t>
            </w:r>
          </w:p>
        </w:tc>
        <w:tc>
          <w:tcPr>
            <w:tcW w:w="1234" w:type="dxa"/>
            <w:tcBorders>
              <w:top w:val="single" w:sz="4" w:space="0" w:color="ADD6EA"/>
              <w:left w:val="nil"/>
              <w:bottom w:val="nil"/>
              <w:right w:val="nil"/>
            </w:tcBorders>
            <w:shd w:val="clear" w:color="auto" w:fill="auto"/>
            <w:noWrap/>
            <w:vAlign w:val="bottom"/>
            <w:hideMark/>
          </w:tcPr>
          <w:p w14:paraId="1CBD2F43"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79.5</w:t>
            </w:r>
          </w:p>
        </w:tc>
        <w:tc>
          <w:tcPr>
            <w:tcW w:w="992" w:type="dxa"/>
            <w:tcBorders>
              <w:top w:val="single" w:sz="4" w:space="0" w:color="ADD6EA"/>
              <w:left w:val="nil"/>
              <w:bottom w:val="nil"/>
              <w:right w:val="nil"/>
            </w:tcBorders>
            <w:shd w:val="clear" w:color="auto" w:fill="auto"/>
            <w:noWrap/>
            <w:vAlign w:val="bottom"/>
            <w:hideMark/>
          </w:tcPr>
          <w:p w14:paraId="20CAD1B8"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77.7</w:t>
            </w:r>
          </w:p>
        </w:tc>
        <w:tc>
          <w:tcPr>
            <w:tcW w:w="992" w:type="dxa"/>
            <w:tcBorders>
              <w:top w:val="single" w:sz="4" w:space="0" w:color="ADD6EA"/>
              <w:left w:val="nil"/>
              <w:bottom w:val="nil"/>
              <w:right w:val="nil"/>
            </w:tcBorders>
            <w:shd w:val="clear" w:color="auto" w:fill="auto"/>
            <w:noWrap/>
            <w:vAlign w:val="bottom"/>
            <w:hideMark/>
          </w:tcPr>
          <w:p w14:paraId="1FDC320C"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77.5</w:t>
            </w:r>
          </w:p>
        </w:tc>
        <w:tc>
          <w:tcPr>
            <w:tcW w:w="993" w:type="dxa"/>
            <w:tcBorders>
              <w:top w:val="single" w:sz="4" w:space="0" w:color="ADD6EA"/>
              <w:left w:val="nil"/>
              <w:bottom w:val="nil"/>
              <w:right w:val="nil"/>
            </w:tcBorders>
            <w:shd w:val="clear" w:color="auto" w:fill="auto"/>
            <w:noWrap/>
            <w:vAlign w:val="bottom"/>
            <w:hideMark/>
          </w:tcPr>
          <w:p w14:paraId="5D78C4A8"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63.2</w:t>
            </w:r>
          </w:p>
        </w:tc>
      </w:tr>
      <w:tr w:rsidR="00943112" w:rsidRPr="00721FFD" w14:paraId="70CEAFBE" w14:textId="77777777" w:rsidTr="00793742">
        <w:trPr>
          <w:trHeight w:val="315"/>
        </w:trPr>
        <w:tc>
          <w:tcPr>
            <w:tcW w:w="4720" w:type="dxa"/>
            <w:tcBorders>
              <w:top w:val="single" w:sz="4" w:space="0" w:color="ADD6EA"/>
              <w:left w:val="nil"/>
              <w:bottom w:val="single" w:sz="4" w:space="0" w:color="ADD6EA"/>
              <w:right w:val="nil"/>
            </w:tcBorders>
            <w:shd w:val="clear" w:color="auto" w:fill="auto"/>
            <w:vAlign w:val="bottom"/>
            <w:hideMark/>
          </w:tcPr>
          <w:p w14:paraId="6A16F8C1" w14:textId="77777777" w:rsidR="00943112" w:rsidRPr="00440346" w:rsidRDefault="00943112" w:rsidP="00793742">
            <w:pPr>
              <w:tabs>
                <w:tab w:val="clear" w:pos="567"/>
              </w:tabs>
              <w:spacing w:before="0" w:line="240" w:lineRule="auto"/>
              <w:ind w:firstLineChars="200" w:firstLine="320"/>
              <w:rPr>
                <w:rFonts w:eastAsia="Times New Roman" w:cs="Open Sans Light"/>
                <w:color w:val="000000"/>
                <w:sz w:val="16"/>
                <w:szCs w:val="16"/>
                <w:lang w:eastAsia="en-AU"/>
              </w:rPr>
            </w:pPr>
            <w:r w:rsidRPr="00440346">
              <w:rPr>
                <w:rFonts w:eastAsia="Times New Roman" w:cs="Open Sans Light"/>
                <w:color w:val="000000"/>
                <w:sz w:val="16"/>
                <w:szCs w:val="16"/>
                <w:lang w:eastAsia="en-AU"/>
              </w:rPr>
              <w:t>Payments that do not impact the GST relativities</w:t>
            </w:r>
          </w:p>
        </w:tc>
        <w:tc>
          <w:tcPr>
            <w:tcW w:w="1234" w:type="dxa"/>
            <w:tcBorders>
              <w:top w:val="single" w:sz="4" w:space="0" w:color="ADD6EA"/>
              <w:left w:val="nil"/>
              <w:bottom w:val="single" w:sz="4" w:space="0" w:color="ADD6EA"/>
              <w:right w:val="nil"/>
            </w:tcBorders>
            <w:shd w:val="clear" w:color="auto" w:fill="auto"/>
            <w:noWrap/>
            <w:vAlign w:val="bottom"/>
            <w:hideMark/>
          </w:tcPr>
          <w:p w14:paraId="0E51E573"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20.5</w:t>
            </w:r>
          </w:p>
        </w:tc>
        <w:tc>
          <w:tcPr>
            <w:tcW w:w="992" w:type="dxa"/>
            <w:tcBorders>
              <w:top w:val="single" w:sz="4" w:space="0" w:color="ADD6EA"/>
              <w:left w:val="nil"/>
              <w:bottom w:val="single" w:sz="4" w:space="0" w:color="ADD6EA"/>
              <w:right w:val="nil"/>
            </w:tcBorders>
            <w:shd w:val="clear" w:color="auto" w:fill="auto"/>
            <w:noWrap/>
            <w:vAlign w:val="bottom"/>
            <w:hideMark/>
          </w:tcPr>
          <w:p w14:paraId="76DC1E60"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22.3</w:t>
            </w:r>
          </w:p>
        </w:tc>
        <w:tc>
          <w:tcPr>
            <w:tcW w:w="992" w:type="dxa"/>
            <w:tcBorders>
              <w:top w:val="single" w:sz="4" w:space="0" w:color="ADD6EA"/>
              <w:left w:val="nil"/>
              <w:bottom w:val="single" w:sz="4" w:space="0" w:color="ADD6EA"/>
              <w:right w:val="nil"/>
            </w:tcBorders>
            <w:shd w:val="clear" w:color="auto" w:fill="auto"/>
            <w:noWrap/>
            <w:vAlign w:val="bottom"/>
            <w:hideMark/>
          </w:tcPr>
          <w:p w14:paraId="75865284"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22.5</w:t>
            </w:r>
          </w:p>
        </w:tc>
        <w:tc>
          <w:tcPr>
            <w:tcW w:w="993" w:type="dxa"/>
            <w:tcBorders>
              <w:top w:val="single" w:sz="4" w:space="0" w:color="ADD6EA"/>
              <w:left w:val="nil"/>
              <w:bottom w:val="single" w:sz="4" w:space="0" w:color="ADD6EA"/>
              <w:right w:val="nil"/>
            </w:tcBorders>
            <w:shd w:val="clear" w:color="auto" w:fill="auto"/>
            <w:noWrap/>
            <w:vAlign w:val="bottom"/>
            <w:hideMark/>
          </w:tcPr>
          <w:p w14:paraId="3D1885B8" w14:textId="77777777" w:rsidR="00943112" w:rsidRPr="00440346" w:rsidRDefault="00943112" w:rsidP="00793742">
            <w:pPr>
              <w:tabs>
                <w:tab w:val="clear" w:pos="567"/>
              </w:tabs>
              <w:spacing w:before="0" w:line="240" w:lineRule="auto"/>
              <w:jc w:val="right"/>
              <w:rPr>
                <w:rFonts w:eastAsia="Times New Roman" w:cs="Open Sans Light"/>
                <w:color w:val="000000"/>
                <w:sz w:val="16"/>
                <w:szCs w:val="16"/>
                <w:lang w:eastAsia="en-AU"/>
              </w:rPr>
            </w:pPr>
            <w:r w:rsidRPr="00440346">
              <w:rPr>
                <w:rFonts w:eastAsia="Times New Roman" w:cs="Open Sans Light"/>
                <w:color w:val="000000"/>
                <w:sz w:val="16"/>
                <w:szCs w:val="16"/>
                <w:lang w:eastAsia="en-AU"/>
              </w:rPr>
              <w:t>36.8</w:t>
            </w:r>
          </w:p>
        </w:tc>
      </w:tr>
    </w:tbl>
    <w:p w14:paraId="7611D19C" w14:textId="77777777" w:rsidR="00EA49C8" w:rsidRPr="00A51FA3" w:rsidRDefault="00EA49C8" w:rsidP="00EA49C8">
      <w:pPr>
        <w:pStyle w:val="CGCTablenote"/>
        <w:ind w:left="668" w:hanging="555"/>
        <w:rPr>
          <w:rFonts w:ascii="Work Sans" w:hAnsi="Work Sans"/>
        </w:rPr>
      </w:pPr>
      <w:r w:rsidRPr="00A51FA3">
        <w:rPr>
          <w:rFonts w:ascii="Work Sans" w:hAnsi="Work Sans"/>
        </w:rPr>
        <w:t>Note:</w:t>
      </w:r>
      <w:r w:rsidRPr="00A51FA3">
        <w:rPr>
          <w:rFonts w:ascii="Work Sans" w:hAnsi="Work Sans"/>
        </w:rPr>
        <w:tab/>
      </w:r>
      <w:r w:rsidRPr="00A51FA3">
        <w:rPr>
          <w:rFonts w:ascii="Work Sans" w:hAnsi="Work Sans"/>
        </w:rPr>
        <w:tab/>
        <w:t xml:space="preserve">Payments assessed </w:t>
      </w:r>
      <w:r>
        <w:rPr>
          <w:rFonts w:ascii="Work Sans" w:hAnsi="Work Sans"/>
        </w:rPr>
        <w:t xml:space="preserve">equal per capita </w:t>
      </w:r>
      <w:r w:rsidRPr="00A51FA3">
        <w:rPr>
          <w:rFonts w:ascii="Work Sans" w:hAnsi="Work Sans"/>
        </w:rPr>
        <w:t xml:space="preserve">include out of scope payments and a balancing item which is the difference between </w:t>
      </w:r>
      <w:r w:rsidRPr="00A51FA3">
        <w:rPr>
          <w:rFonts w:ascii="Work Sans" w:hAnsi="Work Sans"/>
          <w:i/>
          <w:iCs/>
        </w:rPr>
        <w:t xml:space="preserve">Final Budget Outcome </w:t>
      </w:r>
      <w:r w:rsidRPr="00A51FA3">
        <w:rPr>
          <w:rFonts w:ascii="Work Sans" w:hAnsi="Work Sans"/>
        </w:rPr>
        <w:t>and Government Finance Statistics state budget data sources. The balancing item can be negative in some years.</w:t>
      </w:r>
    </w:p>
    <w:p w14:paraId="24A33BBE" w14:textId="5A7181A4" w:rsidR="00EA49C8" w:rsidRPr="00A51FA3" w:rsidRDefault="00EA49C8" w:rsidP="00EA49C8">
      <w:pPr>
        <w:pStyle w:val="CGCTablenote"/>
        <w:ind w:left="668"/>
        <w:rPr>
          <w:rFonts w:ascii="Work Sans" w:hAnsi="Work Sans"/>
        </w:rPr>
      </w:pPr>
      <w:r w:rsidRPr="00A51FA3">
        <w:rPr>
          <w:rFonts w:ascii="Work Sans" w:hAnsi="Work Sans"/>
        </w:rPr>
        <w:tab/>
      </w:r>
      <w:r w:rsidRPr="00A51FA3">
        <w:rPr>
          <w:rFonts w:ascii="Work Sans" w:hAnsi="Work Sans"/>
        </w:rPr>
        <w:tab/>
        <w:t xml:space="preserve">Payments treated as own-source </w:t>
      </w:r>
      <w:r w:rsidR="00682160">
        <w:rPr>
          <w:rFonts w:ascii="Work Sans" w:hAnsi="Work Sans"/>
        </w:rPr>
        <w:t xml:space="preserve">revenue </w:t>
      </w:r>
      <w:r w:rsidRPr="00A51FA3">
        <w:rPr>
          <w:rFonts w:ascii="Work Sans" w:hAnsi="Work Sans"/>
        </w:rPr>
        <w:t>are grants in lieu of royalties. This revenue is assessed as part of the mining assessment. In 2018</w:t>
      </w:r>
      <w:r>
        <w:rPr>
          <w:rFonts w:ascii="Work Sans" w:hAnsi="Work Sans"/>
        </w:rPr>
        <w:t>–</w:t>
      </w:r>
      <w:r w:rsidRPr="00A51FA3">
        <w:rPr>
          <w:rFonts w:ascii="Work Sans" w:hAnsi="Work Sans"/>
        </w:rPr>
        <w:t>19 payments also included revenue from the Federal Interstate Registration Scheme. This scheme was subsequently closed.</w:t>
      </w:r>
    </w:p>
    <w:p w14:paraId="2537BB6C" w14:textId="77777777" w:rsidR="00EA49C8" w:rsidRDefault="00EA49C8" w:rsidP="00EA49C8">
      <w:pPr>
        <w:pStyle w:val="CGCTablenote"/>
        <w:ind w:left="668"/>
        <w:rPr>
          <w:rFonts w:ascii="Work Sans" w:hAnsi="Work Sans"/>
        </w:rPr>
      </w:pPr>
      <w:r w:rsidRPr="00A51FA3">
        <w:rPr>
          <w:rFonts w:ascii="Work Sans" w:hAnsi="Work Sans"/>
        </w:rPr>
        <w:tab/>
      </w:r>
      <w:r w:rsidRPr="00A51FA3">
        <w:rPr>
          <w:rFonts w:ascii="Work Sans" w:hAnsi="Work Sans"/>
        </w:rPr>
        <w:tab/>
        <w:t>The increase in proportion of no impact payments in 2021</w:t>
      </w:r>
      <w:r>
        <w:rPr>
          <w:rFonts w:ascii="Work Sans" w:hAnsi="Work Sans"/>
        </w:rPr>
        <w:t>–</w:t>
      </w:r>
      <w:r w:rsidRPr="00A51FA3">
        <w:rPr>
          <w:rFonts w:ascii="Work Sans" w:hAnsi="Work Sans"/>
        </w:rPr>
        <w:t>22 was largely due to COVID-19 related health and business support, and natural disaster relief payments.</w:t>
      </w:r>
    </w:p>
    <w:p w14:paraId="68AB11CC" w14:textId="58C92BF5" w:rsidR="00307678" w:rsidRPr="00307678" w:rsidRDefault="00307678" w:rsidP="00307678">
      <w:pPr>
        <w:pStyle w:val="CGCTablenote"/>
        <w:rPr>
          <w:rFonts w:ascii="Work Sans" w:hAnsi="Work Sans"/>
        </w:rPr>
      </w:pPr>
      <w:r>
        <w:rPr>
          <w:rFonts w:ascii="Work Sans" w:hAnsi="Work Sans"/>
        </w:rPr>
        <w:t>Source</w:t>
      </w:r>
      <w:r w:rsidRPr="003F1F10">
        <w:rPr>
          <w:rFonts w:ascii="Work Sans" w:hAnsi="Work Sans"/>
        </w:rPr>
        <w:t>:</w:t>
      </w:r>
      <w:r w:rsidRPr="003F1F10">
        <w:rPr>
          <w:rFonts w:ascii="Work Sans" w:hAnsi="Work Sans"/>
        </w:rPr>
        <w:tab/>
        <w:t>Commission calculation.</w:t>
      </w:r>
    </w:p>
    <w:p w14:paraId="4F862ED8" w14:textId="13040011" w:rsidR="00B10737" w:rsidRDefault="00B10737" w:rsidP="00203F82">
      <w:pPr>
        <w:pStyle w:val="Heading3"/>
      </w:pPr>
      <w:bookmarkStart w:id="19" w:name="_Toc138692165"/>
      <w:bookmarkStart w:id="20" w:name="_Toc121741486"/>
      <w:bookmarkStart w:id="21" w:name="_Toc132729102"/>
      <w:bookmarkStart w:id="22" w:name="_Toc133236149"/>
      <w:bookmarkStart w:id="23" w:name="_Toc133236175"/>
      <w:bookmarkStart w:id="24" w:name="_Toc127428352"/>
      <w:r>
        <w:lastRenderedPageBreak/>
        <w:t xml:space="preserve">GST </w:t>
      </w:r>
      <w:r w:rsidR="003505D2">
        <w:t>d</w:t>
      </w:r>
      <w:r>
        <w:t xml:space="preserve">istribution in the 2023 </w:t>
      </w:r>
      <w:r w:rsidR="00D82E35">
        <w:t>Update</w:t>
      </w:r>
      <w:bookmarkEnd w:id="19"/>
    </w:p>
    <w:p w14:paraId="5F336A4F" w14:textId="4CEB0F44" w:rsidR="00316676" w:rsidRDefault="00D96840" w:rsidP="00316676">
      <w:pPr>
        <w:pStyle w:val="CGC2025ParaNumbers"/>
      </w:pPr>
      <w:r>
        <w:fldChar w:fldCharType="begin"/>
      </w:r>
      <w:r>
        <w:instrText xml:space="preserve"> REF _Ref137739028 \h </w:instrText>
      </w:r>
      <w:r>
        <w:fldChar w:fldCharType="separate"/>
      </w:r>
      <w:r w:rsidRPr="00D96840">
        <w:t xml:space="preserve">Table </w:t>
      </w:r>
      <w:r w:rsidRPr="00D96840">
        <w:rPr>
          <w:noProof/>
        </w:rPr>
        <w:t>3</w:t>
      </w:r>
      <w:r>
        <w:fldChar w:fldCharType="end"/>
      </w:r>
      <w:r>
        <w:t xml:space="preserve"> </w:t>
      </w:r>
      <w:r w:rsidR="00316676">
        <w:t xml:space="preserve">shows the extent to which the assessment moves GST payments away from an equal per capita distribution. In 2023–24, Commonwealth payments distributed $2,108 million ($80 per capita) </w:t>
      </w:r>
      <w:r w:rsidR="0091304E">
        <w:t>away from</w:t>
      </w:r>
      <w:r w:rsidR="00316676">
        <w:t xml:space="preserve"> an equal per capita assessment. More GST was directed to states that received below-average per capita Commonwealth payments treated as ‘impact’.</w:t>
      </w:r>
    </w:p>
    <w:p w14:paraId="5907EB9C" w14:textId="2E536389" w:rsidR="00D96840" w:rsidRPr="00D96840" w:rsidRDefault="00D96840" w:rsidP="00D96840">
      <w:pPr>
        <w:pStyle w:val="Caption"/>
        <w:rPr>
          <w:rFonts w:ascii="Work Sans" w:hAnsi="Work Sans"/>
        </w:rPr>
      </w:pPr>
      <w:bookmarkStart w:id="25" w:name="_Ref137739028"/>
      <w:r w:rsidRPr="00D96840">
        <w:rPr>
          <w:rFonts w:ascii="Work Sans" w:hAnsi="Work Sans"/>
        </w:rPr>
        <w:t xml:space="preserve">Table </w:t>
      </w:r>
      <w:r w:rsidRPr="00D96840">
        <w:rPr>
          <w:rFonts w:ascii="Work Sans" w:hAnsi="Work Sans"/>
        </w:rPr>
        <w:fldChar w:fldCharType="begin"/>
      </w:r>
      <w:r w:rsidRPr="00D96840">
        <w:rPr>
          <w:rFonts w:ascii="Work Sans" w:hAnsi="Work Sans"/>
        </w:rPr>
        <w:instrText xml:space="preserve"> SEQ Table \* ARABIC </w:instrText>
      </w:r>
      <w:r w:rsidRPr="00D96840">
        <w:rPr>
          <w:rFonts w:ascii="Work Sans" w:hAnsi="Work Sans"/>
        </w:rPr>
        <w:fldChar w:fldCharType="separate"/>
      </w:r>
      <w:r w:rsidR="003F3418">
        <w:rPr>
          <w:rFonts w:ascii="Work Sans" w:hAnsi="Work Sans"/>
          <w:noProof/>
        </w:rPr>
        <w:t>3</w:t>
      </w:r>
      <w:r w:rsidRPr="00D96840">
        <w:rPr>
          <w:rFonts w:ascii="Work Sans" w:hAnsi="Work Sans"/>
        </w:rPr>
        <w:fldChar w:fldCharType="end"/>
      </w:r>
      <w:bookmarkEnd w:id="25"/>
      <w:r w:rsidRPr="00D96840">
        <w:rPr>
          <w:rFonts w:ascii="Work Sans" w:hAnsi="Work Sans"/>
        </w:rPr>
        <w:tab/>
        <w:t>GST impact of assessed Commonwealth payments, 2023–24</w:t>
      </w:r>
    </w:p>
    <w:tbl>
      <w:tblPr>
        <w:tblW w:w="0" w:type="auto"/>
        <w:tblLayout w:type="fixed"/>
        <w:tblLook w:val="04A0" w:firstRow="1" w:lastRow="0" w:firstColumn="1" w:lastColumn="0" w:noHBand="0" w:noVBand="1"/>
      </w:tblPr>
      <w:tblGrid>
        <w:gridCol w:w="1418"/>
        <w:gridCol w:w="837"/>
        <w:gridCol w:w="838"/>
        <w:gridCol w:w="838"/>
        <w:gridCol w:w="838"/>
        <w:gridCol w:w="838"/>
        <w:gridCol w:w="838"/>
        <w:gridCol w:w="838"/>
        <w:gridCol w:w="838"/>
        <w:gridCol w:w="838"/>
      </w:tblGrid>
      <w:tr w:rsidR="00D96840" w:rsidRPr="00FF5BF7" w14:paraId="17EA6D2B" w14:textId="77777777" w:rsidTr="00793742">
        <w:trPr>
          <w:trHeight w:val="375"/>
        </w:trPr>
        <w:tc>
          <w:tcPr>
            <w:tcW w:w="1418" w:type="dxa"/>
            <w:tcBorders>
              <w:top w:val="nil"/>
              <w:left w:val="nil"/>
              <w:bottom w:val="nil"/>
              <w:right w:val="nil"/>
            </w:tcBorders>
            <w:shd w:val="clear" w:color="000000" w:fill="006991"/>
            <w:vAlign w:val="bottom"/>
            <w:hideMark/>
          </w:tcPr>
          <w:p w14:paraId="39E181B8" w14:textId="77777777" w:rsidR="00D96840" w:rsidRPr="00FF5BF7" w:rsidRDefault="00D96840" w:rsidP="00793742">
            <w:pPr>
              <w:keepNext/>
              <w:keepLines/>
              <w:widowControl w:val="0"/>
              <w:tabs>
                <w:tab w:val="clear" w:pos="567"/>
              </w:tabs>
              <w:spacing w:before="0" w:line="240" w:lineRule="auto"/>
              <w:rPr>
                <w:rFonts w:ascii="Work Sans SemiBold" w:eastAsia="Times New Roman" w:hAnsi="Work Sans SemiBold" w:cs="Times New Roman"/>
                <w:color w:val="FFFFFF"/>
                <w:sz w:val="16"/>
                <w:szCs w:val="16"/>
                <w:lang w:eastAsia="en-AU"/>
              </w:rPr>
            </w:pPr>
            <w:bookmarkStart w:id="26" w:name="RANGE!A1:J11"/>
            <w:r w:rsidRPr="00FF5BF7">
              <w:rPr>
                <w:rFonts w:ascii="Work Sans SemiBold" w:eastAsia="Times New Roman" w:hAnsi="Work Sans SemiBold" w:cs="Times New Roman"/>
                <w:color w:val="FFFFFF"/>
                <w:sz w:val="16"/>
                <w:szCs w:val="16"/>
                <w:lang w:eastAsia="en-AU"/>
              </w:rPr>
              <w:t> </w:t>
            </w:r>
            <w:bookmarkEnd w:id="26"/>
          </w:p>
        </w:tc>
        <w:tc>
          <w:tcPr>
            <w:tcW w:w="837" w:type="dxa"/>
            <w:tcBorders>
              <w:top w:val="nil"/>
              <w:left w:val="nil"/>
              <w:bottom w:val="nil"/>
              <w:right w:val="nil"/>
            </w:tcBorders>
            <w:shd w:val="clear" w:color="000000" w:fill="006991"/>
            <w:vAlign w:val="center"/>
            <w:hideMark/>
          </w:tcPr>
          <w:p w14:paraId="1B3A3169"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NSW</w:t>
            </w:r>
          </w:p>
        </w:tc>
        <w:tc>
          <w:tcPr>
            <w:tcW w:w="838" w:type="dxa"/>
            <w:tcBorders>
              <w:top w:val="nil"/>
              <w:left w:val="nil"/>
              <w:bottom w:val="nil"/>
              <w:right w:val="nil"/>
            </w:tcBorders>
            <w:shd w:val="clear" w:color="000000" w:fill="006991"/>
            <w:vAlign w:val="center"/>
            <w:hideMark/>
          </w:tcPr>
          <w:p w14:paraId="22863A26"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Vic</w:t>
            </w:r>
          </w:p>
        </w:tc>
        <w:tc>
          <w:tcPr>
            <w:tcW w:w="838" w:type="dxa"/>
            <w:tcBorders>
              <w:top w:val="nil"/>
              <w:left w:val="nil"/>
              <w:bottom w:val="nil"/>
              <w:right w:val="nil"/>
            </w:tcBorders>
            <w:shd w:val="clear" w:color="000000" w:fill="006991"/>
            <w:vAlign w:val="center"/>
            <w:hideMark/>
          </w:tcPr>
          <w:p w14:paraId="127195B4"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Qld</w:t>
            </w:r>
          </w:p>
        </w:tc>
        <w:tc>
          <w:tcPr>
            <w:tcW w:w="838" w:type="dxa"/>
            <w:tcBorders>
              <w:top w:val="nil"/>
              <w:left w:val="nil"/>
              <w:bottom w:val="nil"/>
              <w:right w:val="nil"/>
            </w:tcBorders>
            <w:shd w:val="clear" w:color="000000" w:fill="006991"/>
            <w:vAlign w:val="center"/>
            <w:hideMark/>
          </w:tcPr>
          <w:p w14:paraId="2A88E253"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WA</w:t>
            </w:r>
          </w:p>
        </w:tc>
        <w:tc>
          <w:tcPr>
            <w:tcW w:w="838" w:type="dxa"/>
            <w:tcBorders>
              <w:top w:val="nil"/>
              <w:left w:val="nil"/>
              <w:bottom w:val="nil"/>
              <w:right w:val="nil"/>
            </w:tcBorders>
            <w:shd w:val="clear" w:color="000000" w:fill="006991"/>
            <w:vAlign w:val="center"/>
            <w:hideMark/>
          </w:tcPr>
          <w:p w14:paraId="605F4C03"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SA</w:t>
            </w:r>
          </w:p>
        </w:tc>
        <w:tc>
          <w:tcPr>
            <w:tcW w:w="838" w:type="dxa"/>
            <w:tcBorders>
              <w:top w:val="nil"/>
              <w:left w:val="nil"/>
              <w:bottom w:val="nil"/>
              <w:right w:val="nil"/>
            </w:tcBorders>
            <w:shd w:val="clear" w:color="000000" w:fill="006991"/>
            <w:vAlign w:val="center"/>
            <w:hideMark/>
          </w:tcPr>
          <w:p w14:paraId="42F40254"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Tas</w:t>
            </w:r>
          </w:p>
        </w:tc>
        <w:tc>
          <w:tcPr>
            <w:tcW w:w="838" w:type="dxa"/>
            <w:tcBorders>
              <w:top w:val="nil"/>
              <w:left w:val="nil"/>
              <w:bottom w:val="nil"/>
              <w:right w:val="nil"/>
            </w:tcBorders>
            <w:shd w:val="clear" w:color="000000" w:fill="006991"/>
            <w:vAlign w:val="center"/>
            <w:hideMark/>
          </w:tcPr>
          <w:p w14:paraId="260A384B"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ACT</w:t>
            </w:r>
          </w:p>
        </w:tc>
        <w:tc>
          <w:tcPr>
            <w:tcW w:w="838" w:type="dxa"/>
            <w:tcBorders>
              <w:top w:val="nil"/>
              <w:left w:val="nil"/>
              <w:bottom w:val="nil"/>
              <w:right w:val="nil"/>
            </w:tcBorders>
            <w:shd w:val="clear" w:color="000000" w:fill="006991"/>
            <w:vAlign w:val="center"/>
            <w:hideMark/>
          </w:tcPr>
          <w:p w14:paraId="711E5EAC"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sidRPr="00FF5BF7">
              <w:rPr>
                <w:rFonts w:ascii="Work Sans SemiBold" w:eastAsia="Times New Roman" w:hAnsi="Work Sans SemiBold" w:cs="Times New Roman"/>
                <w:color w:val="FFFFFF"/>
                <w:sz w:val="16"/>
                <w:szCs w:val="16"/>
                <w:lang w:eastAsia="en-AU"/>
              </w:rPr>
              <w:t>NT</w:t>
            </w:r>
          </w:p>
        </w:tc>
        <w:tc>
          <w:tcPr>
            <w:tcW w:w="838" w:type="dxa"/>
            <w:tcBorders>
              <w:top w:val="nil"/>
              <w:left w:val="nil"/>
              <w:bottom w:val="nil"/>
              <w:right w:val="nil"/>
            </w:tcBorders>
            <w:shd w:val="clear" w:color="000000" w:fill="006991"/>
            <w:vAlign w:val="center"/>
            <w:hideMark/>
          </w:tcPr>
          <w:p w14:paraId="3522ECFD" w14:textId="21D1A4CE" w:rsidR="00D96840" w:rsidRPr="00FF5BF7" w:rsidRDefault="00BA0800" w:rsidP="00793742">
            <w:pPr>
              <w:keepNext/>
              <w:keepLines/>
              <w:widowControl w:val="0"/>
              <w:tabs>
                <w:tab w:val="clear" w:pos="567"/>
              </w:tabs>
              <w:spacing w:before="0" w:line="240" w:lineRule="auto"/>
              <w:jc w:val="right"/>
              <w:rPr>
                <w:rFonts w:ascii="Work Sans SemiBold" w:eastAsia="Times New Roman" w:hAnsi="Work Sans SemiBold" w:cs="Times New Roman"/>
                <w:color w:val="FFFFFF"/>
                <w:sz w:val="16"/>
                <w:szCs w:val="16"/>
                <w:lang w:eastAsia="en-AU"/>
              </w:rPr>
            </w:pPr>
            <w:r>
              <w:rPr>
                <w:rFonts w:ascii="Work Sans SemiBold" w:eastAsia="Times New Roman" w:hAnsi="Work Sans SemiBold" w:cs="Times New Roman"/>
                <w:color w:val="FFFFFF"/>
                <w:sz w:val="16"/>
                <w:szCs w:val="16"/>
                <w:lang w:eastAsia="en-AU"/>
              </w:rPr>
              <w:t>Total</w:t>
            </w:r>
            <w:r w:rsidR="00A66114">
              <w:rPr>
                <w:rFonts w:ascii="Work Sans SemiBold" w:eastAsia="Times New Roman" w:hAnsi="Work Sans SemiBold" w:cs="Times New Roman"/>
                <w:color w:val="FFFFFF"/>
                <w:sz w:val="16"/>
                <w:szCs w:val="16"/>
                <w:lang w:eastAsia="en-AU"/>
              </w:rPr>
              <w:t xml:space="preserve"> Effect</w:t>
            </w:r>
          </w:p>
        </w:tc>
      </w:tr>
      <w:tr w:rsidR="00D96840" w:rsidRPr="00FF5BF7" w14:paraId="2186494F" w14:textId="77777777" w:rsidTr="00793742">
        <w:trPr>
          <w:trHeight w:val="255"/>
        </w:trPr>
        <w:tc>
          <w:tcPr>
            <w:tcW w:w="1418" w:type="dxa"/>
            <w:tcBorders>
              <w:top w:val="single" w:sz="4" w:space="0" w:color="ADD6EA"/>
              <w:left w:val="nil"/>
              <w:bottom w:val="nil"/>
              <w:right w:val="nil"/>
            </w:tcBorders>
            <w:shd w:val="clear" w:color="000000" w:fill="B6D5E4"/>
            <w:vAlign w:val="center"/>
            <w:hideMark/>
          </w:tcPr>
          <w:p w14:paraId="176ADA7F" w14:textId="77777777" w:rsidR="00D96840" w:rsidRPr="00FF5BF7" w:rsidRDefault="00D96840" w:rsidP="00793742">
            <w:pPr>
              <w:keepNext/>
              <w:keepLines/>
              <w:widowControl w:val="0"/>
              <w:tabs>
                <w:tab w:val="clear" w:pos="567"/>
              </w:tabs>
              <w:spacing w:before="0" w:line="240" w:lineRule="auto"/>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 </w:t>
            </w:r>
          </w:p>
        </w:tc>
        <w:tc>
          <w:tcPr>
            <w:tcW w:w="837" w:type="dxa"/>
            <w:tcBorders>
              <w:top w:val="single" w:sz="4" w:space="0" w:color="ADD6EA"/>
              <w:left w:val="nil"/>
              <w:bottom w:val="nil"/>
              <w:right w:val="nil"/>
            </w:tcBorders>
            <w:shd w:val="clear" w:color="000000" w:fill="B6D5E4"/>
            <w:noWrap/>
            <w:vAlign w:val="center"/>
            <w:hideMark/>
          </w:tcPr>
          <w:p w14:paraId="794D05BC"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1AE20811"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6C5C36EF"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28B468F6"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2C2B5BD7"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166F22F8"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409D5218"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6E633FED"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c>
          <w:tcPr>
            <w:tcW w:w="838" w:type="dxa"/>
            <w:tcBorders>
              <w:top w:val="single" w:sz="4" w:space="0" w:color="ADD6EA"/>
              <w:left w:val="nil"/>
              <w:bottom w:val="nil"/>
              <w:right w:val="nil"/>
            </w:tcBorders>
            <w:shd w:val="clear" w:color="000000" w:fill="B6D5E4"/>
            <w:noWrap/>
            <w:vAlign w:val="center"/>
            <w:hideMark/>
          </w:tcPr>
          <w:p w14:paraId="709865CC" w14:textId="77777777" w:rsidR="00D96840" w:rsidRPr="00FF5BF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$m</w:t>
            </w:r>
          </w:p>
        </w:tc>
      </w:tr>
      <w:tr w:rsidR="00D96840" w:rsidRPr="00FF5BF7" w14:paraId="07595C30" w14:textId="77777777" w:rsidTr="00793742">
        <w:trPr>
          <w:trHeight w:val="315"/>
        </w:trPr>
        <w:tc>
          <w:tcPr>
            <w:tcW w:w="1418" w:type="dxa"/>
            <w:tcBorders>
              <w:top w:val="single" w:sz="4" w:space="0" w:color="ADD6EA"/>
              <w:left w:val="nil"/>
              <w:bottom w:val="nil"/>
              <w:right w:val="nil"/>
            </w:tcBorders>
            <w:shd w:val="clear" w:color="000000" w:fill="D6E7F0"/>
            <w:vAlign w:val="center"/>
            <w:hideMark/>
          </w:tcPr>
          <w:p w14:paraId="37B71B77" w14:textId="77777777" w:rsidR="00D96840" w:rsidRPr="00FF5BF7" w:rsidRDefault="00D96840" w:rsidP="00793742">
            <w:pPr>
              <w:keepNext/>
              <w:keepLines/>
              <w:widowControl w:val="0"/>
              <w:tabs>
                <w:tab w:val="clear" w:pos="567"/>
              </w:tabs>
              <w:spacing w:before="0" w:line="240" w:lineRule="auto"/>
              <w:ind w:firstLineChars="100" w:firstLine="160"/>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Total ($m)</w:t>
            </w:r>
          </w:p>
        </w:tc>
        <w:tc>
          <w:tcPr>
            <w:tcW w:w="837" w:type="dxa"/>
            <w:tcBorders>
              <w:top w:val="single" w:sz="4" w:space="0" w:color="ADD6EA"/>
              <w:left w:val="nil"/>
              <w:bottom w:val="nil"/>
              <w:right w:val="nil"/>
            </w:tcBorders>
            <w:shd w:val="clear" w:color="000000" w:fill="D6E7F0"/>
            <w:noWrap/>
            <w:vAlign w:val="bottom"/>
            <w:hideMark/>
          </w:tcPr>
          <w:p w14:paraId="06A56DD0"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606</w:t>
            </w:r>
          </w:p>
        </w:tc>
        <w:tc>
          <w:tcPr>
            <w:tcW w:w="838" w:type="dxa"/>
            <w:tcBorders>
              <w:top w:val="single" w:sz="4" w:space="0" w:color="ADD6EA"/>
              <w:left w:val="nil"/>
              <w:bottom w:val="nil"/>
              <w:right w:val="nil"/>
            </w:tcBorders>
            <w:shd w:val="clear" w:color="000000" w:fill="D6E7F0"/>
            <w:noWrap/>
            <w:vAlign w:val="bottom"/>
            <w:hideMark/>
          </w:tcPr>
          <w:p w14:paraId="13728647"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1,273</w:t>
            </w:r>
          </w:p>
        </w:tc>
        <w:tc>
          <w:tcPr>
            <w:tcW w:w="838" w:type="dxa"/>
            <w:tcBorders>
              <w:top w:val="single" w:sz="4" w:space="0" w:color="ADD6EA"/>
              <w:left w:val="nil"/>
              <w:bottom w:val="nil"/>
              <w:right w:val="nil"/>
            </w:tcBorders>
            <w:shd w:val="clear" w:color="000000" w:fill="D6E7F0"/>
            <w:noWrap/>
            <w:vAlign w:val="bottom"/>
            <w:hideMark/>
          </w:tcPr>
          <w:p w14:paraId="2B9610BC"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-1,343</w:t>
            </w:r>
          </w:p>
        </w:tc>
        <w:tc>
          <w:tcPr>
            <w:tcW w:w="838" w:type="dxa"/>
            <w:tcBorders>
              <w:top w:val="single" w:sz="4" w:space="0" w:color="ADD6EA"/>
              <w:left w:val="nil"/>
              <w:bottom w:val="nil"/>
              <w:right w:val="nil"/>
            </w:tcBorders>
            <w:shd w:val="clear" w:color="000000" w:fill="D6E7F0"/>
            <w:noWrap/>
            <w:vAlign w:val="bottom"/>
            <w:hideMark/>
          </w:tcPr>
          <w:p w14:paraId="370CC5F4"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-177</w:t>
            </w:r>
          </w:p>
        </w:tc>
        <w:tc>
          <w:tcPr>
            <w:tcW w:w="838" w:type="dxa"/>
            <w:tcBorders>
              <w:top w:val="single" w:sz="4" w:space="0" w:color="ADD6EA"/>
              <w:left w:val="nil"/>
              <w:bottom w:val="nil"/>
              <w:right w:val="nil"/>
            </w:tcBorders>
            <w:shd w:val="clear" w:color="000000" w:fill="D6E7F0"/>
            <w:noWrap/>
            <w:vAlign w:val="bottom"/>
            <w:hideMark/>
          </w:tcPr>
          <w:p w14:paraId="0012EA53"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80</w:t>
            </w:r>
          </w:p>
        </w:tc>
        <w:tc>
          <w:tcPr>
            <w:tcW w:w="838" w:type="dxa"/>
            <w:tcBorders>
              <w:top w:val="single" w:sz="4" w:space="0" w:color="ADD6EA"/>
              <w:left w:val="nil"/>
              <w:bottom w:val="nil"/>
              <w:right w:val="nil"/>
            </w:tcBorders>
            <w:shd w:val="clear" w:color="000000" w:fill="D6E7F0"/>
            <w:noWrap/>
            <w:vAlign w:val="bottom"/>
            <w:hideMark/>
          </w:tcPr>
          <w:p w14:paraId="70B42CF8"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-54</w:t>
            </w:r>
          </w:p>
        </w:tc>
        <w:tc>
          <w:tcPr>
            <w:tcW w:w="838" w:type="dxa"/>
            <w:tcBorders>
              <w:top w:val="single" w:sz="4" w:space="0" w:color="ADD6EA"/>
              <w:left w:val="nil"/>
              <w:bottom w:val="nil"/>
              <w:right w:val="nil"/>
            </w:tcBorders>
            <w:shd w:val="clear" w:color="000000" w:fill="D6E7F0"/>
            <w:noWrap/>
            <w:vAlign w:val="bottom"/>
            <w:hideMark/>
          </w:tcPr>
          <w:p w14:paraId="4B2E167D"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148</w:t>
            </w:r>
          </w:p>
        </w:tc>
        <w:tc>
          <w:tcPr>
            <w:tcW w:w="838" w:type="dxa"/>
            <w:tcBorders>
              <w:top w:val="single" w:sz="4" w:space="0" w:color="ADD6EA"/>
              <w:left w:val="nil"/>
              <w:bottom w:val="nil"/>
              <w:right w:val="nil"/>
            </w:tcBorders>
            <w:shd w:val="clear" w:color="000000" w:fill="D6E7F0"/>
            <w:noWrap/>
            <w:vAlign w:val="bottom"/>
            <w:hideMark/>
          </w:tcPr>
          <w:p w14:paraId="42218C5B"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-533</w:t>
            </w:r>
          </w:p>
        </w:tc>
        <w:tc>
          <w:tcPr>
            <w:tcW w:w="838" w:type="dxa"/>
            <w:tcBorders>
              <w:top w:val="single" w:sz="4" w:space="0" w:color="ADD6EA"/>
              <w:left w:val="nil"/>
              <w:bottom w:val="nil"/>
              <w:right w:val="nil"/>
            </w:tcBorders>
            <w:shd w:val="clear" w:color="000000" w:fill="D6E7F0"/>
            <w:noWrap/>
            <w:vAlign w:val="bottom"/>
            <w:hideMark/>
          </w:tcPr>
          <w:p w14:paraId="1C125BD3" w14:textId="77777777" w:rsidR="00D96840" w:rsidRPr="00F4596D"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F4596D">
              <w:rPr>
                <w:rFonts w:ascii="Work Sans SemiBold" w:hAnsi="Work Sans SemiBold" w:cs="Open Sans Light"/>
                <w:color w:val="000000"/>
                <w:sz w:val="16"/>
                <w:szCs w:val="16"/>
              </w:rPr>
              <w:t>2,108</w:t>
            </w:r>
          </w:p>
        </w:tc>
      </w:tr>
      <w:tr w:rsidR="00D96840" w:rsidRPr="00FF5BF7" w14:paraId="595BC941" w14:textId="77777777" w:rsidTr="00793742">
        <w:trPr>
          <w:trHeight w:val="255"/>
        </w:trPr>
        <w:tc>
          <w:tcPr>
            <w:tcW w:w="1418" w:type="dxa"/>
            <w:tcBorders>
              <w:top w:val="single" w:sz="4" w:space="0" w:color="ADD6EA"/>
              <w:left w:val="nil"/>
              <w:bottom w:val="nil"/>
              <w:right w:val="nil"/>
            </w:tcBorders>
            <w:shd w:val="clear" w:color="000000" w:fill="B6D5E4"/>
            <w:vAlign w:val="center"/>
            <w:hideMark/>
          </w:tcPr>
          <w:p w14:paraId="0A324933" w14:textId="77777777" w:rsidR="00D96840" w:rsidRPr="00FF5BF7" w:rsidRDefault="00D96840" w:rsidP="00793742">
            <w:pPr>
              <w:keepNext/>
              <w:keepLines/>
              <w:widowControl w:val="0"/>
              <w:tabs>
                <w:tab w:val="clear" w:pos="567"/>
              </w:tabs>
              <w:spacing w:before="0" w:line="240" w:lineRule="auto"/>
              <w:ind w:firstLineChars="100" w:firstLine="160"/>
              <w:rPr>
                <w:rFonts w:ascii="Work Sans SemiBold" w:eastAsia="Times New Roman" w:hAnsi="Work Sans SemiBold" w:cs="Times New Roman"/>
                <w:color w:val="000000"/>
                <w:sz w:val="16"/>
                <w:szCs w:val="16"/>
                <w:lang w:eastAsia="en-AU"/>
              </w:rPr>
            </w:pPr>
            <w:r w:rsidRPr="00FF5BF7">
              <w:rPr>
                <w:rFonts w:ascii="Work Sans SemiBold" w:eastAsia="Times New Roman" w:hAnsi="Work Sans SemiBold" w:cs="Times New Roman"/>
                <w:color w:val="000000"/>
                <w:sz w:val="16"/>
                <w:szCs w:val="16"/>
                <w:lang w:eastAsia="en-AU"/>
              </w:rPr>
              <w:t>Total ($pc)</w:t>
            </w:r>
          </w:p>
        </w:tc>
        <w:tc>
          <w:tcPr>
            <w:tcW w:w="837" w:type="dxa"/>
            <w:tcBorders>
              <w:top w:val="single" w:sz="4" w:space="0" w:color="ADD6EA"/>
              <w:left w:val="nil"/>
              <w:bottom w:val="nil"/>
              <w:right w:val="nil"/>
            </w:tcBorders>
            <w:shd w:val="clear" w:color="000000" w:fill="B6D5E4"/>
            <w:noWrap/>
            <w:vAlign w:val="bottom"/>
            <w:hideMark/>
          </w:tcPr>
          <w:p w14:paraId="462EE000"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73</w:t>
            </w:r>
          </w:p>
        </w:tc>
        <w:tc>
          <w:tcPr>
            <w:tcW w:w="838" w:type="dxa"/>
            <w:tcBorders>
              <w:top w:val="single" w:sz="4" w:space="0" w:color="ADD6EA"/>
              <w:left w:val="nil"/>
              <w:bottom w:val="nil"/>
              <w:right w:val="nil"/>
            </w:tcBorders>
            <w:shd w:val="clear" w:color="000000" w:fill="B6D5E4"/>
            <w:noWrap/>
            <w:vAlign w:val="bottom"/>
            <w:hideMark/>
          </w:tcPr>
          <w:p w14:paraId="0F543BDE"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188</w:t>
            </w:r>
          </w:p>
        </w:tc>
        <w:tc>
          <w:tcPr>
            <w:tcW w:w="838" w:type="dxa"/>
            <w:tcBorders>
              <w:top w:val="single" w:sz="4" w:space="0" w:color="ADD6EA"/>
              <w:left w:val="nil"/>
              <w:bottom w:val="nil"/>
              <w:right w:val="nil"/>
            </w:tcBorders>
            <w:shd w:val="clear" w:color="000000" w:fill="B6D5E4"/>
            <w:noWrap/>
            <w:vAlign w:val="bottom"/>
            <w:hideMark/>
          </w:tcPr>
          <w:p w14:paraId="2D895B49"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-247</w:t>
            </w:r>
          </w:p>
        </w:tc>
        <w:tc>
          <w:tcPr>
            <w:tcW w:w="838" w:type="dxa"/>
            <w:tcBorders>
              <w:top w:val="single" w:sz="4" w:space="0" w:color="ADD6EA"/>
              <w:left w:val="nil"/>
              <w:bottom w:val="nil"/>
              <w:right w:val="nil"/>
            </w:tcBorders>
            <w:shd w:val="clear" w:color="000000" w:fill="B6D5E4"/>
            <w:noWrap/>
            <w:vAlign w:val="bottom"/>
            <w:hideMark/>
          </w:tcPr>
          <w:p w14:paraId="097FDCBC"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-62</w:t>
            </w:r>
          </w:p>
        </w:tc>
        <w:tc>
          <w:tcPr>
            <w:tcW w:w="838" w:type="dxa"/>
            <w:tcBorders>
              <w:top w:val="single" w:sz="4" w:space="0" w:color="ADD6EA"/>
              <w:left w:val="nil"/>
              <w:bottom w:val="nil"/>
              <w:right w:val="nil"/>
            </w:tcBorders>
            <w:shd w:val="clear" w:color="000000" w:fill="B6D5E4"/>
            <w:noWrap/>
            <w:vAlign w:val="bottom"/>
            <w:hideMark/>
          </w:tcPr>
          <w:p w14:paraId="0943CA47"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43</w:t>
            </w:r>
          </w:p>
        </w:tc>
        <w:tc>
          <w:tcPr>
            <w:tcW w:w="838" w:type="dxa"/>
            <w:tcBorders>
              <w:top w:val="single" w:sz="4" w:space="0" w:color="ADD6EA"/>
              <w:left w:val="nil"/>
              <w:bottom w:val="nil"/>
              <w:right w:val="nil"/>
            </w:tcBorders>
            <w:shd w:val="clear" w:color="000000" w:fill="B6D5E4"/>
            <w:noWrap/>
            <w:vAlign w:val="bottom"/>
            <w:hideMark/>
          </w:tcPr>
          <w:p w14:paraId="08B3BF31"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-92</w:t>
            </w:r>
          </w:p>
        </w:tc>
        <w:tc>
          <w:tcPr>
            <w:tcW w:w="838" w:type="dxa"/>
            <w:tcBorders>
              <w:top w:val="single" w:sz="4" w:space="0" w:color="ADD6EA"/>
              <w:left w:val="nil"/>
              <w:bottom w:val="nil"/>
              <w:right w:val="nil"/>
            </w:tcBorders>
            <w:shd w:val="clear" w:color="000000" w:fill="B6D5E4"/>
            <w:noWrap/>
            <w:vAlign w:val="bottom"/>
            <w:hideMark/>
          </w:tcPr>
          <w:p w14:paraId="72BA7385"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315</w:t>
            </w:r>
          </w:p>
        </w:tc>
        <w:tc>
          <w:tcPr>
            <w:tcW w:w="838" w:type="dxa"/>
            <w:tcBorders>
              <w:top w:val="single" w:sz="4" w:space="0" w:color="ADD6EA"/>
              <w:left w:val="nil"/>
              <w:bottom w:val="nil"/>
              <w:right w:val="nil"/>
            </w:tcBorders>
            <w:shd w:val="clear" w:color="000000" w:fill="B6D5E4"/>
            <w:noWrap/>
            <w:vAlign w:val="bottom"/>
            <w:hideMark/>
          </w:tcPr>
          <w:p w14:paraId="75EEA269"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-2,053</w:t>
            </w:r>
          </w:p>
        </w:tc>
        <w:tc>
          <w:tcPr>
            <w:tcW w:w="838" w:type="dxa"/>
            <w:tcBorders>
              <w:top w:val="single" w:sz="4" w:space="0" w:color="ADD6EA"/>
              <w:left w:val="nil"/>
              <w:bottom w:val="nil"/>
              <w:right w:val="nil"/>
            </w:tcBorders>
            <w:shd w:val="clear" w:color="000000" w:fill="B6D5E4"/>
            <w:noWrap/>
            <w:vAlign w:val="bottom"/>
            <w:hideMark/>
          </w:tcPr>
          <w:p w14:paraId="5ED981F7" w14:textId="77777777" w:rsidR="00D96840" w:rsidRPr="007618C7" w:rsidRDefault="00D96840" w:rsidP="00793742">
            <w:pPr>
              <w:keepNext/>
              <w:keepLines/>
              <w:widowControl w:val="0"/>
              <w:tabs>
                <w:tab w:val="clear" w:pos="567"/>
              </w:tabs>
              <w:spacing w:before="0" w:line="240" w:lineRule="auto"/>
              <w:jc w:val="right"/>
              <w:rPr>
                <w:rFonts w:ascii="Work Sans SemiBold" w:eastAsia="Times New Roman" w:hAnsi="Work Sans SemiBold" w:cs="Times New Roman"/>
                <w:color w:val="000000"/>
                <w:sz w:val="16"/>
                <w:szCs w:val="16"/>
                <w:lang w:eastAsia="en-AU"/>
              </w:rPr>
            </w:pPr>
            <w:r w:rsidRPr="007618C7">
              <w:rPr>
                <w:rFonts w:ascii="Work Sans SemiBold" w:hAnsi="Work Sans SemiBold" w:cs="Open Sans Light"/>
                <w:color w:val="000000"/>
                <w:sz w:val="16"/>
                <w:szCs w:val="16"/>
              </w:rPr>
              <w:t>80</w:t>
            </w:r>
          </w:p>
        </w:tc>
      </w:tr>
    </w:tbl>
    <w:p w14:paraId="52836B3F" w14:textId="77777777" w:rsidR="000B6A59" w:rsidRPr="000B6A59" w:rsidRDefault="000B6A59" w:rsidP="00B43DAC">
      <w:pPr>
        <w:pStyle w:val="CGC2025TableNote"/>
        <w:ind w:left="567" w:hanging="454"/>
      </w:pPr>
      <w:r w:rsidRPr="000B6A59">
        <w:t>Note:</w:t>
      </w:r>
      <w:r w:rsidRPr="000B6A59">
        <w:tab/>
        <w:t xml:space="preserve">These GST impacts reflect the difference between a state’s population share of Commonwealth payments and its actual share. The Commission’s assessment of the expenses funded by the payments also give rise to GST impacts which are included in the relevant expense category. For more information see </w:t>
      </w:r>
      <w:hyperlink r:id="rId18" w:history="1">
        <w:r w:rsidRPr="000B6A59">
          <w:rPr>
            <w:color w:val="006991"/>
            <w:u w:val="single"/>
          </w:rPr>
          <w:t>Research Paper #5 The framework for the treatment of Commonwealth payments in GST distribution</w:t>
        </w:r>
      </w:hyperlink>
      <w:r w:rsidRPr="000B6A59">
        <w:t xml:space="preserve">. </w:t>
      </w:r>
    </w:p>
    <w:p w14:paraId="398560C0" w14:textId="1235C724" w:rsidR="00117771" w:rsidRDefault="000B6A59" w:rsidP="00117771">
      <w:pPr>
        <w:pStyle w:val="CGC2025TableNote"/>
      </w:pPr>
      <w:r w:rsidRPr="000B6A59">
        <w:t>Source: Commission calculation.</w:t>
      </w:r>
    </w:p>
    <w:p w14:paraId="241DEEAE" w14:textId="18E883B6" w:rsidR="00117771" w:rsidRPr="00680202" w:rsidRDefault="00117771" w:rsidP="00117771">
      <w:pPr>
        <w:pStyle w:val="CGC2025ParaNumbers"/>
      </w:pPr>
      <w:r w:rsidRPr="00680202">
        <w:t>Further detail on the scope of payments and the underlying conceptual case for inclusion of payments are explained in</w:t>
      </w:r>
      <w:r>
        <w:t xml:space="preserve"> </w:t>
      </w:r>
      <w:r w:rsidR="001D3397">
        <w:t>v</w:t>
      </w:r>
      <w:r w:rsidRPr="00795A89">
        <w:t>ol</w:t>
      </w:r>
      <w:r w:rsidR="00587C9C">
        <w:t>ume</w:t>
      </w:r>
      <w:r w:rsidRPr="00795A89">
        <w:t xml:space="preserve"> 2</w:t>
      </w:r>
      <w:r w:rsidR="001D3397">
        <w:t>, c</w:t>
      </w:r>
      <w:r w:rsidRPr="00795A89">
        <w:t>hapter 5</w:t>
      </w:r>
      <w:r w:rsidR="001D3397">
        <w:t>,</w:t>
      </w:r>
      <w:r w:rsidRPr="00680202">
        <w:t xml:space="preserve"> </w:t>
      </w:r>
      <w:hyperlink r:id="rId19" w:history="1">
        <w:r w:rsidRPr="00680202">
          <w:rPr>
            <w:rStyle w:val="Hyperlink"/>
          </w:rPr>
          <w:t>Report on GST Revenue Sharing Relativities, 2020 Review.</w:t>
        </w:r>
      </w:hyperlink>
      <w:r w:rsidRPr="00680202">
        <w:rPr>
          <w:rStyle w:val="Hyperlink"/>
        </w:rPr>
        <w:t xml:space="preserve"> </w:t>
      </w:r>
    </w:p>
    <w:p w14:paraId="03DE1619" w14:textId="77777777" w:rsidR="00D45001" w:rsidRPr="00D45001" w:rsidRDefault="00D45001" w:rsidP="001F458A">
      <w:pPr>
        <w:pStyle w:val="Heading2"/>
      </w:pPr>
      <w:bookmarkStart w:id="27" w:name="_Toc138692166"/>
      <w:r w:rsidRPr="00D45001">
        <w:t>What has changed since the 2020 Review?</w:t>
      </w:r>
      <w:bookmarkEnd w:id="20"/>
      <w:bookmarkEnd w:id="21"/>
      <w:bookmarkEnd w:id="22"/>
      <w:bookmarkEnd w:id="23"/>
      <w:bookmarkEnd w:id="27"/>
      <w:r w:rsidRPr="00D45001">
        <w:t xml:space="preserve"> </w:t>
      </w:r>
      <w:bookmarkEnd w:id="24"/>
    </w:p>
    <w:p w14:paraId="4C765A51" w14:textId="77777777" w:rsidR="00AE5041" w:rsidRPr="00F53460" w:rsidRDefault="00AE5041" w:rsidP="00AE5041">
      <w:pPr>
        <w:pStyle w:val="CGC2025ParaNumbers"/>
      </w:pPr>
      <w:bookmarkStart w:id="28" w:name="_Toc132729103"/>
      <w:bookmarkStart w:id="29" w:name="_Toc133236150"/>
      <w:bookmarkStart w:id="30" w:name="_Toc133236176"/>
      <w:r>
        <w:t>The Commission has used its current guideline for deciding the treatment of Commonwealth payments since the 2015 Revie</w:t>
      </w:r>
      <w:r w:rsidRPr="00042679">
        <w:t>w.</w:t>
      </w:r>
    </w:p>
    <w:p w14:paraId="7373B388" w14:textId="12B993A2" w:rsidR="00AE5041" w:rsidRDefault="00AE5041" w:rsidP="00AE5041">
      <w:pPr>
        <w:pStyle w:val="CGC2025ParaNumbers"/>
      </w:pPr>
      <w:r w:rsidRPr="00702BCE">
        <w:t>Experience suggest</w:t>
      </w:r>
      <w:r>
        <w:t>s that</w:t>
      </w:r>
      <w:r w:rsidR="00F66742">
        <w:t>,</w:t>
      </w:r>
      <w:r>
        <w:t xml:space="preserve"> while the guideline works well for most payments, for a minority of payments making decisions on the </w:t>
      </w:r>
      <w:r w:rsidRPr="003E2540">
        <w:t>appropriate treatment</w:t>
      </w:r>
      <w:r>
        <w:t xml:space="preserve"> can be </w:t>
      </w:r>
      <w:r w:rsidRPr="003E2540">
        <w:t xml:space="preserve">difficult </w:t>
      </w:r>
      <w:r>
        <w:t>and contentious. The difficulties arise for the following reasons.</w:t>
      </w:r>
    </w:p>
    <w:p w14:paraId="093B940C" w14:textId="77777777" w:rsidR="008D06A8" w:rsidRPr="00FF00A6" w:rsidRDefault="008D06A8" w:rsidP="00440346">
      <w:pPr>
        <w:pStyle w:val="CGC2025Bullet1"/>
      </w:pPr>
      <w:r>
        <w:t>T</w:t>
      </w:r>
      <w:r w:rsidRPr="00FF00A6">
        <w:t xml:space="preserve">here can be considerable overlap between state and Commonwealth spending. This can make it challenging to determine </w:t>
      </w:r>
      <w:r>
        <w:t xml:space="preserve">whether </w:t>
      </w:r>
      <w:r w:rsidRPr="00FF00A6">
        <w:t>the payment is for a state</w:t>
      </w:r>
      <w:r>
        <w:t>-t</w:t>
      </w:r>
      <w:r w:rsidRPr="00FF00A6">
        <w:t>ype service or a Commonwealth purpose</w:t>
      </w:r>
      <w:r>
        <w:t>.</w:t>
      </w:r>
    </w:p>
    <w:p w14:paraId="4DAB4928" w14:textId="77777777" w:rsidR="008D06A8" w:rsidRDefault="008D06A8" w:rsidP="00440346">
      <w:pPr>
        <w:pStyle w:val="CGC2025Bullet1"/>
      </w:pPr>
      <w:r>
        <w:t>I</w:t>
      </w:r>
      <w:r w:rsidRPr="00422FED">
        <w:t xml:space="preserve">t can be difficult to determine whether the broad drivers assessed in </w:t>
      </w:r>
      <w:r>
        <w:t xml:space="preserve">an </w:t>
      </w:r>
      <w:r w:rsidRPr="00422FED">
        <w:t>expense assessment cover the often</w:t>
      </w:r>
      <w:r>
        <w:t>-narrow</w:t>
      </w:r>
      <w:r w:rsidRPr="00422FED">
        <w:t xml:space="preserve"> focus of a payment</w:t>
      </w:r>
      <w:r>
        <w:t xml:space="preserve"> and therefore, </w:t>
      </w:r>
      <w:r w:rsidRPr="00422FED">
        <w:t xml:space="preserve">whether </w:t>
      </w:r>
      <w:r>
        <w:t xml:space="preserve">relevant state spending </w:t>
      </w:r>
      <w:r w:rsidRPr="00422FED">
        <w:t xml:space="preserve">needs are assessed. </w:t>
      </w:r>
    </w:p>
    <w:p w14:paraId="3F22513B" w14:textId="77777777" w:rsidR="008D06A8" w:rsidRDefault="008D06A8" w:rsidP="00440346">
      <w:pPr>
        <w:pStyle w:val="CGC2025Bullet1"/>
      </w:pPr>
      <w:r>
        <w:t>A payment may support multiple state services that imply different treatments. It can be challenging to determine which service the payment mostly relates to.</w:t>
      </w:r>
    </w:p>
    <w:p w14:paraId="307D7DD0" w14:textId="466282C7" w:rsidR="00BF59CA" w:rsidRPr="00BF59CA" w:rsidRDefault="005A1146" w:rsidP="00BF59CA">
      <w:pPr>
        <w:pStyle w:val="Heading3"/>
      </w:pPr>
      <w:r>
        <w:t xml:space="preserve"> </w:t>
      </w:r>
      <w:bookmarkStart w:id="31" w:name="_Toc138692167"/>
      <w:r w:rsidRPr="00EC260E">
        <w:t xml:space="preserve">Payments addressing structural </w:t>
      </w:r>
      <w:proofErr w:type="gramStart"/>
      <w:r w:rsidRPr="00EC260E">
        <w:t>disadvantage</w:t>
      </w:r>
      <w:bookmarkEnd w:id="28"/>
      <w:bookmarkEnd w:id="29"/>
      <w:bookmarkEnd w:id="30"/>
      <w:bookmarkEnd w:id="31"/>
      <w:proofErr w:type="gramEnd"/>
    </w:p>
    <w:p w14:paraId="0D02D0A6" w14:textId="77777777" w:rsidR="00047DEF" w:rsidRPr="00820379" w:rsidRDefault="00047DEF" w:rsidP="00CE6049">
      <w:pPr>
        <w:pStyle w:val="CGC2025ParaNumbers"/>
      </w:pPr>
      <w:bookmarkStart w:id="32" w:name="_Toc121741487"/>
      <w:bookmarkStart w:id="33" w:name="_Toc127428353"/>
      <w:bookmarkStart w:id="34" w:name="_Toc132729106"/>
      <w:bookmarkStart w:id="35" w:name="_Toc133236151"/>
      <w:bookmarkStart w:id="36" w:name="_Toc133236177"/>
      <w:r w:rsidRPr="00820379">
        <w:t xml:space="preserve">In its submission on </w:t>
      </w:r>
      <w:hyperlink r:id="rId20" w:history="1">
        <w:r w:rsidRPr="00820379">
          <w:rPr>
            <w:rStyle w:val="Hyperlink"/>
            <w:i/>
            <w:iCs/>
          </w:rPr>
          <w:t xml:space="preserve">Consultation paper on </w:t>
        </w:r>
        <w:r w:rsidRPr="00820379">
          <w:rPr>
            <w:rStyle w:val="Hyperlink"/>
          </w:rPr>
          <w:t>f</w:t>
        </w:r>
        <w:r w:rsidRPr="00820379">
          <w:rPr>
            <w:rStyle w:val="Hyperlink"/>
            <w:i/>
            <w:iCs/>
          </w:rPr>
          <w:t>iscal equalisation, supporting principles and assessment guidelines</w:t>
        </w:r>
      </w:hyperlink>
      <w:r w:rsidRPr="00820379">
        <w:rPr>
          <w:i/>
          <w:iCs/>
        </w:rPr>
        <w:t xml:space="preserve"> </w:t>
      </w:r>
      <w:r w:rsidRPr="00820379">
        <w:t xml:space="preserve">for the 2025 Review, the Northern Territory raised the issue of Commonwealth payments that address pre-existing structural disadvantage. It said that multiple funding agreements will be reviewed during the 2025 Review period including the National Health Reform Agreement, National School Reform Agreement and National Housing and Homelessness Agreement. </w:t>
      </w:r>
    </w:p>
    <w:p w14:paraId="400B2FC5" w14:textId="71D2064B" w:rsidR="00047DEF" w:rsidRPr="00820379" w:rsidRDefault="00047DEF" w:rsidP="00CE6049">
      <w:pPr>
        <w:pStyle w:val="CGC2025ParaNumbers"/>
      </w:pPr>
      <w:r w:rsidRPr="00820379">
        <w:lastRenderedPageBreak/>
        <w:t xml:space="preserve">The Northern Territory said such agreements increasingly include elements of funding aimed at addressing pre-existing structural disadvantage, especially entrenched disadvantage for First Nations peoples. The Northern Territory said it was important that the </w:t>
      </w:r>
      <w:r w:rsidR="007F5339">
        <w:t xml:space="preserve">GST </w:t>
      </w:r>
      <w:r w:rsidRPr="00820379">
        <w:t>treatment of Commonwealth payments does not impede the objectives of such funding.</w:t>
      </w:r>
    </w:p>
    <w:p w14:paraId="796C87D8" w14:textId="77777777" w:rsidR="00BB7B9C" w:rsidRPr="00BB7B9C" w:rsidRDefault="00BB7B9C" w:rsidP="00BB7B9C">
      <w:pPr>
        <w:pStyle w:val="Heading2"/>
      </w:pPr>
      <w:bookmarkStart w:id="37" w:name="_Toc138692168"/>
      <w:r w:rsidRPr="00BB7B9C">
        <w:t>Implications for assessment</w:t>
      </w:r>
      <w:bookmarkEnd w:id="32"/>
      <w:bookmarkEnd w:id="33"/>
      <w:bookmarkEnd w:id="34"/>
      <w:bookmarkEnd w:id="35"/>
      <w:bookmarkEnd w:id="36"/>
      <w:bookmarkEnd w:id="37"/>
    </w:p>
    <w:p w14:paraId="768CD6C2" w14:textId="77777777" w:rsidR="00FC7FBD" w:rsidRDefault="00FC7FBD" w:rsidP="00FC7FBD">
      <w:pPr>
        <w:pStyle w:val="CGC2025ParaNumbers"/>
      </w:pPr>
      <w:bookmarkStart w:id="38" w:name="_Toc132729107"/>
      <w:bookmarkStart w:id="39" w:name="_Toc133236152"/>
      <w:bookmarkStart w:id="40" w:name="_Toc133236178"/>
      <w:r>
        <w:t>The Commission’s preliminary view is that there have been no new developments that warrant fundamentally changing the guideline for determining the treatment of Commonwealth payments. Further, adopting a more detailed guideline is unlikely to help resolve issues where there is significant uncertainty as to the purpose of the payment or whether relevant state spending needs have been assessed.</w:t>
      </w:r>
    </w:p>
    <w:p w14:paraId="1417C1B2" w14:textId="1DC81AED" w:rsidR="00FC7FBD" w:rsidRPr="00675220" w:rsidRDefault="00FC7FBD" w:rsidP="00FC7FBD">
      <w:pPr>
        <w:pStyle w:val="CGC2025ParaNumbers"/>
      </w:pPr>
      <w:r>
        <w:t>The Commission proposes, however, some additional guidance in cases of significant uncertainty and simplifying the assessment by removing Commonwealth own</w:t>
      </w:r>
      <w:r w:rsidR="00EF049D">
        <w:noBreakHyphen/>
      </w:r>
      <w:r>
        <w:t>purpose expenses from the scope of payments it considers.</w:t>
      </w:r>
    </w:p>
    <w:p w14:paraId="6C558612" w14:textId="349E9B46" w:rsidR="00BB7B9C" w:rsidRPr="00BB7B9C" w:rsidRDefault="00D41C35" w:rsidP="00F91011">
      <w:pPr>
        <w:pStyle w:val="Heading3"/>
      </w:pPr>
      <w:bookmarkStart w:id="41" w:name="_Toc138692169"/>
      <w:r>
        <w:t>Applying the treatment</w:t>
      </w:r>
      <w:r w:rsidR="00580148">
        <w:t xml:space="preserve"> guideline</w:t>
      </w:r>
      <w:bookmarkEnd w:id="41"/>
      <w:r w:rsidR="00580148">
        <w:t xml:space="preserve"> </w:t>
      </w:r>
      <w:bookmarkEnd w:id="38"/>
      <w:bookmarkEnd w:id="39"/>
      <w:bookmarkEnd w:id="40"/>
    </w:p>
    <w:p w14:paraId="1451E6FB" w14:textId="36DCD82B" w:rsidR="007E7434" w:rsidRDefault="007E7434" w:rsidP="007E7434">
      <w:pPr>
        <w:pStyle w:val="CGC2025ParaNumbers"/>
      </w:pPr>
      <w:r>
        <w:t xml:space="preserve">While the application of the guideline operates appropriately in </w:t>
      </w:r>
      <w:proofErr w:type="gramStart"/>
      <w:r>
        <w:t>the majority of</w:t>
      </w:r>
      <w:proofErr w:type="gramEnd"/>
      <w:r>
        <w:t xml:space="preserve"> cases, there is potential to improve the clarity and consistency of treatment for payments where there is substantial uncertainty about the purpose of the payment or whether relevant expenditure needs are assessed. In these limited cases, the </w:t>
      </w:r>
      <w:r w:rsidRPr="00820379">
        <w:t>Commission’s preliminary view is that it could adopt an ‘impact’ treatment by default</w:t>
      </w:r>
      <w:r>
        <w:t>. It would remain open to states to make</w:t>
      </w:r>
      <w:r w:rsidRPr="005D0863">
        <w:t xml:space="preserve"> the conceptual case and </w:t>
      </w:r>
      <w:r>
        <w:t xml:space="preserve">provide </w:t>
      </w:r>
      <w:r w:rsidRPr="005D0863">
        <w:t>evidence to support ‘no impact’</w:t>
      </w:r>
      <w:r>
        <w:t xml:space="preserve"> treatment</w:t>
      </w:r>
      <w:r w:rsidRPr="005D0863">
        <w:t>.</w:t>
      </w:r>
      <w:r>
        <w:t xml:space="preserve"> Moreover, the states are likely to be in a better position than the Commission to provide information on the use of the payment.</w:t>
      </w:r>
      <w:r>
        <w:rPr>
          <w:rStyle w:val="FootnoteReference"/>
        </w:rPr>
        <w:footnoteReference w:id="5"/>
      </w:r>
    </w:p>
    <w:p w14:paraId="6C71B614" w14:textId="747459DC" w:rsidR="00F41E2A" w:rsidRDefault="00F41E2A" w:rsidP="00F41E2A">
      <w:pPr>
        <w:pStyle w:val="Heading4"/>
      </w:pPr>
      <w:r>
        <w:t>Consultation question</w:t>
      </w:r>
      <w:r w:rsidR="00515A96">
        <w:t>s</w:t>
      </w:r>
    </w:p>
    <w:p w14:paraId="61630DE2" w14:textId="77777777" w:rsidR="0049687E" w:rsidRPr="002F190D" w:rsidRDefault="001923ED" w:rsidP="0049687E">
      <w:r w:rsidRPr="001C4DF3">
        <w:rPr>
          <w:noProof/>
        </w:rPr>
        <mc:AlternateContent>
          <mc:Choice Requires="wps">
            <w:drawing>
              <wp:inline distT="0" distB="0" distL="0" distR="0" wp14:anchorId="42343CED" wp14:editId="72CD217F">
                <wp:extent cx="5648325" cy="1514293"/>
                <wp:effectExtent l="0" t="0" r="9525" b="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514293"/>
                        </a:xfrm>
                        <a:prstGeom prst="rect">
                          <a:avLst/>
                        </a:prstGeom>
                        <a:solidFill>
                          <a:srgbClr val="EBF3F5"/>
                        </a:solidFill>
                        <a:ln w="25400" cap="flat" cmpd="sng" algn="ctr">
                          <a:noFill/>
                          <a:prstDash val="solid"/>
                        </a:ln>
                        <a:effectLst/>
                      </wps:spPr>
                      <wps:txbx>
                        <w:txbxContent>
                          <w:p w14:paraId="601E65B8" w14:textId="07C98AD7" w:rsidR="00727E32" w:rsidRPr="00A04E0B" w:rsidRDefault="00727E32" w:rsidP="00A04E0B">
                            <w:pPr>
                              <w:pStyle w:val="CGC2025QuestionNumbers"/>
                            </w:pPr>
                            <w:r w:rsidRPr="00A04E0B">
                              <w:t>Do states agree the guideline for deciding the treatment of Commonwealth payments remain</w:t>
                            </w:r>
                            <w:r w:rsidR="00647B43">
                              <w:t>s</w:t>
                            </w:r>
                            <w:r w:rsidRPr="00A04E0B">
                              <w:t xml:space="preserve"> appropriate?</w:t>
                            </w:r>
                          </w:p>
                          <w:p w14:paraId="083E17A0" w14:textId="744211A4" w:rsidR="00284B22" w:rsidRPr="00A04E0B" w:rsidRDefault="00727E32" w:rsidP="00A04E0B">
                            <w:pPr>
                              <w:pStyle w:val="CGC2025QuestionNumbers"/>
                            </w:pPr>
                            <w:r w:rsidRPr="00A04E0B">
                              <w:t>Do states agree to a default treatment of ‘impact’ in cases where there is substantial uncertainty about the payment’s purpose or whether relative state expenditure needs are assessed? It remains open to states to provide evidence in support of no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343CED" id="Rectangle 23" o:spid="_x0000_s1029" alt="&quot;&quot;" style="width:444.75pt;height:11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KUUwIAAJ4EAAAOAAAAZHJzL2Uyb0RvYy54bWysVE1v2zAMvQ/YfxB0X52kSdcGcYqsXYYB&#10;QRugHXpWZCk2IIsapcTOfv0o2UnabqdhF5kUKX48Pnp229aG7RX6CmzOhxcDzpSVUFR2m/Mfz8tP&#10;15z5IGwhDFiV84Py/Hb+8cOscVM1ghJMoZBREOunjct5GYKbZpmXpaqFvwCnLBk1YC0CqbjNChQN&#10;Ra9NNhoMrrIGsHAIUnlPt/edkc9TfK2VDI9aexWYyTnVFtKJ6dzEM5vPxHSLwpWV7MsQ/1BFLSpL&#10;SU+h7kUQbIfVH6HqSiJ40OFCQp2B1pVUqQfqZjh4181TKZxKvRA43p1g8v8vrHzYP7k1EgyN81NP&#10;Yuyi1VjHL9XH2gTW4QSWagOTdDm5Gl9fjiacSbINJ8Px6OYywpmdnzv04ZuCmkUh50jTSCCJ/cqH&#10;zvXoErN5MFWxrIxJCm43dwbZXtDkvn5ZXi4nffQ3bsayJuejyXhA05WCGKSNCCTWrsi5t1vOhNkS&#10;NWXAlNtCzJDGHnPfC192OVLYPoWxsQSV+NOXeoYnSqHdtKyiDKnleLOB4rBGhtBRzDu5rCj+Sviw&#10;FkicovpoT8IjHdoAFQ29xFkJ+Otv99GfRk1WzhriKDX0cydQcWa+WyLBzXA8jqROynjyeUQKvrZs&#10;Xlvsrr4DAnNIG+lkEqN/MEdRI9QvtE6LmJVMwkrK3UHXK3eh2x1aSKkWi+RGRHYirOyTkzF4RC4i&#10;+9y+CHT96AOx5gGOfBbTdwzofONLC4tdAF0lepxxJVpFhZYgEaxf2Lhlr/Xkdf6tzH8DAAD//wMA&#10;UEsDBBQABgAIAAAAIQDs5qUm3AAAAAUBAAAPAAAAZHJzL2Rvd25yZXYueG1sTI/BTsMwEETvSPyD&#10;tUjcqENRKjfEqWgFPSAqROkHbOMliYjXke2m4e8xXOCy0mhGM2/L1WR7MZIPnWMNt7MMBHHtTMeN&#10;hsP7040CESKywd4xafiiAKvq8qLEwrgzv9G4j41IJRwK1NDGOBRShroli2HmBuLkfThvMSbpG2k8&#10;nlO57eU8yxbSYsdpocWBNi3Vn/uT1bB92Xrk5bpu1GL9fHjc7Mb8daf19dX0cA8i0hT/wvCDn9Ch&#10;SkxHd2ITRK8hPRJ/b/KUWuYgjhrmdyoHWZXyP331DQAA//8DAFBLAQItABQABgAIAAAAIQC2gziS&#10;/gAAAOEBAAATAAAAAAAAAAAAAAAAAAAAAABbQ29udGVudF9UeXBlc10ueG1sUEsBAi0AFAAGAAgA&#10;AAAhADj9If/WAAAAlAEAAAsAAAAAAAAAAAAAAAAALwEAAF9yZWxzLy5yZWxzUEsBAi0AFAAGAAgA&#10;AAAhAPZtgpRTAgAAngQAAA4AAAAAAAAAAAAAAAAALgIAAGRycy9lMm9Eb2MueG1sUEsBAi0AFAAG&#10;AAgAAAAhAOzmpSbcAAAABQEAAA8AAAAAAAAAAAAAAAAArQQAAGRycy9kb3ducmV2LnhtbFBLBQYA&#10;AAAABAAEAPMAAAC2BQAAAAA=&#10;" fillcolor="#ebf3f5" stroked="f" strokeweight="2pt">
                <v:textbox>
                  <w:txbxContent>
                    <w:p w14:paraId="601E65B8" w14:textId="07C98AD7" w:rsidR="00727E32" w:rsidRPr="00A04E0B" w:rsidRDefault="00727E32" w:rsidP="00A04E0B">
                      <w:pPr>
                        <w:pStyle w:val="CGC2025QuestionNumbers"/>
                      </w:pPr>
                      <w:r w:rsidRPr="00A04E0B">
                        <w:t>Do states agree the guideline for deciding the treatment of Commonwealth payments remain</w:t>
                      </w:r>
                      <w:r w:rsidR="00647B43">
                        <w:t>s</w:t>
                      </w:r>
                      <w:r w:rsidRPr="00A04E0B">
                        <w:t xml:space="preserve"> appropriate?</w:t>
                      </w:r>
                    </w:p>
                    <w:p w14:paraId="083E17A0" w14:textId="744211A4" w:rsidR="00284B22" w:rsidRPr="00A04E0B" w:rsidRDefault="00727E32" w:rsidP="00A04E0B">
                      <w:pPr>
                        <w:pStyle w:val="CGC2025QuestionNumbers"/>
                      </w:pPr>
                      <w:r w:rsidRPr="00A04E0B">
                        <w:t>Do states agree to a default treatment of ‘impact’ in cases where there is substantial uncertainty about the payment’s purpose or whether relative state expenditure needs are assessed? It remains open to states to provide evidence in support of no impact.</w:t>
                      </w:r>
                    </w:p>
                  </w:txbxContent>
                </v:textbox>
                <w10:anchorlock/>
              </v:rect>
            </w:pict>
          </mc:Fallback>
        </mc:AlternateContent>
      </w:r>
    </w:p>
    <w:p w14:paraId="3018713E" w14:textId="021FCD86" w:rsidR="00264FD6" w:rsidRPr="00ED73DE" w:rsidRDefault="00045743" w:rsidP="001654BD">
      <w:pPr>
        <w:pStyle w:val="Heading3"/>
        <w:keepNext/>
      </w:pPr>
      <w:bookmarkStart w:id="42" w:name="_Toc127428355"/>
      <w:bookmarkStart w:id="43" w:name="_Toc132729109"/>
      <w:bookmarkStart w:id="44" w:name="_Toc133236153"/>
      <w:bookmarkStart w:id="45" w:name="_Toc133236179"/>
      <w:bookmarkStart w:id="46" w:name="_Toc138692170"/>
      <w:r>
        <w:lastRenderedPageBreak/>
        <w:t>Commonwealth</w:t>
      </w:r>
      <w:r w:rsidR="007F03BD">
        <w:t xml:space="preserve"> </w:t>
      </w:r>
      <w:r>
        <w:t>own</w:t>
      </w:r>
      <w:r w:rsidR="007F03BD">
        <w:t>-</w:t>
      </w:r>
      <w:r>
        <w:t>purpose expense payments</w:t>
      </w:r>
      <w:bookmarkEnd w:id="42"/>
      <w:bookmarkEnd w:id="43"/>
      <w:bookmarkEnd w:id="44"/>
      <w:bookmarkEnd w:id="45"/>
      <w:bookmarkEnd w:id="46"/>
    </w:p>
    <w:p w14:paraId="269B34C1" w14:textId="77777777" w:rsidR="00C20C76" w:rsidRDefault="00C20C76" w:rsidP="00C20C76">
      <w:pPr>
        <w:pStyle w:val="CGC2025ParaNumbers"/>
      </w:pPr>
      <w:r>
        <w:t xml:space="preserve">There is potential to simplify the assessment by </w:t>
      </w:r>
      <w:r w:rsidRPr="00675220">
        <w:t>removing Commonwealth own</w:t>
      </w:r>
      <w:r>
        <w:t>-</w:t>
      </w:r>
      <w:r w:rsidRPr="00675220">
        <w:t>purpose expense</w:t>
      </w:r>
      <w:r>
        <w:t xml:space="preserve"> payments</w:t>
      </w:r>
      <w:r w:rsidRPr="00675220">
        <w:t xml:space="preserve"> from the scope of Commonwealth payments </w:t>
      </w:r>
      <w:r>
        <w:t>the Commission</w:t>
      </w:r>
      <w:r w:rsidRPr="00675220">
        <w:t xml:space="preserve"> considers</w:t>
      </w:r>
      <w:r>
        <w:t>.</w:t>
      </w:r>
    </w:p>
    <w:p w14:paraId="2B438B15" w14:textId="77777777" w:rsidR="00C20C76" w:rsidRDefault="00C20C76" w:rsidP="00C20C76">
      <w:pPr>
        <w:pStyle w:val="CGC2025ParaNumbers"/>
      </w:pPr>
      <w:r>
        <w:t>In the 2020 Review, the Commission said, conceptually, it should consider all Commonwealth payments, including Commonwealth own-purpose expense payments, that support state services for which needs were assessed. However, the absence of a reliable and comprehensive list of these payments has meant the Commission is only able to include those payments brought to its attention by states or the Commonwealth. Most states have been unable to provide detailed information on the revenue received from Commonwealth own-purpose expense payments.</w:t>
      </w:r>
      <w:r>
        <w:rPr>
          <w:rStyle w:val="FootnoteReference"/>
        </w:rPr>
        <w:footnoteReference w:id="6"/>
      </w:r>
      <w:r>
        <w:t xml:space="preserve"> </w:t>
      </w:r>
    </w:p>
    <w:p w14:paraId="593B7C98" w14:textId="76BFFDE3" w:rsidR="00C20C76" w:rsidRDefault="00C20C76" w:rsidP="00C20C76">
      <w:pPr>
        <w:pStyle w:val="CGC2025ParaNumbers"/>
      </w:pPr>
      <w:r>
        <w:t xml:space="preserve">Commonwealth own-purpose expense payments are payments by the Australian Government in the conduct of its own general government sector activities. Most are, by definition, likely to relate to Commonwealth functions, but some can be for state-type services. The Commonwealth own-purpose expense payments that currently affect the relativities include a ‘rural and other health’ grant made by the Department of Health ($79 million in 2021–22), and multiple small Commonwealth own-purpose expenses for First Nations programs managed by the National Indigenous Australians Agency (totalling $18 million in 2021–22). The total value of these payments has declined over the past 10 years, halving since the 2020 Review. They represented about 0.1% of total Commonwealth payments treated </w:t>
      </w:r>
      <w:r w:rsidR="005226A7">
        <w:t>as</w:t>
      </w:r>
      <w:r>
        <w:t xml:space="preserve"> ‘impact’ in 2020–21. </w:t>
      </w:r>
    </w:p>
    <w:p w14:paraId="5A27B67F" w14:textId="4E51EB58" w:rsidR="00C20C76" w:rsidRPr="00695C1C" w:rsidRDefault="00C20C76" w:rsidP="00C20C76">
      <w:pPr>
        <w:pStyle w:val="CGC2025ParaNumbers"/>
      </w:pPr>
      <w:r w:rsidRPr="00695C1C">
        <w:t>While the Commission does not apply a materiality threshold to Commonwealth payments, only the rural and other health grants would be material</w:t>
      </w:r>
      <w:r>
        <w:t xml:space="preserve"> at the Commission’s $40 per capita expense driver threshold</w:t>
      </w:r>
      <w:r w:rsidRPr="00695C1C">
        <w:t xml:space="preserve"> (</w:t>
      </w:r>
      <w:r w:rsidR="00285D0C">
        <w:fldChar w:fldCharType="begin"/>
      </w:r>
      <w:r w:rsidR="00285D0C">
        <w:instrText xml:space="preserve"> REF _Ref137740534 \h </w:instrText>
      </w:r>
      <w:r w:rsidR="00285D0C">
        <w:fldChar w:fldCharType="separate"/>
      </w:r>
      <w:r w:rsidR="00285D0C" w:rsidRPr="009719CF">
        <w:t xml:space="preserve">Table </w:t>
      </w:r>
      <w:r w:rsidR="00285D0C" w:rsidRPr="009719CF">
        <w:rPr>
          <w:noProof/>
        </w:rPr>
        <w:t>4</w:t>
      </w:r>
      <w:r w:rsidR="00285D0C">
        <w:fldChar w:fldCharType="end"/>
      </w:r>
      <w:r w:rsidRPr="00695C1C">
        <w:t>).</w:t>
      </w:r>
      <w:r>
        <w:rPr>
          <w:rStyle w:val="FootnoteReference"/>
        </w:rPr>
        <w:footnoteReference w:id="7"/>
      </w:r>
    </w:p>
    <w:p w14:paraId="409119D4" w14:textId="77777777" w:rsidR="00C20C76" w:rsidRDefault="00C20C76" w:rsidP="00C20C76">
      <w:pPr>
        <w:pStyle w:val="CGC2025ParaNumbers"/>
      </w:pPr>
      <w:r>
        <w:t>Given the small size of most Commonwealth own-purpose expense payments, the difficulty in comprehensively identifying all such payments, and that most of these payments should be for Commonwealth purposes, the Commission’s preliminary view is to cease including Commonwealth own-purpose expenses in the assessment.</w:t>
      </w:r>
    </w:p>
    <w:p w14:paraId="1AC56D8D" w14:textId="75E458A7" w:rsidR="009129FE" w:rsidRPr="009719CF" w:rsidRDefault="009129FE" w:rsidP="009129FE">
      <w:pPr>
        <w:pStyle w:val="Caption"/>
        <w:rPr>
          <w:rFonts w:ascii="Work Sans" w:hAnsi="Work Sans"/>
        </w:rPr>
      </w:pPr>
      <w:bookmarkStart w:id="47" w:name="_Ref137740534"/>
      <w:r w:rsidRPr="009719CF">
        <w:rPr>
          <w:rFonts w:ascii="Work Sans" w:hAnsi="Work Sans"/>
        </w:rPr>
        <w:lastRenderedPageBreak/>
        <w:t xml:space="preserve">Table </w:t>
      </w:r>
      <w:r w:rsidRPr="009719CF">
        <w:rPr>
          <w:rFonts w:ascii="Work Sans" w:hAnsi="Work Sans"/>
        </w:rPr>
        <w:fldChar w:fldCharType="begin"/>
      </w:r>
      <w:r w:rsidRPr="009719CF">
        <w:rPr>
          <w:rFonts w:ascii="Work Sans" w:hAnsi="Work Sans"/>
        </w:rPr>
        <w:instrText xml:space="preserve"> SEQ Table \* ARABIC </w:instrText>
      </w:r>
      <w:r w:rsidRPr="009719CF">
        <w:rPr>
          <w:rFonts w:ascii="Work Sans" w:hAnsi="Work Sans"/>
        </w:rPr>
        <w:fldChar w:fldCharType="separate"/>
      </w:r>
      <w:r w:rsidR="003F3418">
        <w:rPr>
          <w:rFonts w:ascii="Work Sans" w:hAnsi="Work Sans"/>
          <w:noProof/>
        </w:rPr>
        <w:t>4</w:t>
      </w:r>
      <w:r w:rsidRPr="009719CF">
        <w:rPr>
          <w:rFonts w:ascii="Work Sans" w:hAnsi="Work Sans"/>
        </w:rPr>
        <w:fldChar w:fldCharType="end"/>
      </w:r>
      <w:bookmarkEnd w:id="47"/>
      <w:r w:rsidR="009719CF" w:rsidRPr="009719CF">
        <w:rPr>
          <w:rFonts w:ascii="Work Sans" w:hAnsi="Work Sans"/>
        </w:rPr>
        <w:tab/>
      </w:r>
      <w:r w:rsidRPr="009719CF">
        <w:rPr>
          <w:rFonts w:ascii="Work Sans" w:hAnsi="Work Sans"/>
        </w:rPr>
        <w:t>Difference from an equal per capita distribution, Commonwealth own-purpose expenses, 2021–22</w:t>
      </w:r>
    </w:p>
    <w:tbl>
      <w:tblPr>
        <w:tblW w:w="8520" w:type="dxa"/>
        <w:tblLook w:val="04A0" w:firstRow="1" w:lastRow="0" w:firstColumn="1" w:lastColumn="0" w:noHBand="0" w:noVBand="1"/>
      </w:tblPr>
      <w:tblGrid>
        <w:gridCol w:w="3254"/>
        <w:gridCol w:w="581"/>
        <w:gridCol w:w="560"/>
        <w:gridCol w:w="560"/>
        <w:gridCol w:w="560"/>
        <w:gridCol w:w="560"/>
        <w:gridCol w:w="560"/>
        <w:gridCol w:w="560"/>
        <w:gridCol w:w="720"/>
        <w:gridCol w:w="605"/>
      </w:tblGrid>
      <w:tr w:rsidR="009129FE" w:rsidRPr="00697254" w14:paraId="39ABD7B2" w14:textId="77777777" w:rsidTr="00793742">
        <w:trPr>
          <w:trHeight w:val="379"/>
        </w:trPr>
        <w:tc>
          <w:tcPr>
            <w:tcW w:w="3254" w:type="dxa"/>
            <w:tcBorders>
              <w:top w:val="nil"/>
              <w:left w:val="nil"/>
              <w:bottom w:val="nil"/>
              <w:right w:val="nil"/>
            </w:tcBorders>
            <w:shd w:val="clear" w:color="000000" w:fill="006991"/>
            <w:vAlign w:val="bottom"/>
            <w:hideMark/>
          </w:tcPr>
          <w:p w14:paraId="1EEDE677" w14:textId="77777777" w:rsidR="009129FE" w:rsidRPr="00697254" w:rsidRDefault="009129FE" w:rsidP="00793742">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48" w:name="RANGE!A3:J9"/>
            <w:r w:rsidRPr="00697254">
              <w:rPr>
                <w:rFonts w:ascii="Open Sans Semibold" w:eastAsia="Times New Roman" w:hAnsi="Open Sans Semibold" w:cs="Open Sans Semibold"/>
                <w:color w:val="FFFFFF"/>
                <w:sz w:val="16"/>
                <w:szCs w:val="16"/>
                <w:lang w:eastAsia="en-AU"/>
              </w:rPr>
              <w:t> </w:t>
            </w:r>
            <w:bookmarkEnd w:id="48"/>
          </w:p>
        </w:tc>
        <w:tc>
          <w:tcPr>
            <w:tcW w:w="581" w:type="dxa"/>
            <w:tcBorders>
              <w:top w:val="nil"/>
              <w:left w:val="nil"/>
              <w:bottom w:val="nil"/>
              <w:right w:val="nil"/>
            </w:tcBorders>
            <w:shd w:val="clear" w:color="000000" w:fill="006991"/>
            <w:vAlign w:val="center"/>
            <w:hideMark/>
          </w:tcPr>
          <w:p w14:paraId="27AF1955"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NSW</w:t>
            </w:r>
          </w:p>
        </w:tc>
        <w:tc>
          <w:tcPr>
            <w:tcW w:w="560" w:type="dxa"/>
            <w:tcBorders>
              <w:top w:val="nil"/>
              <w:left w:val="nil"/>
              <w:bottom w:val="nil"/>
              <w:right w:val="nil"/>
            </w:tcBorders>
            <w:shd w:val="clear" w:color="000000" w:fill="006991"/>
            <w:vAlign w:val="center"/>
            <w:hideMark/>
          </w:tcPr>
          <w:p w14:paraId="036B8AE7"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Vic</w:t>
            </w:r>
          </w:p>
        </w:tc>
        <w:tc>
          <w:tcPr>
            <w:tcW w:w="560" w:type="dxa"/>
            <w:tcBorders>
              <w:top w:val="nil"/>
              <w:left w:val="nil"/>
              <w:bottom w:val="nil"/>
              <w:right w:val="nil"/>
            </w:tcBorders>
            <w:shd w:val="clear" w:color="000000" w:fill="006991"/>
            <w:vAlign w:val="center"/>
            <w:hideMark/>
          </w:tcPr>
          <w:p w14:paraId="4FBC7C29"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Qld</w:t>
            </w:r>
          </w:p>
        </w:tc>
        <w:tc>
          <w:tcPr>
            <w:tcW w:w="560" w:type="dxa"/>
            <w:tcBorders>
              <w:top w:val="nil"/>
              <w:left w:val="nil"/>
              <w:bottom w:val="nil"/>
              <w:right w:val="nil"/>
            </w:tcBorders>
            <w:shd w:val="clear" w:color="000000" w:fill="006991"/>
            <w:vAlign w:val="center"/>
            <w:hideMark/>
          </w:tcPr>
          <w:p w14:paraId="0CF40C3C"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WA</w:t>
            </w:r>
          </w:p>
        </w:tc>
        <w:tc>
          <w:tcPr>
            <w:tcW w:w="560" w:type="dxa"/>
            <w:tcBorders>
              <w:top w:val="nil"/>
              <w:left w:val="nil"/>
              <w:bottom w:val="nil"/>
              <w:right w:val="nil"/>
            </w:tcBorders>
            <w:shd w:val="clear" w:color="000000" w:fill="006991"/>
            <w:vAlign w:val="center"/>
            <w:hideMark/>
          </w:tcPr>
          <w:p w14:paraId="09861D63"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SA</w:t>
            </w:r>
          </w:p>
        </w:tc>
        <w:tc>
          <w:tcPr>
            <w:tcW w:w="560" w:type="dxa"/>
            <w:tcBorders>
              <w:top w:val="nil"/>
              <w:left w:val="nil"/>
              <w:bottom w:val="nil"/>
              <w:right w:val="nil"/>
            </w:tcBorders>
            <w:shd w:val="clear" w:color="000000" w:fill="006991"/>
            <w:vAlign w:val="center"/>
            <w:hideMark/>
          </w:tcPr>
          <w:p w14:paraId="79220C4B"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Tas</w:t>
            </w:r>
          </w:p>
        </w:tc>
        <w:tc>
          <w:tcPr>
            <w:tcW w:w="560" w:type="dxa"/>
            <w:tcBorders>
              <w:top w:val="nil"/>
              <w:left w:val="nil"/>
              <w:bottom w:val="nil"/>
              <w:right w:val="nil"/>
            </w:tcBorders>
            <w:shd w:val="clear" w:color="000000" w:fill="006991"/>
            <w:vAlign w:val="center"/>
            <w:hideMark/>
          </w:tcPr>
          <w:p w14:paraId="2A3E9554"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3DF38990"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NT</w:t>
            </w:r>
          </w:p>
        </w:tc>
        <w:tc>
          <w:tcPr>
            <w:tcW w:w="605" w:type="dxa"/>
            <w:tcBorders>
              <w:top w:val="nil"/>
              <w:left w:val="nil"/>
              <w:bottom w:val="nil"/>
              <w:right w:val="nil"/>
            </w:tcBorders>
            <w:shd w:val="clear" w:color="000000" w:fill="006991"/>
            <w:vAlign w:val="center"/>
            <w:hideMark/>
          </w:tcPr>
          <w:p w14:paraId="42F12F2E"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7254">
              <w:rPr>
                <w:rFonts w:ascii="Open Sans Semibold" w:eastAsia="Times New Roman" w:hAnsi="Open Sans Semibold" w:cs="Open Sans Semibold"/>
                <w:color w:val="FFFFFF"/>
                <w:sz w:val="16"/>
                <w:szCs w:val="16"/>
                <w:lang w:eastAsia="en-AU"/>
              </w:rPr>
              <w:t>Total</w:t>
            </w:r>
          </w:p>
        </w:tc>
      </w:tr>
      <w:tr w:rsidR="009129FE" w:rsidRPr="00697254" w14:paraId="7B7F1BF5" w14:textId="77777777" w:rsidTr="00793742">
        <w:trPr>
          <w:trHeight w:val="259"/>
        </w:trPr>
        <w:tc>
          <w:tcPr>
            <w:tcW w:w="3254" w:type="dxa"/>
            <w:tcBorders>
              <w:top w:val="single" w:sz="4" w:space="0" w:color="ADD6EA"/>
              <w:left w:val="nil"/>
              <w:bottom w:val="nil"/>
              <w:right w:val="nil"/>
            </w:tcBorders>
            <w:shd w:val="clear" w:color="000000" w:fill="B6D5E4"/>
            <w:vAlign w:val="bottom"/>
            <w:hideMark/>
          </w:tcPr>
          <w:p w14:paraId="107E954B" w14:textId="77777777" w:rsidR="009129FE" w:rsidRPr="00697254" w:rsidRDefault="009129FE" w:rsidP="0079374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 </w:t>
            </w:r>
          </w:p>
        </w:tc>
        <w:tc>
          <w:tcPr>
            <w:tcW w:w="581" w:type="dxa"/>
            <w:tcBorders>
              <w:top w:val="single" w:sz="4" w:space="0" w:color="ADD6EA"/>
              <w:left w:val="nil"/>
              <w:bottom w:val="nil"/>
              <w:right w:val="nil"/>
            </w:tcBorders>
            <w:shd w:val="clear" w:color="000000" w:fill="B6D5E4"/>
            <w:noWrap/>
            <w:vAlign w:val="bottom"/>
            <w:hideMark/>
          </w:tcPr>
          <w:p w14:paraId="6332189D"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560" w:type="dxa"/>
            <w:tcBorders>
              <w:top w:val="single" w:sz="4" w:space="0" w:color="ADD6EA"/>
              <w:left w:val="nil"/>
              <w:bottom w:val="nil"/>
              <w:right w:val="nil"/>
            </w:tcBorders>
            <w:shd w:val="clear" w:color="000000" w:fill="B6D5E4"/>
            <w:noWrap/>
            <w:vAlign w:val="bottom"/>
            <w:hideMark/>
          </w:tcPr>
          <w:p w14:paraId="13E72BFC"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560" w:type="dxa"/>
            <w:tcBorders>
              <w:top w:val="single" w:sz="4" w:space="0" w:color="ADD6EA"/>
              <w:left w:val="nil"/>
              <w:bottom w:val="nil"/>
              <w:right w:val="nil"/>
            </w:tcBorders>
            <w:shd w:val="clear" w:color="000000" w:fill="B6D5E4"/>
            <w:noWrap/>
            <w:vAlign w:val="bottom"/>
            <w:hideMark/>
          </w:tcPr>
          <w:p w14:paraId="268F1A12"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560" w:type="dxa"/>
            <w:tcBorders>
              <w:top w:val="single" w:sz="4" w:space="0" w:color="ADD6EA"/>
              <w:left w:val="nil"/>
              <w:bottom w:val="nil"/>
              <w:right w:val="nil"/>
            </w:tcBorders>
            <w:shd w:val="clear" w:color="000000" w:fill="B6D5E4"/>
            <w:noWrap/>
            <w:vAlign w:val="bottom"/>
            <w:hideMark/>
          </w:tcPr>
          <w:p w14:paraId="5AE7EEDE"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560" w:type="dxa"/>
            <w:tcBorders>
              <w:top w:val="single" w:sz="4" w:space="0" w:color="ADD6EA"/>
              <w:left w:val="nil"/>
              <w:bottom w:val="nil"/>
              <w:right w:val="nil"/>
            </w:tcBorders>
            <w:shd w:val="clear" w:color="000000" w:fill="B6D5E4"/>
            <w:noWrap/>
            <w:vAlign w:val="bottom"/>
            <w:hideMark/>
          </w:tcPr>
          <w:p w14:paraId="0EC39BAF"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560" w:type="dxa"/>
            <w:tcBorders>
              <w:top w:val="single" w:sz="4" w:space="0" w:color="ADD6EA"/>
              <w:left w:val="nil"/>
              <w:bottom w:val="nil"/>
              <w:right w:val="nil"/>
            </w:tcBorders>
            <w:shd w:val="clear" w:color="000000" w:fill="B6D5E4"/>
            <w:noWrap/>
            <w:vAlign w:val="bottom"/>
            <w:hideMark/>
          </w:tcPr>
          <w:p w14:paraId="013844AC"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560" w:type="dxa"/>
            <w:tcBorders>
              <w:top w:val="single" w:sz="4" w:space="0" w:color="ADD6EA"/>
              <w:left w:val="nil"/>
              <w:bottom w:val="nil"/>
              <w:right w:val="nil"/>
            </w:tcBorders>
            <w:shd w:val="clear" w:color="000000" w:fill="B6D5E4"/>
            <w:noWrap/>
            <w:vAlign w:val="bottom"/>
            <w:hideMark/>
          </w:tcPr>
          <w:p w14:paraId="66AF2185"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nil"/>
              <w:right w:val="nil"/>
            </w:tcBorders>
            <w:shd w:val="clear" w:color="000000" w:fill="B6D5E4"/>
            <w:noWrap/>
            <w:vAlign w:val="bottom"/>
            <w:hideMark/>
          </w:tcPr>
          <w:p w14:paraId="67A5DD82"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c>
          <w:tcPr>
            <w:tcW w:w="605" w:type="dxa"/>
            <w:tcBorders>
              <w:top w:val="single" w:sz="4" w:space="0" w:color="ADD6EA"/>
              <w:left w:val="nil"/>
              <w:bottom w:val="nil"/>
              <w:right w:val="nil"/>
            </w:tcBorders>
            <w:shd w:val="clear" w:color="000000" w:fill="B6D5E4"/>
            <w:noWrap/>
            <w:vAlign w:val="bottom"/>
            <w:hideMark/>
          </w:tcPr>
          <w:p w14:paraId="612FA2A2" w14:textId="77777777" w:rsidR="009129FE" w:rsidRPr="00697254" w:rsidRDefault="009129FE" w:rsidP="0079374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7254">
              <w:rPr>
                <w:rFonts w:ascii="Open Sans Semibold" w:eastAsia="Times New Roman" w:hAnsi="Open Sans Semibold" w:cs="Open Sans Semibold"/>
                <w:color w:val="000000"/>
                <w:sz w:val="16"/>
                <w:szCs w:val="16"/>
                <w:lang w:eastAsia="en-AU"/>
              </w:rPr>
              <w:t>$pc</w:t>
            </w:r>
          </w:p>
        </w:tc>
      </w:tr>
      <w:tr w:rsidR="009129FE" w:rsidRPr="00697254" w14:paraId="02D6C3C1" w14:textId="77777777" w:rsidTr="00793742">
        <w:trPr>
          <w:trHeight w:val="555"/>
        </w:trPr>
        <w:tc>
          <w:tcPr>
            <w:tcW w:w="3254" w:type="dxa"/>
            <w:tcBorders>
              <w:top w:val="single" w:sz="4" w:space="0" w:color="ADD6EA"/>
              <w:left w:val="nil"/>
              <w:bottom w:val="nil"/>
              <w:right w:val="nil"/>
            </w:tcBorders>
            <w:shd w:val="clear" w:color="auto" w:fill="auto"/>
            <w:vAlign w:val="bottom"/>
            <w:hideMark/>
          </w:tcPr>
          <w:p w14:paraId="5660708D" w14:textId="77777777" w:rsidR="009129FE" w:rsidRPr="00697254" w:rsidRDefault="009129FE" w:rsidP="00793742">
            <w:pPr>
              <w:keepNext/>
              <w:keepLines/>
              <w:tabs>
                <w:tab w:val="clear" w:pos="567"/>
              </w:tabs>
              <w:spacing w:before="0" w:line="240" w:lineRule="auto"/>
              <w:rPr>
                <w:rFonts w:eastAsia="Times New Roman" w:cs="Open Sans Light"/>
                <w:color w:val="000000"/>
                <w:sz w:val="16"/>
                <w:szCs w:val="16"/>
                <w:lang w:eastAsia="en-AU"/>
              </w:rPr>
            </w:pPr>
            <w:r w:rsidRPr="00697254">
              <w:rPr>
                <w:rFonts w:eastAsia="Times New Roman" w:cs="Open Sans Light"/>
                <w:color w:val="000000"/>
                <w:sz w:val="16"/>
                <w:szCs w:val="16"/>
                <w:lang w:eastAsia="en-AU"/>
              </w:rPr>
              <w:t xml:space="preserve">Rural and other health grants </w:t>
            </w:r>
          </w:p>
        </w:tc>
        <w:tc>
          <w:tcPr>
            <w:tcW w:w="581" w:type="dxa"/>
            <w:tcBorders>
              <w:top w:val="single" w:sz="4" w:space="0" w:color="ADD6EA"/>
              <w:left w:val="nil"/>
              <w:bottom w:val="nil"/>
              <w:right w:val="nil"/>
            </w:tcBorders>
            <w:shd w:val="clear" w:color="auto" w:fill="auto"/>
            <w:vAlign w:val="bottom"/>
            <w:hideMark/>
          </w:tcPr>
          <w:p w14:paraId="4CCAB673"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2.4</w:t>
            </w:r>
          </w:p>
        </w:tc>
        <w:tc>
          <w:tcPr>
            <w:tcW w:w="560" w:type="dxa"/>
            <w:tcBorders>
              <w:top w:val="single" w:sz="4" w:space="0" w:color="ADD6EA"/>
              <w:left w:val="nil"/>
              <w:bottom w:val="nil"/>
              <w:right w:val="nil"/>
            </w:tcBorders>
            <w:shd w:val="clear" w:color="auto" w:fill="auto"/>
            <w:vAlign w:val="bottom"/>
            <w:hideMark/>
          </w:tcPr>
          <w:p w14:paraId="17C642D4"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3.3</w:t>
            </w:r>
          </w:p>
        </w:tc>
        <w:tc>
          <w:tcPr>
            <w:tcW w:w="560" w:type="dxa"/>
            <w:tcBorders>
              <w:top w:val="single" w:sz="4" w:space="0" w:color="ADD6EA"/>
              <w:left w:val="nil"/>
              <w:bottom w:val="nil"/>
              <w:right w:val="nil"/>
            </w:tcBorders>
            <w:shd w:val="clear" w:color="auto" w:fill="auto"/>
            <w:vAlign w:val="bottom"/>
            <w:hideMark/>
          </w:tcPr>
          <w:p w14:paraId="2BFE8BD2"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2.4</w:t>
            </w:r>
          </w:p>
        </w:tc>
        <w:tc>
          <w:tcPr>
            <w:tcW w:w="560" w:type="dxa"/>
            <w:tcBorders>
              <w:top w:val="single" w:sz="4" w:space="0" w:color="ADD6EA"/>
              <w:left w:val="nil"/>
              <w:bottom w:val="nil"/>
              <w:right w:val="nil"/>
            </w:tcBorders>
            <w:shd w:val="clear" w:color="auto" w:fill="auto"/>
            <w:vAlign w:val="bottom"/>
            <w:hideMark/>
          </w:tcPr>
          <w:p w14:paraId="5F46B1BB"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-0.5</w:t>
            </w:r>
          </w:p>
        </w:tc>
        <w:tc>
          <w:tcPr>
            <w:tcW w:w="560" w:type="dxa"/>
            <w:tcBorders>
              <w:top w:val="single" w:sz="4" w:space="0" w:color="ADD6EA"/>
              <w:left w:val="nil"/>
              <w:bottom w:val="nil"/>
              <w:right w:val="nil"/>
            </w:tcBorders>
            <w:shd w:val="clear" w:color="auto" w:fill="auto"/>
            <w:vAlign w:val="bottom"/>
            <w:hideMark/>
          </w:tcPr>
          <w:p w14:paraId="361D46D9"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560" w:type="dxa"/>
            <w:tcBorders>
              <w:top w:val="single" w:sz="4" w:space="0" w:color="ADD6EA"/>
              <w:left w:val="nil"/>
              <w:bottom w:val="nil"/>
              <w:right w:val="nil"/>
            </w:tcBorders>
            <w:shd w:val="clear" w:color="auto" w:fill="auto"/>
            <w:vAlign w:val="bottom"/>
            <w:hideMark/>
          </w:tcPr>
          <w:p w14:paraId="1C33CC99"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0.6</w:t>
            </w:r>
          </w:p>
        </w:tc>
        <w:tc>
          <w:tcPr>
            <w:tcW w:w="560" w:type="dxa"/>
            <w:tcBorders>
              <w:top w:val="single" w:sz="4" w:space="0" w:color="ADD6EA"/>
              <w:left w:val="nil"/>
              <w:bottom w:val="nil"/>
              <w:right w:val="nil"/>
            </w:tcBorders>
            <w:shd w:val="clear" w:color="auto" w:fill="auto"/>
            <w:vAlign w:val="bottom"/>
            <w:hideMark/>
          </w:tcPr>
          <w:p w14:paraId="0A3CD44A"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-3.3</w:t>
            </w:r>
          </w:p>
        </w:tc>
        <w:tc>
          <w:tcPr>
            <w:tcW w:w="720" w:type="dxa"/>
            <w:tcBorders>
              <w:top w:val="single" w:sz="4" w:space="0" w:color="ADD6EA"/>
              <w:left w:val="nil"/>
              <w:bottom w:val="nil"/>
              <w:right w:val="nil"/>
            </w:tcBorders>
            <w:shd w:val="clear" w:color="auto" w:fill="auto"/>
            <w:vAlign w:val="bottom"/>
            <w:hideMark/>
          </w:tcPr>
          <w:p w14:paraId="5AA8D207"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-204.6</w:t>
            </w:r>
          </w:p>
        </w:tc>
        <w:tc>
          <w:tcPr>
            <w:tcW w:w="605" w:type="dxa"/>
            <w:tcBorders>
              <w:top w:val="single" w:sz="4" w:space="0" w:color="ADD6EA"/>
              <w:left w:val="nil"/>
              <w:bottom w:val="nil"/>
              <w:right w:val="nil"/>
            </w:tcBorders>
            <w:shd w:val="clear" w:color="auto" w:fill="auto"/>
            <w:vAlign w:val="bottom"/>
            <w:hideMark/>
          </w:tcPr>
          <w:p w14:paraId="198E4AC2"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2.1</w:t>
            </w:r>
          </w:p>
        </w:tc>
      </w:tr>
      <w:tr w:rsidR="009129FE" w:rsidRPr="00697254" w14:paraId="3F8FFE88" w14:textId="77777777" w:rsidTr="00793742">
        <w:trPr>
          <w:trHeight w:val="555"/>
        </w:trPr>
        <w:tc>
          <w:tcPr>
            <w:tcW w:w="3254" w:type="dxa"/>
            <w:tcBorders>
              <w:top w:val="single" w:sz="4" w:space="0" w:color="ADD6EA"/>
              <w:left w:val="nil"/>
              <w:bottom w:val="nil"/>
              <w:right w:val="nil"/>
            </w:tcBorders>
            <w:shd w:val="clear" w:color="auto" w:fill="auto"/>
            <w:vAlign w:val="bottom"/>
            <w:hideMark/>
          </w:tcPr>
          <w:p w14:paraId="04207D56" w14:textId="3BDF56F0" w:rsidR="009129FE" w:rsidRPr="00697254" w:rsidRDefault="009129FE" w:rsidP="00793742">
            <w:pPr>
              <w:keepNext/>
              <w:keepLines/>
              <w:tabs>
                <w:tab w:val="clear" w:pos="567"/>
              </w:tabs>
              <w:spacing w:before="0" w:line="240" w:lineRule="auto"/>
              <w:rPr>
                <w:rFonts w:eastAsia="Times New Roman" w:cs="Open Sans Light"/>
                <w:color w:val="000000"/>
                <w:sz w:val="16"/>
                <w:szCs w:val="16"/>
                <w:lang w:eastAsia="en-AU"/>
              </w:rPr>
            </w:pPr>
            <w:r w:rsidRPr="00697254">
              <w:rPr>
                <w:rFonts w:eastAsia="Times New Roman" w:cs="Open Sans Light"/>
                <w:color w:val="000000"/>
                <w:sz w:val="16"/>
                <w:szCs w:val="16"/>
                <w:lang w:eastAsia="en-AU"/>
              </w:rPr>
              <w:t xml:space="preserve">Grants for Indigenous purposes to </w:t>
            </w:r>
            <w:proofErr w:type="gramStart"/>
            <w:r w:rsidR="0017672A">
              <w:rPr>
                <w:rFonts w:eastAsia="Times New Roman" w:cs="Open Sans Light"/>
                <w:color w:val="000000"/>
                <w:sz w:val="16"/>
                <w:szCs w:val="16"/>
                <w:lang w:eastAsia="en-AU"/>
              </w:rPr>
              <w:t>s</w:t>
            </w:r>
            <w:r w:rsidRPr="00697254">
              <w:rPr>
                <w:rFonts w:eastAsia="Times New Roman" w:cs="Open Sans Light"/>
                <w:color w:val="000000"/>
                <w:sz w:val="16"/>
                <w:szCs w:val="16"/>
                <w:lang w:eastAsia="en-AU"/>
              </w:rPr>
              <w:t>chools</w:t>
            </w:r>
            <w:proofErr w:type="gramEnd"/>
            <w:r w:rsidRPr="00697254">
              <w:rPr>
                <w:rFonts w:eastAsia="Times New Roman" w:cs="Open Sans Light"/>
                <w:color w:val="000000"/>
                <w:sz w:val="16"/>
                <w:szCs w:val="16"/>
                <w:lang w:eastAsia="en-AU"/>
              </w:rPr>
              <w:t xml:space="preserve"> education </w:t>
            </w:r>
          </w:p>
        </w:tc>
        <w:tc>
          <w:tcPr>
            <w:tcW w:w="581" w:type="dxa"/>
            <w:tcBorders>
              <w:top w:val="single" w:sz="4" w:space="0" w:color="ADD6EA"/>
              <w:left w:val="nil"/>
              <w:bottom w:val="nil"/>
              <w:right w:val="nil"/>
            </w:tcBorders>
            <w:shd w:val="clear" w:color="auto" w:fill="auto"/>
            <w:vAlign w:val="bottom"/>
            <w:hideMark/>
          </w:tcPr>
          <w:p w14:paraId="6D7504E3"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0.6</w:t>
            </w:r>
          </w:p>
        </w:tc>
        <w:tc>
          <w:tcPr>
            <w:tcW w:w="560" w:type="dxa"/>
            <w:tcBorders>
              <w:top w:val="single" w:sz="4" w:space="0" w:color="ADD6EA"/>
              <w:left w:val="nil"/>
              <w:bottom w:val="nil"/>
              <w:right w:val="nil"/>
            </w:tcBorders>
            <w:shd w:val="clear" w:color="auto" w:fill="auto"/>
            <w:vAlign w:val="bottom"/>
            <w:hideMark/>
          </w:tcPr>
          <w:p w14:paraId="3D497596"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0.6</w:t>
            </w:r>
          </w:p>
        </w:tc>
        <w:tc>
          <w:tcPr>
            <w:tcW w:w="560" w:type="dxa"/>
            <w:tcBorders>
              <w:top w:val="single" w:sz="4" w:space="0" w:color="ADD6EA"/>
              <w:left w:val="nil"/>
              <w:bottom w:val="nil"/>
              <w:right w:val="nil"/>
            </w:tcBorders>
            <w:shd w:val="clear" w:color="auto" w:fill="auto"/>
            <w:vAlign w:val="bottom"/>
            <w:hideMark/>
          </w:tcPr>
          <w:p w14:paraId="4630D33C"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-0.2</w:t>
            </w:r>
          </w:p>
        </w:tc>
        <w:tc>
          <w:tcPr>
            <w:tcW w:w="560" w:type="dxa"/>
            <w:tcBorders>
              <w:top w:val="single" w:sz="4" w:space="0" w:color="ADD6EA"/>
              <w:left w:val="nil"/>
              <w:bottom w:val="nil"/>
              <w:right w:val="nil"/>
            </w:tcBorders>
            <w:shd w:val="clear" w:color="auto" w:fill="auto"/>
            <w:vAlign w:val="bottom"/>
            <w:hideMark/>
          </w:tcPr>
          <w:p w14:paraId="5A24732C"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0.4</w:t>
            </w:r>
          </w:p>
        </w:tc>
        <w:tc>
          <w:tcPr>
            <w:tcW w:w="560" w:type="dxa"/>
            <w:tcBorders>
              <w:top w:val="single" w:sz="4" w:space="0" w:color="ADD6EA"/>
              <w:left w:val="nil"/>
              <w:bottom w:val="nil"/>
              <w:right w:val="nil"/>
            </w:tcBorders>
            <w:shd w:val="clear" w:color="auto" w:fill="auto"/>
            <w:vAlign w:val="bottom"/>
            <w:hideMark/>
          </w:tcPr>
          <w:p w14:paraId="436338AC"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-0.5</w:t>
            </w:r>
          </w:p>
        </w:tc>
        <w:tc>
          <w:tcPr>
            <w:tcW w:w="560" w:type="dxa"/>
            <w:tcBorders>
              <w:top w:val="single" w:sz="4" w:space="0" w:color="ADD6EA"/>
              <w:left w:val="nil"/>
              <w:bottom w:val="nil"/>
              <w:right w:val="nil"/>
            </w:tcBorders>
            <w:shd w:val="clear" w:color="auto" w:fill="auto"/>
            <w:vAlign w:val="bottom"/>
            <w:hideMark/>
          </w:tcPr>
          <w:p w14:paraId="50820895"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0.6</w:t>
            </w:r>
          </w:p>
        </w:tc>
        <w:tc>
          <w:tcPr>
            <w:tcW w:w="560" w:type="dxa"/>
            <w:tcBorders>
              <w:top w:val="single" w:sz="4" w:space="0" w:color="ADD6EA"/>
              <w:left w:val="nil"/>
              <w:bottom w:val="nil"/>
              <w:right w:val="nil"/>
            </w:tcBorders>
            <w:shd w:val="clear" w:color="auto" w:fill="auto"/>
            <w:vAlign w:val="bottom"/>
            <w:hideMark/>
          </w:tcPr>
          <w:p w14:paraId="27901DC3"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0.6</w:t>
            </w:r>
          </w:p>
        </w:tc>
        <w:tc>
          <w:tcPr>
            <w:tcW w:w="720" w:type="dxa"/>
            <w:tcBorders>
              <w:top w:val="single" w:sz="4" w:space="0" w:color="ADD6EA"/>
              <w:left w:val="nil"/>
              <w:bottom w:val="nil"/>
              <w:right w:val="nil"/>
            </w:tcBorders>
            <w:shd w:val="clear" w:color="auto" w:fill="auto"/>
            <w:vAlign w:val="bottom"/>
            <w:hideMark/>
          </w:tcPr>
          <w:p w14:paraId="5ED28F50"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-33.8</w:t>
            </w:r>
          </w:p>
        </w:tc>
        <w:tc>
          <w:tcPr>
            <w:tcW w:w="605" w:type="dxa"/>
            <w:tcBorders>
              <w:top w:val="single" w:sz="4" w:space="0" w:color="ADD6EA"/>
              <w:left w:val="nil"/>
              <w:bottom w:val="nil"/>
              <w:right w:val="nil"/>
            </w:tcBorders>
            <w:shd w:val="clear" w:color="auto" w:fill="auto"/>
            <w:vAlign w:val="bottom"/>
            <w:hideMark/>
          </w:tcPr>
          <w:p w14:paraId="4ED0E939"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0.4</w:t>
            </w:r>
          </w:p>
        </w:tc>
      </w:tr>
      <w:tr w:rsidR="009129FE" w:rsidRPr="00697254" w14:paraId="04C815B0" w14:textId="77777777" w:rsidTr="00793742">
        <w:trPr>
          <w:trHeight w:val="555"/>
        </w:trPr>
        <w:tc>
          <w:tcPr>
            <w:tcW w:w="3254" w:type="dxa"/>
            <w:tcBorders>
              <w:top w:val="single" w:sz="4" w:space="0" w:color="ADD6EA"/>
              <w:left w:val="nil"/>
              <w:bottom w:val="nil"/>
              <w:right w:val="nil"/>
            </w:tcBorders>
            <w:shd w:val="clear" w:color="auto" w:fill="auto"/>
            <w:vAlign w:val="bottom"/>
            <w:hideMark/>
          </w:tcPr>
          <w:p w14:paraId="1224848C" w14:textId="333B93B5" w:rsidR="009129FE" w:rsidRPr="00697254" w:rsidRDefault="009129FE" w:rsidP="00793742">
            <w:pPr>
              <w:keepNext/>
              <w:keepLines/>
              <w:tabs>
                <w:tab w:val="clear" w:pos="567"/>
              </w:tabs>
              <w:spacing w:before="0" w:line="240" w:lineRule="auto"/>
              <w:rPr>
                <w:rFonts w:eastAsia="Times New Roman" w:cs="Open Sans Light"/>
                <w:color w:val="000000"/>
                <w:sz w:val="16"/>
                <w:szCs w:val="16"/>
                <w:lang w:eastAsia="en-AU"/>
              </w:rPr>
            </w:pPr>
            <w:r w:rsidRPr="00697254">
              <w:rPr>
                <w:rFonts w:eastAsia="Times New Roman" w:cs="Open Sans Light"/>
                <w:color w:val="000000"/>
                <w:sz w:val="16"/>
                <w:szCs w:val="16"/>
                <w:lang w:eastAsia="en-AU"/>
              </w:rPr>
              <w:t xml:space="preserve">Grants for Indigenous purposes to </w:t>
            </w:r>
            <w:r w:rsidR="0017672A">
              <w:rPr>
                <w:rFonts w:eastAsia="Times New Roman" w:cs="Open Sans Light"/>
                <w:color w:val="000000"/>
                <w:sz w:val="16"/>
                <w:szCs w:val="16"/>
                <w:lang w:eastAsia="en-AU"/>
              </w:rPr>
              <w:t>p</w:t>
            </w:r>
            <w:r w:rsidRPr="00697254">
              <w:rPr>
                <w:rFonts w:eastAsia="Times New Roman" w:cs="Open Sans Light"/>
                <w:color w:val="000000"/>
                <w:sz w:val="16"/>
                <w:szCs w:val="16"/>
                <w:lang w:eastAsia="en-AU"/>
              </w:rPr>
              <w:t xml:space="preserve">ost-secondary education </w:t>
            </w:r>
          </w:p>
        </w:tc>
        <w:tc>
          <w:tcPr>
            <w:tcW w:w="581" w:type="dxa"/>
            <w:tcBorders>
              <w:top w:val="single" w:sz="4" w:space="0" w:color="ADD6EA"/>
              <w:left w:val="nil"/>
              <w:bottom w:val="nil"/>
              <w:right w:val="nil"/>
            </w:tcBorders>
            <w:shd w:val="clear" w:color="auto" w:fill="auto"/>
            <w:vAlign w:val="bottom"/>
            <w:hideMark/>
          </w:tcPr>
          <w:p w14:paraId="1DFD99DF"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560" w:type="dxa"/>
            <w:tcBorders>
              <w:top w:val="single" w:sz="4" w:space="0" w:color="ADD6EA"/>
              <w:left w:val="nil"/>
              <w:bottom w:val="nil"/>
              <w:right w:val="nil"/>
            </w:tcBorders>
            <w:shd w:val="clear" w:color="auto" w:fill="auto"/>
            <w:vAlign w:val="bottom"/>
            <w:hideMark/>
          </w:tcPr>
          <w:p w14:paraId="2504BD88"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41E7C2C1"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7327305D"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41776036"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1BB2DE59"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3808B0EF"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720" w:type="dxa"/>
            <w:tcBorders>
              <w:top w:val="single" w:sz="4" w:space="0" w:color="ADD6EA"/>
              <w:left w:val="nil"/>
              <w:bottom w:val="nil"/>
              <w:right w:val="nil"/>
            </w:tcBorders>
            <w:shd w:val="clear" w:color="auto" w:fill="auto"/>
            <w:vAlign w:val="bottom"/>
            <w:hideMark/>
          </w:tcPr>
          <w:p w14:paraId="407887EE"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-0.7</w:t>
            </w:r>
          </w:p>
        </w:tc>
        <w:tc>
          <w:tcPr>
            <w:tcW w:w="605" w:type="dxa"/>
            <w:tcBorders>
              <w:top w:val="single" w:sz="4" w:space="0" w:color="ADD6EA"/>
              <w:left w:val="nil"/>
              <w:bottom w:val="nil"/>
              <w:right w:val="nil"/>
            </w:tcBorders>
            <w:shd w:val="clear" w:color="auto" w:fill="auto"/>
            <w:vAlign w:val="bottom"/>
            <w:hideMark/>
          </w:tcPr>
          <w:p w14:paraId="6B039DC2"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r>
      <w:tr w:rsidR="009129FE" w:rsidRPr="00697254" w14:paraId="3DABCD20" w14:textId="77777777" w:rsidTr="00793742">
        <w:trPr>
          <w:trHeight w:val="555"/>
        </w:trPr>
        <w:tc>
          <w:tcPr>
            <w:tcW w:w="3254" w:type="dxa"/>
            <w:tcBorders>
              <w:top w:val="single" w:sz="4" w:space="0" w:color="ADD6EA"/>
              <w:left w:val="nil"/>
              <w:bottom w:val="nil"/>
              <w:right w:val="nil"/>
            </w:tcBorders>
            <w:shd w:val="clear" w:color="auto" w:fill="auto"/>
            <w:vAlign w:val="bottom"/>
            <w:hideMark/>
          </w:tcPr>
          <w:p w14:paraId="0AF4BE4F" w14:textId="670EF616" w:rsidR="009129FE" w:rsidRPr="00697254" w:rsidRDefault="009129FE" w:rsidP="00793742">
            <w:pPr>
              <w:keepNext/>
              <w:keepLines/>
              <w:tabs>
                <w:tab w:val="clear" w:pos="567"/>
              </w:tabs>
              <w:spacing w:before="0" w:line="240" w:lineRule="auto"/>
              <w:rPr>
                <w:rFonts w:eastAsia="Times New Roman" w:cs="Open Sans Light"/>
                <w:color w:val="000000"/>
                <w:sz w:val="16"/>
                <w:szCs w:val="16"/>
                <w:lang w:eastAsia="en-AU"/>
              </w:rPr>
            </w:pPr>
            <w:r w:rsidRPr="00697254">
              <w:rPr>
                <w:rFonts w:eastAsia="Times New Roman" w:cs="Open Sans Light"/>
                <w:color w:val="000000"/>
                <w:sz w:val="16"/>
                <w:szCs w:val="16"/>
                <w:lang w:eastAsia="en-AU"/>
              </w:rPr>
              <w:t xml:space="preserve">Grants for Indigenous purposes to </w:t>
            </w:r>
            <w:r w:rsidR="0017672A">
              <w:rPr>
                <w:rFonts w:eastAsia="Times New Roman" w:cs="Open Sans Light"/>
                <w:color w:val="000000"/>
                <w:sz w:val="16"/>
                <w:szCs w:val="16"/>
                <w:lang w:eastAsia="en-AU"/>
              </w:rPr>
              <w:t>o</w:t>
            </w:r>
            <w:r w:rsidRPr="00697254">
              <w:rPr>
                <w:rFonts w:eastAsia="Times New Roman" w:cs="Open Sans Light"/>
                <w:color w:val="000000"/>
                <w:sz w:val="16"/>
                <w:szCs w:val="16"/>
                <w:lang w:eastAsia="en-AU"/>
              </w:rPr>
              <w:t xml:space="preserve">ther expenses </w:t>
            </w:r>
          </w:p>
        </w:tc>
        <w:tc>
          <w:tcPr>
            <w:tcW w:w="581" w:type="dxa"/>
            <w:tcBorders>
              <w:top w:val="single" w:sz="4" w:space="0" w:color="ADD6EA"/>
              <w:left w:val="nil"/>
              <w:bottom w:val="nil"/>
              <w:right w:val="nil"/>
            </w:tcBorders>
            <w:shd w:val="clear" w:color="auto" w:fill="auto"/>
            <w:vAlign w:val="bottom"/>
            <w:hideMark/>
          </w:tcPr>
          <w:p w14:paraId="6A35871B"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228D0FAC"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189EEC70"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23E14BF2"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152B52CA"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3A13DAFC"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560" w:type="dxa"/>
            <w:tcBorders>
              <w:top w:val="single" w:sz="4" w:space="0" w:color="ADD6EA"/>
              <w:left w:val="nil"/>
              <w:bottom w:val="nil"/>
              <w:right w:val="nil"/>
            </w:tcBorders>
            <w:shd w:val="clear" w:color="auto" w:fill="auto"/>
            <w:vAlign w:val="bottom"/>
            <w:hideMark/>
          </w:tcPr>
          <w:p w14:paraId="26C4D9F4"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c>
          <w:tcPr>
            <w:tcW w:w="720" w:type="dxa"/>
            <w:tcBorders>
              <w:top w:val="single" w:sz="4" w:space="0" w:color="ADD6EA"/>
              <w:left w:val="nil"/>
              <w:bottom w:val="nil"/>
              <w:right w:val="nil"/>
            </w:tcBorders>
            <w:shd w:val="clear" w:color="auto" w:fill="auto"/>
            <w:vAlign w:val="bottom"/>
            <w:hideMark/>
          </w:tcPr>
          <w:p w14:paraId="68EA2866"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-0.8</w:t>
            </w:r>
          </w:p>
        </w:tc>
        <w:tc>
          <w:tcPr>
            <w:tcW w:w="605" w:type="dxa"/>
            <w:tcBorders>
              <w:top w:val="single" w:sz="4" w:space="0" w:color="ADD6EA"/>
              <w:left w:val="nil"/>
              <w:bottom w:val="nil"/>
              <w:right w:val="nil"/>
            </w:tcBorders>
            <w:shd w:val="clear" w:color="auto" w:fill="auto"/>
            <w:vAlign w:val="bottom"/>
            <w:hideMark/>
          </w:tcPr>
          <w:p w14:paraId="7A1CCB2F"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0.0</w:t>
            </w:r>
          </w:p>
        </w:tc>
      </w:tr>
      <w:tr w:rsidR="009129FE" w:rsidRPr="00697254" w14:paraId="5364873C" w14:textId="77777777" w:rsidTr="00793742">
        <w:trPr>
          <w:trHeight w:val="555"/>
        </w:trPr>
        <w:tc>
          <w:tcPr>
            <w:tcW w:w="3254" w:type="dxa"/>
            <w:tcBorders>
              <w:top w:val="single" w:sz="4" w:space="0" w:color="ADD6EA"/>
              <w:left w:val="nil"/>
              <w:bottom w:val="single" w:sz="4" w:space="0" w:color="ADD6EA"/>
              <w:right w:val="nil"/>
            </w:tcBorders>
            <w:shd w:val="clear" w:color="auto" w:fill="auto"/>
            <w:vAlign w:val="bottom"/>
            <w:hideMark/>
          </w:tcPr>
          <w:p w14:paraId="02E912A1" w14:textId="77777777" w:rsidR="009129FE" w:rsidRPr="00697254" w:rsidRDefault="009129FE" w:rsidP="00793742">
            <w:pPr>
              <w:keepNext/>
              <w:keepLines/>
              <w:tabs>
                <w:tab w:val="clear" w:pos="567"/>
              </w:tabs>
              <w:spacing w:before="0" w:line="240" w:lineRule="auto"/>
              <w:rPr>
                <w:rFonts w:eastAsia="Times New Roman" w:cs="Open Sans Light"/>
                <w:color w:val="000000"/>
                <w:sz w:val="16"/>
                <w:szCs w:val="16"/>
                <w:lang w:eastAsia="en-AU"/>
              </w:rPr>
            </w:pPr>
            <w:r w:rsidRPr="00697254">
              <w:rPr>
                <w:rFonts w:eastAsia="Times New Roman" w:cs="Open Sans Light"/>
                <w:color w:val="000000"/>
                <w:sz w:val="16"/>
                <w:szCs w:val="16"/>
                <w:lang w:eastAsia="en-AU"/>
              </w:rPr>
              <w:t xml:space="preserve">Improving policing in very remote areas </w:t>
            </w:r>
          </w:p>
        </w:tc>
        <w:tc>
          <w:tcPr>
            <w:tcW w:w="581" w:type="dxa"/>
            <w:tcBorders>
              <w:top w:val="single" w:sz="4" w:space="0" w:color="ADD6EA"/>
              <w:left w:val="nil"/>
              <w:bottom w:val="single" w:sz="4" w:space="0" w:color="ADD6EA"/>
              <w:right w:val="nil"/>
            </w:tcBorders>
            <w:shd w:val="clear" w:color="auto" w:fill="auto"/>
            <w:vAlign w:val="bottom"/>
            <w:hideMark/>
          </w:tcPr>
          <w:p w14:paraId="427C6156"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560" w:type="dxa"/>
            <w:tcBorders>
              <w:top w:val="single" w:sz="4" w:space="0" w:color="ADD6EA"/>
              <w:left w:val="nil"/>
              <w:bottom w:val="single" w:sz="4" w:space="0" w:color="ADD6EA"/>
              <w:right w:val="nil"/>
            </w:tcBorders>
            <w:shd w:val="clear" w:color="auto" w:fill="auto"/>
            <w:vAlign w:val="bottom"/>
            <w:hideMark/>
          </w:tcPr>
          <w:p w14:paraId="38AEF896"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560" w:type="dxa"/>
            <w:tcBorders>
              <w:top w:val="single" w:sz="4" w:space="0" w:color="ADD6EA"/>
              <w:left w:val="nil"/>
              <w:bottom w:val="single" w:sz="4" w:space="0" w:color="ADD6EA"/>
              <w:right w:val="nil"/>
            </w:tcBorders>
            <w:shd w:val="clear" w:color="auto" w:fill="auto"/>
            <w:vAlign w:val="bottom"/>
            <w:hideMark/>
          </w:tcPr>
          <w:p w14:paraId="2B8362E4"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560" w:type="dxa"/>
            <w:tcBorders>
              <w:top w:val="single" w:sz="4" w:space="0" w:color="ADD6EA"/>
              <w:left w:val="nil"/>
              <w:bottom w:val="single" w:sz="4" w:space="0" w:color="ADD6EA"/>
              <w:right w:val="nil"/>
            </w:tcBorders>
            <w:shd w:val="clear" w:color="auto" w:fill="auto"/>
            <w:vAlign w:val="bottom"/>
            <w:hideMark/>
          </w:tcPr>
          <w:p w14:paraId="6A759AD8"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560" w:type="dxa"/>
            <w:tcBorders>
              <w:top w:val="single" w:sz="4" w:space="0" w:color="ADD6EA"/>
              <w:left w:val="nil"/>
              <w:bottom w:val="single" w:sz="4" w:space="0" w:color="ADD6EA"/>
              <w:right w:val="nil"/>
            </w:tcBorders>
            <w:shd w:val="clear" w:color="auto" w:fill="auto"/>
            <w:vAlign w:val="bottom"/>
            <w:hideMark/>
          </w:tcPr>
          <w:p w14:paraId="3CC23E64"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-1.2</w:t>
            </w:r>
          </w:p>
        </w:tc>
        <w:tc>
          <w:tcPr>
            <w:tcW w:w="560" w:type="dxa"/>
            <w:tcBorders>
              <w:top w:val="single" w:sz="4" w:space="0" w:color="ADD6EA"/>
              <w:left w:val="nil"/>
              <w:bottom w:val="single" w:sz="4" w:space="0" w:color="ADD6EA"/>
              <w:right w:val="nil"/>
            </w:tcBorders>
            <w:shd w:val="clear" w:color="auto" w:fill="auto"/>
            <w:vAlign w:val="bottom"/>
            <w:hideMark/>
          </w:tcPr>
          <w:p w14:paraId="02E047B7"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560" w:type="dxa"/>
            <w:tcBorders>
              <w:top w:val="single" w:sz="4" w:space="0" w:color="ADD6EA"/>
              <w:left w:val="nil"/>
              <w:bottom w:val="single" w:sz="4" w:space="0" w:color="ADD6EA"/>
              <w:right w:val="nil"/>
            </w:tcBorders>
            <w:shd w:val="clear" w:color="auto" w:fill="auto"/>
            <w:vAlign w:val="bottom"/>
            <w:hideMark/>
          </w:tcPr>
          <w:p w14:paraId="712BF299"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c>
          <w:tcPr>
            <w:tcW w:w="720" w:type="dxa"/>
            <w:tcBorders>
              <w:top w:val="single" w:sz="4" w:space="0" w:color="ADD6EA"/>
              <w:left w:val="nil"/>
              <w:bottom w:val="single" w:sz="4" w:space="0" w:color="ADD6EA"/>
              <w:right w:val="nil"/>
            </w:tcBorders>
            <w:shd w:val="clear" w:color="auto" w:fill="auto"/>
            <w:vAlign w:val="bottom"/>
            <w:hideMark/>
          </w:tcPr>
          <w:p w14:paraId="3E06BD7D"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-1.4</w:t>
            </w:r>
          </w:p>
        </w:tc>
        <w:tc>
          <w:tcPr>
            <w:tcW w:w="605" w:type="dxa"/>
            <w:tcBorders>
              <w:top w:val="single" w:sz="4" w:space="0" w:color="ADD6EA"/>
              <w:left w:val="nil"/>
              <w:bottom w:val="single" w:sz="4" w:space="0" w:color="ADD6EA"/>
              <w:right w:val="nil"/>
            </w:tcBorders>
            <w:shd w:val="clear" w:color="auto" w:fill="auto"/>
            <w:vAlign w:val="bottom"/>
            <w:hideMark/>
          </w:tcPr>
          <w:p w14:paraId="23A0302A" w14:textId="77777777" w:rsidR="009129FE" w:rsidRPr="00697254" w:rsidRDefault="009129FE" w:rsidP="00793742">
            <w:pPr>
              <w:keepNext/>
              <w:keepLines/>
              <w:tabs>
                <w:tab w:val="clear" w:pos="567"/>
              </w:tabs>
              <w:spacing w:before="0" w:line="240" w:lineRule="auto"/>
              <w:jc w:val="right"/>
              <w:rPr>
                <w:rFonts w:eastAsia="Times New Roman" w:cs="Open Sans Light"/>
                <w:color w:val="000000"/>
                <w:sz w:val="16"/>
                <w:szCs w:val="16"/>
                <w:lang w:eastAsia="en-AU"/>
              </w:rPr>
            </w:pPr>
            <w:r w:rsidRPr="00697254">
              <w:rPr>
                <w:rFonts w:eastAsia="Times New Roman" w:cs="Open Sans Light"/>
                <w:color w:val="000000"/>
                <w:sz w:val="16"/>
                <w:szCs w:val="16"/>
                <w:lang w:eastAsia="en-AU"/>
              </w:rPr>
              <w:t>0.1</w:t>
            </w:r>
          </w:p>
        </w:tc>
      </w:tr>
    </w:tbl>
    <w:p w14:paraId="6DA376F2" w14:textId="77777777" w:rsidR="00697071" w:rsidRDefault="00697071" w:rsidP="00697071">
      <w:pPr>
        <w:pStyle w:val="CGCTablenote"/>
        <w:keepNext/>
        <w:keepLines/>
        <w:widowControl w:val="0"/>
        <w:rPr>
          <w:rFonts w:ascii="Work Sans" w:hAnsi="Work Sans"/>
        </w:rPr>
      </w:pPr>
      <w:r>
        <w:rPr>
          <w:rFonts w:ascii="Work Sans" w:hAnsi="Work Sans"/>
        </w:rPr>
        <w:t>Note: Multiple small Commonwealth own-purpose expenses have been combined under each Indigenous purposes item.</w:t>
      </w:r>
    </w:p>
    <w:p w14:paraId="3317093E" w14:textId="6BE8519F" w:rsidR="00697071" w:rsidRPr="00504666" w:rsidRDefault="00697071" w:rsidP="00697071">
      <w:pPr>
        <w:pStyle w:val="CGCTablenote"/>
        <w:keepNext/>
        <w:keepLines/>
        <w:widowControl w:val="0"/>
        <w:rPr>
          <w:rFonts w:ascii="Work Sans" w:hAnsi="Work Sans"/>
        </w:rPr>
      </w:pPr>
      <w:r>
        <w:rPr>
          <w:rFonts w:ascii="Work Sans" w:hAnsi="Work Sans"/>
        </w:rPr>
        <w:t xml:space="preserve">Source: </w:t>
      </w:r>
      <w:r w:rsidRPr="003F1F10">
        <w:rPr>
          <w:rFonts w:ascii="Work Sans" w:hAnsi="Work Sans"/>
        </w:rPr>
        <w:t>Commission calculation.</w:t>
      </w:r>
    </w:p>
    <w:p w14:paraId="304084BC" w14:textId="77777777" w:rsidR="00B42EA7" w:rsidRDefault="00B42EA7" w:rsidP="00B42EA7">
      <w:pPr>
        <w:pStyle w:val="Heading4"/>
      </w:pPr>
      <w:r>
        <w:t>Consultation question</w:t>
      </w:r>
    </w:p>
    <w:p w14:paraId="3630F112" w14:textId="77777777" w:rsidR="00B42EA7" w:rsidRPr="00571F9E" w:rsidRDefault="00B42EA7" w:rsidP="00B42EA7">
      <w:r w:rsidRPr="001C4DF3">
        <w:rPr>
          <w:noProof/>
        </w:rPr>
        <mc:AlternateContent>
          <mc:Choice Requires="wps">
            <w:drawing>
              <wp:inline distT="0" distB="0" distL="0" distR="0" wp14:anchorId="79F9612F" wp14:editId="6A96495F">
                <wp:extent cx="5638800" cy="600075"/>
                <wp:effectExtent l="0" t="0" r="0" b="9525"/>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8800" cy="600075"/>
                        </a:xfrm>
                        <a:prstGeom prst="rect">
                          <a:avLst/>
                        </a:prstGeom>
                        <a:solidFill>
                          <a:srgbClr val="EBF3F5"/>
                        </a:solidFill>
                        <a:ln w="25400" cap="flat" cmpd="sng" algn="ctr">
                          <a:noFill/>
                          <a:prstDash val="solid"/>
                        </a:ln>
                        <a:effectLst/>
                      </wps:spPr>
                      <wps:txbx>
                        <w:txbxContent>
                          <w:p w14:paraId="338E5CF0" w14:textId="77777777" w:rsidR="00957810" w:rsidRPr="00E67F91" w:rsidRDefault="00957810" w:rsidP="00957810">
                            <w:pPr>
                              <w:pStyle w:val="CGC2025QuestionNumbers"/>
                              <w:rPr>
                                <w:lang w:eastAsia="en-AU"/>
                              </w:rPr>
                            </w:pPr>
                            <w:r w:rsidRPr="00E67F91">
                              <w:rPr>
                                <w:lang w:eastAsia="en-AU"/>
                              </w:rPr>
                              <w:t>Do</w:t>
                            </w:r>
                            <w:r>
                              <w:rPr>
                                <w:lang w:eastAsia="en-AU"/>
                              </w:rPr>
                              <w:t xml:space="preserve"> states agree to discontinue </w:t>
                            </w:r>
                            <w:r w:rsidRPr="00E67F91">
                              <w:rPr>
                                <w:lang w:eastAsia="en-AU"/>
                              </w:rPr>
                              <w:t xml:space="preserve">the assessment of </w:t>
                            </w:r>
                            <w:r>
                              <w:rPr>
                                <w:lang w:eastAsia="en-AU"/>
                              </w:rPr>
                              <w:t>Commonwealth own-purpose expense payments</w:t>
                            </w:r>
                            <w:r w:rsidRPr="00E67F91">
                              <w:rPr>
                                <w:lang w:eastAsia="en-AU"/>
                              </w:rPr>
                              <w:t>?</w:t>
                            </w:r>
                          </w:p>
                          <w:p w14:paraId="77C98EA6" w14:textId="77777777" w:rsidR="00281364" w:rsidRPr="00B5791A" w:rsidRDefault="00281364" w:rsidP="005F67EC">
                            <w:pPr>
                              <w:pStyle w:val="CGC2025Bullet1"/>
                              <w:numPr>
                                <w:ilvl w:val="0"/>
                                <w:numId w:val="0"/>
                              </w:numPr>
                              <w:rPr>
                                <w:lang w:eastAsia="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F9612F" id="Rectangle 8" o:spid="_x0000_s1030" alt="&quot;&quot;" style="width:444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b+UQIAAJ0EAAAOAAAAZHJzL2Uyb0RvYy54bWysVE1v2zAMvQ/YfxB0X+2kSZsGdYqsXYYB&#10;RVsgHXpWZCk2IIsapcTufv0o2WmybqdhF5kUKX48Pvr6pmsM2yv0NdiCj85yzpSVUNZ2W/Dvz6tP&#10;M858ELYUBqwq+Kvy/Gbx8cN16+ZqDBWYUiGjINbPW1fwKgQ3zzIvK9UIfwZOWTJqwEYEUnGblSha&#10;it6YbJznF1kLWDoEqbyn27veyBcpvtZKhketvQrMFJxqC+nEdG7imS2uxXyLwlW1HMoQ/1BFI2pL&#10;Sd9C3Ykg2A7rP0I1tUTwoMOZhCYDrWupUg/UzSh/1826Ek6lXggc795g8v8vrHzYr90TEgyt83NP&#10;Yuyi09jEL9XHugTW6xtYqgtM0uX04nw2ywlTSbaLPM8vpxHN7PjaoQ9fFTQsCgVHGkbCSOzvfehd&#10;Dy4xmQdTl6vamKTgdnNrkO0FDe7L59X56hD9NzdjWVvw8XSSChFEIG1EoJoaVxbc2y1nwmyJmTJg&#10;ym0hZkhTj7nvhK/6HCns0ICxsQSV6DOUekQnSqHbdKymDJP4It5soHx9QobQM8w7uaop/r3w4Ukg&#10;UYqAojUJj3RoA1Q0DBJnFeDPv91Hf5o0WTlriaLU0I+dQMWZ+WaJA1ejySRyOimT6eWYFDy1bE4t&#10;dtfcAoE5ooV0MonRP5iDqBGaF9qmZcxKJmEl5e6hG5Tb0K8O7aNUy2VyIx47Ee7t2skYPCIXkX3u&#10;XgS6YfSBSPMABzqL+TsG9L7xpYXlLoCuEz2OuBKtokI7kAg27GtcslM9eR3/KotfAAAA//8DAFBL&#10;AwQUAAYACAAAACEAIORi9tsAAAAEAQAADwAAAGRycy9kb3ducmV2LnhtbEyPwU7DMBBE70j8g7VI&#10;3KgDopWbxqloBT0gKkTpB7jxNomI15HtpuHvWbiUy0ijWc28LZaj68SAIbaeNNxPMhBIlbct1Rr2&#10;ny93CkRMhqzpPKGGb4ywLK+vCpNbf6YPHHapFlxCMTcampT6XMpYNehMnPgeibOjD84ktqGWNpgz&#10;l7tOPmTZTDrTEi80psd1g9XX7uQ0bN42wdB8VdVqtnrdP6+3w/R9q/Xtzfi0AJFwTJdj+MVndCiZ&#10;6eBPZKPoNPAj6U85U0qxPWiYP05BloX8D1/+AAAA//8DAFBLAQItABQABgAIAAAAIQC2gziS/gAA&#10;AOEBAAATAAAAAAAAAAAAAAAAAAAAAABbQ29udGVudF9UeXBlc10ueG1sUEsBAi0AFAAGAAgAAAAh&#10;ADj9If/WAAAAlAEAAAsAAAAAAAAAAAAAAAAALwEAAF9yZWxzLy5yZWxzUEsBAi0AFAAGAAgAAAAh&#10;AN9yVv5RAgAAnQQAAA4AAAAAAAAAAAAAAAAALgIAAGRycy9lMm9Eb2MueG1sUEsBAi0AFAAGAAgA&#10;AAAhACDkYvbbAAAABAEAAA8AAAAAAAAAAAAAAAAAqwQAAGRycy9kb3ducmV2LnhtbFBLBQYAAAAA&#10;BAAEAPMAAACzBQAAAAA=&#10;" fillcolor="#ebf3f5" stroked="f" strokeweight="2pt">
                <v:textbox>
                  <w:txbxContent>
                    <w:p w14:paraId="338E5CF0" w14:textId="77777777" w:rsidR="00957810" w:rsidRPr="00E67F91" w:rsidRDefault="00957810" w:rsidP="00957810">
                      <w:pPr>
                        <w:pStyle w:val="CGC2025QuestionNumbers"/>
                        <w:rPr>
                          <w:lang w:eastAsia="en-AU"/>
                        </w:rPr>
                      </w:pPr>
                      <w:r w:rsidRPr="00E67F91">
                        <w:rPr>
                          <w:lang w:eastAsia="en-AU"/>
                        </w:rPr>
                        <w:t>Do</w:t>
                      </w:r>
                      <w:r>
                        <w:rPr>
                          <w:lang w:eastAsia="en-AU"/>
                        </w:rPr>
                        <w:t xml:space="preserve"> states agree to discontinue </w:t>
                      </w:r>
                      <w:r w:rsidRPr="00E67F91">
                        <w:rPr>
                          <w:lang w:eastAsia="en-AU"/>
                        </w:rPr>
                        <w:t xml:space="preserve">the assessment of </w:t>
                      </w:r>
                      <w:r>
                        <w:rPr>
                          <w:lang w:eastAsia="en-AU"/>
                        </w:rPr>
                        <w:t>Commonwealth own-purpose expense payments</w:t>
                      </w:r>
                      <w:r w:rsidRPr="00E67F91">
                        <w:rPr>
                          <w:lang w:eastAsia="en-AU"/>
                        </w:rPr>
                        <w:t>?</w:t>
                      </w:r>
                    </w:p>
                    <w:p w14:paraId="77C98EA6" w14:textId="77777777" w:rsidR="00281364" w:rsidRPr="00B5791A" w:rsidRDefault="00281364" w:rsidP="005F67EC">
                      <w:pPr>
                        <w:pStyle w:val="CGC2025Bullet1"/>
                        <w:numPr>
                          <w:ilvl w:val="0"/>
                          <w:numId w:val="0"/>
                        </w:numPr>
                        <w:rPr>
                          <w:lang w:eastAsia="en-AU"/>
                        </w:rPr>
                      </w:pPr>
                    </w:p>
                  </w:txbxContent>
                </v:textbox>
                <w10:anchorlock/>
              </v:rect>
            </w:pict>
          </mc:Fallback>
        </mc:AlternateContent>
      </w:r>
    </w:p>
    <w:p w14:paraId="3F44893D" w14:textId="529E8ED2" w:rsidR="009F5231" w:rsidRDefault="002B4C0E" w:rsidP="002B4C0E">
      <w:pPr>
        <w:pStyle w:val="Heading3"/>
      </w:pPr>
      <w:bookmarkStart w:id="49" w:name="_Toc138692171"/>
      <w:bookmarkStart w:id="50" w:name="_Toc121741490"/>
      <w:bookmarkStart w:id="51" w:name="_Toc127428359"/>
      <w:bookmarkStart w:id="52" w:name="_Toc132729113"/>
      <w:bookmarkStart w:id="53" w:name="_Toc133236154"/>
      <w:bookmarkStart w:id="54" w:name="_Toc133236180"/>
      <w:r>
        <w:t xml:space="preserve">Treatment of </w:t>
      </w:r>
      <w:r w:rsidR="008532D0">
        <w:t>C</w:t>
      </w:r>
      <w:r>
        <w:t>ommonwealth payments for pre</w:t>
      </w:r>
      <w:r w:rsidR="00B5319F">
        <w:t>-existing structural disadvantage</w:t>
      </w:r>
      <w:bookmarkEnd w:id="49"/>
    </w:p>
    <w:p w14:paraId="5BFE4CEE" w14:textId="77777777" w:rsidR="000C65A0" w:rsidRPr="00820379" w:rsidRDefault="000C65A0" w:rsidP="000C65A0">
      <w:pPr>
        <w:pStyle w:val="CGC2025ParaNumbers"/>
      </w:pPr>
      <w:r w:rsidRPr="00820379">
        <w:t xml:space="preserve">The Northern Territory raised the issue of the treatment of Commonwealth payments that address pre-existing structural disadvantage in its submission on </w:t>
      </w:r>
      <w:r w:rsidRPr="00820379">
        <w:rPr>
          <w:i/>
          <w:iCs/>
        </w:rPr>
        <w:t>Fiscal equalisation, supporting principles and assessment guidelines for the 2025 Review</w:t>
      </w:r>
      <w:r w:rsidRPr="00820379">
        <w:t>. The Commission notes that several states face issues relating to pre-existing structural disadvantage.</w:t>
      </w:r>
    </w:p>
    <w:p w14:paraId="45DA2E50" w14:textId="7BF028FF" w:rsidR="000C65A0" w:rsidRPr="00A16007" w:rsidRDefault="000C65A0" w:rsidP="000C65A0">
      <w:pPr>
        <w:pStyle w:val="CGC2025ParaNumbers"/>
        <w:rPr>
          <w:rFonts w:ascii="Calibri" w:hAnsi="Calibri"/>
        </w:rPr>
      </w:pPr>
      <w:r w:rsidRPr="00820379">
        <w:t xml:space="preserve">In seeking to equalise, as far as possible, the fiscal capacities of the states, the Commission </w:t>
      </w:r>
      <w:proofErr w:type="gramStart"/>
      <w:r w:rsidRPr="00820379">
        <w:t>takes into account</w:t>
      </w:r>
      <w:proofErr w:type="gramEnd"/>
      <w:r w:rsidRPr="00820379">
        <w:t xml:space="preserve"> Commonwealth payments to the states. As noted previously, the Commission’s guideline for deciding on the treatment of Commonwealth payments provide</w:t>
      </w:r>
      <w:r w:rsidR="007721A3">
        <w:t>s</w:t>
      </w:r>
      <w:r w:rsidRPr="00820379">
        <w:t xml:space="preserve"> that if payments are for a state service and expenditure needs are assessed, then the payment will impact GST relativities. Each payment decision is made by the Commission on a case-by-case basis. If there are overriding policy objectives that should exclude a payment from impacting on the relativities the Commission relies on the Commonwealth Treasurer quarantining these </w:t>
      </w:r>
      <w:r w:rsidRPr="00A16007">
        <w:t>payments through the terms of reference for each annual update of the GST relativities.</w:t>
      </w:r>
    </w:p>
    <w:p w14:paraId="5E2F8376" w14:textId="53AAA644" w:rsidR="000C65A0" w:rsidRPr="00A16007" w:rsidRDefault="000C65A0" w:rsidP="000C65A0">
      <w:pPr>
        <w:pStyle w:val="CGC2025ParaNumbers"/>
        <w:rPr>
          <w:rFonts w:ascii="Calibri" w:hAnsi="Calibri"/>
        </w:rPr>
      </w:pPr>
      <w:r w:rsidRPr="00A16007">
        <w:t xml:space="preserve">The Commission’s preliminary view is that it should apply the </w:t>
      </w:r>
      <w:r w:rsidR="00DD1119" w:rsidRPr="00A16007">
        <w:t xml:space="preserve">existing </w:t>
      </w:r>
      <w:r w:rsidRPr="00A16007">
        <w:t xml:space="preserve">guideline for deciding on the GST treatment of payments to all Commonwealth payments, including those that </w:t>
      </w:r>
      <w:r w:rsidR="00DB2078" w:rsidRPr="00A16007">
        <w:t xml:space="preserve">might </w:t>
      </w:r>
      <w:r w:rsidRPr="00A16007">
        <w:t xml:space="preserve">contain elements addressing pre-existing structural disadvantage. </w:t>
      </w:r>
      <w:r w:rsidR="008346AE" w:rsidRPr="00A16007">
        <w:t xml:space="preserve">The Commission is not well-placed </w:t>
      </w:r>
      <w:r w:rsidRPr="00A16007">
        <w:t xml:space="preserve">to determine </w:t>
      </w:r>
      <w:r w:rsidR="00964D91" w:rsidRPr="00A16007">
        <w:t xml:space="preserve">if, and to what extent, </w:t>
      </w:r>
      <w:r w:rsidR="00DD1119" w:rsidRPr="00A16007">
        <w:t>a</w:t>
      </w:r>
      <w:r w:rsidR="0056440B" w:rsidRPr="00A16007">
        <w:t xml:space="preserve"> </w:t>
      </w:r>
      <w:r w:rsidRPr="00A16007">
        <w:t xml:space="preserve">Commonwealth payment </w:t>
      </w:r>
      <w:r w:rsidR="00DD1119" w:rsidRPr="00A16007">
        <w:t xml:space="preserve">is aimed at addressing </w:t>
      </w:r>
      <w:r w:rsidR="001C0F77" w:rsidRPr="00A16007">
        <w:t xml:space="preserve">structural </w:t>
      </w:r>
      <w:r w:rsidR="00E433DB" w:rsidRPr="00A16007">
        <w:t>disadvant</w:t>
      </w:r>
      <w:r w:rsidR="00396E67" w:rsidRPr="00A16007">
        <w:t>age</w:t>
      </w:r>
      <w:r w:rsidRPr="00A16007">
        <w:t xml:space="preserve">. </w:t>
      </w:r>
      <w:r w:rsidRPr="00A16007">
        <w:lastRenderedPageBreak/>
        <w:t xml:space="preserve">This </w:t>
      </w:r>
      <w:r w:rsidR="00DD0FFA" w:rsidRPr="00A16007">
        <w:t xml:space="preserve">issue </w:t>
      </w:r>
      <w:r w:rsidRPr="00A16007">
        <w:t xml:space="preserve">is </w:t>
      </w:r>
      <w:r w:rsidR="00DD0FFA" w:rsidRPr="00A16007">
        <w:t xml:space="preserve">more </w:t>
      </w:r>
      <w:r w:rsidRPr="00A16007">
        <w:t xml:space="preserve">appropriately </w:t>
      </w:r>
      <w:r w:rsidR="004B333D" w:rsidRPr="00A16007">
        <w:t>addressed</w:t>
      </w:r>
      <w:r w:rsidRPr="00A16007">
        <w:t xml:space="preserve"> in the terms of reference provided by the </w:t>
      </w:r>
      <w:r w:rsidR="004B333D" w:rsidRPr="00A16007">
        <w:t xml:space="preserve">Commonwealth </w:t>
      </w:r>
      <w:r w:rsidRPr="00A16007">
        <w:t>Treasurer</w:t>
      </w:r>
      <w:r w:rsidR="009571E3">
        <w:t>,</w:t>
      </w:r>
      <w:r w:rsidRPr="00A16007">
        <w:t xml:space="preserve"> which </w:t>
      </w:r>
      <w:r w:rsidR="00DD0FFA" w:rsidRPr="00A16007">
        <w:t xml:space="preserve">can </w:t>
      </w:r>
      <w:r w:rsidRPr="00A16007">
        <w:t>specify whether a payment should be excluded</w:t>
      </w:r>
      <w:r w:rsidR="004B333D" w:rsidRPr="00A16007">
        <w:t xml:space="preserve"> from the Commission’s assessments.</w:t>
      </w:r>
    </w:p>
    <w:p w14:paraId="39EAA7DA" w14:textId="2D15BC59" w:rsidR="005D68E9" w:rsidRPr="008E4DA0" w:rsidRDefault="00BC6074" w:rsidP="00BB78A1">
      <w:pPr>
        <w:pStyle w:val="Heading4"/>
      </w:pPr>
      <w:r>
        <w:t>Cons</w:t>
      </w:r>
      <w:r w:rsidR="00BB78A1">
        <w:t>ultation question</w:t>
      </w:r>
    </w:p>
    <w:p w14:paraId="3DAA0392" w14:textId="21ECFD79" w:rsidR="008E4DA0" w:rsidRPr="00820379" w:rsidRDefault="008E4DA0" w:rsidP="008E4DA0">
      <w:pPr>
        <w:pStyle w:val="CGC2025ParaNumbers"/>
        <w:numPr>
          <w:ilvl w:val="0"/>
          <w:numId w:val="0"/>
        </w:numPr>
        <w:rPr>
          <w:rFonts w:ascii="Calibri" w:hAnsi="Calibri"/>
        </w:rPr>
      </w:pPr>
      <w:r w:rsidRPr="001C4DF3">
        <w:rPr>
          <w:noProof/>
        </w:rPr>
        <mc:AlternateContent>
          <mc:Choice Requires="wps">
            <w:drawing>
              <wp:inline distT="0" distB="0" distL="0" distR="0" wp14:anchorId="1BC4C687" wp14:editId="1EE0EFFD">
                <wp:extent cx="5657850" cy="733425"/>
                <wp:effectExtent l="0" t="0" r="0" b="9525"/>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7850" cy="733425"/>
                        </a:xfrm>
                        <a:prstGeom prst="rect">
                          <a:avLst/>
                        </a:prstGeom>
                        <a:solidFill>
                          <a:srgbClr val="EBF3F5"/>
                        </a:solidFill>
                        <a:ln w="25400" cap="flat" cmpd="sng" algn="ctr">
                          <a:noFill/>
                          <a:prstDash val="solid"/>
                        </a:ln>
                        <a:effectLst/>
                      </wps:spPr>
                      <wps:txbx>
                        <w:txbxContent>
                          <w:p w14:paraId="250FAC50" w14:textId="63E144E0" w:rsidR="008E4DA0" w:rsidRPr="00E67F91" w:rsidRDefault="008E4DA0" w:rsidP="008E4DA0">
                            <w:pPr>
                              <w:pStyle w:val="CGC2025QuestionNumbers"/>
                              <w:rPr>
                                <w:lang w:eastAsia="en-AU"/>
                              </w:rPr>
                            </w:pPr>
                            <w:r w:rsidRPr="00820379">
                              <w:rPr>
                                <w:lang w:eastAsia="en-AU"/>
                              </w:rPr>
                              <w:t>Do states agree that the guideline for determining the GST treatment of Commonwealth payments should be applied in cases where payments include elements aimed at addressing pre-existing structural disadvantage?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4C687" id="Rectangle 2" o:spid="_x0000_s1031" alt="&quot;&quot;" style="width:445.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ptEUQIAAJ0EAAAOAAAAZHJzL2Uyb0RvYy54bWysVMFu2zAMvQ/YPwi6r07SpGmDOkXWLsOA&#10;og3QDj0rsmQbkEWNUmJnXz9Kdpqu22nYRSFF+pF8esz1TdcYtlfoa7A5H5+NOFNWQlHbMuffn9ef&#10;LjnzQdhCGLAq5wfl+c3y44fr1i3UBCowhUJGINYvWpfzKgS3yDIvK9UIfwZOWQpqwEYEcrHMChQt&#10;oTcmm4xGF1kLWDgEqbyn27s+yJcJX2slw6PWXgVmck69hXRiOrfxzJbXYlGicFUthzbEP3TRiNpS&#10;0VeoOxEE22H9B1RTSwQPOpxJaDLQupYqzUDTjEfvpnmqhFNpFiLHu1ea/P+DlQ/7J7dBoqF1fuHJ&#10;jFN0Gpv4S/2xLpF1eCVLdYFJupxdzOaXM+JUUmx+fj6dzCKb2elrhz58VdCwaOQc6TESR2J/70Of&#10;ekyJxTyYuljXxiQHy+2tQbYX9HBfPq/P10f039KMZW3OJ7PpKDYiSEDaiEBm44qce1tyJkxJypQB&#10;U20LsUJ69Vj7Tviqr5FghwGMjS2oJJ+h1RM70QrdtmM1VUhNxZstFIcNMoReYd7JdU3498KHjUCS&#10;FPVHaxIe6dAGqGkYLM4qwJ9/u4/59NIU5awlidJAP3YCFWfmmyUNXI2n06jp5Exn8wk5+DayfRux&#10;u+YWiMwxLaSTyYz5wRxNjdC80DatYlUKCSupdk/d4NyGfnVoH6VarVIa6diJcG+fnIzgkbnI7HP3&#10;ItANTx9INA9wlLNYvFNAnxu/tLDaBdB1kseJV5JVdGgHksCGfY1L9tZPWad/leUvAAAA//8DAFBL&#10;AwQUAAYACAAAACEAv2OW2NsAAAAFAQAADwAAAGRycy9kb3ducmV2LnhtbEyPwU7DMBBE70j8g7VI&#10;3KgTpFRpiFO1FfSAqCpKP2AbmyRqvI5sNw1/z8IFLiuNZjT7plxOthej8aFzpCCdJSAM1U531Cg4&#10;frw85CBCRNLYOzIKvkyAZXV7U2Kh3ZXezXiIjeASCgUqaGMcCilD3RqLYeYGQ+x9Om8xsvSN1B6v&#10;XG57+Zgkc2mxI/7Q4mA2ranPh4tVsH3beqTFum7y+fr1+LzZjdl+p9T93bR6AhHNFP/C8IPP6FAx&#10;08ldSAfRK+Ah8feyly9SlicOpVkGsirlf/rqGwAA//8DAFBLAQItABQABgAIAAAAIQC2gziS/gAA&#10;AOEBAAATAAAAAAAAAAAAAAAAAAAAAABbQ29udGVudF9UeXBlc10ueG1sUEsBAi0AFAAGAAgAAAAh&#10;ADj9If/WAAAAlAEAAAsAAAAAAAAAAAAAAAAALwEAAF9yZWxzLy5yZWxzUEsBAi0AFAAGAAgAAAAh&#10;ADrmm0RRAgAAnQQAAA4AAAAAAAAAAAAAAAAALgIAAGRycy9lMm9Eb2MueG1sUEsBAi0AFAAGAAgA&#10;AAAhAL9jltjbAAAABQEAAA8AAAAAAAAAAAAAAAAAqwQAAGRycy9kb3ducmV2LnhtbFBLBQYAAAAA&#10;BAAEAPMAAACzBQAAAAA=&#10;" fillcolor="#ebf3f5" stroked="f" strokeweight="2pt">
                <v:textbox>
                  <w:txbxContent>
                    <w:p w14:paraId="250FAC50" w14:textId="63E144E0" w:rsidR="008E4DA0" w:rsidRPr="00E67F91" w:rsidRDefault="008E4DA0" w:rsidP="008E4DA0">
                      <w:pPr>
                        <w:pStyle w:val="CGC2025QuestionNumbers"/>
                        <w:rPr>
                          <w:lang w:eastAsia="en-AU"/>
                        </w:rPr>
                      </w:pPr>
                      <w:r w:rsidRPr="00820379">
                        <w:rPr>
                          <w:lang w:eastAsia="en-AU"/>
                        </w:rPr>
                        <w:t>Do states agree that the guideline for determining the GST treatment of Commonwealth payments should be applied in cases where payments include elements aimed at addressing pre-existing structural disadvantage?</w:t>
                      </w:r>
                    </w:p>
                  </w:txbxContent>
                </v:textbox>
                <w10:anchorlock/>
              </v:rect>
            </w:pict>
          </mc:Fallback>
        </mc:AlternateContent>
      </w:r>
    </w:p>
    <w:p w14:paraId="0E9D120A" w14:textId="199D369B" w:rsidR="00F427F0" w:rsidRPr="00FE3C19" w:rsidRDefault="00F427F0" w:rsidP="00F427F0">
      <w:pPr>
        <w:pStyle w:val="Heading2"/>
      </w:pPr>
      <w:bookmarkStart w:id="55" w:name="_Toc138692172"/>
      <w:r w:rsidRPr="00FE3C19">
        <w:t>Proposed assessment</w:t>
      </w:r>
      <w:bookmarkEnd w:id="50"/>
      <w:bookmarkEnd w:id="51"/>
      <w:bookmarkEnd w:id="52"/>
      <w:bookmarkEnd w:id="53"/>
      <w:bookmarkEnd w:id="54"/>
      <w:bookmarkEnd w:id="55"/>
    </w:p>
    <w:p w14:paraId="3AC9BC96" w14:textId="77777777" w:rsidR="00F427F0" w:rsidRPr="00FE3C19" w:rsidRDefault="00F427F0" w:rsidP="001F4B1F">
      <w:pPr>
        <w:pStyle w:val="Heading3"/>
      </w:pPr>
      <w:bookmarkStart w:id="56" w:name="_Toc132729114"/>
      <w:bookmarkStart w:id="57" w:name="_Toc133236155"/>
      <w:bookmarkStart w:id="58" w:name="_Toc133236181"/>
      <w:bookmarkStart w:id="59" w:name="_Toc138692173"/>
      <w:r w:rsidRPr="00FE3C19">
        <w:t>Differences from the 2020 Review approach</w:t>
      </w:r>
      <w:bookmarkEnd w:id="56"/>
      <w:bookmarkEnd w:id="57"/>
      <w:bookmarkEnd w:id="58"/>
      <w:bookmarkEnd w:id="59"/>
    </w:p>
    <w:p w14:paraId="5BA4CC83" w14:textId="77777777" w:rsidR="005F5D47" w:rsidRDefault="005F5D47" w:rsidP="005F5D47">
      <w:pPr>
        <w:pStyle w:val="CGC2025ParaNumbers"/>
      </w:pPr>
      <w:bookmarkStart w:id="60" w:name="_Toc132729115"/>
      <w:bookmarkStart w:id="61" w:name="_Toc133236156"/>
      <w:bookmarkStart w:id="62" w:name="_Toc133236182"/>
      <w:r>
        <w:t>Subject to state views, the Commission’s preliminary view is to retain the 2020 Review treatment guideline for Commonwealth payments with a default ‘impact’ treatment for payments where there is substantial uncertainty about the purpose of the payment or whether relevant state spending needs are assessed. The Commission proposes to remove Commonwealth own-purpose expenses from the scope of payments it considers.</w:t>
      </w:r>
    </w:p>
    <w:p w14:paraId="1B3CC396" w14:textId="77777777" w:rsidR="00F427F0" w:rsidRPr="00FE3C19" w:rsidRDefault="00F427F0" w:rsidP="001F4B1F">
      <w:pPr>
        <w:pStyle w:val="Heading3"/>
      </w:pPr>
      <w:bookmarkStart w:id="63" w:name="_Toc138692174"/>
      <w:r w:rsidRPr="00FE3C19">
        <w:t>Proposed assessment structure</w:t>
      </w:r>
      <w:bookmarkEnd w:id="60"/>
      <w:bookmarkEnd w:id="61"/>
      <w:bookmarkEnd w:id="62"/>
      <w:bookmarkEnd w:id="63"/>
    </w:p>
    <w:p w14:paraId="279B1F71" w14:textId="546C884B" w:rsidR="00D46076" w:rsidRDefault="000D215E" w:rsidP="00D46076">
      <w:pPr>
        <w:pStyle w:val="CGC2025ParaNumbers"/>
      </w:pPr>
      <w:r>
        <w:fldChar w:fldCharType="begin"/>
      </w:r>
      <w:r>
        <w:instrText xml:space="preserve"> REF _Ref137742325 \h </w:instrText>
      </w:r>
      <w:r>
        <w:fldChar w:fldCharType="separate"/>
      </w:r>
      <w:r w:rsidRPr="003F3418">
        <w:t xml:space="preserve">Table </w:t>
      </w:r>
      <w:r w:rsidRPr="003F3418">
        <w:rPr>
          <w:noProof/>
        </w:rPr>
        <w:t>5</w:t>
      </w:r>
      <w:r>
        <w:fldChar w:fldCharType="end"/>
      </w:r>
      <w:r w:rsidR="00F427F0" w:rsidRPr="001F4B1F">
        <w:t xml:space="preserve"> </w:t>
      </w:r>
      <w:bookmarkStart w:id="64" w:name="_Toc132729116"/>
      <w:bookmarkStart w:id="65" w:name="_Toc133236157"/>
      <w:bookmarkStart w:id="66" w:name="_Toc133236183"/>
      <w:r w:rsidR="00D46076">
        <w:t>shows the proposed structure of the Commonwealth payments assessment.</w:t>
      </w:r>
    </w:p>
    <w:p w14:paraId="191BA0FD" w14:textId="40D18745" w:rsidR="003F3418" w:rsidRPr="003F3418" w:rsidRDefault="003F3418" w:rsidP="003F3418">
      <w:pPr>
        <w:pStyle w:val="Caption"/>
        <w:rPr>
          <w:rFonts w:ascii="Work Sans" w:hAnsi="Work Sans"/>
        </w:rPr>
      </w:pPr>
      <w:bookmarkStart w:id="67" w:name="_Ref137742325"/>
      <w:r w:rsidRPr="00225B90">
        <w:rPr>
          <w:rFonts w:ascii="Work Sans" w:hAnsi="Work Sans"/>
        </w:rPr>
        <w:t xml:space="preserve">Table </w:t>
      </w:r>
      <w:r w:rsidRPr="00534CCE">
        <w:rPr>
          <w:rFonts w:ascii="Work Sans" w:hAnsi="Work Sans"/>
        </w:rPr>
        <w:fldChar w:fldCharType="begin"/>
      </w:r>
      <w:r w:rsidRPr="00225B90">
        <w:rPr>
          <w:rFonts w:ascii="Work Sans" w:hAnsi="Work Sans"/>
        </w:rPr>
        <w:instrText xml:space="preserve"> SEQ Table \* ARABIC </w:instrText>
      </w:r>
      <w:r w:rsidRPr="00534CCE">
        <w:rPr>
          <w:rFonts w:ascii="Work Sans" w:hAnsi="Work Sans"/>
        </w:rPr>
        <w:fldChar w:fldCharType="separate"/>
      </w:r>
      <w:r w:rsidRPr="00225B90">
        <w:rPr>
          <w:rFonts w:ascii="Work Sans" w:hAnsi="Work Sans"/>
        </w:rPr>
        <w:t>5</w:t>
      </w:r>
      <w:r w:rsidRPr="00534CCE">
        <w:rPr>
          <w:rFonts w:ascii="Work Sans" w:hAnsi="Work Sans"/>
        </w:rPr>
        <w:fldChar w:fldCharType="end"/>
      </w:r>
      <w:bookmarkEnd w:id="67"/>
      <w:r w:rsidRPr="00225B90">
        <w:rPr>
          <w:rFonts w:ascii="Work Sans" w:hAnsi="Work Sans"/>
        </w:rPr>
        <w:tab/>
        <w:t xml:space="preserve">Proposed assessment structure for Commonwealth </w:t>
      </w:r>
      <w:proofErr w:type="gramStart"/>
      <w:r w:rsidRPr="00225B90">
        <w:rPr>
          <w:rFonts w:ascii="Work Sans" w:hAnsi="Work Sans"/>
        </w:rPr>
        <w:t>payments</w:t>
      </w:r>
      <w:proofErr w:type="gramEnd"/>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3F3418" w:rsidRPr="0053358F" w14:paraId="2BCFD7FF" w14:textId="77777777" w:rsidTr="00793742">
        <w:trPr>
          <w:trHeight w:val="375"/>
        </w:trPr>
        <w:tc>
          <w:tcPr>
            <w:tcW w:w="1315" w:type="dxa"/>
            <w:tcBorders>
              <w:top w:val="nil"/>
              <w:left w:val="nil"/>
              <w:bottom w:val="single" w:sz="6" w:space="0" w:color="ADD6EA"/>
              <w:right w:val="nil"/>
            </w:tcBorders>
            <w:shd w:val="clear" w:color="auto" w:fill="006991"/>
            <w:vAlign w:val="center"/>
            <w:hideMark/>
          </w:tcPr>
          <w:p w14:paraId="72049846" w14:textId="77777777" w:rsidR="003F3418" w:rsidRPr="0053358F" w:rsidRDefault="003F3418" w:rsidP="00793742">
            <w:pPr>
              <w:keepNext/>
              <w:keepLines/>
              <w:tabs>
                <w:tab w:val="clear" w:pos="567"/>
              </w:tabs>
              <w:spacing w:before="0" w:line="240" w:lineRule="auto"/>
              <w:textAlignment w:val="baseline"/>
              <w:rPr>
                <w:rFonts w:ascii="Segoe UI" w:eastAsia="Times New Roman" w:hAnsi="Segoe UI" w:cs="Segoe UI"/>
                <w:sz w:val="18"/>
                <w:szCs w:val="18"/>
                <w:lang w:eastAsia="en-AU"/>
              </w:rPr>
            </w:pPr>
            <w:r w:rsidRPr="0053358F">
              <w:rPr>
                <w:rFonts w:ascii="Work Sans SemiBold" w:eastAsia="Times New Roman" w:hAnsi="Work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3552A200" w14:textId="77777777" w:rsidR="003F3418" w:rsidRPr="0053358F" w:rsidRDefault="003F3418" w:rsidP="00793742">
            <w:pPr>
              <w:keepNext/>
              <w:keepLines/>
              <w:tabs>
                <w:tab w:val="clear" w:pos="567"/>
              </w:tabs>
              <w:spacing w:before="0" w:line="240" w:lineRule="auto"/>
              <w:jc w:val="right"/>
              <w:textAlignment w:val="baseline"/>
              <w:rPr>
                <w:rFonts w:ascii="Segoe UI" w:eastAsia="Times New Roman" w:hAnsi="Segoe UI" w:cs="Segoe UI"/>
                <w:sz w:val="18"/>
                <w:szCs w:val="18"/>
                <w:lang w:eastAsia="en-AU"/>
              </w:rPr>
            </w:pPr>
            <w:r w:rsidRPr="0053358F">
              <w:rPr>
                <w:rFonts w:ascii="Times New Roman" w:eastAsia="Times New Roman" w:hAnsi="Times New Roman" w:cs="Times New Roman"/>
                <w:color w:val="FFFFFF"/>
                <w:sz w:val="16"/>
                <w:szCs w:val="16"/>
                <w:lang w:eastAsia="en-AU"/>
              </w:rPr>
              <w:t> </w:t>
            </w:r>
            <w:r w:rsidRPr="0053358F">
              <w:rPr>
                <w:rFonts w:ascii="Work Sans SemiBold" w:eastAsia="Times New Roman" w:hAnsi="Work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3E1DBB7B" w14:textId="77777777" w:rsidR="003F3418" w:rsidRPr="0053358F" w:rsidRDefault="003F3418" w:rsidP="00793742">
            <w:pPr>
              <w:keepNext/>
              <w:keepLines/>
              <w:tabs>
                <w:tab w:val="clear" w:pos="567"/>
              </w:tabs>
              <w:spacing w:before="0" w:line="240" w:lineRule="auto"/>
              <w:textAlignment w:val="baseline"/>
              <w:rPr>
                <w:rFonts w:ascii="Segoe UI" w:eastAsia="Times New Roman" w:hAnsi="Segoe UI" w:cs="Segoe UI"/>
                <w:sz w:val="18"/>
                <w:szCs w:val="18"/>
                <w:lang w:eastAsia="en-AU"/>
              </w:rPr>
            </w:pPr>
            <w:r w:rsidRPr="0053358F">
              <w:rPr>
                <w:rFonts w:ascii="Work Sans SemiBold" w:eastAsia="Times New Roman" w:hAnsi="Work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15AE4397" w14:textId="77777777" w:rsidR="003F3418" w:rsidRPr="0053358F" w:rsidRDefault="003F3418" w:rsidP="00793742">
            <w:pPr>
              <w:keepNext/>
              <w:keepLines/>
              <w:tabs>
                <w:tab w:val="clear" w:pos="567"/>
              </w:tabs>
              <w:spacing w:before="0" w:line="240" w:lineRule="auto"/>
              <w:textAlignment w:val="baseline"/>
              <w:rPr>
                <w:rFonts w:ascii="Segoe UI" w:eastAsia="Times New Roman" w:hAnsi="Segoe UI" w:cs="Segoe UI"/>
                <w:sz w:val="18"/>
                <w:szCs w:val="18"/>
                <w:lang w:eastAsia="en-AU"/>
              </w:rPr>
            </w:pPr>
            <w:r w:rsidRPr="0053358F">
              <w:rPr>
                <w:rFonts w:ascii="Work Sans SemiBold" w:eastAsia="Times New Roman" w:hAnsi="Work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5963AC87" w14:textId="77777777" w:rsidR="003F3418" w:rsidRPr="0053358F" w:rsidRDefault="003F3418" w:rsidP="00793742">
            <w:pPr>
              <w:keepNext/>
              <w:keepLines/>
              <w:tabs>
                <w:tab w:val="clear" w:pos="567"/>
              </w:tabs>
              <w:spacing w:before="0" w:line="240" w:lineRule="auto"/>
              <w:textAlignment w:val="baseline"/>
              <w:rPr>
                <w:rFonts w:ascii="Work Sans SemiBold" w:eastAsia="Times New Roman" w:hAnsi="Work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5FDEAB7B" w14:textId="77777777" w:rsidR="003F3418" w:rsidRPr="0053358F" w:rsidRDefault="003F3418" w:rsidP="00793742">
            <w:pPr>
              <w:keepNext/>
              <w:keepLines/>
              <w:tabs>
                <w:tab w:val="clear" w:pos="567"/>
              </w:tabs>
              <w:spacing w:before="0" w:line="240" w:lineRule="auto"/>
              <w:textAlignment w:val="baseline"/>
              <w:rPr>
                <w:rFonts w:ascii="Work Sans SemiBold" w:eastAsia="Times New Roman" w:hAnsi="Work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7C6571DC" w14:textId="77777777" w:rsidR="003F3418" w:rsidRPr="00DE1A4D" w:rsidRDefault="003F3418" w:rsidP="00793742">
            <w:pPr>
              <w:keepNext/>
              <w:keepLines/>
              <w:tabs>
                <w:tab w:val="clear" w:pos="567"/>
              </w:tabs>
              <w:spacing w:before="0" w:line="240" w:lineRule="auto"/>
              <w:textAlignment w:val="baseline"/>
              <w:rPr>
                <w:rFonts w:ascii="Work Sans SemiBold" w:eastAsia="Times New Roman" w:hAnsi="Work Sans SemiBold" w:cs="Segoe UI"/>
                <w:color w:val="FFFFFF"/>
                <w:sz w:val="16"/>
                <w:szCs w:val="16"/>
                <w:lang w:eastAsia="en-AU"/>
              </w:rPr>
            </w:pPr>
            <w:r w:rsidRPr="00DE1A4D">
              <w:rPr>
                <w:rFonts w:ascii="Work Sans SemiBold" w:eastAsia="Times New Roman" w:hAnsi="Work Sans SemiBold" w:cs="Segoe UI"/>
                <w:color w:val="FFFFFF"/>
                <w:sz w:val="16"/>
                <w:szCs w:val="16"/>
                <w:lang w:eastAsia="en-AU"/>
              </w:rPr>
              <w:t>Change since 2020 Review?</w:t>
            </w:r>
          </w:p>
        </w:tc>
        <w:tc>
          <w:tcPr>
            <w:tcW w:w="134" w:type="dxa"/>
            <w:tcBorders>
              <w:top w:val="nil"/>
              <w:left w:val="nil"/>
              <w:bottom w:val="single" w:sz="6" w:space="0" w:color="ADD6EA"/>
              <w:right w:val="nil"/>
            </w:tcBorders>
            <w:shd w:val="clear" w:color="auto" w:fill="006991"/>
          </w:tcPr>
          <w:p w14:paraId="5ACDFF81" w14:textId="77777777" w:rsidR="003F3418" w:rsidRPr="0053358F" w:rsidRDefault="003F3418" w:rsidP="00793742">
            <w:pPr>
              <w:keepNext/>
              <w:keepLines/>
              <w:tabs>
                <w:tab w:val="clear" w:pos="567"/>
              </w:tabs>
              <w:spacing w:before="0" w:line="240" w:lineRule="auto"/>
              <w:textAlignment w:val="baseline"/>
              <w:rPr>
                <w:rFonts w:ascii="Work Sans SemiBold" w:eastAsia="Times New Roman" w:hAnsi="Work Sans SemiBold" w:cs="Segoe UI"/>
                <w:color w:val="FFFFFF"/>
                <w:sz w:val="16"/>
                <w:szCs w:val="16"/>
                <w:lang w:eastAsia="en-AU"/>
              </w:rPr>
            </w:pPr>
          </w:p>
        </w:tc>
      </w:tr>
      <w:tr w:rsidR="003F3418" w:rsidRPr="0053358F" w14:paraId="18F5B181" w14:textId="77777777" w:rsidTr="00793742">
        <w:trPr>
          <w:trHeight w:val="255"/>
        </w:trPr>
        <w:tc>
          <w:tcPr>
            <w:tcW w:w="1315" w:type="dxa"/>
            <w:tcBorders>
              <w:top w:val="nil"/>
              <w:left w:val="nil"/>
              <w:bottom w:val="single" w:sz="6" w:space="0" w:color="ADD6EA"/>
              <w:right w:val="nil"/>
            </w:tcBorders>
            <w:shd w:val="clear" w:color="auto" w:fill="B6D5E4"/>
            <w:vAlign w:val="center"/>
            <w:hideMark/>
          </w:tcPr>
          <w:p w14:paraId="5F9E2D33" w14:textId="77777777" w:rsidR="003F3418" w:rsidRPr="0053358F" w:rsidRDefault="003F3418" w:rsidP="00793742">
            <w:pPr>
              <w:keepNext/>
              <w:keepLines/>
              <w:tabs>
                <w:tab w:val="clear" w:pos="567"/>
              </w:tabs>
              <w:spacing w:before="0" w:line="240" w:lineRule="auto"/>
              <w:jc w:val="right"/>
              <w:textAlignment w:val="baseline"/>
              <w:rPr>
                <w:rFonts w:ascii="Segoe UI" w:eastAsia="Times New Roman" w:hAnsi="Segoe UI" w:cs="Segoe UI"/>
                <w:sz w:val="18"/>
                <w:szCs w:val="18"/>
                <w:lang w:eastAsia="en-AU"/>
              </w:rPr>
            </w:pPr>
            <w:r w:rsidRPr="0053358F">
              <w:rPr>
                <w:rFonts w:ascii="Times New Roman" w:eastAsia="Times New Roman" w:hAnsi="Times New Roman" w:cs="Times New Roman"/>
                <w:color w:val="000000"/>
                <w:sz w:val="16"/>
                <w:szCs w:val="16"/>
                <w:lang w:eastAsia="en-AU"/>
              </w:rPr>
              <w:t> </w:t>
            </w:r>
            <w:r w:rsidRPr="0053358F">
              <w:rPr>
                <w:rFonts w:ascii="Work Sans" w:eastAsia="Times New Roman" w:hAnsi="Work Sans"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5238D604" w14:textId="77777777" w:rsidR="003F3418" w:rsidRPr="0053358F" w:rsidRDefault="003F3418" w:rsidP="00793742">
            <w:pPr>
              <w:keepNext/>
              <w:keepLines/>
              <w:tabs>
                <w:tab w:val="clear" w:pos="567"/>
              </w:tabs>
              <w:spacing w:before="0" w:line="240" w:lineRule="auto"/>
              <w:jc w:val="right"/>
              <w:textAlignment w:val="baseline"/>
              <w:rPr>
                <w:rFonts w:ascii="Segoe UI" w:eastAsia="Times New Roman" w:hAnsi="Segoe UI" w:cs="Segoe UI"/>
                <w:sz w:val="18"/>
                <w:szCs w:val="18"/>
                <w:lang w:eastAsia="en-AU"/>
              </w:rPr>
            </w:pPr>
            <w:r w:rsidRPr="0053358F">
              <w:rPr>
                <w:rFonts w:ascii="Times New Roman" w:eastAsia="Times New Roman" w:hAnsi="Times New Roman" w:cs="Times New Roman"/>
                <w:color w:val="000000"/>
                <w:sz w:val="16"/>
                <w:szCs w:val="16"/>
                <w:lang w:eastAsia="en-AU"/>
              </w:rPr>
              <w:t> </w:t>
            </w:r>
            <w:r w:rsidRPr="0053358F">
              <w:rPr>
                <w:rFonts w:ascii="Work Sans" w:eastAsia="Times New Roman" w:hAnsi="Work Sans"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69774525" w14:textId="77777777" w:rsidR="003F3418" w:rsidRPr="0053358F" w:rsidRDefault="003F3418" w:rsidP="00793742">
            <w:pPr>
              <w:keepNext/>
              <w:keepLines/>
              <w:tabs>
                <w:tab w:val="clear" w:pos="567"/>
              </w:tabs>
              <w:spacing w:before="0" w:line="240" w:lineRule="auto"/>
              <w:jc w:val="right"/>
              <w:textAlignment w:val="baseline"/>
              <w:rPr>
                <w:rFonts w:ascii="Segoe UI" w:eastAsia="Times New Roman" w:hAnsi="Segoe UI" w:cs="Segoe UI"/>
                <w:sz w:val="18"/>
                <w:szCs w:val="18"/>
                <w:lang w:eastAsia="en-AU"/>
              </w:rPr>
            </w:pPr>
            <w:r w:rsidRPr="0053358F">
              <w:rPr>
                <w:rFonts w:ascii="Times New Roman" w:eastAsia="Times New Roman" w:hAnsi="Times New Roman" w:cs="Times New Roman"/>
                <w:color w:val="000000"/>
                <w:sz w:val="16"/>
                <w:szCs w:val="16"/>
                <w:lang w:eastAsia="en-AU"/>
              </w:rPr>
              <w:t> </w:t>
            </w:r>
            <w:r w:rsidRPr="0053358F">
              <w:rPr>
                <w:rFonts w:ascii="Work Sans" w:eastAsia="Times New Roman" w:hAnsi="Work Sans"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1FA499A6" w14:textId="77777777" w:rsidR="003F3418" w:rsidRPr="0053358F" w:rsidRDefault="003F3418" w:rsidP="00793742">
            <w:pPr>
              <w:keepNext/>
              <w:keepLines/>
              <w:tabs>
                <w:tab w:val="clear" w:pos="567"/>
              </w:tabs>
              <w:spacing w:before="0" w:line="240" w:lineRule="auto"/>
              <w:jc w:val="right"/>
              <w:textAlignment w:val="baseline"/>
              <w:rPr>
                <w:rFonts w:ascii="Segoe UI" w:eastAsia="Times New Roman" w:hAnsi="Segoe UI" w:cs="Segoe UI"/>
                <w:sz w:val="18"/>
                <w:szCs w:val="18"/>
                <w:lang w:eastAsia="en-AU"/>
              </w:rPr>
            </w:pPr>
            <w:r w:rsidRPr="0053358F">
              <w:rPr>
                <w:rFonts w:ascii="Times New Roman" w:eastAsia="Times New Roman" w:hAnsi="Times New Roman" w:cs="Times New Roman"/>
                <w:color w:val="000000"/>
                <w:sz w:val="16"/>
                <w:szCs w:val="16"/>
                <w:lang w:eastAsia="en-AU"/>
              </w:rPr>
              <w:t> </w:t>
            </w:r>
            <w:r w:rsidRPr="0053358F">
              <w:rPr>
                <w:rFonts w:ascii="Work Sans" w:eastAsia="Times New Roman" w:hAnsi="Work Sans"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08A73CCA" w14:textId="77777777" w:rsidR="003F3418" w:rsidRPr="0053358F" w:rsidRDefault="003F3418" w:rsidP="00793742">
            <w:pPr>
              <w:keepNext/>
              <w:keepLines/>
              <w:tabs>
                <w:tab w:val="clear" w:pos="567"/>
              </w:tabs>
              <w:spacing w:before="0" w:line="240" w:lineRule="auto"/>
              <w:jc w:val="right"/>
              <w:textAlignment w:val="baseline"/>
              <w:rPr>
                <w:rFonts w:ascii="Times New Roman" w:eastAsia="Times New Roman" w:hAnsi="Times New Roman"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12D3CFCD" w14:textId="77777777" w:rsidR="003F3418" w:rsidRPr="0053358F" w:rsidRDefault="003F3418" w:rsidP="00793742">
            <w:pPr>
              <w:keepNext/>
              <w:keepLines/>
              <w:tabs>
                <w:tab w:val="clear" w:pos="567"/>
              </w:tabs>
              <w:spacing w:before="0" w:line="240" w:lineRule="auto"/>
              <w:jc w:val="right"/>
              <w:textAlignment w:val="baseline"/>
              <w:rPr>
                <w:rFonts w:ascii="Times New Roman" w:eastAsia="Times New Roman" w:hAnsi="Times New Roman"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62D7AAB6" w14:textId="77777777" w:rsidR="003F3418" w:rsidRPr="00DE1A4D" w:rsidRDefault="003F3418" w:rsidP="00793742">
            <w:pPr>
              <w:keepNext/>
              <w:keepLines/>
              <w:tabs>
                <w:tab w:val="clear" w:pos="567"/>
              </w:tabs>
              <w:spacing w:before="0" w:line="240" w:lineRule="auto"/>
              <w:jc w:val="right"/>
              <w:textAlignment w:val="baseline"/>
              <w:rPr>
                <w:rFonts w:ascii="Times New Roman" w:eastAsia="Times New Roman" w:hAnsi="Times New Roman"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06BCEDA6" w14:textId="77777777" w:rsidR="003F3418" w:rsidRPr="0053358F" w:rsidRDefault="003F3418" w:rsidP="00793742">
            <w:pPr>
              <w:keepNext/>
              <w:keepLines/>
              <w:tabs>
                <w:tab w:val="clear" w:pos="567"/>
              </w:tabs>
              <w:spacing w:before="0" w:line="240" w:lineRule="auto"/>
              <w:jc w:val="right"/>
              <w:textAlignment w:val="baseline"/>
              <w:rPr>
                <w:rFonts w:ascii="Times New Roman" w:eastAsia="Times New Roman" w:hAnsi="Times New Roman" w:cs="Times New Roman"/>
                <w:color w:val="000000"/>
                <w:sz w:val="16"/>
                <w:szCs w:val="16"/>
                <w:lang w:eastAsia="en-AU"/>
              </w:rPr>
            </w:pPr>
          </w:p>
        </w:tc>
      </w:tr>
      <w:tr w:rsidR="003F3418" w:rsidRPr="0053358F" w14:paraId="1A59C449" w14:textId="77777777" w:rsidTr="00793742">
        <w:trPr>
          <w:trHeight w:val="547"/>
        </w:trPr>
        <w:tc>
          <w:tcPr>
            <w:tcW w:w="1315" w:type="dxa"/>
            <w:tcBorders>
              <w:top w:val="single" w:sz="6" w:space="0" w:color="ADD6EA"/>
              <w:left w:val="nil"/>
              <w:bottom w:val="single" w:sz="6" w:space="0" w:color="ADD6EA"/>
              <w:right w:val="nil"/>
            </w:tcBorders>
            <w:shd w:val="clear" w:color="auto" w:fill="auto"/>
            <w:hideMark/>
          </w:tcPr>
          <w:p w14:paraId="24A75E2F" w14:textId="77777777" w:rsidR="003F3418" w:rsidRPr="00440346" w:rsidRDefault="003F3418" w:rsidP="00793742">
            <w:pPr>
              <w:keepNext/>
              <w:keepLines/>
              <w:tabs>
                <w:tab w:val="clear" w:pos="567"/>
              </w:tabs>
              <w:spacing w:before="0" w:line="240" w:lineRule="auto"/>
              <w:textAlignment w:val="baseline"/>
              <w:rPr>
                <w:rFonts w:eastAsia="Times New Roman" w:cs="Open Sans Light"/>
                <w:sz w:val="18"/>
                <w:szCs w:val="18"/>
                <w:lang w:eastAsia="en-AU"/>
              </w:rPr>
            </w:pPr>
            <w:r w:rsidRPr="00440346">
              <w:rPr>
                <w:rFonts w:eastAsia="Times New Roman" w:cs="Open Sans Light"/>
                <w:color w:val="000000"/>
                <w:sz w:val="16"/>
                <w:szCs w:val="16"/>
                <w:lang w:eastAsia="en-AU"/>
              </w:rPr>
              <w:t>Impact payments </w:t>
            </w:r>
          </w:p>
        </w:tc>
        <w:tc>
          <w:tcPr>
            <w:tcW w:w="160" w:type="dxa"/>
            <w:tcBorders>
              <w:top w:val="single" w:sz="6" w:space="0" w:color="ADD6EA"/>
              <w:left w:val="nil"/>
              <w:bottom w:val="single" w:sz="6" w:space="0" w:color="ADD6EA"/>
              <w:right w:val="nil"/>
            </w:tcBorders>
            <w:shd w:val="clear" w:color="auto" w:fill="auto"/>
            <w:vAlign w:val="bottom"/>
            <w:hideMark/>
          </w:tcPr>
          <w:p w14:paraId="43D4ED04" w14:textId="77777777" w:rsidR="003F3418" w:rsidRPr="00440346" w:rsidRDefault="003F3418" w:rsidP="00793742">
            <w:pPr>
              <w:keepNext/>
              <w:keepLines/>
              <w:tabs>
                <w:tab w:val="clear" w:pos="567"/>
              </w:tabs>
              <w:spacing w:before="0" w:line="240" w:lineRule="auto"/>
              <w:jc w:val="center"/>
              <w:textAlignment w:val="baseline"/>
              <w:rPr>
                <w:rFonts w:eastAsia="Times New Roman" w:cs="Open Sans Light"/>
                <w:sz w:val="18"/>
                <w:szCs w:val="18"/>
                <w:lang w:eastAsia="en-AU"/>
              </w:rPr>
            </w:pPr>
            <w:r w:rsidRPr="00440346">
              <w:rPr>
                <w:rFonts w:ascii="Arial" w:eastAsia="Times New Roman" w:hAnsi="Arial" w:cs="Arial"/>
                <w:color w:val="000000"/>
                <w:sz w:val="16"/>
                <w:szCs w:val="16"/>
                <w:lang w:eastAsia="en-AU"/>
              </w:rPr>
              <w:t> </w:t>
            </w:r>
            <w:r w:rsidRPr="00440346">
              <w:rPr>
                <w:rFonts w:eastAsia="Times New Roman" w:cs="Open Sans Light"/>
                <w:color w:val="000000"/>
                <w:sz w:val="16"/>
                <w:szCs w:val="16"/>
                <w:lang w:eastAsia="en-AU"/>
              </w:rPr>
              <w:t> </w:t>
            </w:r>
          </w:p>
        </w:tc>
        <w:tc>
          <w:tcPr>
            <w:tcW w:w="1935" w:type="dxa"/>
            <w:tcBorders>
              <w:top w:val="single" w:sz="6" w:space="0" w:color="ADD6EA"/>
              <w:left w:val="nil"/>
              <w:bottom w:val="single" w:sz="6" w:space="0" w:color="ADD6EA"/>
              <w:right w:val="nil"/>
            </w:tcBorders>
            <w:shd w:val="clear" w:color="auto" w:fill="auto"/>
            <w:hideMark/>
          </w:tcPr>
          <w:p w14:paraId="5A959848" w14:textId="77777777" w:rsidR="003F3418" w:rsidRPr="00440346" w:rsidRDefault="003F3418" w:rsidP="00793742">
            <w:pPr>
              <w:keepNext/>
              <w:keepLines/>
              <w:tabs>
                <w:tab w:val="clear" w:pos="567"/>
              </w:tabs>
              <w:spacing w:before="0" w:line="240" w:lineRule="auto"/>
              <w:textAlignment w:val="baseline"/>
              <w:rPr>
                <w:rFonts w:eastAsia="Times New Roman" w:cs="Open Sans Light"/>
                <w:sz w:val="18"/>
                <w:szCs w:val="18"/>
                <w:lang w:eastAsia="en-AU"/>
              </w:rPr>
            </w:pPr>
            <w:r w:rsidRPr="00440346">
              <w:rPr>
                <w:rFonts w:eastAsia="Times New Roman" w:cs="Open Sans Light"/>
                <w:color w:val="000000"/>
                <w:sz w:val="16"/>
                <w:szCs w:val="16"/>
                <w:lang w:eastAsia="en-AU"/>
              </w:rPr>
              <w:t>Actual payments per capita </w:t>
            </w:r>
          </w:p>
        </w:tc>
        <w:tc>
          <w:tcPr>
            <w:tcW w:w="3549" w:type="dxa"/>
            <w:tcBorders>
              <w:top w:val="single" w:sz="6" w:space="0" w:color="ADD6EA"/>
              <w:left w:val="nil"/>
              <w:bottom w:val="single" w:sz="6" w:space="0" w:color="ADD6EA"/>
              <w:right w:val="nil"/>
            </w:tcBorders>
            <w:shd w:val="clear" w:color="auto" w:fill="auto"/>
            <w:hideMark/>
          </w:tcPr>
          <w:p w14:paraId="37FFD63A" w14:textId="77777777" w:rsidR="003F3418" w:rsidRPr="00440346" w:rsidRDefault="003F3418" w:rsidP="00793742">
            <w:pPr>
              <w:keepNext/>
              <w:keepLines/>
              <w:tabs>
                <w:tab w:val="clear" w:pos="567"/>
              </w:tabs>
              <w:spacing w:before="0" w:line="240" w:lineRule="auto"/>
              <w:textAlignment w:val="baseline"/>
              <w:rPr>
                <w:rFonts w:eastAsia="Times New Roman" w:cs="Open Sans Light"/>
                <w:sz w:val="18"/>
                <w:szCs w:val="18"/>
                <w:lang w:eastAsia="en-AU"/>
              </w:rPr>
            </w:pPr>
            <w:r w:rsidRPr="00440346">
              <w:rPr>
                <w:rFonts w:eastAsia="Times New Roman" w:cs="Open Sans Light"/>
                <w:color w:val="000000"/>
                <w:sz w:val="16"/>
                <w:szCs w:val="16"/>
                <w:lang w:eastAsia="en-AU"/>
              </w:rPr>
              <w:t>Recognises that states which receive above-average per capita Commonwealth payments have greater fiscal capacity.</w:t>
            </w:r>
          </w:p>
        </w:tc>
        <w:tc>
          <w:tcPr>
            <w:tcW w:w="258" w:type="dxa"/>
            <w:tcBorders>
              <w:top w:val="single" w:sz="6" w:space="0" w:color="ADD6EA"/>
              <w:left w:val="nil"/>
              <w:bottom w:val="single" w:sz="6" w:space="0" w:color="ADD6EA"/>
              <w:right w:val="nil"/>
            </w:tcBorders>
          </w:tcPr>
          <w:p w14:paraId="6CCA4144" w14:textId="77777777" w:rsidR="003F3418" w:rsidRPr="00440346" w:rsidRDefault="003F3418" w:rsidP="00793742">
            <w:pPr>
              <w:keepNext/>
              <w:keepLines/>
              <w:tabs>
                <w:tab w:val="clear" w:pos="567"/>
              </w:tabs>
              <w:spacing w:before="0" w:line="240" w:lineRule="auto"/>
              <w:textAlignment w:val="baseline"/>
              <w:rPr>
                <w:rFonts w:eastAsia="Times New Roman" w:cs="Open Sans Light"/>
                <w:color w:val="000000"/>
                <w:sz w:val="16"/>
                <w:szCs w:val="16"/>
                <w:lang w:eastAsia="en-AU"/>
              </w:rPr>
            </w:pPr>
          </w:p>
        </w:tc>
        <w:tc>
          <w:tcPr>
            <w:tcW w:w="24" w:type="dxa"/>
            <w:tcBorders>
              <w:top w:val="single" w:sz="6" w:space="0" w:color="ADD6EA"/>
              <w:left w:val="nil"/>
              <w:bottom w:val="single" w:sz="6" w:space="0" w:color="ADD6EA"/>
              <w:right w:val="nil"/>
            </w:tcBorders>
          </w:tcPr>
          <w:p w14:paraId="2636B182" w14:textId="77777777" w:rsidR="003F3418" w:rsidRPr="00440346" w:rsidRDefault="003F3418" w:rsidP="00793742">
            <w:pPr>
              <w:keepNext/>
              <w:keepLines/>
              <w:tabs>
                <w:tab w:val="clear" w:pos="567"/>
              </w:tabs>
              <w:spacing w:before="0" w:line="240" w:lineRule="auto"/>
              <w:textAlignment w:val="baseline"/>
              <w:rPr>
                <w:rFonts w:eastAsia="Times New Roman" w:cs="Open Sans Light"/>
                <w:color w:val="000000"/>
                <w:sz w:val="16"/>
                <w:szCs w:val="16"/>
                <w:lang w:eastAsia="en-AU"/>
              </w:rPr>
            </w:pPr>
          </w:p>
        </w:tc>
        <w:tc>
          <w:tcPr>
            <w:tcW w:w="1527" w:type="dxa"/>
            <w:tcBorders>
              <w:top w:val="single" w:sz="6" w:space="0" w:color="ADD6EA"/>
              <w:left w:val="nil"/>
              <w:bottom w:val="single" w:sz="6" w:space="0" w:color="ADD6EA"/>
              <w:right w:val="nil"/>
            </w:tcBorders>
          </w:tcPr>
          <w:p w14:paraId="1B449FF8" w14:textId="77777777" w:rsidR="003F3418" w:rsidRPr="00440346" w:rsidRDefault="003F3418" w:rsidP="00793742">
            <w:pPr>
              <w:keepNext/>
              <w:keepLines/>
              <w:tabs>
                <w:tab w:val="clear" w:pos="567"/>
              </w:tabs>
              <w:spacing w:before="0" w:line="240" w:lineRule="auto"/>
              <w:textAlignment w:val="baseline"/>
              <w:rPr>
                <w:rFonts w:eastAsia="Times New Roman" w:cs="Open Sans Light"/>
                <w:color w:val="000000"/>
                <w:sz w:val="16"/>
                <w:szCs w:val="16"/>
                <w:lang w:eastAsia="en-AU"/>
              </w:rPr>
            </w:pPr>
            <w:r w:rsidRPr="00440346">
              <w:rPr>
                <w:rFonts w:eastAsia="Times New Roman" w:cs="Open Sans Light"/>
                <w:color w:val="000000"/>
                <w:sz w:val="16"/>
                <w:szCs w:val="16"/>
                <w:lang w:eastAsia="en-AU"/>
              </w:rPr>
              <w:t>No</w:t>
            </w:r>
          </w:p>
        </w:tc>
        <w:tc>
          <w:tcPr>
            <w:tcW w:w="134" w:type="dxa"/>
            <w:tcBorders>
              <w:top w:val="nil"/>
              <w:left w:val="nil"/>
              <w:bottom w:val="nil"/>
              <w:right w:val="nil"/>
            </w:tcBorders>
          </w:tcPr>
          <w:p w14:paraId="32B9BB78" w14:textId="77777777" w:rsidR="003F3418" w:rsidRPr="0053358F" w:rsidRDefault="003F3418" w:rsidP="00793742">
            <w:pPr>
              <w:keepNext/>
              <w:keepLines/>
              <w:tabs>
                <w:tab w:val="clear" w:pos="567"/>
              </w:tabs>
              <w:spacing w:before="0" w:line="240" w:lineRule="auto"/>
              <w:textAlignment w:val="baseline"/>
              <w:rPr>
                <w:rFonts w:ascii="Work Sans" w:eastAsia="Times New Roman" w:hAnsi="Work Sans" w:cs="Segoe UI"/>
                <w:color w:val="000000"/>
                <w:sz w:val="16"/>
                <w:szCs w:val="16"/>
                <w:lang w:eastAsia="en-AU"/>
              </w:rPr>
            </w:pPr>
          </w:p>
        </w:tc>
      </w:tr>
    </w:tbl>
    <w:p w14:paraId="77A62131" w14:textId="34104055" w:rsidR="001E4014" w:rsidRPr="00440346" w:rsidRDefault="00440346" w:rsidP="00440346">
      <w:pPr>
        <w:pStyle w:val="CGCTablenote"/>
        <w:rPr>
          <w:rFonts w:ascii="Work Sans" w:hAnsi="Work Sans"/>
        </w:rPr>
      </w:pPr>
      <w:bookmarkStart w:id="68" w:name="_Toc121741493"/>
      <w:bookmarkStart w:id="69" w:name="_Toc127428362"/>
      <w:bookmarkStart w:id="70" w:name="_Toc132729117"/>
      <w:bookmarkStart w:id="71" w:name="_Toc133236158"/>
      <w:bookmarkStart w:id="72" w:name="_Toc133236184"/>
      <w:bookmarkEnd w:id="64"/>
      <w:bookmarkEnd w:id="65"/>
      <w:bookmarkEnd w:id="66"/>
      <w:r>
        <w:rPr>
          <w:rFonts w:ascii="Work Sans" w:hAnsi="Work Sans"/>
        </w:rPr>
        <w:t>Source: The Commission.</w:t>
      </w:r>
    </w:p>
    <w:p w14:paraId="011FAC5A" w14:textId="77777777" w:rsidR="008D5EA8" w:rsidRDefault="008D5EA8">
      <w:pPr>
        <w:tabs>
          <w:tab w:val="clear" w:pos="567"/>
        </w:tabs>
        <w:spacing w:before="0" w:after="200" w:line="276" w:lineRule="auto"/>
        <w:rPr>
          <w:rFonts w:ascii="Work Sans" w:eastAsia="Times New Roman" w:hAnsi="Work Sans" w:cs="Open Sans"/>
          <w:b/>
          <w:bCs/>
          <w:color w:val="006991"/>
          <w:sz w:val="36"/>
          <w:szCs w:val="36"/>
        </w:rPr>
      </w:pPr>
      <w:r>
        <w:br w:type="page"/>
      </w:r>
    </w:p>
    <w:p w14:paraId="64660438" w14:textId="141EEABA" w:rsidR="00AB6FFE" w:rsidRDefault="00AB6FFE" w:rsidP="00F971B0">
      <w:pPr>
        <w:pStyle w:val="Heading2"/>
      </w:pPr>
      <w:bookmarkStart w:id="73" w:name="_Toc138692175"/>
      <w:r w:rsidRPr="00AB6FFE">
        <w:lastRenderedPageBreak/>
        <w:t>Consultation</w:t>
      </w:r>
      <w:bookmarkEnd w:id="68"/>
      <w:bookmarkEnd w:id="69"/>
      <w:bookmarkEnd w:id="70"/>
      <w:bookmarkEnd w:id="71"/>
      <w:bookmarkEnd w:id="72"/>
      <w:bookmarkEnd w:id="73"/>
    </w:p>
    <w:p w14:paraId="625B1FBE" w14:textId="69BB2A62" w:rsidR="00CE0328" w:rsidRDefault="00CE0328" w:rsidP="00CE0328">
      <w:pPr>
        <w:pStyle w:val="CGC2025ParaNumbers"/>
      </w:pPr>
      <w:r>
        <w:t xml:space="preserve">The </w:t>
      </w:r>
      <w:r w:rsidRPr="009D6590">
        <w:t>Commission welcome</w:t>
      </w:r>
      <w:r>
        <w:t>s</w:t>
      </w:r>
      <w:r w:rsidRPr="009D6590">
        <w:t xml:space="preserve"> state views on the</w:t>
      </w:r>
      <w:r>
        <w:t xml:space="preserve"> consultation questions identified in this paper (outlined below) and the proposed assessment. State submissions should accord with the 2025 Review framework. States are welcome to raise other </w:t>
      </w:r>
      <w:r w:rsidR="00DA774E">
        <w:t xml:space="preserve">relevant </w:t>
      </w:r>
      <w:r>
        <w:t>issues with the Commission.</w:t>
      </w:r>
    </w:p>
    <w:p w14:paraId="3FA9C615" w14:textId="77777777" w:rsidR="00B17FBC" w:rsidRDefault="00B17FBC" w:rsidP="00A5102B">
      <w:pPr>
        <w:rPr>
          <w:rFonts w:ascii="Work Sans" w:hAnsi="Work Sans"/>
          <w:szCs w:val="20"/>
        </w:rPr>
      </w:pPr>
      <w:r w:rsidRPr="001C4DF3">
        <w:rPr>
          <w:noProof/>
        </w:rPr>
        <mc:AlternateContent>
          <mc:Choice Requires="wps">
            <w:drawing>
              <wp:inline distT="0" distB="0" distL="0" distR="0" wp14:anchorId="2852413C" wp14:editId="0C4DF09D">
                <wp:extent cx="5629275" cy="2219325"/>
                <wp:effectExtent l="0" t="0" r="9525" b="9525"/>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9275" cy="2219325"/>
                        </a:xfrm>
                        <a:prstGeom prst="rect">
                          <a:avLst/>
                        </a:prstGeom>
                        <a:solidFill>
                          <a:srgbClr val="EBF3F5"/>
                        </a:solidFill>
                        <a:ln w="25400" cap="flat" cmpd="sng" algn="ctr">
                          <a:noFill/>
                          <a:prstDash val="solid"/>
                        </a:ln>
                        <a:effectLst/>
                      </wps:spPr>
                      <wps:txbx>
                        <w:txbxContent>
                          <w:p w14:paraId="72B6393E" w14:textId="191EDC9C" w:rsidR="00F503E9" w:rsidRDefault="00F503E9" w:rsidP="00F60959">
                            <w:pPr>
                              <w:pStyle w:val="CGC2025Questionsnumbers2"/>
                              <w:rPr>
                                <w:lang w:eastAsia="en-AU"/>
                              </w:rPr>
                            </w:pPr>
                            <w:r>
                              <w:rPr>
                                <w:lang w:eastAsia="en-AU"/>
                              </w:rPr>
                              <w:t>Do states agree the guideline for deciding the treatment of Commonwealth payments remain</w:t>
                            </w:r>
                            <w:r w:rsidR="00395679">
                              <w:rPr>
                                <w:lang w:eastAsia="en-AU"/>
                              </w:rPr>
                              <w:t>s</w:t>
                            </w:r>
                            <w:r>
                              <w:rPr>
                                <w:lang w:eastAsia="en-AU"/>
                              </w:rPr>
                              <w:t xml:space="preserve"> appropriate?</w:t>
                            </w:r>
                          </w:p>
                          <w:p w14:paraId="53BEE20E" w14:textId="4A8D2FC2" w:rsidR="00F503E9" w:rsidRPr="007E6E9D" w:rsidRDefault="00F503E9" w:rsidP="00F60959">
                            <w:pPr>
                              <w:pStyle w:val="CGC2025Questionsnumbers2"/>
                              <w:rPr>
                                <w:lang w:eastAsia="en-AU"/>
                              </w:rPr>
                            </w:pPr>
                            <w:r>
                              <w:rPr>
                                <w:lang w:eastAsia="en-AU"/>
                              </w:rPr>
                              <w:t>Do states agree to a default treatment of ‘impact’ in cases where there is substantial uncertainty about the payment</w:t>
                            </w:r>
                            <w:r w:rsidR="006F55FD">
                              <w:rPr>
                                <w:lang w:eastAsia="en-AU"/>
                              </w:rPr>
                              <w:t>’</w:t>
                            </w:r>
                            <w:r>
                              <w:rPr>
                                <w:lang w:eastAsia="en-AU"/>
                              </w:rPr>
                              <w:t>s purpose or whether relative state expenditure needs are assessed? It remains open to states to provide evidence in support of no impact.</w:t>
                            </w:r>
                          </w:p>
                          <w:p w14:paraId="30A3FF4A" w14:textId="77777777" w:rsidR="00F60959" w:rsidRDefault="00F503E9" w:rsidP="00F60959">
                            <w:pPr>
                              <w:pStyle w:val="CGC2025Questionsnumbers2"/>
                              <w:rPr>
                                <w:lang w:eastAsia="en-AU"/>
                              </w:rPr>
                            </w:pPr>
                            <w:r w:rsidRPr="00E67F91">
                              <w:rPr>
                                <w:lang w:eastAsia="en-AU"/>
                              </w:rPr>
                              <w:t>Do</w:t>
                            </w:r>
                            <w:r>
                              <w:rPr>
                                <w:lang w:eastAsia="en-AU"/>
                              </w:rPr>
                              <w:t xml:space="preserve"> states agree to discontinue </w:t>
                            </w:r>
                            <w:r w:rsidRPr="00E67F91">
                              <w:rPr>
                                <w:lang w:eastAsia="en-AU"/>
                              </w:rPr>
                              <w:t xml:space="preserve">the assessment of </w:t>
                            </w:r>
                            <w:r>
                              <w:rPr>
                                <w:lang w:eastAsia="en-AU"/>
                              </w:rPr>
                              <w:t xml:space="preserve">Commonwealth own-purpose </w:t>
                            </w:r>
                            <w:r w:rsidRPr="00820379">
                              <w:rPr>
                                <w:lang w:eastAsia="en-AU"/>
                              </w:rPr>
                              <w:t>expense payments?</w:t>
                            </w:r>
                          </w:p>
                          <w:p w14:paraId="7274BB14" w14:textId="2783B6A3" w:rsidR="00F503E9" w:rsidRPr="00E67F91" w:rsidRDefault="00F503E9" w:rsidP="00F60959">
                            <w:pPr>
                              <w:pStyle w:val="CGC2025Questionsnumbers2"/>
                              <w:rPr>
                                <w:lang w:eastAsia="en-AU"/>
                              </w:rPr>
                            </w:pPr>
                            <w:r w:rsidRPr="00820379">
                              <w:rPr>
                                <w:lang w:eastAsia="en-AU"/>
                              </w:rPr>
                              <w:t>Do states agree that the guideline for determining the GST treatment of Commonwealth payments should be applied in cases where payments include elements aimed at addressing pre-existing structural disadvantage?</w:t>
                            </w:r>
                          </w:p>
                          <w:p w14:paraId="243642FB" w14:textId="77777777" w:rsidR="00B17FBC" w:rsidRPr="00F733EB" w:rsidRDefault="00B17FBC" w:rsidP="00F60959">
                            <w:pPr>
                              <w:pStyle w:val="CGC2025Questionsnumbers2"/>
                              <w:numPr>
                                <w:ilvl w:val="0"/>
                                <w:numId w:val="0"/>
                              </w:numPr>
                              <w:ind w:left="45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52413C" id="Rectangle 1" o:spid="_x0000_s1032" alt="&quot;&quot;" style="width:443.25pt;height:17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vdUgIAAJ4EAAAOAAAAZHJzL2Uyb0RvYy54bWysVEtv2zAMvg/YfxB0X524SR9BnCJrl2FA&#10;0QZoh54VWYoNyKJGKbG7Xz9Kdpqs22nYRSZFio+PHz2/6RrD9gp9Dbbg47MRZ8pKKGu7Lfj359Wn&#10;K858ELYUBqwq+Kvy/Gbx8cO8dTOVQwWmVMgoiPWz1hW8CsHNsszLSjXCn4FTlowasBGBVNxmJYqW&#10;ojcmy0eji6wFLB2CVN7T7V1v5IsUX2slw6PWXgVmCk61hXRiOjfxzBZzMduicFUthzLEP1TRiNpS&#10;0rdQdyIItsP6j1BNLRE86HAmoclA61qq1AN1Mx696+apEk6lXggc795g8v8vrHzYP7k1Egyt8zNP&#10;Yuyi09jEL9XHugTW6xtYqgtM0uX0Ir/OL6ecSbLl+fj6PJ9GOLPjc4c+fFXQsCgUHGkaCSSxv/eh&#10;dz24xGweTF2uamOSgtvNrUG2FzS5L59X56tD9N/cjGUtpZ9ORjRdKYhB2ohAYuPKgnu75UyYLVFT&#10;Bky5LcQMaewx953wVZ8jhR0aMDaWoBJ/hlKP8EQpdJuO1ZThIr6INxsoX9fIEHqKeSdXNcW/Fz6s&#10;BRKnqD7ak/BIhzZARcMgcVYB/vzbffSnUZOVs5Y4Sg392AlUnJlvlkhwPZ5MIqmTMple5qTgqWVz&#10;arG75hYIzDFtpJNJjP7BHESN0LzQOi1jVjIJKyl3D92g3IZ+d2ghpVoukxsR2Ylwb5+cjMEjchHZ&#10;5+5FoBtGH4g1D3Dgs5i9Y0DvG19aWO4C6DrR44gr0SoqtASJYMPCxi071ZPX8bey+AUAAP//AwBQ&#10;SwMEFAAGAAgAAAAhAC3zt2HdAAAABQEAAA8AAABkcnMvZG93bnJldi54bWxMj81OwzAQhO9IvIO1&#10;SNyow0+iNMSpaAU9VFSI0gfYxksSEa8j203D29dwgctKoxnNfFsuJtOLkZzvLCu4nSUgiGurO24U&#10;7D9ebnIQPiBr7C2Tgm/ysKguL0ostD3xO4270IhYwr5ABW0IQyGlr1sy6Gd2II7ep3UGQ5Sukdrh&#10;KZabXt4lSSYNdhwXWhxo1VL9tTsaBevXtUOeL+smz5ab/fNqO6ZvW6Wur6anRxCBpvAXhh/8iA5V&#10;ZDrYI2svegXxkfB7o5fnWQrioOD+YZ6CrEr5n746AwAA//8DAFBLAQItABQABgAIAAAAIQC2gziS&#10;/gAAAOEBAAATAAAAAAAAAAAAAAAAAAAAAABbQ29udGVudF9UeXBlc10ueG1sUEsBAi0AFAAGAAgA&#10;AAAhADj9If/WAAAAlAEAAAsAAAAAAAAAAAAAAAAALwEAAF9yZWxzLy5yZWxzUEsBAi0AFAAGAAgA&#10;AAAhAKs+291SAgAAngQAAA4AAAAAAAAAAAAAAAAALgIAAGRycy9lMm9Eb2MueG1sUEsBAi0AFAAG&#10;AAgAAAAhAC3zt2HdAAAABQEAAA8AAAAAAAAAAAAAAAAArAQAAGRycy9kb3ducmV2LnhtbFBLBQYA&#10;AAAABAAEAPMAAAC2BQAAAAA=&#10;" fillcolor="#ebf3f5" stroked="f" strokeweight="2pt">
                <v:textbox>
                  <w:txbxContent>
                    <w:p w14:paraId="72B6393E" w14:textId="191EDC9C" w:rsidR="00F503E9" w:rsidRDefault="00F503E9" w:rsidP="00F60959">
                      <w:pPr>
                        <w:pStyle w:val="CGC2025Questionsnumbers2"/>
                        <w:rPr>
                          <w:lang w:eastAsia="en-AU"/>
                        </w:rPr>
                      </w:pPr>
                      <w:r>
                        <w:rPr>
                          <w:lang w:eastAsia="en-AU"/>
                        </w:rPr>
                        <w:t>Do states agree the guideline for deciding the treatment of Commonwealth payments remain</w:t>
                      </w:r>
                      <w:r w:rsidR="00395679">
                        <w:rPr>
                          <w:lang w:eastAsia="en-AU"/>
                        </w:rPr>
                        <w:t>s</w:t>
                      </w:r>
                      <w:r>
                        <w:rPr>
                          <w:lang w:eastAsia="en-AU"/>
                        </w:rPr>
                        <w:t xml:space="preserve"> appropriate?</w:t>
                      </w:r>
                    </w:p>
                    <w:p w14:paraId="53BEE20E" w14:textId="4A8D2FC2" w:rsidR="00F503E9" w:rsidRPr="007E6E9D" w:rsidRDefault="00F503E9" w:rsidP="00F60959">
                      <w:pPr>
                        <w:pStyle w:val="CGC2025Questionsnumbers2"/>
                        <w:rPr>
                          <w:lang w:eastAsia="en-AU"/>
                        </w:rPr>
                      </w:pPr>
                      <w:r>
                        <w:rPr>
                          <w:lang w:eastAsia="en-AU"/>
                        </w:rPr>
                        <w:t>Do states agree to a default treatment of ‘impact’ in cases where there is substantial uncertainty about the payment</w:t>
                      </w:r>
                      <w:r w:rsidR="006F55FD">
                        <w:rPr>
                          <w:lang w:eastAsia="en-AU"/>
                        </w:rPr>
                        <w:t>’</w:t>
                      </w:r>
                      <w:r>
                        <w:rPr>
                          <w:lang w:eastAsia="en-AU"/>
                        </w:rPr>
                        <w:t>s purpose or whether relative state expenditure needs are assessed? It remains open to states to provide evidence in support of no impact.</w:t>
                      </w:r>
                    </w:p>
                    <w:p w14:paraId="30A3FF4A" w14:textId="77777777" w:rsidR="00F60959" w:rsidRDefault="00F503E9" w:rsidP="00F60959">
                      <w:pPr>
                        <w:pStyle w:val="CGC2025Questionsnumbers2"/>
                        <w:rPr>
                          <w:lang w:eastAsia="en-AU"/>
                        </w:rPr>
                      </w:pPr>
                      <w:r w:rsidRPr="00E67F91">
                        <w:rPr>
                          <w:lang w:eastAsia="en-AU"/>
                        </w:rPr>
                        <w:t>Do</w:t>
                      </w:r>
                      <w:r>
                        <w:rPr>
                          <w:lang w:eastAsia="en-AU"/>
                        </w:rPr>
                        <w:t xml:space="preserve"> states agree to discontinue </w:t>
                      </w:r>
                      <w:r w:rsidRPr="00E67F91">
                        <w:rPr>
                          <w:lang w:eastAsia="en-AU"/>
                        </w:rPr>
                        <w:t xml:space="preserve">the assessment of </w:t>
                      </w:r>
                      <w:r>
                        <w:rPr>
                          <w:lang w:eastAsia="en-AU"/>
                        </w:rPr>
                        <w:t xml:space="preserve">Commonwealth own-purpose </w:t>
                      </w:r>
                      <w:r w:rsidRPr="00820379">
                        <w:rPr>
                          <w:lang w:eastAsia="en-AU"/>
                        </w:rPr>
                        <w:t>expense payments?</w:t>
                      </w:r>
                    </w:p>
                    <w:p w14:paraId="7274BB14" w14:textId="2783B6A3" w:rsidR="00F503E9" w:rsidRPr="00E67F91" w:rsidRDefault="00F503E9" w:rsidP="00F60959">
                      <w:pPr>
                        <w:pStyle w:val="CGC2025Questionsnumbers2"/>
                        <w:rPr>
                          <w:lang w:eastAsia="en-AU"/>
                        </w:rPr>
                      </w:pPr>
                      <w:r w:rsidRPr="00820379">
                        <w:rPr>
                          <w:lang w:eastAsia="en-AU"/>
                        </w:rPr>
                        <w:t>Do states agree that the guideline for determining the GST treatment of Commonwealth payments should be applied in cases where payments include elements aimed at addressing pre-existing structural disadvantage?</w:t>
                      </w:r>
                    </w:p>
                    <w:p w14:paraId="243642FB" w14:textId="77777777" w:rsidR="00B17FBC" w:rsidRPr="00F733EB" w:rsidRDefault="00B17FBC" w:rsidP="00F60959">
                      <w:pPr>
                        <w:pStyle w:val="CGC2025Questionsnumbers2"/>
                        <w:numPr>
                          <w:ilvl w:val="0"/>
                          <w:numId w:val="0"/>
                        </w:numPr>
                        <w:ind w:left="454"/>
                      </w:pPr>
                    </w:p>
                  </w:txbxContent>
                </v:textbox>
                <w10:anchorlock/>
              </v:rect>
            </w:pict>
          </mc:Fallback>
        </mc:AlternateContent>
      </w:r>
    </w:p>
    <w:p w14:paraId="15975492" w14:textId="1F193F44" w:rsidR="004F0684" w:rsidRDefault="004F0684">
      <w:pPr>
        <w:tabs>
          <w:tab w:val="clear" w:pos="567"/>
        </w:tabs>
        <w:spacing w:before="0" w:after="200" w:line="276" w:lineRule="auto"/>
        <w:rPr>
          <w:rFonts w:ascii="Work Sans" w:eastAsia="Times New Roman" w:hAnsi="Work Sans" w:cs="Open Sans"/>
          <w:b/>
          <w:bCs/>
          <w:color w:val="006991"/>
          <w:sz w:val="36"/>
          <w:szCs w:val="36"/>
        </w:rPr>
      </w:pPr>
      <w:bookmarkStart w:id="74" w:name="_Toc133236159"/>
      <w:bookmarkStart w:id="75" w:name="_Toc133236185"/>
      <w:bookmarkEnd w:id="74"/>
      <w:bookmarkEnd w:id="75"/>
    </w:p>
    <w:sectPr w:rsidR="004F0684" w:rsidSect="004F0684">
      <w:footerReference w:type="default" r:id="rId21"/>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9CD8" w14:textId="77777777" w:rsidR="003819A5" w:rsidRDefault="003819A5">
      <w:r>
        <w:separator/>
      </w:r>
    </w:p>
    <w:p w14:paraId="040CBC13" w14:textId="77777777" w:rsidR="003819A5" w:rsidRDefault="003819A5"/>
  </w:endnote>
  <w:endnote w:type="continuationSeparator" w:id="0">
    <w:p w14:paraId="18BF029E" w14:textId="77777777" w:rsidR="003819A5" w:rsidRDefault="003819A5">
      <w:r>
        <w:continuationSeparator/>
      </w:r>
    </w:p>
    <w:p w14:paraId="72D42C41" w14:textId="77777777" w:rsidR="003819A5" w:rsidRDefault="003819A5"/>
  </w:endnote>
  <w:endnote w:type="continuationNotice" w:id="1">
    <w:p w14:paraId="7324FD88" w14:textId="77777777" w:rsidR="003819A5" w:rsidRDefault="003819A5">
      <w:pPr>
        <w:spacing w:before="0" w:line="240" w:lineRule="auto"/>
      </w:pPr>
    </w:p>
    <w:p w14:paraId="6D1F30C2" w14:textId="77777777" w:rsidR="003819A5" w:rsidRDefault="00381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Work Sans SemiBold">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0731" w14:textId="77777777" w:rsidR="00E4564D" w:rsidRDefault="00E4564D" w:rsidP="00D2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26276"/>
      <w:docPartObj>
        <w:docPartGallery w:val="Page Numbers (Bottom of Page)"/>
        <w:docPartUnique/>
      </w:docPartObj>
    </w:sdtPr>
    <w:sdtEndPr>
      <w:rPr>
        <w:noProof/>
      </w:rPr>
    </w:sdtEndPr>
    <w:sdtContent>
      <w:p w14:paraId="5BC4731C"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5A71142B"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3F1F8E56"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E3AC" w14:textId="77777777" w:rsidR="003819A5" w:rsidRPr="001C1AC5" w:rsidRDefault="003819A5">
      <w:pPr>
        <w:rPr>
          <w:color w:val="ADD6EA"/>
        </w:rPr>
      </w:pPr>
      <w:r w:rsidRPr="001C1AC5">
        <w:rPr>
          <w:color w:val="ADD6EA"/>
        </w:rPr>
        <w:separator/>
      </w:r>
    </w:p>
    <w:p w14:paraId="104319CD" w14:textId="77777777" w:rsidR="003819A5" w:rsidRDefault="003819A5"/>
  </w:footnote>
  <w:footnote w:type="continuationSeparator" w:id="0">
    <w:p w14:paraId="5FBACA6F" w14:textId="77777777" w:rsidR="003819A5" w:rsidRDefault="003819A5">
      <w:r>
        <w:continuationSeparator/>
      </w:r>
    </w:p>
    <w:p w14:paraId="1BF4DF11" w14:textId="77777777" w:rsidR="003819A5" w:rsidRDefault="003819A5"/>
  </w:footnote>
  <w:footnote w:type="continuationNotice" w:id="1">
    <w:p w14:paraId="4FBEF48A" w14:textId="77777777" w:rsidR="003819A5" w:rsidRDefault="003819A5">
      <w:pPr>
        <w:spacing w:before="0" w:line="240" w:lineRule="auto"/>
      </w:pPr>
    </w:p>
    <w:p w14:paraId="6BB824DA" w14:textId="77777777" w:rsidR="003819A5" w:rsidRDefault="003819A5"/>
  </w:footnote>
  <w:footnote w:id="2">
    <w:p w14:paraId="06409E12" w14:textId="77777777" w:rsidR="003052A0" w:rsidRDefault="003052A0" w:rsidP="00E83A07">
      <w:pPr>
        <w:pStyle w:val="FootnoteText"/>
      </w:pPr>
    </w:p>
    <w:p w14:paraId="77FCD59A" w14:textId="77777777" w:rsidR="003052A0" w:rsidRDefault="003052A0" w:rsidP="00E83A07">
      <w:pPr>
        <w:pStyle w:val="FootnoteText"/>
      </w:pPr>
    </w:p>
    <w:p w14:paraId="399B7692" w14:textId="0BF92F46" w:rsidR="003052A0" w:rsidRPr="00307678" w:rsidRDefault="003052A0" w:rsidP="00E83A07">
      <w:pPr>
        <w:pStyle w:val="FootnoteText"/>
        <w:rPr>
          <w:rStyle w:val="FootnoteReference"/>
        </w:rPr>
      </w:pPr>
      <w:r w:rsidRPr="00307678">
        <w:rPr>
          <w:rStyle w:val="FootnoteReference"/>
        </w:rPr>
        <w:footnoteRef/>
      </w:r>
      <w:r w:rsidRPr="007B7DE2">
        <w:rPr>
          <w:szCs w:val="14"/>
        </w:rPr>
        <w:t xml:space="preserve"> </w:t>
      </w:r>
      <w:r>
        <w:t xml:space="preserve">Facilitation and reward </w:t>
      </w:r>
      <w:r w:rsidRPr="003B7ECC">
        <w:t>N</w:t>
      </w:r>
      <w:r w:rsidR="00534CCE" w:rsidRPr="003B7ECC">
        <w:t xml:space="preserve">ational </w:t>
      </w:r>
      <w:r w:rsidRPr="003B7ECC">
        <w:t>P</w:t>
      </w:r>
      <w:r w:rsidR="00534CCE" w:rsidRPr="003B7ECC">
        <w:t xml:space="preserve">artnership </w:t>
      </w:r>
      <w:r w:rsidRPr="003B7ECC">
        <w:t>P</w:t>
      </w:r>
      <w:r w:rsidR="00534CCE" w:rsidRPr="003B7ECC">
        <w:t>ayment</w:t>
      </w:r>
      <w:r w:rsidRPr="003B7ECC">
        <w:t>s</w:t>
      </w:r>
      <w:r>
        <w:t xml:space="preserve"> have not been separately identified in Commonwealth Budgets since 2014–15.</w:t>
      </w:r>
    </w:p>
  </w:footnote>
  <w:footnote w:id="3">
    <w:p w14:paraId="7CF33BAC" w14:textId="77777777" w:rsidR="0064164B" w:rsidRPr="00A06F05" w:rsidRDefault="0064164B" w:rsidP="00E83A07">
      <w:pPr>
        <w:pStyle w:val="FootnoteText"/>
      </w:pPr>
      <w:r w:rsidRPr="00307678">
        <w:rPr>
          <w:rStyle w:val="FootnoteReference"/>
        </w:rPr>
        <w:footnoteRef/>
      </w:r>
      <w:r>
        <w:t xml:space="preserve"> </w:t>
      </w:r>
      <w:r w:rsidRPr="00A06F05">
        <w:t xml:space="preserve">Unless otherwise stated, category and component revenue for the first </w:t>
      </w:r>
      <w:r>
        <w:t xml:space="preserve">2 </w:t>
      </w:r>
      <w:r w:rsidRPr="00A06F05">
        <w:t>assessment years are sourced from G</w:t>
      </w:r>
      <w:r>
        <w:t>overnment Finance Statistics</w:t>
      </w:r>
      <w:r w:rsidRPr="00A06F05">
        <w:t xml:space="preserve">. States provide data for the most recent assessment year because </w:t>
      </w:r>
      <w:r>
        <w:t xml:space="preserve">data from </w:t>
      </w:r>
      <w:r w:rsidRPr="006978C4">
        <w:t xml:space="preserve">the Australian Bureau of Statistics’ Government Finance Statistics </w:t>
      </w:r>
      <w:r>
        <w:t>collection</w:t>
      </w:r>
      <w:r w:rsidRPr="00A06F05">
        <w:t xml:space="preserve"> are not available.</w:t>
      </w:r>
    </w:p>
  </w:footnote>
  <w:footnote w:id="4">
    <w:p w14:paraId="1A4539F6" w14:textId="77777777" w:rsidR="0064164B" w:rsidRDefault="0064164B" w:rsidP="00E83A07">
      <w:pPr>
        <w:pStyle w:val="FootnoteText"/>
      </w:pPr>
      <w:r w:rsidRPr="00307678">
        <w:rPr>
          <w:rStyle w:val="FootnoteReference"/>
        </w:rPr>
        <w:footnoteRef/>
      </w:r>
      <w:r w:rsidRPr="00307678">
        <w:rPr>
          <w:rStyle w:val="FootnoteReference"/>
        </w:rPr>
        <w:t xml:space="preserve"> </w:t>
      </w:r>
      <w:r>
        <w:t>The Commission includes some Commonwealth own-purpose expenses that are for state-type services.</w:t>
      </w:r>
    </w:p>
  </w:footnote>
  <w:footnote w:id="5">
    <w:p w14:paraId="2516DB11" w14:textId="77777777" w:rsidR="007E7434" w:rsidRDefault="007E7434" w:rsidP="00E83A07">
      <w:pPr>
        <w:pStyle w:val="FootnoteText"/>
      </w:pPr>
      <w:r w:rsidRPr="00307678">
        <w:rPr>
          <w:rStyle w:val="FootnoteReference"/>
        </w:rPr>
        <w:footnoteRef/>
      </w:r>
      <w:r w:rsidRPr="00307678">
        <w:rPr>
          <w:rStyle w:val="FootnoteReference"/>
        </w:rPr>
        <w:t xml:space="preserve"> </w:t>
      </w:r>
      <w:r>
        <w:t>Payments quarantined by terms of reference would continue to be treated as ‘no impact’.</w:t>
      </w:r>
    </w:p>
  </w:footnote>
  <w:footnote w:id="6">
    <w:p w14:paraId="19989EE1" w14:textId="6A2C377C" w:rsidR="00C20C76" w:rsidRPr="00111CAF" w:rsidRDefault="00C20C76" w:rsidP="00E83A07">
      <w:pPr>
        <w:pStyle w:val="FootnoteText"/>
      </w:pPr>
      <w:r w:rsidRPr="00307678">
        <w:rPr>
          <w:rStyle w:val="FootnoteReference"/>
        </w:rPr>
        <w:footnoteRef/>
      </w:r>
      <w:r w:rsidRPr="00307678">
        <w:rPr>
          <w:rStyle w:val="FootnoteReference"/>
        </w:rPr>
        <w:t xml:space="preserve"> </w:t>
      </w:r>
      <w:r w:rsidR="003200E3" w:rsidRPr="00A006D1">
        <w:t>Australian Bureau of Statistics</w:t>
      </w:r>
      <w:r w:rsidR="002809DD">
        <w:t>’</w:t>
      </w:r>
      <w:r>
        <w:t xml:space="preserve"> Government Finance Statistics does not have a function of government classification code for revenue from Commonwealth grants.</w:t>
      </w:r>
    </w:p>
  </w:footnote>
  <w:footnote w:id="7">
    <w:p w14:paraId="0F13CE72" w14:textId="77777777" w:rsidR="00C20C76" w:rsidRPr="00E208F6" w:rsidRDefault="00C20C76" w:rsidP="00E83A07">
      <w:pPr>
        <w:pStyle w:val="FootnoteText"/>
      </w:pPr>
      <w:r w:rsidRPr="00307678">
        <w:rPr>
          <w:rStyle w:val="FootnoteReference"/>
        </w:rPr>
        <w:footnoteRef/>
      </w:r>
      <w:r w:rsidRPr="00307678">
        <w:rPr>
          <w:rStyle w:val="FootnoteReference"/>
        </w:rPr>
        <w:t xml:space="preserve"> </w:t>
      </w:r>
      <w:r>
        <w:t xml:space="preserve">Commonwealth Grants Commission, </w:t>
      </w:r>
      <w:r w:rsidRPr="00250546">
        <w:t>Fiscal equalisation, supporting principles and assessment guidelines consultation paper</w:t>
      </w:r>
      <w:r>
        <w:t>, April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DDEE" w14:textId="7777777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6"/>
  </w:num>
  <w:num w:numId="3" w16cid:durableId="1334529044">
    <w:abstractNumId w:val="5"/>
  </w:num>
  <w:num w:numId="4" w16cid:durableId="1514761234">
    <w:abstractNumId w:val="4"/>
  </w:num>
  <w:num w:numId="5" w16cid:durableId="920797300">
    <w:abstractNumId w:val="0"/>
  </w:num>
  <w:num w:numId="6" w16cid:durableId="1807814447">
    <w:abstractNumId w:val="14"/>
  </w:num>
  <w:num w:numId="7" w16cid:durableId="801770153">
    <w:abstractNumId w:val="8"/>
  </w:num>
  <w:num w:numId="8" w16cid:durableId="1737627722">
    <w:abstractNumId w:val="15"/>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5"/>
  </w:num>
  <w:num w:numId="31" w16cid:durableId="893783368">
    <w:abstractNumId w:val="15"/>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583324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8D"/>
    <w:rsid w:val="00000AB2"/>
    <w:rsid w:val="00000C9F"/>
    <w:rsid w:val="00001078"/>
    <w:rsid w:val="000014F2"/>
    <w:rsid w:val="00001882"/>
    <w:rsid w:val="000019C0"/>
    <w:rsid w:val="00001D6F"/>
    <w:rsid w:val="00001DA2"/>
    <w:rsid w:val="00001E8B"/>
    <w:rsid w:val="00002144"/>
    <w:rsid w:val="00002356"/>
    <w:rsid w:val="000025E6"/>
    <w:rsid w:val="00002923"/>
    <w:rsid w:val="00002F86"/>
    <w:rsid w:val="000032B9"/>
    <w:rsid w:val="000036D8"/>
    <w:rsid w:val="000042F1"/>
    <w:rsid w:val="000043F9"/>
    <w:rsid w:val="00004719"/>
    <w:rsid w:val="0000485A"/>
    <w:rsid w:val="00004C67"/>
    <w:rsid w:val="000053F8"/>
    <w:rsid w:val="00005EEE"/>
    <w:rsid w:val="0000618C"/>
    <w:rsid w:val="0000648D"/>
    <w:rsid w:val="00006C9A"/>
    <w:rsid w:val="00006E30"/>
    <w:rsid w:val="00006F3D"/>
    <w:rsid w:val="00007899"/>
    <w:rsid w:val="00007AB8"/>
    <w:rsid w:val="00007FD5"/>
    <w:rsid w:val="000105A1"/>
    <w:rsid w:val="00010711"/>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88F"/>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622"/>
    <w:rsid w:val="00034916"/>
    <w:rsid w:val="00034DBB"/>
    <w:rsid w:val="00034F08"/>
    <w:rsid w:val="000355D9"/>
    <w:rsid w:val="000363C5"/>
    <w:rsid w:val="000364E9"/>
    <w:rsid w:val="00036C51"/>
    <w:rsid w:val="00036F1C"/>
    <w:rsid w:val="000370C8"/>
    <w:rsid w:val="000372BA"/>
    <w:rsid w:val="00040135"/>
    <w:rsid w:val="00040571"/>
    <w:rsid w:val="00040601"/>
    <w:rsid w:val="00040CCA"/>
    <w:rsid w:val="00040D48"/>
    <w:rsid w:val="000410C8"/>
    <w:rsid w:val="0004123E"/>
    <w:rsid w:val="00041299"/>
    <w:rsid w:val="00041748"/>
    <w:rsid w:val="00041E1B"/>
    <w:rsid w:val="00041E84"/>
    <w:rsid w:val="000424EA"/>
    <w:rsid w:val="0004258C"/>
    <w:rsid w:val="00043B5D"/>
    <w:rsid w:val="00043CFE"/>
    <w:rsid w:val="000442AA"/>
    <w:rsid w:val="00044479"/>
    <w:rsid w:val="0004456B"/>
    <w:rsid w:val="000451DA"/>
    <w:rsid w:val="0004569D"/>
    <w:rsid w:val="00045743"/>
    <w:rsid w:val="00045C11"/>
    <w:rsid w:val="00045F82"/>
    <w:rsid w:val="00046397"/>
    <w:rsid w:val="000464DA"/>
    <w:rsid w:val="000465BD"/>
    <w:rsid w:val="00046859"/>
    <w:rsid w:val="00046B06"/>
    <w:rsid w:val="000470A2"/>
    <w:rsid w:val="00047108"/>
    <w:rsid w:val="00047690"/>
    <w:rsid w:val="00047856"/>
    <w:rsid w:val="00047951"/>
    <w:rsid w:val="00047AB0"/>
    <w:rsid w:val="00047DEF"/>
    <w:rsid w:val="00047DF1"/>
    <w:rsid w:val="00047E5A"/>
    <w:rsid w:val="0005017B"/>
    <w:rsid w:val="000508D3"/>
    <w:rsid w:val="00051114"/>
    <w:rsid w:val="00051B92"/>
    <w:rsid w:val="00051C94"/>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776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362"/>
    <w:rsid w:val="00090DBA"/>
    <w:rsid w:val="000910DA"/>
    <w:rsid w:val="00091AD2"/>
    <w:rsid w:val="00091C4F"/>
    <w:rsid w:val="00091D6E"/>
    <w:rsid w:val="000928AF"/>
    <w:rsid w:val="00093188"/>
    <w:rsid w:val="0009337B"/>
    <w:rsid w:val="00093603"/>
    <w:rsid w:val="00093796"/>
    <w:rsid w:val="00093910"/>
    <w:rsid w:val="000939CA"/>
    <w:rsid w:val="00094010"/>
    <w:rsid w:val="000943A8"/>
    <w:rsid w:val="00094531"/>
    <w:rsid w:val="00094676"/>
    <w:rsid w:val="000950A8"/>
    <w:rsid w:val="0009567D"/>
    <w:rsid w:val="0009569E"/>
    <w:rsid w:val="0009650F"/>
    <w:rsid w:val="00096616"/>
    <w:rsid w:val="00096896"/>
    <w:rsid w:val="00096A17"/>
    <w:rsid w:val="00096C06"/>
    <w:rsid w:val="00096C31"/>
    <w:rsid w:val="00096E12"/>
    <w:rsid w:val="00096E4E"/>
    <w:rsid w:val="000970BA"/>
    <w:rsid w:val="00097192"/>
    <w:rsid w:val="00097626"/>
    <w:rsid w:val="00097678"/>
    <w:rsid w:val="00097790"/>
    <w:rsid w:val="00097CF0"/>
    <w:rsid w:val="00097D78"/>
    <w:rsid w:val="00097F09"/>
    <w:rsid w:val="000A011D"/>
    <w:rsid w:val="000A07C9"/>
    <w:rsid w:val="000A09ED"/>
    <w:rsid w:val="000A0C33"/>
    <w:rsid w:val="000A0D9F"/>
    <w:rsid w:val="000A17C5"/>
    <w:rsid w:val="000A17F1"/>
    <w:rsid w:val="000A1B09"/>
    <w:rsid w:val="000A1DED"/>
    <w:rsid w:val="000A2395"/>
    <w:rsid w:val="000A2E24"/>
    <w:rsid w:val="000A3130"/>
    <w:rsid w:val="000A336C"/>
    <w:rsid w:val="000A346F"/>
    <w:rsid w:val="000A3898"/>
    <w:rsid w:val="000A3C2F"/>
    <w:rsid w:val="000A487A"/>
    <w:rsid w:val="000A52A1"/>
    <w:rsid w:val="000A5824"/>
    <w:rsid w:val="000A5DB9"/>
    <w:rsid w:val="000A633D"/>
    <w:rsid w:val="000A6389"/>
    <w:rsid w:val="000A6392"/>
    <w:rsid w:val="000A646A"/>
    <w:rsid w:val="000A6922"/>
    <w:rsid w:val="000A74C3"/>
    <w:rsid w:val="000A756F"/>
    <w:rsid w:val="000A79FA"/>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C07"/>
    <w:rsid w:val="000B3DC4"/>
    <w:rsid w:val="000B3F0A"/>
    <w:rsid w:val="000B3F3E"/>
    <w:rsid w:val="000B4179"/>
    <w:rsid w:val="000B442C"/>
    <w:rsid w:val="000B4935"/>
    <w:rsid w:val="000B4CDB"/>
    <w:rsid w:val="000B5042"/>
    <w:rsid w:val="000B5227"/>
    <w:rsid w:val="000B53C0"/>
    <w:rsid w:val="000B53FD"/>
    <w:rsid w:val="000B56FE"/>
    <w:rsid w:val="000B5744"/>
    <w:rsid w:val="000B5B36"/>
    <w:rsid w:val="000B5C2F"/>
    <w:rsid w:val="000B61DE"/>
    <w:rsid w:val="000B64E3"/>
    <w:rsid w:val="000B689B"/>
    <w:rsid w:val="000B6A59"/>
    <w:rsid w:val="000B73C6"/>
    <w:rsid w:val="000B7685"/>
    <w:rsid w:val="000B7CB8"/>
    <w:rsid w:val="000B7DC3"/>
    <w:rsid w:val="000B7F93"/>
    <w:rsid w:val="000C0319"/>
    <w:rsid w:val="000C06A4"/>
    <w:rsid w:val="000C0BBD"/>
    <w:rsid w:val="000C0F3A"/>
    <w:rsid w:val="000C0FAC"/>
    <w:rsid w:val="000C1231"/>
    <w:rsid w:val="000C1575"/>
    <w:rsid w:val="000C1F18"/>
    <w:rsid w:val="000C2987"/>
    <w:rsid w:val="000C2EA9"/>
    <w:rsid w:val="000C32BB"/>
    <w:rsid w:val="000C337F"/>
    <w:rsid w:val="000C354C"/>
    <w:rsid w:val="000C3927"/>
    <w:rsid w:val="000C3B22"/>
    <w:rsid w:val="000C4063"/>
    <w:rsid w:val="000C4BB7"/>
    <w:rsid w:val="000C4DFC"/>
    <w:rsid w:val="000C50B3"/>
    <w:rsid w:val="000C53E9"/>
    <w:rsid w:val="000C5486"/>
    <w:rsid w:val="000C604F"/>
    <w:rsid w:val="000C65A0"/>
    <w:rsid w:val="000C6936"/>
    <w:rsid w:val="000C6E9F"/>
    <w:rsid w:val="000C76F8"/>
    <w:rsid w:val="000C776D"/>
    <w:rsid w:val="000C782D"/>
    <w:rsid w:val="000C7AE7"/>
    <w:rsid w:val="000C7F62"/>
    <w:rsid w:val="000D01AA"/>
    <w:rsid w:val="000D0A89"/>
    <w:rsid w:val="000D0ACF"/>
    <w:rsid w:val="000D0B77"/>
    <w:rsid w:val="000D0BB6"/>
    <w:rsid w:val="000D0C8D"/>
    <w:rsid w:val="000D1354"/>
    <w:rsid w:val="000D149C"/>
    <w:rsid w:val="000D1DEA"/>
    <w:rsid w:val="000D1EA8"/>
    <w:rsid w:val="000D2088"/>
    <w:rsid w:val="000D215E"/>
    <w:rsid w:val="000D224A"/>
    <w:rsid w:val="000D2311"/>
    <w:rsid w:val="000D2422"/>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C54"/>
    <w:rsid w:val="000D7E36"/>
    <w:rsid w:val="000E0210"/>
    <w:rsid w:val="000E1007"/>
    <w:rsid w:val="000E1757"/>
    <w:rsid w:val="000E1767"/>
    <w:rsid w:val="000E17A7"/>
    <w:rsid w:val="000E1940"/>
    <w:rsid w:val="000E1979"/>
    <w:rsid w:val="000E1A53"/>
    <w:rsid w:val="000E1B78"/>
    <w:rsid w:val="000E20EE"/>
    <w:rsid w:val="000E26C1"/>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2B2"/>
    <w:rsid w:val="000E6391"/>
    <w:rsid w:val="000E63B0"/>
    <w:rsid w:val="000E6774"/>
    <w:rsid w:val="000E6AA5"/>
    <w:rsid w:val="000E7041"/>
    <w:rsid w:val="000E7700"/>
    <w:rsid w:val="000E798E"/>
    <w:rsid w:val="000E7BAB"/>
    <w:rsid w:val="000E7F56"/>
    <w:rsid w:val="000F0293"/>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A1A"/>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6C6"/>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771"/>
    <w:rsid w:val="001178E4"/>
    <w:rsid w:val="00117AA2"/>
    <w:rsid w:val="00117CFD"/>
    <w:rsid w:val="0012020C"/>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FA3"/>
    <w:rsid w:val="00135080"/>
    <w:rsid w:val="001351C6"/>
    <w:rsid w:val="001356C7"/>
    <w:rsid w:val="0013601E"/>
    <w:rsid w:val="0013623B"/>
    <w:rsid w:val="00136497"/>
    <w:rsid w:val="001369BF"/>
    <w:rsid w:val="00136F29"/>
    <w:rsid w:val="00136F6F"/>
    <w:rsid w:val="00137D90"/>
    <w:rsid w:val="00140D09"/>
    <w:rsid w:val="001414E0"/>
    <w:rsid w:val="00141BD1"/>
    <w:rsid w:val="001423B0"/>
    <w:rsid w:val="00142B21"/>
    <w:rsid w:val="00142B86"/>
    <w:rsid w:val="00143228"/>
    <w:rsid w:val="001438E0"/>
    <w:rsid w:val="00143B25"/>
    <w:rsid w:val="00143D52"/>
    <w:rsid w:val="00143F85"/>
    <w:rsid w:val="001441DA"/>
    <w:rsid w:val="00144A22"/>
    <w:rsid w:val="00144C8A"/>
    <w:rsid w:val="001454EA"/>
    <w:rsid w:val="001455CC"/>
    <w:rsid w:val="00145604"/>
    <w:rsid w:val="0014616B"/>
    <w:rsid w:val="00147115"/>
    <w:rsid w:val="001471DD"/>
    <w:rsid w:val="0014740D"/>
    <w:rsid w:val="00147461"/>
    <w:rsid w:val="0014755D"/>
    <w:rsid w:val="001477CE"/>
    <w:rsid w:val="0014784F"/>
    <w:rsid w:val="001478AD"/>
    <w:rsid w:val="00147BCC"/>
    <w:rsid w:val="00147F4D"/>
    <w:rsid w:val="0015040C"/>
    <w:rsid w:val="00150B89"/>
    <w:rsid w:val="00150C35"/>
    <w:rsid w:val="00150ECB"/>
    <w:rsid w:val="00151316"/>
    <w:rsid w:val="0015167D"/>
    <w:rsid w:val="001517E0"/>
    <w:rsid w:val="001519C7"/>
    <w:rsid w:val="00151DFB"/>
    <w:rsid w:val="00152123"/>
    <w:rsid w:val="0015233A"/>
    <w:rsid w:val="00152611"/>
    <w:rsid w:val="00152807"/>
    <w:rsid w:val="0015292E"/>
    <w:rsid w:val="00152BE0"/>
    <w:rsid w:val="00152C3D"/>
    <w:rsid w:val="00152ED6"/>
    <w:rsid w:val="00152FED"/>
    <w:rsid w:val="00153AA7"/>
    <w:rsid w:val="00153CA7"/>
    <w:rsid w:val="00153D48"/>
    <w:rsid w:val="00154A35"/>
    <w:rsid w:val="00154A9A"/>
    <w:rsid w:val="001550A3"/>
    <w:rsid w:val="0015510B"/>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EA4"/>
    <w:rsid w:val="0016108C"/>
    <w:rsid w:val="001610AC"/>
    <w:rsid w:val="00161391"/>
    <w:rsid w:val="00161616"/>
    <w:rsid w:val="00161DCE"/>
    <w:rsid w:val="00161EE5"/>
    <w:rsid w:val="001620CB"/>
    <w:rsid w:val="001625EC"/>
    <w:rsid w:val="00162780"/>
    <w:rsid w:val="00162999"/>
    <w:rsid w:val="0016344A"/>
    <w:rsid w:val="00163983"/>
    <w:rsid w:val="00163E35"/>
    <w:rsid w:val="00164202"/>
    <w:rsid w:val="00164B4B"/>
    <w:rsid w:val="00164ECE"/>
    <w:rsid w:val="001652C2"/>
    <w:rsid w:val="0016534B"/>
    <w:rsid w:val="001654B0"/>
    <w:rsid w:val="001654BD"/>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DC9"/>
    <w:rsid w:val="00171335"/>
    <w:rsid w:val="0017181D"/>
    <w:rsid w:val="00171A05"/>
    <w:rsid w:val="00171D48"/>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45D"/>
    <w:rsid w:val="0017672A"/>
    <w:rsid w:val="00176738"/>
    <w:rsid w:val="00176E42"/>
    <w:rsid w:val="00176E9A"/>
    <w:rsid w:val="001775AD"/>
    <w:rsid w:val="0017771D"/>
    <w:rsid w:val="001777D5"/>
    <w:rsid w:val="001777E9"/>
    <w:rsid w:val="001778D0"/>
    <w:rsid w:val="00177B6B"/>
    <w:rsid w:val="00177D12"/>
    <w:rsid w:val="001807C0"/>
    <w:rsid w:val="00180935"/>
    <w:rsid w:val="00180A23"/>
    <w:rsid w:val="00180B76"/>
    <w:rsid w:val="00180BE8"/>
    <w:rsid w:val="001811DE"/>
    <w:rsid w:val="001818CC"/>
    <w:rsid w:val="00181B43"/>
    <w:rsid w:val="00182487"/>
    <w:rsid w:val="001826CB"/>
    <w:rsid w:val="001827AC"/>
    <w:rsid w:val="00182899"/>
    <w:rsid w:val="00182ABA"/>
    <w:rsid w:val="001831E8"/>
    <w:rsid w:val="001832B0"/>
    <w:rsid w:val="0018349C"/>
    <w:rsid w:val="00183562"/>
    <w:rsid w:val="00183649"/>
    <w:rsid w:val="00183970"/>
    <w:rsid w:val="00183C19"/>
    <w:rsid w:val="001843C4"/>
    <w:rsid w:val="00184519"/>
    <w:rsid w:val="001845F7"/>
    <w:rsid w:val="0018478E"/>
    <w:rsid w:val="00184A83"/>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0DC"/>
    <w:rsid w:val="00194995"/>
    <w:rsid w:val="00194FCC"/>
    <w:rsid w:val="00195476"/>
    <w:rsid w:val="00195CD2"/>
    <w:rsid w:val="00195F54"/>
    <w:rsid w:val="00196167"/>
    <w:rsid w:val="0019620C"/>
    <w:rsid w:val="0019627C"/>
    <w:rsid w:val="00196526"/>
    <w:rsid w:val="00196594"/>
    <w:rsid w:val="00196963"/>
    <w:rsid w:val="00196B93"/>
    <w:rsid w:val="00196BA3"/>
    <w:rsid w:val="001970F9"/>
    <w:rsid w:val="00197350"/>
    <w:rsid w:val="00197BC3"/>
    <w:rsid w:val="00197DCD"/>
    <w:rsid w:val="001A0968"/>
    <w:rsid w:val="001A0F0C"/>
    <w:rsid w:val="001A1720"/>
    <w:rsid w:val="001A192B"/>
    <w:rsid w:val="001A2109"/>
    <w:rsid w:val="001A2466"/>
    <w:rsid w:val="001A26F5"/>
    <w:rsid w:val="001A27E6"/>
    <w:rsid w:val="001A2DDC"/>
    <w:rsid w:val="001A2F36"/>
    <w:rsid w:val="001A372B"/>
    <w:rsid w:val="001A3771"/>
    <w:rsid w:val="001A3991"/>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110"/>
    <w:rsid w:val="001B0511"/>
    <w:rsid w:val="001B08B5"/>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6A8"/>
    <w:rsid w:val="001B782D"/>
    <w:rsid w:val="001C00F2"/>
    <w:rsid w:val="001C05BE"/>
    <w:rsid w:val="001C0963"/>
    <w:rsid w:val="001C09D9"/>
    <w:rsid w:val="001C0F77"/>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112B"/>
    <w:rsid w:val="001D11B3"/>
    <w:rsid w:val="001D19A8"/>
    <w:rsid w:val="001D240E"/>
    <w:rsid w:val="001D26ED"/>
    <w:rsid w:val="001D28B3"/>
    <w:rsid w:val="001D2D33"/>
    <w:rsid w:val="001D3397"/>
    <w:rsid w:val="001D33AD"/>
    <w:rsid w:val="001D3D79"/>
    <w:rsid w:val="001D5257"/>
    <w:rsid w:val="001D5280"/>
    <w:rsid w:val="001D5963"/>
    <w:rsid w:val="001D5CAD"/>
    <w:rsid w:val="001D5D71"/>
    <w:rsid w:val="001D62F5"/>
    <w:rsid w:val="001D638B"/>
    <w:rsid w:val="001D6488"/>
    <w:rsid w:val="001D6CCE"/>
    <w:rsid w:val="001D6DFA"/>
    <w:rsid w:val="001D7159"/>
    <w:rsid w:val="001D716F"/>
    <w:rsid w:val="001D7798"/>
    <w:rsid w:val="001D79EF"/>
    <w:rsid w:val="001E004B"/>
    <w:rsid w:val="001E0741"/>
    <w:rsid w:val="001E0916"/>
    <w:rsid w:val="001E1901"/>
    <w:rsid w:val="001E19D3"/>
    <w:rsid w:val="001E1B66"/>
    <w:rsid w:val="001E1F97"/>
    <w:rsid w:val="001E22DD"/>
    <w:rsid w:val="001E23D1"/>
    <w:rsid w:val="001E2428"/>
    <w:rsid w:val="001E252F"/>
    <w:rsid w:val="001E26BD"/>
    <w:rsid w:val="001E2908"/>
    <w:rsid w:val="001E2A8E"/>
    <w:rsid w:val="001E38A8"/>
    <w:rsid w:val="001E3982"/>
    <w:rsid w:val="001E4014"/>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4E7"/>
    <w:rsid w:val="00202046"/>
    <w:rsid w:val="00202576"/>
    <w:rsid w:val="00202966"/>
    <w:rsid w:val="00202A9E"/>
    <w:rsid w:val="00202AA8"/>
    <w:rsid w:val="00202D81"/>
    <w:rsid w:val="00202DC0"/>
    <w:rsid w:val="00202E80"/>
    <w:rsid w:val="00202EB6"/>
    <w:rsid w:val="00203B02"/>
    <w:rsid w:val="00203F82"/>
    <w:rsid w:val="00204026"/>
    <w:rsid w:val="002048BC"/>
    <w:rsid w:val="002051EE"/>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839"/>
    <w:rsid w:val="00217BBD"/>
    <w:rsid w:val="0022067E"/>
    <w:rsid w:val="002208DA"/>
    <w:rsid w:val="00221197"/>
    <w:rsid w:val="0022195B"/>
    <w:rsid w:val="00221B1E"/>
    <w:rsid w:val="0022224C"/>
    <w:rsid w:val="00222392"/>
    <w:rsid w:val="002223C1"/>
    <w:rsid w:val="002224C1"/>
    <w:rsid w:val="00222D4A"/>
    <w:rsid w:val="0022389B"/>
    <w:rsid w:val="002240C5"/>
    <w:rsid w:val="002244A6"/>
    <w:rsid w:val="0022463E"/>
    <w:rsid w:val="002246A6"/>
    <w:rsid w:val="002256E4"/>
    <w:rsid w:val="00225A3B"/>
    <w:rsid w:val="00225A8C"/>
    <w:rsid w:val="00225B90"/>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B4F"/>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B0"/>
    <w:rsid w:val="00243BD2"/>
    <w:rsid w:val="00243D63"/>
    <w:rsid w:val="0024401F"/>
    <w:rsid w:val="00244225"/>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B4D"/>
    <w:rsid w:val="00250386"/>
    <w:rsid w:val="00250A38"/>
    <w:rsid w:val="00250BFD"/>
    <w:rsid w:val="00250C60"/>
    <w:rsid w:val="0025106D"/>
    <w:rsid w:val="002513AE"/>
    <w:rsid w:val="002516D5"/>
    <w:rsid w:val="00251CAD"/>
    <w:rsid w:val="00251CFF"/>
    <w:rsid w:val="00251FB0"/>
    <w:rsid w:val="002521E1"/>
    <w:rsid w:val="002527A2"/>
    <w:rsid w:val="0025309F"/>
    <w:rsid w:val="002530F3"/>
    <w:rsid w:val="002535CE"/>
    <w:rsid w:val="00253724"/>
    <w:rsid w:val="00254114"/>
    <w:rsid w:val="00254247"/>
    <w:rsid w:val="002542B2"/>
    <w:rsid w:val="0025447C"/>
    <w:rsid w:val="00254681"/>
    <w:rsid w:val="00254AB7"/>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A28"/>
    <w:rsid w:val="00267A7C"/>
    <w:rsid w:val="00267B57"/>
    <w:rsid w:val="00267F66"/>
    <w:rsid w:val="00270169"/>
    <w:rsid w:val="002702D2"/>
    <w:rsid w:val="00270370"/>
    <w:rsid w:val="002708A2"/>
    <w:rsid w:val="00270E19"/>
    <w:rsid w:val="0027170E"/>
    <w:rsid w:val="00271B4D"/>
    <w:rsid w:val="00272164"/>
    <w:rsid w:val="00272499"/>
    <w:rsid w:val="00272623"/>
    <w:rsid w:val="00272960"/>
    <w:rsid w:val="00272A65"/>
    <w:rsid w:val="00272DBE"/>
    <w:rsid w:val="0027304A"/>
    <w:rsid w:val="0027304D"/>
    <w:rsid w:val="00273102"/>
    <w:rsid w:val="0027349A"/>
    <w:rsid w:val="00273CB2"/>
    <w:rsid w:val="002742FE"/>
    <w:rsid w:val="00274C4D"/>
    <w:rsid w:val="00274EFA"/>
    <w:rsid w:val="00275025"/>
    <w:rsid w:val="0027596A"/>
    <w:rsid w:val="002759C0"/>
    <w:rsid w:val="00275B68"/>
    <w:rsid w:val="00275C43"/>
    <w:rsid w:val="00275D7A"/>
    <w:rsid w:val="00275F9E"/>
    <w:rsid w:val="002761BD"/>
    <w:rsid w:val="0027652E"/>
    <w:rsid w:val="00276884"/>
    <w:rsid w:val="002772AF"/>
    <w:rsid w:val="0027780B"/>
    <w:rsid w:val="00277A86"/>
    <w:rsid w:val="002809DD"/>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BC"/>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0C"/>
    <w:rsid w:val="00285DF6"/>
    <w:rsid w:val="00286154"/>
    <w:rsid w:val="0028670B"/>
    <w:rsid w:val="00286894"/>
    <w:rsid w:val="00286B1C"/>
    <w:rsid w:val="00286DCB"/>
    <w:rsid w:val="00286EBE"/>
    <w:rsid w:val="00286FB0"/>
    <w:rsid w:val="0028718B"/>
    <w:rsid w:val="00287699"/>
    <w:rsid w:val="0028783E"/>
    <w:rsid w:val="0029008E"/>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4EB5"/>
    <w:rsid w:val="00295274"/>
    <w:rsid w:val="002958DE"/>
    <w:rsid w:val="00295B70"/>
    <w:rsid w:val="00295EEF"/>
    <w:rsid w:val="002963DD"/>
    <w:rsid w:val="0029648D"/>
    <w:rsid w:val="00296F47"/>
    <w:rsid w:val="00297289"/>
    <w:rsid w:val="00297514"/>
    <w:rsid w:val="0029799C"/>
    <w:rsid w:val="00297ECD"/>
    <w:rsid w:val="002A04E2"/>
    <w:rsid w:val="002A06E7"/>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7C3"/>
    <w:rsid w:val="002A79D9"/>
    <w:rsid w:val="002A7BAF"/>
    <w:rsid w:val="002A7BBD"/>
    <w:rsid w:val="002B05A8"/>
    <w:rsid w:val="002B0D6E"/>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43B3"/>
    <w:rsid w:val="002B4C0E"/>
    <w:rsid w:val="002B4FAD"/>
    <w:rsid w:val="002B538D"/>
    <w:rsid w:val="002B5B61"/>
    <w:rsid w:val="002B5CA1"/>
    <w:rsid w:val="002B6031"/>
    <w:rsid w:val="002B6699"/>
    <w:rsid w:val="002B6716"/>
    <w:rsid w:val="002B6EFD"/>
    <w:rsid w:val="002B6F33"/>
    <w:rsid w:val="002B79F0"/>
    <w:rsid w:val="002B7B8A"/>
    <w:rsid w:val="002B7C96"/>
    <w:rsid w:val="002B7F3E"/>
    <w:rsid w:val="002B7F9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100C"/>
    <w:rsid w:val="002D19F3"/>
    <w:rsid w:val="002D1B36"/>
    <w:rsid w:val="002D1B96"/>
    <w:rsid w:val="002D2270"/>
    <w:rsid w:val="002D2E4C"/>
    <w:rsid w:val="002D2EC4"/>
    <w:rsid w:val="002D319A"/>
    <w:rsid w:val="002D32AF"/>
    <w:rsid w:val="002D3306"/>
    <w:rsid w:val="002D3568"/>
    <w:rsid w:val="002D37C1"/>
    <w:rsid w:val="002D4074"/>
    <w:rsid w:val="002D42F1"/>
    <w:rsid w:val="002D4487"/>
    <w:rsid w:val="002D4830"/>
    <w:rsid w:val="002D4A0A"/>
    <w:rsid w:val="002D4A43"/>
    <w:rsid w:val="002D5041"/>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4FF"/>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BB9"/>
    <w:rsid w:val="002E611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A93"/>
    <w:rsid w:val="002F3AFA"/>
    <w:rsid w:val="002F4355"/>
    <w:rsid w:val="002F4444"/>
    <w:rsid w:val="002F4777"/>
    <w:rsid w:val="002F4BEA"/>
    <w:rsid w:val="002F54B6"/>
    <w:rsid w:val="002F5629"/>
    <w:rsid w:val="002F5674"/>
    <w:rsid w:val="002F65E5"/>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94F"/>
    <w:rsid w:val="00302E5E"/>
    <w:rsid w:val="00302EA1"/>
    <w:rsid w:val="00303249"/>
    <w:rsid w:val="003038DB"/>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2A0"/>
    <w:rsid w:val="00305BCF"/>
    <w:rsid w:val="0030615E"/>
    <w:rsid w:val="003066E9"/>
    <w:rsid w:val="00306D6D"/>
    <w:rsid w:val="00307448"/>
    <w:rsid w:val="00307678"/>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8A"/>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676"/>
    <w:rsid w:val="00316769"/>
    <w:rsid w:val="00317101"/>
    <w:rsid w:val="0032006F"/>
    <w:rsid w:val="003200E3"/>
    <w:rsid w:val="003201A1"/>
    <w:rsid w:val="00320747"/>
    <w:rsid w:val="00320832"/>
    <w:rsid w:val="00320FD1"/>
    <w:rsid w:val="00321109"/>
    <w:rsid w:val="0032124F"/>
    <w:rsid w:val="00321560"/>
    <w:rsid w:val="00321690"/>
    <w:rsid w:val="00321758"/>
    <w:rsid w:val="00321823"/>
    <w:rsid w:val="00321BDA"/>
    <w:rsid w:val="003226B9"/>
    <w:rsid w:val="00322E12"/>
    <w:rsid w:val="0032358B"/>
    <w:rsid w:val="003238F4"/>
    <w:rsid w:val="00323D94"/>
    <w:rsid w:val="00323FC4"/>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102E"/>
    <w:rsid w:val="0033137B"/>
    <w:rsid w:val="00331401"/>
    <w:rsid w:val="00331CEE"/>
    <w:rsid w:val="00332344"/>
    <w:rsid w:val="00332372"/>
    <w:rsid w:val="0033289C"/>
    <w:rsid w:val="00332CF5"/>
    <w:rsid w:val="00332F67"/>
    <w:rsid w:val="0033312E"/>
    <w:rsid w:val="00333234"/>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407E4"/>
    <w:rsid w:val="0034081B"/>
    <w:rsid w:val="00340C0A"/>
    <w:rsid w:val="00340EBD"/>
    <w:rsid w:val="00341296"/>
    <w:rsid w:val="00341557"/>
    <w:rsid w:val="003416A0"/>
    <w:rsid w:val="00341833"/>
    <w:rsid w:val="00341A29"/>
    <w:rsid w:val="00341EDD"/>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C66"/>
    <w:rsid w:val="0034714F"/>
    <w:rsid w:val="003477AD"/>
    <w:rsid w:val="0034797B"/>
    <w:rsid w:val="00347BE5"/>
    <w:rsid w:val="00347D85"/>
    <w:rsid w:val="003505D2"/>
    <w:rsid w:val="003507DD"/>
    <w:rsid w:val="00350B03"/>
    <w:rsid w:val="00350C0E"/>
    <w:rsid w:val="00350C95"/>
    <w:rsid w:val="00351124"/>
    <w:rsid w:val="00351347"/>
    <w:rsid w:val="00351632"/>
    <w:rsid w:val="0035167A"/>
    <w:rsid w:val="00351831"/>
    <w:rsid w:val="003522E0"/>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660"/>
    <w:rsid w:val="00362FD3"/>
    <w:rsid w:val="003639FB"/>
    <w:rsid w:val="00363BF7"/>
    <w:rsid w:val="00364264"/>
    <w:rsid w:val="00364D9D"/>
    <w:rsid w:val="003650F3"/>
    <w:rsid w:val="003652B9"/>
    <w:rsid w:val="0036601F"/>
    <w:rsid w:val="0036633A"/>
    <w:rsid w:val="0036695B"/>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65B"/>
    <w:rsid w:val="00381750"/>
    <w:rsid w:val="003819A5"/>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562"/>
    <w:rsid w:val="003856BD"/>
    <w:rsid w:val="00386DDB"/>
    <w:rsid w:val="00387553"/>
    <w:rsid w:val="0038792E"/>
    <w:rsid w:val="0038797A"/>
    <w:rsid w:val="00387A4A"/>
    <w:rsid w:val="00391078"/>
    <w:rsid w:val="0039121A"/>
    <w:rsid w:val="003921CD"/>
    <w:rsid w:val="00392270"/>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679"/>
    <w:rsid w:val="003957BB"/>
    <w:rsid w:val="003962CD"/>
    <w:rsid w:val="003963FF"/>
    <w:rsid w:val="003965C0"/>
    <w:rsid w:val="00396894"/>
    <w:rsid w:val="00396935"/>
    <w:rsid w:val="00396997"/>
    <w:rsid w:val="00396A4C"/>
    <w:rsid w:val="00396E67"/>
    <w:rsid w:val="0039743E"/>
    <w:rsid w:val="00397A8D"/>
    <w:rsid w:val="00397CAC"/>
    <w:rsid w:val="00397D16"/>
    <w:rsid w:val="003A0403"/>
    <w:rsid w:val="003A0D0B"/>
    <w:rsid w:val="003A1301"/>
    <w:rsid w:val="003A1EE5"/>
    <w:rsid w:val="003A27BB"/>
    <w:rsid w:val="003A280A"/>
    <w:rsid w:val="003A2FE5"/>
    <w:rsid w:val="003A31F5"/>
    <w:rsid w:val="003A35D6"/>
    <w:rsid w:val="003A43CA"/>
    <w:rsid w:val="003A4473"/>
    <w:rsid w:val="003A4780"/>
    <w:rsid w:val="003A4E51"/>
    <w:rsid w:val="003A5077"/>
    <w:rsid w:val="003A5614"/>
    <w:rsid w:val="003A56A1"/>
    <w:rsid w:val="003A5BC5"/>
    <w:rsid w:val="003A5C82"/>
    <w:rsid w:val="003A5CF2"/>
    <w:rsid w:val="003A5D19"/>
    <w:rsid w:val="003A5E4A"/>
    <w:rsid w:val="003A5F4E"/>
    <w:rsid w:val="003A6A4E"/>
    <w:rsid w:val="003A6DDA"/>
    <w:rsid w:val="003A72FF"/>
    <w:rsid w:val="003A782B"/>
    <w:rsid w:val="003B03BF"/>
    <w:rsid w:val="003B0E9B"/>
    <w:rsid w:val="003B1620"/>
    <w:rsid w:val="003B1661"/>
    <w:rsid w:val="003B1919"/>
    <w:rsid w:val="003B2A09"/>
    <w:rsid w:val="003B2E43"/>
    <w:rsid w:val="003B2FCF"/>
    <w:rsid w:val="003B317B"/>
    <w:rsid w:val="003B3EC4"/>
    <w:rsid w:val="003B3FD2"/>
    <w:rsid w:val="003B4059"/>
    <w:rsid w:val="003B4407"/>
    <w:rsid w:val="003B440E"/>
    <w:rsid w:val="003B453B"/>
    <w:rsid w:val="003B4646"/>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ECC"/>
    <w:rsid w:val="003B7F41"/>
    <w:rsid w:val="003C0183"/>
    <w:rsid w:val="003C0B0E"/>
    <w:rsid w:val="003C1054"/>
    <w:rsid w:val="003C175D"/>
    <w:rsid w:val="003C1CFB"/>
    <w:rsid w:val="003C2577"/>
    <w:rsid w:val="003C285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529F"/>
    <w:rsid w:val="003C5FC9"/>
    <w:rsid w:val="003C63D3"/>
    <w:rsid w:val="003C7449"/>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D7F49"/>
    <w:rsid w:val="003E01B9"/>
    <w:rsid w:val="003E0352"/>
    <w:rsid w:val="003E05BD"/>
    <w:rsid w:val="003E0976"/>
    <w:rsid w:val="003E0A15"/>
    <w:rsid w:val="003E0C71"/>
    <w:rsid w:val="003E0C99"/>
    <w:rsid w:val="003E10AF"/>
    <w:rsid w:val="003E10F4"/>
    <w:rsid w:val="003E14BE"/>
    <w:rsid w:val="003E182D"/>
    <w:rsid w:val="003E1937"/>
    <w:rsid w:val="003E1AFB"/>
    <w:rsid w:val="003E213F"/>
    <w:rsid w:val="003E26B2"/>
    <w:rsid w:val="003E2B86"/>
    <w:rsid w:val="003E3046"/>
    <w:rsid w:val="003E3205"/>
    <w:rsid w:val="003E32E1"/>
    <w:rsid w:val="003E32FE"/>
    <w:rsid w:val="003E345C"/>
    <w:rsid w:val="003E3615"/>
    <w:rsid w:val="003E3F41"/>
    <w:rsid w:val="003E50A1"/>
    <w:rsid w:val="003E5127"/>
    <w:rsid w:val="003E536E"/>
    <w:rsid w:val="003E542F"/>
    <w:rsid w:val="003E569A"/>
    <w:rsid w:val="003E592F"/>
    <w:rsid w:val="003E5F33"/>
    <w:rsid w:val="003E6615"/>
    <w:rsid w:val="003E694D"/>
    <w:rsid w:val="003E6CD0"/>
    <w:rsid w:val="003E74C3"/>
    <w:rsid w:val="003E79F9"/>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6FE"/>
    <w:rsid w:val="003F2A44"/>
    <w:rsid w:val="003F2ABB"/>
    <w:rsid w:val="003F2C11"/>
    <w:rsid w:val="003F301F"/>
    <w:rsid w:val="003F3377"/>
    <w:rsid w:val="003F33B7"/>
    <w:rsid w:val="003F3418"/>
    <w:rsid w:val="003F37FD"/>
    <w:rsid w:val="003F3854"/>
    <w:rsid w:val="003F39AE"/>
    <w:rsid w:val="003F3A52"/>
    <w:rsid w:val="003F3EF1"/>
    <w:rsid w:val="003F45B2"/>
    <w:rsid w:val="003F4679"/>
    <w:rsid w:val="003F4B62"/>
    <w:rsid w:val="003F59F4"/>
    <w:rsid w:val="003F5B16"/>
    <w:rsid w:val="003F5CD7"/>
    <w:rsid w:val="003F5CD8"/>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51E"/>
    <w:rsid w:val="00403882"/>
    <w:rsid w:val="004038AD"/>
    <w:rsid w:val="00403A03"/>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4334"/>
    <w:rsid w:val="00414336"/>
    <w:rsid w:val="00414665"/>
    <w:rsid w:val="00414673"/>
    <w:rsid w:val="0041473B"/>
    <w:rsid w:val="0041478B"/>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D0A"/>
    <w:rsid w:val="00424E79"/>
    <w:rsid w:val="00424FA9"/>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785"/>
    <w:rsid w:val="00431B17"/>
    <w:rsid w:val="00432048"/>
    <w:rsid w:val="004323EB"/>
    <w:rsid w:val="0043246D"/>
    <w:rsid w:val="00432540"/>
    <w:rsid w:val="00432D78"/>
    <w:rsid w:val="00432E48"/>
    <w:rsid w:val="00432ED2"/>
    <w:rsid w:val="004332B3"/>
    <w:rsid w:val="00433469"/>
    <w:rsid w:val="00433529"/>
    <w:rsid w:val="0043362C"/>
    <w:rsid w:val="00433C2A"/>
    <w:rsid w:val="00433F36"/>
    <w:rsid w:val="00433FEE"/>
    <w:rsid w:val="004341D7"/>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46"/>
    <w:rsid w:val="00440360"/>
    <w:rsid w:val="004403F7"/>
    <w:rsid w:val="00440C8C"/>
    <w:rsid w:val="004412FA"/>
    <w:rsid w:val="0044167F"/>
    <w:rsid w:val="004418E1"/>
    <w:rsid w:val="00441CBC"/>
    <w:rsid w:val="00441F98"/>
    <w:rsid w:val="0044207C"/>
    <w:rsid w:val="0044225C"/>
    <w:rsid w:val="00442E9B"/>
    <w:rsid w:val="004438E4"/>
    <w:rsid w:val="00443B94"/>
    <w:rsid w:val="00443E1F"/>
    <w:rsid w:val="00443EC1"/>
    <w:rsid w:val="0044403E"/>
    <w:rsid w:val="004441D6"/>
    <w:rsid w:val="00444240"/>
    <w:rsid w:val="004443E1"/>
    <w:rsid w:val="0044566E"/>
    <w:rsid w:val="00446A96"/>
    <w:rsid w:val="00446C68"/>
    <w:rsid w:val="00446D05"/>
    <w:rsid w:val="00446F26"/>
    <w:rsid w:val="0044756C"/>
    <w:rsid w:val="00447666"/>
    <w:rsid w:val="00447725"/>
    <w:rsid w:val="004477FF"/>
    <w:rsid w:val="00447AC9"/>
    <w:rsid w:val="00447CE7"/>
    <w:rsid w:val="00447D1A"/>
    <w:rsid w:val="00447D60"/>
    <w:rsid w:val="00450284"/>
    <w:rsid w:val="004502B2"/>
    <w:rsid w:val="00450452"/>
    <w:rsid w:val="0045047E"/>
    <w:rsid w:val="0045049A"/>
    <w:rsid w:val="004504E9"/>
    <w:rsid w:val="00450CD9"/>
    <w:rsid w:val="00451433"/>
    <w:rsid w:val="00451970"/>
    <w:rsid w:val="00451E80"/>
    <w:rsid w:val="00452434"/>
    <w:rsid w:val="00452631"/>
    <w:rsid w:val="00452EAE"/>
    <w:rsid w:val="00452EF2"/>
    <w:rsid w:val="00452FEC"/>
    <w:rsid w:val="00453264"/>
    <w:rsid w:val="0045350E"/>
    <w:rsid w:val="0045402E"/>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CDE"/>
    <w:rsid w:val="00462036"/>
    <w:rsid w:val="0046222A"/>
    <w:rsid w:val="00462914"/>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D65"/>
    <w:rsid w:val="00465E91"/>
    <w:rsid w:val="00466750"/>
    <w:rsid w:val="00466805"/>
    <w:rsid w:val="0046685B"/>
    <w:rsid w:val="00466FC4"/>
    <w:rsid w:val="004670A0"/>
    <w:rsid w:val="0046770A"/>
    <w:rsid w:val="00467A5C"/>
    <w:rsid w:val="00467ABD"/>
    <w:rsid w:val="00467E2B"/>
    <w:rsid w:val="00470BAE"/>
    <w:rsid w:val="00471411"/>
    <w:rsid w:val="00471956"/>
    <w:rsid w:val="00471C26"/>
    <w:rsid w:val="00471D36"/>
    <w:rsid w:val="00471DEC"/>
    <w:rsid w:val="00472461"/>
    <w:rsid w:val="004724BE"/>
    <w:rsid w:val="004727AD"/>
    <w:rsid w:val="00472B98"/>
    <w:rsid w:val="00472DEE"/>
    <w:rsid w:val="00473141"/>
    <w:rsid w:val="004732CA"/>
    <w:rsid w:val="00473C3D"/>
    <w:rsid w:val="00473EBA"/>
    <w:rsid w:val="00474445"/>
    <w:rsid w:val="0047451E"/>
    <w:rsid w:val="00474835"/>
    <w:rsid w:val="00474EA2"/>
    <w:rsid w:val="00475B95"/>
    <w:rsid w:val="00475BFE"/>
    <w:rsid w:val="00475C23"/>
    <w:rsid w:val="00475C50"/>
    <w:rsid w:val="004762F3"/>
    <w:rsid w:val="00477042"/>
    <w:rsid w:val="0047711B"/>
    <w:rsid w:val="00477404"/>
    <w:rsid w:val="00477612"/>
    <w:rsid w:val="00477AD8"/>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3217"/>
    <w:rsid w:val="0048347E"/>
    <w:rsid w:val="00483A69"/>
    <w:rsid w:val="00484AA6"/>
    <w:rsid w:val="00484D05"/>
    <w:rsid w:val="00485301"/>
    <w:rsid w:val="00485601"/>
    <w:rsid w:val="00485612"/>
    <w:rsid w:val="00485A0F"/>
    <w:rsid w:val="00485DD4"/>
    <w:rsid w:val="00485F13"/>
    <w:rsid w:val="00486093"/>
    <w:rsid w:val="0048632D"/>
    <w:rsid w:val="00486E2E"/>
    <w:rsid w:val="0048701F"/>
    <w:rsid w:val="00487498"/>
    <w:rsid w:val="00487D40"/>
    <w:rsid w:val="004902A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3021"/>
    <w:rsid w:val="00493277"/>
    <w:rsid w:val="004935ED"/>
    <w:rsid w:val="00493631"/>
    <w:rsid w:val="00493BE7"/>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3B3"/>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33D"/>
    <w:rsid w:val="004B370E"/>
    <w:rsid w:val="004B37D3"/>
    <w:rsid w:val="004B3804"/>
    <w:rsid w:val="004B3B67"/>
    <w:rsid w:val="004B3BF2"/>
    <w:rsid w:val="004B3E57"/>
    <w:rsid w:val="004B4507"/>
    <w:rsid w:val="004B46BB"/>
    <w:rsid w:val="004B4928"/>
    <w:rsid w:val="004B545E"/>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60F"/>
    <w:rsid w:val="004C1CB5"/>
    <w:rsid w:val="004C29CF"/>
    <w:rsid w:val="004C2DEE"/>
    <w:rsid w:val="004C30EF"/>
    <w:rsid w:val="004C37DA"/>
    <w:rsid w:val="004C3B79"/>
    <w:rsid w:val="004C4088"/>
    <w:rsid w:val="004C433E"/>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D58"/>
    <w:rsid w:val="004D075D"/>
    <w:rsid w:val="004D07EB"/>
    <w:rsid w:val="004D0A49"/>
    <w:rsid w:val="004D0B88"/>
    <w:rsid w:val="004D0C27"/>
    <w:rsid w:val="004D0D2B"/>
    <w:rsid w:val="004D0DFB"/>
    <w:rsid w:val="004D1AB3"/>
    <w:rsid w:val="004D1C23"/>
    <w:rsid w:val="004D1C82"/>
    <w:rsid w:val="004D210D"/>
    <w:rsid w:val="004D228F"/>
    <w:rsid w:val="004D2819"/>
    <w:rsid w:val="004D281A"/>
    <w:rsid w:val="004D2B7A"/>
    <w:rsid w:val="004D2E82"/>
    <w:rsid w:val="004D2F55"/>
    <w:rsid w:val="004D3041"/>
    <w:rsid w:val="004D31E0"/>
    <w:rsid w:val="004D3287"/>
    <w:rsid w:val="004D3462"/>
    <w:rsid w:val="004D34A9"/>
    <w:rsid w:val="004D3571"/>
    <w:rsid w:val="004D3F61"/>
    <w:rsid w:val="004D479B"/>
    <w:rsid w:val="004D48FD"/>
    <w:rsid w:val="004D4CF4"/>
    <w:rsid w:val="004D4E8E"/>
    <w:rsid w:val="004D55D1"/>
    <w:rsid w:val="004D56AB"/>
    <w:rsid w:val="004D6797"/>
    <w:rsid w:val="004D693C"/>
    <w:rsid w:val="004D6EF5"/>
    <w:rsid w:val="004D7100"/>
    <w:rsid w:val="004D7660"/>
    <w:rsid w:val="004D76E1"/>
    <w:rsid w:val="004D7E55"/>
    <w:rsid w:val="004E094F"/>
    <w:rsid w:val="004E0B48"/>
    <w:rsid w:val="004E10E4"/>
    <w:rsid w:val="004E1357"/>
    <w:rsid w:val="004E186D"/>
    <w:rsid w:val="004E269F"/>
    <w:rsid w:val="004E2879"/>
    <w:rsid w:val="004E3A95"/>
    <w:rsid w:val="004E3B79"/>
    <w:rsid w:val="004E406C"/>
    <w:rsid w:val="004E420A"/>
    <w:rsid w:val="004E4825"/>
    <w:rsid w:val="004E4899"/>
    <w:rsid w:val="004E4AAD"/>
    <w:rsid w:val="004E513E"/>
    <w:rsid w:val="004E552E"/>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A8E"/>
    <w:rsid w:val="004F3B60"/>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344"/>
    <w:rsid w:val="00503618"/>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C48"/>
    <w:rsid w:val="00511CE8"/>
    <w:rsid w:val="00511D3F"/>
    <w:rsid w:val="00511D63"/>
    <w:rsid w:val="00512025"/>
    <w:rsid w:val="005127C1"/>
    <w:rsid w:val="0051299B"/>
    <w:rsid w:val="00512BD8"/>
    <w:rsid w:val="00512CC3"/>
    <w:rsid w:val="0051339F"/>
    <w:rsid w:val="00513553"/>
    <w:rsid w:val="005138B1"/>
    <w:rsid w:val="00513DC7"/>
    <w:rsid w:val="00513E6D"/>
    <w:rsid w:val="00513F21"/>
    <w:rsid w:val="00514161"/>
    <w:rsid w:val="00514559"/>
    <w:rsid w:val="00514685"/>
    <w:rsid w:val="00514A33"/>
    <w:rsid w:val="00515380"/>
    <w:rsid w:val="005153F3"/>
    <w:rsid w:val="0051549E"/>
    <w:rsid w:val="005155DD"/>
    <w:rsid w:val="005155F1"/>
    <w:rsid w:val="00515A96"/>
    <w:rsid w:val="00515B60"/>
    <w:rsid w:val="00515DC1"/>
    <w:rsid w:val="00516118"/>
    <w:rsid w:val="0051639F"/>
    <w:rsid w:val="00516C18"/>
    <w:rsid w:val="005171F2"/>
    <w:rsid w:val="005176CA"/>
    <w:rsid w:val="0051783F"/>
    <w:rsid w:val="00517A74"/>
    <w:rsid w:val="00517B22"/>
    <w:rsid w:val="00520091"/>
    <w:rsid w:val="00520495"/>
    <w:rsid w:val="00520530"/>
    <w:rsid w:val="005206F3"/>
    <w:rsid w:val="00520D09"/>
    <w:rsid w:val="00520FFC"/>
    <w:rsid w:val="0052116B"/>
    <w:rsid w:val="00521244"/>
    <w:rsid w:val="005213EB"/>
    <w:rsid w:val="00521758"/>
    <w:rsid w:val="00521F7D"/>
    <w:rsid w:val="00522660"/>
    <w:rsid w:val="005226A7"/>
    <w:rsid w:val="005227A8"/>
    <w:rsid w:val="00522967"/>
    <w:rsid w:val="005235D1"/>
    <w:rsid w:val="005236C0"/>
    <w:rsid w:val="00523C7A"/>
    <w:rsid w:val="00523DCF"/>
    <w:rsid w:val="00524457"/>
    <w:rsid w:val="0052445F"/>
    <w:rsid w:val="005244E9"/>
    <w:rsid w:val="00524A7D"/>
    <w:rsid w:val="00524E4E"/>
    <w:rsid w:val="00525268"/>
    <w:rsid w:val="00525367"/>
    <w:rsid w:val="005253CA"/>
    <w:rsid w:val="005253FC"/>
    <w:rsid w:val="005256A7"/>
    <w:rsid w:val="005259C4"/>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CCE"/>
    <w:rsid w:val="00534D7D"/>
    <w:rsid w:val="005350DC"/>
    <w:rsid w:val="00535252"/>
    <w:rsid w:val="0053539E"/>
    <w:rsid w:val="00535812"/>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D62"/>
    <w:rsid w:val="00542E34"/>
    <w:rsid w:val="00543462"/>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010"/>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6013B"/>
    <w:rsid w:val="00560192"/>
    <w:rsid w:val="00560D8C"/>
    <w:rsid w:val="00561241"/>
    <w:rsid w:val="00561AB3"/>
    <w:rsid w:val="00562084"/>
    <w:rsid w:val="005623EA"/>
    <w:rsid w:val="005626AD"/>
    <w:rsid w:val="00562EA1"/>
    <w:rsid w:val="005630B7"/>
    <w:rsid w:val="005632E4"/>
    <w:rsid w:val="0056375B"/>
    <w:rsid w:val="00563A9D"/>
    <w:rsid w:val="00563DF2"/>
    <w:rsid w:val="00564369"/>
    <w:rsid w:val="0056440B"/>
    <w:rsid w:val="00564B82"/>
    <w:rsid w:val="00564C58"/>
    <w:rsid w:val="00565333"/>
    <w:rsid w:val="0056574F"/>
    <w:rsid w:val="005658BD"/>
    <w:rsid w:val="0056592C"/>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7F"/>
    <w:rsid w:val="0058013F"/>
    <w:rsid w:val="00580148"/>
    <w:rsid w:val="005801A4"/>
    <w:rsid w:val="00580A06"/>
    <w:rsid w:val="0058131B"/>
    <w:rsid w:val="005816FA"/>
    <w:rsid w:val="005818C7"/>
    <w:rsid w:val="0058211D"/>
    <w:rsid w:val="0058248A"/>
    <w:rsid w:val="005826EA"/>
    <w:rsid w:val="0058358D"/>
    <w:rsid w:val="0058385F"/>
    <w:rsid w:val="00583A33"/>
    <w:rsid w:val="00583CFD"/>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87C9C"/>
    <w:rsid w:val="0059013D"/>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146"/>
    <w:rsid w:val="005A1369"/>
    <w:rsid w:val="005A16FB"/>
    <w:rsid w:val="005A1986"/>
    <w:rsid w:val="005A1C71"/>
    <w:rsid w:val="005A2049"/>
    <w:rsid w:val="005A241E"/>
    <w:rsid w:val="005A27FB"/>
    <w:rsid w:val="005A28B4"/>
    <w:rsid w:val="005A2B06"/>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36E"/>
    <w:rsid w:val="005A5557"/>
    <w:rsid w:val="005A573A"/>
    <w:rsid w:val="005A61A7"/>
    <w:rsid w:val="005A61F3"/>
    <w:rsid w:val="005A6262"/>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7B8"/>
    <w:rsid w:val="005B1A25"/>
    <w:rsid w:val="005B1B3E"/>
    <w:rsid w:val="005B1BC4"/>
    <w:rsid w:val="005B1D50"/>
    <w:rsid w:val="005B2836"/>
    <w:rsid w:val="005B28A7"/>
    <w:rsid w:val="005B2C40"/>
    <w:rsid w:val="005B2D3D"/>
    <w:rsid w:val="005B3B14"/>
    <w:rsid w:val="005B3C66"/>
    <w:rsid w:val="005B3D11"/>
    <w:rsid w:val="005B411C"/>
    <w:rsid w:val="005B4BA3"/>
    <w:rsid w:val="005B4E4D"/>
    <w:rsid w:val="005B5100"/>
    <w:rsid w:val="005B5538"/>
    <w:rsid w:val="005B5D5F"/>
    <w:rsid w:val="005B63CD"/>
    <w:rsid w:val="005B6661"/>
    <w:rsid w:val="005B668D"/>
    <w:rsid w:val="005B6894"/>
    <w:rsid w:val="005B6AD2"/>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6EB"/>
    <w:rsid w:val="005C17A1"/>
    <w:rsid w:val="005C1815"/>
    <w:rsid w:val="005C1AEC"/>
    <w:rsid w:val="005C1FC1"/>
    <w:rsid w:val="005C27E3"/>
    <w:rsid w:val="005C33AA"/>
    <w:rsid w:val="005C37CB"/>
    <w:rsid w:val="005C3BE8"/>
    <w:rsid w:val="005C3EF8"/>
    <w:rsid w:val="005C3FE3"/>
    <w:rsid w:val="005C43CC"/>
    <w:rsid w:val="005C459C"/>
    <w:rsid w:val="005C475A"/>
    <w:rsid w:val="005C5AB2"/>
    <w:rsid w:val="005C5C95"/>
    <w:rsid w:val="005C614F"/>
    <w:rsid w:val="005C71FB"/>
    <w:rsid w:val="005C74C5"/>
    <w:rsid w:val="005C76CC"/>
    <w:rsid w:val="005C7775"/>
    <w:rsid w:val="005C7FCF"/>
    <w:rsid w:val="005D02FB"/>
    <w:rsid w:val="005D1457"/>
    <w:rsid w:val="005D14B9"/>
    <w:rsid w:val="005D1A9F"/>
    <w:rsid w:val="005D1C71"/>
    <w:rsid w:val="005D1D91"/>
    <w:rsid w:val="005D28CC"/>
    <w:rsid w:val="005D292F"/>
    <w:rsid w:val="005D2A87"/>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8E9"/>
    <w:rsid w:val="005D697E"/>
    <w:rsid w:val="005D7088"/>
    <w:rsid w:val="005D76AE"/>
    <w:rsid w:val="005D76DE"/>
    <w:rsid w:val="005D7713"/>
    <w:rsid w:val="005D777B"/>
    <w:rsid w:val="005D77DE"/>
    <w:rsid w:val="005D7B6E"/>
    <w:rsid w:val="005D7D29"/>
    <w:rsid w:val="005D7EBF"/>
    <w:rsid w:val="005E05A1"/>
    <w:rsid w:val="005E09E4"/>
    <w:rsid w:val="005E0D78"/>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F0616"/>
    <w:rsid w:val="005F0727"/>
    <w:rsid w:val="005F07DC"/>
    <w:rsid w:val="005F0C34"/>
    <w:rsid w:val="005F0EAB"/>
    <w:rsid w:val="005F0FB4"/>
    <w:rsid w:val="005F13BD"/>
    <w:rsid w:val="005F1859"/>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D47"/>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E4"/>
    <w:rsid w:val="00600754"/>
    <w:rsid w:val="0060119A"/>
    <w:rsid w:val="006022D0"/>
    <w:rsid w:val="0060251E"/>
    <w:rsid w:val="00602A68"/>
    <w:rsid w:val="00602DDE"/>
    <w:rsid w:val="00602E0C"/>
    <w:rsid w:val="0060339B"/>
    <w:rsid w:val="00603552"/>
    <w:rsid w:val="006046E4"/>
    <w:rsid w:val="00604BC5"/>
    <w:rsid w:val="00604D85"/>
    <w:rsid w:val="00605037"/>
    <w:rsid w:val="0060577C"/>
    <w:rsid w:val="006058B4"/>
    <w:rsid w:val="006059B6"/>
    <w:rsid w:val="00605D9C"/>
    <w:rsid w:val="00605E04"/>
    <w:rsid w:val="00605E0D"/>
    <w:rsid w:val="00605FFE"/>
    <w:rsid w:val="006063F2"/>
    <w:rsid w:val="0060650C"/>
    <w:rsid w:val="00606B37"/>
    <w:rsid w:val="00606FF6"/>
    <w:rsid w:val="00607252"/>
    <w:rsid w:val="00607624"/>
    <w:rsid w:val="00607C2E"/>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3A6"/>
    <w:rsid w:val="006134CA"/>
    <w:rsid w:val="006136FB"/>
    <w:rsid w:val="00613846"/>
    <w:rsid w:val="00613ECE"/>
    <w:rsid w:val="0061461E"/>
    <w:rsid w:val="00614646"/>
    <w:rsid w:val="006148C3"/>
    <w:rsid w:val="0061494C"/>
    <w:rsid w:val="00614B35"/>
    <w:rsid w:val="00614DE8"/>
    <w:rsid w:val="006152D6"/>
    <w:rsid w:val="006154EE"/>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2F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AC5"/>
    <w:rsid w:val="0064126C"/>
    <w:rsid w:val="006413AA"/>
    <w:rsid w:val="0064164B"/>
    <w:rsid w:val="006416D2"/>
    <w:rsid w:val="00641A83"/>
    <w:rsid w:val="00641D62"/>
    <w:rsid w:val="00641D96"/>
    <w:rsid w:val="006423AA"/>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47B43"/>
    <w:rsid w:val="00650100"/>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94F"/>
    <w:rsid w:val="00653B1B"/>
    <w:rsid w:val="006541F5"/>
    <w:rsid w:val="006543BA"/>
    <w:rsid w:val="00654926"/>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DB"/>
    <w:rsid w:val="006613C0"/>
    <w:rsid w:val="0066191E"/>
    <w:rsid w:val="0066194E"/>
    <w:rsid w:val="00661C46"/>
    <w:rsid w:val="0066202F"/>
    <w:rsid w:val="006622A8"/>
    <w:rsid w:val="006626BE"/>
    <w:rsid w:val="006630FC"/>
    <w:rsid w:val="00663147"/>
    <w:rsid w:val="00663344"/>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8C9"/>
    <w:rsid w:val="00675A5F"/>
    <w:rsid w:val="006764BC"/>
    <w:rsid w:val="006769C4"/>
    <w:rsid w:val="00676C6F"/>
    <w:rsid w:val="00677456"/>
    <w:rsid w:val="006774B0"/>
    <w:rsid w:val="00677627"/>
    <w:rsid w:val="006776C7"/>
    <w:rsid w:val="00677743"/>
    <w:rsid w:val="00677A67"/>
    <w:rsid w:val="00677A87"/>
    <w:rsid w:val="00677BD5"/>
    <w:rsid w:val="00677E3C"/>
    <w:rsid w:val="0068025E"/>
    <w:rsid w:val="0068051B"/>
    <w:rsid w:val="006805D9"/>
    <w:rsid w:val="00680912"/>
    <w:rsid w:val="00680E8B"/>
    <w:rsid w:val="0068150F"/>
    <w:rsid w:val="006818D0"/>
    <w:rsid w:val="006819A3"/>
    <w:rsid w:val="00681D51"/>
    <w:rsid w:val="00681E2F"/>
    <w:rsid w:val="00682129"/>
    <w:rsid w:val="00682160"/>
    <w:rsid w:val="0068266C"/>
    <w:rsid w:val="00682E55"/>
    <w:rsid w:val="0068340E"/>
    <w:rsid w:val="00683528"/>
    <w:rsid w:val="00683722"/>
    <w:rsid w:val="00683D2F"/>
    <w:rsid w:val="00684044"/>
    <w:rsid w:val="006840B2"/>
    <w:rsid w:val="006843F6"/>
    <w:rsid w:val="0068491F"/>
    <w:rsid w:val="00684F4C"/>
    <w:rsid w:val="006851A2"/>
    <w:rsid w:val="0068563E"/>
    <w:rsid w:val="00685DE4"/>
    <w:rsid w:val="00686118"/>
    <w:rsid w:val="006861C0"/>
    <w:rsid w:val="00686596"/>
    <w:rsid w:val="00686CC2"/>
    <w:rsid w:val="00686F00"/>
    <w:rsid w:val="00687C97"/>
    <w:rsid w:val="00687D5A"/>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A4D"/>
    <w:rsid w:val="00696C70"/>
    <w:rsid w:val="00697071"/>
    <w:rsid w:val="00697AC9"/>
    <w:rsid w:val="00697D19"/>
    <w:rsid w:val="006A0052"/>
    <w:rsid w:val="006A05C7"/>
    <w:rsid w:val="006A08CA"/>
    <w:rsid w:val="006A0E43"/>
    <w:rsid w:val="006A0FB1"/>
    <w:rsid w:val="006A102D"/>
    <w:rsid w:val="006A11E4"/>
    <w:rsid w:val="006A15CF"/>
    <w:rsid w:val="006A16F0"/>
    <w:rsid w:val="006A20A4"/>
    <w:rsid w:val="006A29FF"/>
    <w:rsid w:val="006A2AB9"/>
    <w:rsid w:val="006A2DB4"/>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E27"/>
    <w:rsid w:val="006A6EAC"/>
    <w:rsid w:val="006A6FB8"/>
    <w:rsid w:val="006A72B0"/>
    <w:rsid w:val="006A74E5"/>
    <w:rsid w:val="006A7AB4"/>
    <w:rsid w:val="006B02C4"/>
    <w:rsid w:val="006B04FE"/>
    <w:rsid w:val="006B05D4"/>
    <w:rsid w:val="006B075C"/>
    <w:rsid w:val="006B0856"/>
    <w:rsid w:val="006B0894"/>
    <w:rsid w:val="006B18C5"/>
    <w:rsid w:val="006B1932"/>
    <w:rsid w:val="006B1B85"/>
    <w:rsid w:val="006B1F47"/>
    <w:rsid w:val="006B1FDA"/>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1029"/>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ED1"/>
    <w:rsid w:val="006C6F68"/>
    <w:rsid w:val="006C7FA5"/>
    <w:rsid w:val="006C7FB8"/>
    <w:rsid w:val="006C7FF1"/>
    <w:rsid w:val="006D02AA"/>
    <w:rsid w:val="006D06B5"/>
    <w:rsid w:val="006D0F89"/>
    <w:rsid w:val="006D1A50"/>
    <w:rsid w:val="006D1DFE"/>
    <w:rsid w:val="006D20A4"/>
    <w:rsid w:val="006D2560"/>
    <w:rsid w:val="006D328B"/>
    <w:rsid w:val="006D3620"/>
    <w:rsid w:val="006D41CE"/>
    <w:rsid w:val="006D460E"/>
    <w:rsid w:val="006D472A"/>
    <w:rsid w:val="006D4CA2"/>
    <w:rsid w:val="006D5056"/>
    <w:rsid w:val="006D5176"/>
    <w:rsid w:val="006D5201"/>
    <w:rsid w:val="006D5313"/>
    <w:rsid w:val="006D535C"/>
    <w:rsid w:val="006D5510"/>
    <w:rsid w:val="006D55C0"/>
    <w:rsid w:val="006D5820"/>
    <w:rsid w:val="006D5886"/>
    <w:rsid w:val="006D5F9A"/>
    <w:rsid w:val="006D6703"/>
    <w:rsid w:val="006D6944"/>
    <w:rsid w:val="006D6989"/>
    <w:rsid w:val="006D6AAA"/>
    <w:rsid w:val="006D6F24"/>
    <w:rsid w:val="006D74ED"/>
    <w:rsid w:val="006D78EB"/>
    <w:rsid w:val="006D7C6D"/>
    <w:rsid w:val="006E058C"/>
    <w:rsid w:val="006E0922"/>
    <w:rsid w:val="006E0B0D"/>
    <w:rsid w:val="006E0ED9"/>
    <w:rsid w:val="006E0EF4"/>
    <w:rsid w:val="006E0F5D"/>
    <w:rsid w:val="006E0FA4"/>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4ECD"/>
    <w:rsid w:val="006E50E1"/>
    <w:rsid w:val="006E5147"/>
    <w:rsid w:val="006E5269"/>
    <w:rsid w:val="006E5934"/>
    <w:rsid w:val="006E5BC2"/>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F36"/>
    <w:rsid w:val="006F26B4"/>
    <w:rsid w:val="006F2A0D"/>
    <w:rsid w:val="006F2D0A"/>
    <w:rsid w:val="006F2D7F"/>
    <w:rsid w:val="006F319D"/>
    <w:rsid w:val="006F3549"/>
    <w:rsid w:val="006F3ABE"/>
    <w:rsid w:val="006F3C1F"/>
    <w:rsid w:val="006F41F0"/>
    <w:rsid w:val="006F45A4"/>
    <w:rsid w:val="006F474D"/>
    <w:rsid w:val="006F4C65"/>
    <w:rsid w:val="006F4CC9"/>
    <w:rsid w:val="006F4FB4"/>
    <w:rsid w:val="006F55FD"/>
    <w:rsid w:val="006F5A7C"/>
    <w:rsid w:val="006F5CC2"/>
    <w:rsid w:val="006F6303"/>
    <w:rsid w:val="006F6316"/>
    <w:rsid w:val="006F65A2"/>
    <w:rsid w:val="006F6885"/>
    <w:rsid w:val="006F6C31"/>
    <w:rsid w:val="006F74B5"/>
    <w:rsid w:val="006F7A56"/>
    <w:rsid w:val="006F7DEF"/>
    <w:rsid w:val="00700CF2"/>
    <w:rsid w:val="00700F78"/>
    <w:rsid w:val="007011CC"/>
    <w:rsid w:val="0070150E"/>
    <w:rsid w:val="007016DD"/>
    <w:rsid w:val="00701735"/>
    <w:rsid w:val="00701CC3"/>
    <w:rsid w:val="00701E88"/>
    <w:rsid w:val="00702381"/>
    <w:rsid w:val="007024FB"/>
    <w:rsid w:val="00702577"/>
    <w:rsid w:val="00702F8D"/>
    <w:rsid w:val="00703238"/>
    <w:rsid w:val="00703253"/>
    <w:rsid w:val="007032E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1412"/>
    <w:rsid w:val="00711738"/>
    <w:rsid w:val="0071179B"/>
    <w:rsid w:val="00711C71"/>
    <w:rsid w:val="00711D57"/>
    <w:rsid w:val="00713225"/>
    <w:rsid w:val="00713B79"/>
    <w:rsid w:val="00713BB3"/>
    <w:rsid w:val="00713FB2"/>
    <w:rsid w:val="007140E8"/>
    <w:rsid w:val="007141F4"/>
    <w:rsid w:val="00714972"/>
    <w:rsid w:val="00714B51"/>
    <w:rsid w:val="00714F97"/>
    <w:rsid w:val="0071529D"/>
    <w:rsid w:val="0071548F"/>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9C6"/>
    <w:rsid w:val="00721A20"/>
    <w:rsid w:val="00721C77"/>
    <w:rsid w:val="007223D1"/>
    <w:rsid w:val="00722462"/>
    <w:rsid w:val="0072299A"/>
    <w:rsid w:val="00722B70"/>
    <w:rsid w:val="00722D6F"/>
    <w:rsid w:val="00723062"/>
    <w:rsid w:val="007231DD"/>
    <w:rsid w:val="00723770"/>
    <w:rsid w:val="007241BE"/>
    <w:rsid w:val="00724786"/>
    <w:rsid w:val="0072512A"/>
    <w:rsid w:val="00725356"/>
    <w:rsid w:val="00725966"/>
    <w:rsid w:val="007261CF"/>
    <w:rsid w:val="00726384"/>
    <w:rsid w:val="007264B1"/>
    <w:rsid w:val="00726C80"/>
    <w:rsid w:val="00726CFD"/>
    <w:rsid w:val="00726F11"/>
    <w:rsid w:val="00726FDC"/>
    <w:rsid w:val="00727529"/>
    <w:rsid w:val="00727930"/>
    <w:rsid w:val="00727AAD"/>
    <w:rsid w:val="00727E32"/>
    <w:rsid w:val="0073072C"/>
    <w:rsid w:val="0073130B"/>
    <w:rsid w:val="00731769"/>
    <w:rsid w:val="00731EE6"/>
    <w:rsid w:val="0073211A"/>
    <w:rsid w:val="0073271E"/>
    <w:rsid w:val="00732C26"/>
    <w:rsid w:val="00732C2F"/>
    <w:rsid w:val="00732D7D"/>
    <w:rsid w:val="00733081"/>
    <w:rsid w:val="0073347A"/>
    <w:rsid w:val="0073356D"/>
    <w:rsid w:val="0073359C"/>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7126"/>
    <w:rsid w:val="007476A0"/>
    <w:rsid w:val="007477C5"/>
    <w:rsid w:val="0074792C"/>
    <w:rsid w:val="00747938"/>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671"/>
    <w:rsid w:val="00753757"/>
    <w:rsid w:val="0075377A"/>
    <w:rsid w:val="00753A38"/>
    <w:rsid w:val="00753D0A"/>
    <w:rsid w:val="007541E4"/>
    <w:rsid w:val="0075469A"/>
    <w:rsid w:val="00755467"/>
    <w:rsid w:val="00755817"/>
    <w:rsid w:val="00755B12"/>
    <w:rsid w:val="00755D93"/>
    <w:rsid w:val="00755DCB"/>
    <w:rsid w:val="00755E5C"/>
    <w:rsid w:val="00757035"/>
    <w:rsid w:val="00757186"/>
    <w:rsid w:val="007578E1"/>
    <w:rsid w:val="00757A6A"/>
    <w:rsid w:val="00757CF3"/>
    <w:rsid w:val="0076006D"/>
    <w:rsid w:val="00760768"/>
    <w:rsid w:val="00760BCC"/>
    <w:rsid w:val="0076106B"/>
    <w:rsid w:val="00761830"/>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1A3"/>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A3"/>
    <w:rsid w:val="00777ADC"/>
    <w:rsid w:val="007802E7"/>
    <w:rsid w:val="00780B1A"/>
    <w:rsid w:val="00780D45"/>
    <w:rsid w:val="00780F3F"/>
    <w:rsid w:val="007812E7"/>
    <w:rsid w:val="00781315"/>
    <w:rsid w:val="0078159F"/>
    <w:rsid w:val="00781A97"/>
    <w:rsid w:val="00781E7D"/>
    <w:rsid w:val="00782065"/>
    <w:rsid w:val="00782419"/>
    <w:rsid w:val="007824BC"/>
    <w:rsid w:val="0078265E"/>
    <w:rsid w:val="00782D2D"/>
    <w:rsid w:val="00782DFC"/>
    <w:rsid w:val="00782EC4"/>
    <w:rsid w:val="00782EEE"/>
    <w:rsid w:val="00783153"/>
    <w:rsid w:val="00783A74"/>
    <w:rsid w:val="00783AE5"/>
    <w:rsid w:val="00784B98"/>
    <w:rsid w:val="0078539C"/>
    <w:rsid w:val="00785777"/>
    <w:rsid w:val="00785C83"/>
    <w:rsid w:val="007864DA"/>
    <w:rsid w:val="00786ED8"/>
    <w:rsid w:val="00787491"/>
    <w:rsid w:val="0078759B"/>
    <w:rsid w:val="00787807"/>
    <w:rsid w:val="00787A15"/>
    <w:rsid w:val="00787CF3"/>
    <w:rsid w:val="00787D20"/>
    <w:rsid w:val="00787FD1"/>
    <w:rsid w:val="0079001F"/>
    <w:rsid w:val="00790362"/>
    <w:rsid w:val="007904EA"/>
    <w:rsid w:val="0079065C"/>
    <w:rsid w:val="00790767"/>
    <w:rsid w:val="00790B5F"/>
    <w:rsid w:val="0079108A"/>
    <w:rsid w:val="007911B6"/>
    <w:rsid w:val="00791BF5"/>
    <w:rsid w:val="007920FE"/>
    <w:rsid w:val="00792431"/>
    <w:rsid w:val="007930B7"/>
    <w:rsid w:val="00793237"/>
    <w:rsid w:val="00793541"/>
    <w:rsid w:val="00793742"/>
    <w:rsid w:val="007946AA"/>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16A"/>
    <w:rsid w:val="007A04E1"/>
    <w:rsid w:val="007A069A"/>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E68"/>
    <w:rsid w:val="007A602B"/>
    <w:rsid w:val="007A63C9"/>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090"/>
    <w:rsid w:val="007B265A"/>
    <w:rsid w:val="007B27BE"/>
    <w:rsid w:val="007B2892"/>
    <w:rsid w:val="007B2FD6"/>
    <w:rsid w:val="007B321C"/>
    <w:rsid w:val="007B33E5"/>
    <w:rsid w:val="007B36BF"/>
    <w:rsid w:val="007B3C14"/>
    <w:rsid w:val="007B3CFD"/>
    <w:rsid w:val="007B3D0B"/>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B7DE2"/>
    <w:rsid w:val="007C03BB"/>
    <w:rsid w:val="007C056A"/>
    <w:rsid w:val="007C06B2"/>
    <w:rsid w:val="007C124F"/>
    <w:rsid w:val="007C1A42"/>
    <w:rsid w:val="007C1D9D"/>
    <w:rsid w:val="007C229C"/>
    <w:rsid w:val="007C28CF"/>
    <w:rsid w:val="007C2941"/>
    <w:rsid w:val="007C29D7"/>
    <w:rsid w:val="007C2A9E"/>
    <w:rsid w:val="007C2FC6"/>
    <w:rsid w:val="007C3215"/>
    <w:rsid w:val="007C34DE"/>
    <w:rsid w:val="007C38B5"/>
    <w:rsid w:val="007C404B"/>
    <w:rsid w:val="007C4187"/>
    <w:rsid w:val="007C41A0"/>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E37"/>
    <w:rsid w:val="007D01AF"/>
    <w:rsid w:val="007D044C"/>
    <w:rsid w:val="007D10C8"/>
    <w:rsid w:val="007D1269"/>
    <w:rsid w:val="007D1406"/>
    <w:rsid w:val="007D1D3B"/>
    <w:rsid w:val="007D1DF0"/>
    <w:rsid w:val="007D20B0"/>
    <w:rsid w:val="007D24CF"/>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2B82"/>
    <w:rsid w:val="007E2DD3"/>
    <w:rsid w:val="007E33B9"/>
    <w:rsid w:val="007E3460"/>
    <w:rsid w:val="007E3588"/>
    <w:rsid w:val="007E36ED"/>
    <w:rsid w:val="007E378E"/>
    <w:rsid w:val="007E42E6"/>
    <w:rsid w:val="007E46BF"/>
    <w:rsid w:val="007E487F"/>
    <w:rsid w:val="007E4A0D"/>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34"/>
    <w:rsid w:val="007E74E3"/>
    <w:rsid w:val="007E76CB"/>
    <w:rsid w:val="007E7721"/>
    <w:rsid w:val="007E7B1C"/>
    <w:rsid w:val="007E7C5C"/>
    <w:rsid w:val="007E7CB2"/>
    <w:rsid w:val="007E7CF2"/>
    <w:rsid w:val="007F02B2"/>
    <w:rsid w:val="007F02C7"/>
    <w:rsid w:val="007F032B"/>
    <w:rsid w:val="007F03BD"/>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487A"/>
    <w:rsid w:val="007F5287"/>
    <w:rsid w:val="007F5339"/>
    <w:rsid w:val="007F5799"/>
    <w:rsid w:val="007F5A11"/>
    <w:rsid w:val="007F5BF1"/>
    <w:rsid w:val="007F62F3"/>
    <w:rsid w:val="007F66F4"/>
    <w:rsid w:val="007F68DC"/>
    <w:rsid w:val="007F68DF"/>
    <w:rsid w:val="007F6B28"/>
    <w:rsid w:val="007F6D6C"/>
    <w:rsid w:val="007F70B9"/>
    <w:rsid w:val="007F7137"/>
    <w:rsid w:val="007F7A75"/>
    <w:rsid w:val="007F7C48"/>
    <w:rsid w:val="007F7ECC"/>
    <w:rsid w:val="007F7EF5"/>
    <w:rsid w:val="0080006E"/>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138"/>
    <w:rsid w:val="0080786A"/>
    <w:rsid w:val="00807932"/>
    <w:rsid w:val="00807AA3"/>
    <w:rsid w:val="00807F10"/>
    <w:rsid w:val="00810139"/>
    <w:rsid w:val="00810552"/>
    <w:rsid w:val="008105B3"/>
    <w:rsid w:val="008111CF"/>
    <w:rsid w:val="00811CEA"/>
    <w:rsid w:val="00811D79"/>
    <w:rsid w:val="0081217F"/>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9A1"/>
    <w:rsid w:val="00824E21"/>
    <w:rsid w:val="008252C7"/>
    <w:rsid w:val="008253BF"/>
    <w:rsid w:val="00825933"/>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092"/>
    <w:rsid w:val="0083115E"/>
    <w:rsid w:val="00831279"/>
    <w:rsid w:val="00831864"/>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AE"/>
    <w:rsid w:val="008346F0"/>
    <w:rsid w:val="008349B6"/>
    <w:rsid w:val="00834C54"/>
    <w:rsid w:val="0083508E"/>
    <w:rsid w:val="0083582D"/>
    <w:rsid w:val="00835B07"/>
    <w:rsid w:val="00835F6A"/>
    <w:rsid w:val="0083608A"/>
    <w:rsid w:val="0083639B"/>
    <w:rsid w:val="00836D98"/>
    <w:rsid w:val="0083793B"/>
    <w:rsid w:val="00837AA4"/>
    <w:rsid w:val="00840A83"/>
    <w:rsid w:val="00840CA5"/>
    <w:rsid w:val="00841533"/>
    <w:rsid w:val="00841B13"/>
    <w:rsid w:val="00841E92"/>
    <w:rsid w:val="00842AB6"/>
    <w:rsid w:val="00842E09"/>
    <w:rsid w:val="00843016"/>
    <w:rsid w:val="00843577"/>
    <w:rsid w:val="00843E6F"/>
    <w:rsid w:val="008441CE"/>
    <w:rsid w:val="008443E7"/>
    <w:rsid w:val="0084441A"/>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2D0"/>
    <w:rsid w:val="008533EE"/>
    <w:rsid w:val="0085404C"/>
    <w:rsid w:val="00854332"/>
    <w:rsid w:val="008543AB"/>
    <w:rsid w:val="00854670"/>
    <w:rsid w:val="00854724"/>
    <w:rsid w:val="00854DAA"/>
    <w:rsid w:val="008550CB"/>
    <w:rsid w:val="00855513"/>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CE5"/>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7F1"/>
    <w:rsid w:val="00873620"/>
    <w:rsid w:val="00873BDE"/>
    <w:rsid w:val="00873C67"/>
    <w:rsid w:val="00873EFF"/>
    <w:rsid w:val="00874159"/>
    <w:rsid w:val="008747A6"/>
    <w:rsid w:val="00874ABD"/>
    <w:rsid w:val="00874DB0"/>
    <w:rsid w:val="00874E64"/>
    <w:rsid w:val="00875A5A"/>
    <w:rsid w:val="00875A72"/>
    <w:rsid w:val="008760EF"/>
    <w:rsid w:val="00876567"/>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6A8"/>
    <w:rsid w:val="00881ADB"/>
    <w:rsid w:val="00881B11"/>
    <w:rsid w:val="00881B16"/>
    <w:rsid w:val="00881C85"/>
    <w:rsid w:val="00882181"/>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5EE3"/>
    <w:rsid w:val="00886030"/>
    <w:rsid w:val="00886501"/>
    <w:rsid w:val="00886531"/>
    <w:rsid w:val="00886CDD"/>
    <w:rsid w:val="00886F36"/>
    <w:rsid w:val="00886F38"/>
    <w:rsid w:val="00886FF6"/>
    <w:rsid w:val="00887462"/>
    <w:rsid w:val="008879A9"/>
    <w:rsid w:val="00887A37"/>
    <w:rsid w:val="00887E1E"/>
    <w:rsid w:val="008914FB"/>
    <w:rsid w:val="008915B6"/>
    <w:rsid w:val="00891D47"/>
    <w:rsid w:val="0089214D"/>
    <w:rsid w:val="008922AD"/>
    <w:rsid w:val="00892B2D"/>
    <w:rsid w:val="00893C0D"/>
    <w:rsid w:val="00893D72"/>
    <w:rsid w:val="00894081"/>
    <w:rsid w:val="00894125"/>
    <w:rsid w:val="00894143"/>
    <w:rsid w:val="0089435A"/>
    <w:rsid w:val="00894781"/>
    <w:rsid w:val="0089485F"/>
    <w:rsid w:val="00894A50"/>
    <w:rsid w:val="00894E3A"/>
    <w:rsid w:val="008950EF"/>
    <w:rsid w:val="008954F9"/>
    <w:rsid w:val="00895653"/>
    <w:rsid w:val="008957DD"/>
    <w:rsid w:val="00896307"/>
    <w:rsid w:val="00896449"/>
    <w:rsid w:val="00897194"/>
    <w:rsid w:val="0089724F"/>
    <w:rsid w:val="0089754C"/>
    <w:rsid w:val="00897B5E"/>
    <w:rsid w:val="00897BC6"/>
    <w:rsid w:val="00897D8B"/>
    <w:rsid w:val="00897DC3"/>
    <w:rsid w:val="008A002A"/>
    <w:rsid w:val="008A014D"/>
    <w:rsid w:val="008A02EC"/>
    <w:rsid w:val="008A0E11"/>
    <w:rsid w:val="008A12ED"/>
    <w:rsid w:val="008A1B0F"/>
    <w:rsid w:val="008A20DA"/>
    <w:rsid w:val="008A21C0"/>
    <w:rsid w:val="008A28B1"/>
    <w:rsid w:val="008A298B"/>
    <w:rsid w:val="008A2D0B"/>
    <w:rsid w:val="008A2D18"/>
    <w:rsid w:val="008A3163"/>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8AE"/>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5C8F"/>
    <w:rsid w:val="008B5DD6"/>
    <w:rsid w:val="008B5F16"/>
    <w:rsid w:val="008B6B1E"/>
    <w:rsid w:val="008B6F7C"/>
    <w:rsid w:val="008B7183"/>
    <w:rsid w:val="008B7451"/>
    <w:rsid w:val="008B7455"/>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4B"/>
    <w:rsid w:val="008C18BC"/>
    <w:rsid w:val="008C1ADE"/>
    <w:rsid w:val="008C1B45"/>
    <w:rsid w:val="008C1E2C"/>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44C"/>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6A8"/>
    <w:rsid w:val="008D0902"/>
    <w:rsid w:val="008D0ED4"/>
    <w:rsid w:val="008D100D"/>
    <w:rsid w:val="008D1497"/>
    <w:rsid w:val="008D1C1A"/>
    <w:rsid w:val="008D1FB9"/>
    <w:rsid w:val="008D2099"/>
    <w:rsid w:val="008D248E"/>
    <w:rsid w:val="008D264B"/>
    <w:rsid w:val="008D32FC"/>
    <w:rsid w:val="008D335A"/>
    <w:rsid w:val="008D348B"/>
    <w:rsid w:val="008D3C94"/>
    <w:rsid w:val="008D4179"/>
    <w:rsid w:val="008D4269"/>
    <w:rsid w:val="008D4629"/>
    <w:rsid w:val="008D4658"/>
    <w:rsid w:val="008D46EE"/>
    <w:rsid w:val="008D493E"/>
    <w:rsid w:val="008D4A17"/>
    <w:rsid w:val="008D4E5B"/>
    <w:rsid w:val="008D55D1"/>
    <w:rsid w:val="008D5705"/>
    <w:rsid w:val="008D5EA8"/>
    <w:rsid w:val="008D635F"/>
    <w:rsid w:val="008D6600"/>
    <w:rsid w:val="008D6782"/>
    <w:rsid w:val="008D6C04"/>
    <w:rsid w:val="008D6D34"/>
    <w:rsid w:val="008D7B26"/>
    <w:rsid w:val="008D7CD8"/>
    <w:rsid w:val="008D7EE9"/>
    <w:rsid w:val="008E006C"/>
    <w:rsid w:val="008E027A"/>
    <w:rsid w:val="008E0629"/>
    <w:rsid w:val="008E07EB"/>
    <w:rsid w:val="008E097D"/>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B97"/>
    <w:rsid w:val="008E3ED5"/>
    <w:rsid w:val="008E41BE"/>
    <w:rsid w:val="008E4254"/>
    <w:rsid w:val="008E456A"/>
    <w:rsid w:val="008E49F3"/>
    <w:rsid w:val="008E4A5B"/>
    <w:rsid w:val="008E4DA0"/>
    <w:rsid w:val="008E4FAE"/>
    <w:rsid w:val="008E5047"/>
    <w:rsid w:val="008E5175"/>
    <w:rsid w:val="008E53A2"/>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52A"/>
    <w:rsid w:val="0090258C"/>
    <w:rsid w:val="009025AB"/>
    <w:rsid w:val="00902C00"/>
    <w:rsid w:val="00902CA5"/>
    <w:rsid w:val="00902D4F"/>
    <w:rsid w:val="009030E3"/>
    <w:rsid w:val="009034B9"/>
    <w:rsid w:val="00903FB3"/>
    <w:rsid w:val="00904690"/>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848"/>
    <w:rsid w:val="009129FE"/>
    <w:rsid w:val="00912B56"/>
    <w:rsid w:val="00912C6F"/>
    <w:rsid w:val="00912E6B"/>
    <w:rsid w:val="0091304E"/>
    <w:rsid w:val="009133D4"/>
    <w:rsid w:val="009136D9"/>
    <w:rsid w:val="00913F98"/>
    <w:rsid w:val="00914D25"/>
    <w:rsid w:val="00914D48"/>
    <w:rsid w:val="00915512"/>
    <w:rsid w:val="00916223"/>
    <w:rsid w:val="009163A0"/>
    <w:rsid w:val="009165A9"/>
    <w:rsid w:val="0091696F"/>
    <w:rsid w:val="00916A96"/>
    <w:rsid w:val="00916C99"/>
    <w:rsid w:val="00916EE9"/>
    <w:rsid w:val="00917120"/>
    <w:rsid w:val="00917159"/>
    <w:rsid w:val="00917C84"/>
    <w:rsid w:val="00917D6B"/>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817"/>
    <w:rsid w:val="00933A35"/>
    <w:rsid w:val="00933FE3"/>
    <w:rsid w:val="00934B9E"/>
    <w:rsid w:val="00934EAC"/>
    <w:rsid w:val="009350E4"/>
    <w:rsid w:val="009354E5"/>
    <w:rsid w:val="00935753"/>
    <w:rsid w:val="009359DF"/>
    <w:rsid w:val="00935A5A"/>
    <w:rsid w:val="0093603E"/>
    <w:rsid w:val="009360D7"/>
    <w:rsid w:val="009362C9"/>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A1E"/>
    <w:rsid w:val="00943112"/>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53DD"/>
    <w:rsid w:val="0095554D"/>
    <w:rsid w:val="00955943"/>
    <w:rsid w:val="009559B8"/>
    <w:rsid w:val="00955AC4"/>
    <w:rsid w:val="00955DF3"/>
    <w:rsid w:val="0095654C"/>
    <w:rsid w:val="0095686C"/>
    <w:rsid w:val="00956C4E"/>
    <w:rsid w:val="009571E3"/>
    <w:rsid w:val="0095751D"/>
    <w:rsid w:val="00957569"/>
    <w:rsid w:val="00957810"/>
    <w:rsid w:val="00957A77"/>
    <w:rsid w:val="00957D5D"/>
    <w:rsid w:val="0096002A"/>
    <w:rsid w:val="009608B3"/>
    <w:rsid w:val="00961623"/>
    <w:rsid w:val="009619B3"/>
    <w:rsid w:val="00961F98"/>
    <w:rsid w:val="00961F9F"/>
    <w:rsid w:val="00961FF0"/>
    <w:rsid w:val="00962323"/>
    <w:rsid w:val="009626AC"/>
    <w:rsid w:val="0096297B"/>
    <w:rsid w:val="009633D7"/>
    <w:rsid w:val="009637F5"/>
    <w:rsid w:val="00963ACD"/>
    <w:rsid w:val="00963B85"/>
    <w:rsid w:val="00964723"/>
    <w:rsid w:val="00964A1C"/>
    <w:rsid w:val="00964A79"/>
    <w:rsid w:val="00964C14"/>
    <w:rsid w:val="00964CF1"/>
    <w:rsid w:val="00964D91"/>
    <w:rsid w:val="009652D5"/>
    <w:rsid w:val="00965D80"/>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9CF"/>
    <w:rsid w:val="00971AA1"/>
    <w:rsid w:val="00971C3A"/>
    <w:rsid w:val="00971DC0"/>
    <w:rsid w:val="00972278"/>
    <w:rsid w:val="009723EC"/>
    <w:rsid w:val="009725F2"/>
    <w:rsid w:val="00972636"/>
    <w:rsid w:val="00972847"/>
    <w:rsid w:val="00972916"/>
    <w:rsid w:val="00972A9A"/>
    <w:rsid w:val="00972AFF"/>
    <w:rsid w:val="00972B99"/>
    <w:rsid w:val="009735FB"/>
    <w:rsid w:val="0097374B"/>
    <w:rsid w:val="00973C85"/>
    <w:rsid w:val="0097429B"/>
    <w:rsid w:val="009746C6"/>
    <w:rsid w:val="009749F7"/>
    <w:rsid w:val="009757B3"/>
    <w:rsid w:val="00975B8C"/>
    <w:rsid w:val="0097600B"/>
    <w:rsid w:val="0097691F"/>
    <w:rsid w:val="009769C3"/>
    <w:rsid w:val="00977263"/>
    <w:rsid w:val="00977A34"/>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A0F"/>
    <w:rsid w:val="00983C31"/>
    <w:rsid w:val="00983DFB"/>
    <w:rsid w:val="00983E7E"/>
    <w:rsid w:val="00983EF1"/>
    <w:rsid w:val="0098401C"/>
    <w:rsid w:val="009841C1"/>
    <w:rsid w:val="0098461A"/>
    <w:rsid w:val="00984A1E"/>
    <w:rsid w:val="00984E8C"/>
    <w:rsid w:val="00985121"/>
    <w:rsid w:val="0098513A"/>
    <w:rsid w:val="00985E04"/>
    <w:rsid w:val="009865DA"/>
    <w:rsid w:val="00986684"/>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387"/>
    <w:rsid w:val="00993EC9"/>
    <w:rsid w:val="00993F9C"/>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D6B"/>
    <w:rsid w:val="009A41A1"/>
    <w:rsid w:val="009A48BF"/>
    <w:rsid w:val="009A567A"/>
    <w:rsid w:val="009A6CF3"/>
    <w:rsid w:val="009A7199"/>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3C14"/>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AFF"/>
    <w:rsid w:val="009C601F"/>
    <w:rsid w:val="009C62F8"/>
    <w:rsid w:val="009C73CB"/>
    <w:rsid w:val="009C767C"/>
    <w:rsid w:val="009C7951"/>
    <w:rsid w:val="009C7B7D"/>
    <w:rsid w:val="009D03E1"/>
    <w:rsid w:val="009D057F"/>
    <w:rsid w:val="009D0581"/>
    <w:rsid w:val="009D07C3"/>
    <w:rsid w:val="009D0946"/>
    <w:rsid w:val="009D097D"/>
    <w:rsid w:val="009D09FF"/>
    <w:rsid w:val="009D0D3A"/>
    <w:rsid w:val="009D0F03"/>
    <w:rsid w:val="009D15C6"/>
    <w:rsid w:val="009D17B9"/>
    <w:rsid w:val="009D1A67"/>
    <w:rsid w:val="009D1ED1"/>
    <w:rsid w:val="009D1F69"/>
    <w:rsid w:val="009D2362"/>
    <w:rsid w:val="009D23F9"/>
    <w:rsid w:val="009D2788"/>
    <w:rsid w:val="009D38F7"/>
    <w:rsid w:val="009D3DD0"/>
    <w:rsid w:val="009D406F"/>
    <w:rsid w:val="009D545A"/>
    <w:rsid w:val="009D558A"/>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1180"/>
    <w:rsid w:val="009F1758"/>
    <w:rsid w:val="009F1C84"/>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231"/>
    <w:rsid w:val="009F57BE"/>
    <w:rsid w:val="009F5858"/>
    <w:rsid w:val="009F6239"/>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28E5"/>
    <w:rsid w:val="00A02F04"/>
    <w:rsid w:val="00A02FD1"/>
    <w:rsid w:val="00A0313B"/>
    <w:rsid w:val="00A03D76"/>
    <w:rsid w:val="00A03F67"/>
    <w:rsid w:val="00A04712"/>
    <w:rsid w:val="00A04CFA"/>
    <w:rsid w:val="00A04D9F"/>
    <w:rsid w:val="00A04E0B"/>
    <w:rsid w:val="00A05069"/>
    <w:rsid w:val="00A050D7"/>
    <w:rsid w:val="00A0534B"/>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E0"/>
    <w:rsid w:val="00A133F5"/>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07"/>
    <w:rsid w:val="00A160A9"/>
    <w:rsid w:val="00A1680D"/>
    <w:rsid w:val="00A168D9"/>
    <w:rsid w:val="00A16A9A"/>
    <w:rsid w:val="00A16CA1"/>
    <w:rsid w:val="00A16EA7"/>
    <w:rsid w:val="00A1716C"/>
    <w:rsid w:val="00A1749D"/>
    <w:rsid w:val="00A176FF"/>
    <w:rsid w:val="00A17CC1"/>
    <w:rsid w:val="00A2190F"/>
    <w:rsid w:val="00A21962"/>
    <w:rsid w:val="00A21B20"/>
    <w:rsid w:val="00A21D6F"/>
    <w:rsid w:val="00A21DA9"/>
    <w:rsid w:val="00A21DDD"/>
    <w:rsid w:val="00A21EDD"/>
    <w:rsid w:val="00A22037"/>
    <w:rsid w:val="00A222CC"/>
    <w:rsid w:val="00A22BA1"/>
    <w:rsid w:val="00A23718"/>
    <w:rsid w:val="00A23764"/>
    <w:rsid w:val="00A238F3"/>
    <w:rsid w:val="00A23AB0"/>
    <w:rsid w:val="00A241A2"/>
    <w:rsid w:val="00A24949"/>
    <w:rsid w:val="00A2507A"/>
    <w:rsid w:val="00A25425"/>
    <w:rsid w:val="00A25D3B"/>
    <w:rsid w:val="00A266C5"/>
    <w:rsid w:val="00A26704"/>
    <w:rsid w:val="00A26B02"/>
    <w:rsid w:val="00A26B03"/>
    <w:rsid w:val="00A26C43"/>
    <w:rsid w:val="00A26D60"/>
    <w:rsid w:val="00A26E70"/>
    <w:rsid w:val="00A2712F"/>
    <w:rsid w:val="00A27303"/>
    <w:rsid w:val="00A27448"/>
    <w:rsid w:val="00A278DB"/>
    <w:rsid w:val="00A3020D"/>
    <w:rsid w:val="00A3052D"/>
    <w:rsid w:val="00A308B2"/>
    <w:rsid w:val="00A309C6"/>
    <w:rsid w:val="00A30BC0"/>
    <w:rsid w:val="00A30C55"/>
    <w:rsid w:val="00A30F98"/>
    <w:rsid w:val="00A3115A"/>
    <w:rsid w:val="00A313F8"/>
    <w:rsid w:val="00A3157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65D5"/>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9DA"/>
    <w:rsid w:val="00A558F9"/>
    <w:rsid w:val="00A55B2C"/>
    <w:rsid w:val="00A56AC9"/>
    <w:rsid w:val="00A56C71"/>
    <w:rsid w:val="00A5721C"/>
    <w:rsid w:val="00A57434"/>
    <w:rsid w:val="00A574FA"/>
    <w:rsid w:val="00A57EB4"/>
    <w:rsid w:val="00A60563"/>
    <w:rsid w:val="00A60A26"/>
    <w:rsid w:val="00A60BB9"/>
    <w:rsid w:val="00A60CF4"/>
    <w:rsid w:val="00A611D9"/>
    <w:rsid w:val="00A61239"/>
    <w:rsid w:val="00A61446"/>
    <w:rsid w:val="00A6146C"/>
    <w:rsid w:val="00A614EB"/>
    <w:rsid w:val="00A614EC"/>
    <w:rsid w:val="00A6165A"/>
    <w:rsid w:val="00A61705"/>
    <w:rsid w:val="00A619E6"/>
    <w:rsid w:val="00A61E6C"/>
    <w:rsid w:val="00A61F47"/>
    <w:rsid w:val="00A62293"/>
    <w:rsid w:val="00A62781"/>
    <w:rsid w:val="00A62D5D"/>
    <w:rsid w:val="00A62FC9"/>
    <w:rsid w:val="00A6304E"/>
    <w:rsid w:val="00A63410"/>
    <w:rsid w:val="00A63D22"/>
    <w:rsid w:val="00A63F85"/>
    <w:rsid w:val="00A64769"/>
    <w:rsid w:val="00A65106"/>
    <w:rsid w:val="00A654E7"/>
    <w:rsid w:val="00A65672"/>
    <w:rsid w:val="00A6591E"/>
    <w:rsid w:val="00A65C97"/>
    <w:rsid w:val="00A65DAD"/>
    <w:rsid w:val="00A65E23"/>
    <w:rsid w:val="00A6608F"/>
    <w:rsid w:val="00A66114"/>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22A2"/>
    <w:rsid w:val="00A72432"/>
    <w:rsid w:val="00A73704"/>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7C21"/>
    <w:rsid w:val="00A77D6D"/>
    <w:rsid w:val="00A8014C"/>
    <w:rsid w:val="00A808DB"/>
    <w:rsid w:val="00A80B2C"/>
    <w:rsid w:val="00A80B3C"/>
    <w:rsid w:val="00A80FF2"/>
    <w:rsid w:val="00A81252"/>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6039"/>
    <w:rsid w:val="00A860BF"/>
    <w:rsid w:val="00A860F3"/>
    <w:rsid w:val="00A86C7B"/>
    <w:rsid w:val="00A86E2E"/>
    <w:rsid w:val="00A87332"/>
    <w:rsid w:val="00A878B9"/>
    <w:rsid w:val="00A87DD8"/>
    <w:rsid w:val="00A87FF6"/>
    <w:rsid w:val="00A90503"/>
    <w:rsid w:val="00A90B83"/>
    <w:rsid w:val="00A9108B"/>
    <w:rsid w:val="00A9119A"/>
    <w:rsid w:val="00A911F3"/>
    <w:rsid w:val="00A92037"/>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A38"/>
    <w:rsid w:val="00A96E4B"/>
    <w:rsid w:val="00A97670"/>
    <w:rsid w:val="00A97948"/>
    <w:rsid w:val="00A97B74"/>
    <w:rsid w:val="00A97E96"/>
    <w:rsid w:val="00AA007A"/>
    <w:rsid w:val="00AA0235"/>
    <w:rsid w:val="00AA02FE"/>
    <w:rsid w:val="00AA0D6A"/>
    <w:rsid w:val="00AA0E8A"/>
    <w:rsid w:val="00AA12B3"/>
    <w:rsid w:val="00AA12C5"/>
    <w:rsid w:val="00AA1C89"/>
    <w:rsid w:val="00AA1E89"/>
    <w:rsid w:val="00AA255D"/>
    <w:rsid w:val="00AA274B"/>
    <w:rsid w:val="00AA353F"/>
    <w:rsid w:val="00AA35B4"/>
    <w:rsid w:val="00AA3603"/>
    <w:rsid w:val="00AA3B49"/>
    <w:rsid w:val="00AA3B57"/>
    <w:rsid w:val="00AA46F0"/>
    <w:rsid w:val="00AA4DB7"/>
    <w:rsid w:val="00AA4DD2"/>
    <w:rsid w:val="00AA4E64"/>
    <w:rsid w:val="00AA5069"/>
    <w:rsid w:val="00AA5443"/>
    <w:rsid w:val="00AA5CF6"/>
    <w:rsid w:val="00AA5F1A"/>
    <w:rsid w:val="00AA607B"/>
    <w:rsid w:val="00AA6586"/>
    <w:rsid w:val="00AA6602"/>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91E"/>
    <w:rsid w:val="00AB5CDF"/>
    <w:rsid w:val="00AB60E2"/>
    <w:rsid w:val="00AB63B3"/>
    <w:rsid w:val="00AB6B3F"/>
    <w:rsid w:val="00AB6E87"/>
    <w:rsid w:val="00AB6FFE"/>
    <w:rsid w:val="00AB7A2F"/>
    <w:rsid w:val="00AC00C4"/>
    <w:rsid w:val="00AC0529"/>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5B1B"/>
    <w:rsid w:val="00AC5D5A"/>
    <w:rsid w:val="00AC5D6E"/>
    <w:rsid w:val="00AC624F"/>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68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9B"/>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673"/>
    <w:rsid w:val="00AE4AC3"/>
    <w:rsid w:val="00AE5041"/>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689"/>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F1F"/>
    <w:rsid w:val="00B02141"/>
    <w:rsid w:val="00B02B88"/>
    <w:rsid w:val="00B02CF9"/>
    <w:rsid w:val="00B02DD8"/>
    <w:rsid w:val="00B03037"/>
    <w:rsid w:val="00B0334E"/>
    <w:rsid w:val="00B03484"/>
    <w:rsid w:val="00B03719"/>
    <w:rsid w:val="00B03A5A"/>
    <w:rsid w:val="00B03A82"/>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737"/>
    <w:rsid w:val="00B109E1"/>
    <w:rsid w:val="00B10D0C"/>
    <w:rsid w:val="00B10D51"/>
    <w:rsid w:val="00B10D6B"/>
    <w:rsid w:val="00B1121E"/>
    <w:rsid w:val="00B11706"/>
    <w:rsid w:val="00B11B7E"/>
    <w:rsid w:val="00B11BAA"/>
    <w:rsid w:val="00B11BCB"/>
    <w:rsid w:val="00B11D09"/>
    <w:rsid w:val="00B11E11"/>
    <w:rsid w:val="00B11E5A"/>
    <w:rsid w:val="00B1232A"/>
    <w:rsid w:val="00B13013"/>
    <w:rsid w:val="00B1308D"/>
    <w:rsid w:val="00B130FC"/>
    <w:rsid w:val="00B1325A"/>
    <w:rsid w:val="00B1372B"/>
    <w:rsid w:val="00B13C94"/>
    <w:rsid w:val="00B13DCB"/>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C13"/>
    <w:rsid w:val="00B20CCB"/>
    <w:rsid w:val="00B22173"/>
    <w:rsid w:val="00B221B5"/>
    <w:rsid w:val="00B2234B"/>
    <w:rsid w:val="00B223EF"/>
    <w:rsid w:val="00B2283A"/>
    <w:rsid w:val="00B2324E"/>
    <w:rsid w:val="00B238E4"/>
    <w:rsid w:val="00B23A6B"/>
    <w:rsid w:val="00B23C92"/>
    <w:rsid w:val="00B243B0"/>
    <w:rsid w:val="00B2462E"/>
    <w:rsid w:val="00B2484E"/>
    <w:rsid w:val="00B249FC"/>
    <w:rsid w:val="00B24CE9"/>
    <w:rsid w:val="00B25147"/>
    <w:rsid w:val="00B254B8"/>
    <w:rsid w:val="00B259DE"/>
    <w:rsid w:val="00B25C8C"/>
    <w:rsid w:val="00B268A9"/>
    <w:rsid w:val="00B27212"/>
    <w:rsid w:val="00B27740"/>
    <w:rsid w:val="00B27975"/>
    <w:rsid w:val="00B27FC2"/>
    <w:rsid w:val="00B3103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7514"/>
    <w:rsid w:val="00B37728"/>
    <w:rsid w:val="00B37935"/>
    <w:rsid w:val="00B37E37"/>
    <w:rsid w:val="00B37E88"/>
    <w:rsid w:val="00B4020A"/>
    <w:rsid w:val="00B404C4"/>
    <w:rsid w:val="00B40949"/>
    <w:rsid w:val="00B41288"/>
    <w:rsid w:val="00B41B52"/>
    <w:rsid w:val="00B4291E"/>
    <w:rsid w:val="00B42ADE"/>
    <w:rsid w:val="00B42EA7"/>
    <w:rsid w:val="00B432C6"/>
    <w:rsid w:val="00B4338B"/>
    <w:rsid w:val="00B435E3"/>
    <w:rsid w:val="00B43827"/>
    <w:rsid w:val="00B43C7F"/>
    <w:rsid w:val="00B43DAC"/>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50765"/>
    <w:rsid w:val="00B50A40"/>
    <w:rsid w:val="00B50E9E"/>
    <w:rsid w:val="00B51177"/>
    <w:rsid w:val="00B51B18"/>
    <w:rsid w:val="00B51D59"/>
    <w:rsid w:val="00B5230B"/>
    <w:rsid w:val="00B528DF"/>
    <w:rsid w:val="00B529FF"/>
    <w:rsid w:val="00B52ABC"/>
    <w:rsid w:val="00B52BE4"/>
    <w:rsid w:val="00B52E18"/>
    <w:rsid w:val="00B5319F"/>
    <w:rsid w:val="00B53547"/>
    <w:rsid w:val="00B53597"/>
    <w:rsid w:val="00B53784"/>
    <w:rsid w:val="00B537EF"/>
    <w:rsid w:val="00B5462B"/>
    <w:rsid w:val="00B54690"/>
    <w:rsid w:val="00B5494B"/>
    <w:rsid w:val="00B54A2D"/>
    <w:rsid w:val="00B54C75"/>
    <w:rsid w:val="00B550D8"/>
    <w:rsid w:val="00B55114"/>
    <w:rsid w:val="00B5524F"/>
    <w:rsid w:val="00B55322"/>
    <w:rsid w:val="00B55D3E"/>
    <w:rsid w:val="00B56710"/>
    <w:rsid w:val="00B56F38"/>
    <w:rsid w:val="00B5711C"/>
    <w:rsid w:val="00B57642"/>
    <w:rsid w:val="00B5791A"/>
    <w:rsid w:val="00B57921"/>
    <w:rsid w:val="00B57938"/>
    <w:rsid w:val="00B57B8D"/>
    <w:rsid w:val="00B60122"/>
    <w:rsid w:val="00B60BF9"/>
    <w:rsid w:val="00B610F4"/>
    <w:rsid w:val="00B6141E"/>
    <w:rsid w:val="00B61619"/>
    <w:rsid w:val="00B6172B"/>
    <w:rsid w:val="00B619F4"/>
    <w:rsid w:val="00B61A01"/>
    <w:rsid w:val="00B61F4E"/>
    <w:rsid w:val="00B62590"/>
    <w:rsid w:val="00B626C0"/>
    <w:rsid w:val="00B62700"/>
    <w:rsid w:val="00B62F20"/>
    <w:rsid w:val="00B6327D"/>
    <w:rsid w:val="00B632FF"/>
    <w:rsid w:val="00B6393A"/>
    <w:rsid w:val="00B63970"/>
    <w:rsid w:val="00B646A9"/>
    <w:rsid w:val="00B64AA0"/>
    <w:rsid w:val="00B64C7F"/>
    <w:rsid w:val="00B651B5"/>
    <w:rsid w:val="00B65AF3"/>
    <w:rsid w:val="00B6634B"/>
    <w:rsid w:val="00B66381"/>
    <w:rsid w:val="00B663F1"/>
    <w:rsid w:val="00B6684C"/>
    <w:rsid w:val="00B67010"/>
    <w:rsid w:val="00B670BA"/>
    <w:rsid w:val="00B67271"/>
    <w:rsid w:val="00B6729F"/>
    <w:rsid w:val="00B676E1"/>
    <w:rsid w:val="00B7006C"/>
    <w:rsid w:val="00B706E2"/>
    <w:rsid w:val="00B70A8C"/>
    <w:rsid w:val="00B720D4"/>
    <w:rsid w:val="00B721B4"/>
    <w:rsid w:val="00B7222D"/>
    <w:rsid w:val="00B7267A"/>
    <w:rsid w:val="00B72988"/>
    <w:rsid w:val="00B730C2"/>
    <w:rsid w:val="00B7361F"/>
    <w:rsid w:val="00B73788"/>
    <w:rsid w:val="00B742DF"/>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B49"/>
    <w:rsid w:val="00B77BBF"/>
    <w:rsid w:val="00B77D2C"/>
    <w:rsid w:val="00B77F1D"/>
    <w:rsid w:val="00B77F57"/>
    <w:rsid w:val="00B80772"/>
    <w:rsid w:val="00B80B50"/>
    <w:rsid w:val="00B812BB"/>
    <w:rsid w:val="00B81389"/>
    <w:rsid w:val="00B816B8"/>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6FB1"/>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30"/>
    <w:rsid w:val="00BA0152"/>
    <w:rsid w:val="00BA0800"/>
    <w:rsid w:val="00BA0816"/>
    <w:rsid w:val="00BA0B59"/>
    <w:rsid w:val="00BA0D13"/>
    <w:rsid w:val="00BA0FC7"/>
    <w:rsid w:val="00BA12A2"/>
    <w:rsid w:val="00BA168B"/>
    <w:rsid w:val="00BA17DE"/>
    <w:rsid w:val="00BA1810"/>
    <w:rsid w:val="00BA18C8"/>
    <w:rsid w:val="00BA1AF2"/>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FC5"/>
    <w:rsid w:val="00BB4226"/>
    <w:rsid w:val="00BB43DA"/>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8A1"/>
    <w:rsid w:val="00BB7B9C"/>
    <w:rsid w:val="00BC09FB"/>
    <w:rsid w:val="00BC0A2C"/>
    <w:rsid w:val="00BC0A61"/>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799"/>
    <w:rsid w:val="00BC6074"/>
    <w:rsid w:val="00BC6254"/>
    <w:rsid w:val="00BC65C6"/>
    <w:rsid w:val="00BC695E"/>
    <w:rsid w:val="00BC6E8B"/>
    <w:rsid w:val="00BC6EBC"/>
    <w:rsid w:val="00BC72DD"/>
    <w:rsid w:val="00BC7606"/>
    <w:rsid w:val="00BC79D1"/>
    <w:rsid w:val="00BC7D96"/>
    <w:rsid w:val="00BC7E7B"/>
    <w:rsid w:val="00BD01BF"/>
    <w:rsid w:val="00BD0B1B"/>
    <w:rsid w:val="00BD0BB6"/>
    <w:rsid w:val="00BD11D4"/>
    <w:rsid w:val="00BD13E7"/>
    <w:rsid w:val="00BD1464"/>
    <w:rsid w:val="00BD165F"/>
    <w:rsid w:val="00BD1940"/>
    <w:rsid w:val="00BD1BDE"/>
    <w:rsid w:val="00BD21B0"/>
    <w:rsid w:val="00BD2853"/>
    <w:rsid w:val="00BD2F79"/>
    <w:rsid w:val="00BD3D24"/>
    <w:rsid w:val="00BD469D"/>
    <w:rsid w:val="00BD49FD"/>
    <w:rsid w:val="00BD4A85"/>
    <w:rsid w:val="00BD4B1A"/>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FDD"/>
    <w:rsid w:val="00BE206D"/>
    <w:rsid w:val="00BE24E5"/>
    <w:rsid w:val="00BE27F2"/>
    <w:rsid w:val="00BE2855"/>
    <w:rsid w:val="00BE2ACF"/>
    <w:rsid w:val="00BE2FE9"/>
    <w:rsid w:val="00BE338A"/>
    <w:rsid w:val="00BE36E0"/>
    <w:rsid w:val="00BE3CCE"/>
    <w:rsid w:val="00BE3E6B"/>
    <w:rsid w:val="00BE409A"/>
    <w:rsid w:val="00BE4768"/>
    <w:rsid w:val="00BE48AD"/>
    <w:rsid w:val="00BE491C"/>
    <w:rsid w:val="00BE4D48"/>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C44"/>
    <w:rsid w:val="00BF2D81"/>
    <w:rsid w:val="00BF3782"/>
    <w:rsid w:val="00BF38CD"/>
    <w:rsid w:val="00BF38DC"/>
    <w:rsid w:val="00BF3BCA"/>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104C"/>
    <w:rsid w:val="00C01170"/>
    <w:rsid w:val="00C0156D"/>
    <w:rsid w:val="00C01892"/>
    <w:rsid w:val="00C01BBB"/>
    <w:rsid w:val="00C01FD1"/>
    <w:rsid w:val="00C024A5"/>
    <w:rsid w:val="00C02C0E"/>
    <w:rsid w:val="00C02CE1"/>
    <w:rsid w:val="00C02D1E"/>
    <w:rsid w:val="00C0314D"/>
    <w:rsid w:val="00C0331F"/>
    <w:rsid w:val="00C035B5"/>
    <w:rsid w:val="00C036AC"/>
    <w:rsid w:val="00C03865"/>
    <w:rsid w:val="00C03D5A"/>
    <w:rsid w:val="00C04A19"/>
    <w:rsid w:val="00C05276"/>
    <w:rsid w:val="00C054A3"/>
    <w:rsid w:val="00C05622"/>
    <w:rsid w:val="00C05851"/>
    <w:rsid w:val="00C05ECD"/>
    <w:rsid w:val="00C06BEC"/>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4DF"/>
    <w:rsid w:val="00C13C06"/>
    <w:rsid w:val="00C13C90"/>
    <w:rsid w:val="00C13CF2"/>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A6F"/>
    <w:rsid w:val="00C17CE1"/>
    <w:rsid w:val="00C2058B"/>
    <w:rsid w:val="00C20668"/>
    <w:rsid w:val="00C208B8"/>
    <w:rsid w:val="00C209AD"/>
    <w:rsid w:val="00C20B13"/>
    <w:rsid w:val="00C20C76"/>
    <w:rsid w:val="00C2103A"/>
    <w:rsid w:val="00C2164B"/>
    <w:rsid w:val="00C21DA3"/>
    <w:rsid w:val="00C21EF9"/>
    <w:rsid w:val="00C21FE6"/>
    <w:rsid w:val="00C221C0"/>
    <w:rsid w:val="00C222A1"/>
    <w:rsid w:val="00C222F7"/>
    <w:rsid w:val="00C22397"/>
    <w:rsid w:val="00C224E3"/>
    <w:rsid w:val="00C22AAB"/>
    <w:rsid w:val="00C22E78"/>
    <w:rsid w:val="00C22ECB"/>
    <w:rsid w:val="00C23BB4"/>
    <w:rsid w:val="00C23F47"/>
    <w:rsid w:val="00C242C1"/>
    <w:rsid w:val="00C24589"/>
    <w:rsid w:val="00C24707"/>
    <w:rsid w:val="00C24792"/>
    <w:rsid w:val="00C24839"/>
    <w:rsid w:val="00C24D35"/>
    <w:rsid w:val="00C2525E"/>
    <w:rsid w:val="00C2584D"/>
    <w:rsid w:val="00C25F77"/>
    <w:rsid w:val="00C26159"/>
    <w:rsid w:val="00C2629C"/>
    <w:rsid w:val="00C262ED"/>
    <w:rsid w:val="00C265C9"/>
    <w:rsid w:val="00C26968"/>
    <w:rsid w:val="00C26A69"/>
    <w:rsid w:val="00C27037"/>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A3D"/>
    <w:rsid w:val="00C35BCA"/>
    <w:rsid w:val="00C3616F"/>
    <w:rsid w:val="00C36691"/>
    <w:rsid w:val="00C366C6"/>
    <w:rsid w:val="00C36A9F"/>
    <w:rsid w:val="00C374C1"/>
    <w:rsid w:val="00C37611"/>
    <w:rsid w:val="00C37666"/>
    <w:rsid w:val="00C37A5B"/>
    <w:rsid w:val="00C37B9E"/>
    <w:rsid w:val="00C37CF3"/>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84C"/>
    <w:rsid w:val="00C469F2"/>
    <w:rsid w:val="00C46D29"/>
    <w:rsid w:val="00C46E19"/>
    <w:rsid w:val="00C47541"/>
    <w:rsid w:val="00C475C7"/>
    <w:rsid w:val="00C47601"/>
    <w:rsid w:val="00C47DF2"/>
    <w:rsid w:val="00C50AAE"/>
    <w:rsid w:val="00C5119C"/>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E0"/>
    <w:rsid w:val="00C552F9"/>
    <w:rsid w:val="00C554D4"/>
    <w:rsid w:val="00C554D9"/>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2D4"/>
    <w:rsid w:val="00C61324"/>
    <w:rsid w:val="00C6183D"/>
    <w:rsid w:val="00C61AB2"/>
    <w:rsid w:val="00C61B02"/>
    <w:rsid w:val="00C61E90"/>
    <w:rsid w:val="00C61F1C"/>
    <w:rsid w:val="00C61FD2"/>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AB0"/>
    <w:rsid w:val="00C73D66"/>
    <w:rsid w:val="00C74167"/>
    <w:rsid w:val="00C741D2"/>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80C41"/>
    <w:rsid w:val="00C80CEF"/>
    <w:rsid w:val="00C80E40"/>
    <w:rsid w:val="00C81120"/>
    <w:rsid w:val="00C81432"/>
    <w:rsid w:val="00C828B8"/>
    <w:rsid w:val="00C82994"/>
    <w:rsid w:val="00C82E07"/>
    <w:rsid w:val="00C82EC5"/>
    <w:rsid w:val="00C83041"/>
    <w:rsid w:val="00C838C3"/>
    <w:rsid w:val="00C8452A"/>
    <w:rsid w:val="00C848A7"/>
    <w:rsid w:val="00C849C0"/>
    <w:rsid w:val="00C84F2E"/>
    <w:rsid w:val="00C85035"/>
    <w:rsid w:val="00C851F6"/>
    <w:rsid w:val="00C858FF"/>
    <w:rsid w:val="00C85AE0"/>
    <w:rsid w:val="00C85E30"/>
    <w:rsid w:val="00C86BFA"/>
    <w:rsid w:val="00C86E8E"/>
    <w:rsid w:val="00C8712F"/>
    <w:rsid w:val="00C876A0"/>
    <w:rsid w:val="00C878CA"/>
    <w:rsid w:val="00C87AF2"/>
    <w:rsid w:val="00C87B57"/>
    <w:rsid w:val="00C87FC6"/>
    <w:rsid w:val="00C908C6"/>
    <w:rsid w:val="00C90B42"/>
    <w:rsid w:val="00C91074"/>
    <w:rsid w:val="00C9173B"/>
    <w:rsid w:val="00C9182B"/>
    <w:rsid w:val="00C91C5F"/>
    <w:rsid w:val="00C9213E"/>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8FE"/>
    <w:rsid w:val="00C97D48"/>
    <w:rsid w:val="00C97EAC"/>
    <w:rsid w:val="00CA0C2D"/>
    <w:rsid w:val="00CA0E9B"/>
    <w:rsid w:val="00CA10D0"/>
    <w:rsid w:val="00CA1333"/>
    <w:rsid w:val="00CA13DE"/>
    <w:rsid w:val="00CA1458"/>
    <w:rsid w:val="00CA175E"/>
    <w:rsid w:val="00CA19A9"/>
    <w:rsid w:val="00CA1B16"/>
    <w:rsid w:val="00CA1E51"/>
    <w:rsid w:val="00CA21A9"/>
    <w:rsid w:val="00CA43F9"/>
    <w:rsid w:val="00CA4458"/>
    <w:rsid w:val="00CA45FC"/>
    <w:rsid w:val="00CA481F"/>
    <w:rsid w:val="00CA487E"/>
    <w:rsid w:val="00CA516C"/>
    <w:rsid w:val="00CA52B2"/>
    <w:rsid w:val="00CA56C5"/>
    <w:rsid w:val="00CA59C2"/>
    <w:rsid w:val="00CA5C47"/>
    <w:rsid w:val="00CA5C82"/>
    <w:rsid w:val="00CA62EE"/>
    <w:rsid w:val="00CA65EF"/>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A7D"/>
    <w:rsid w:val="00CB7C49"/>
    <w:rsid w:val="00CB7EC4"/>
    <w:rsid w:val="00CC01EB"/>
    <w:rsid w:val="00CC0670"/>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67D"/>
    <w:rsid w:val="00CC3A33"/>
    <w:rsid w:val="00CC3D23"/>
    <w:rsid w:val="00CC4210"/>
    <w:rsid w:val="00CC4238"/>
    <w:rsid w:val="00CC44F1"/>
    <w:rsid w:val="00CC44FE"/>
    <w:rsid w:val="00CC4921"/>
    <w:rsid w:val="00CC5431"/>
    <w:rsid w:val="00CC644D"/>
    <w:rsid w:val="00CC658D"/>
    <w:rsid w:val="00CC6598"/>
    <w:rsid w:val="00CC665A"/>
    <w:rsid w:val="00CC67EC"/>
    <w:rsid w:val="00CC6FB8"/>
    <w:rsid w:val="00CC718D"/>
    <w:rsid w:val="00CC7210"/>
    <w:rsid w:val="00CC74A2"/>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328"/>
    <w:rsid w:val="00CE04A0"/>
    <w:rsid w:val="00CE04BA"/>
    <w:rsid w:val="00CE06BD"/>
    <w:rsid w:val="00CE07A2"/>
    <w:rsid w:val="00CE0855"/>
    <w:rsid w:val="00CE1AAD"/>
    <w:rsid w:val="00CE23B9"/>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899"/>
    <w:rsid w:val="00CE593C"/>
    <w:rsid w:val="00CE5E98"/>
    <w:rsid w:val="00CE5F30"/>
    <w:rsid w:val="00CE6049"/>
    <w:rsid w:val="00CE60C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F64"/>
    <w:rsid w:val="00CF311A"/>
    <w:rsid w:val="00CF3359"/>
    <w:rsid w:val="00CF3400"/>
    <w:rsid w:val="00CF379F"/>
    <w:rsid w:val="00CF380B"/>
    <w:rsid w:val="00CF3872"/>
    <w:rsid w:val="00CF42DF"/>
    <w:rsid w:val="00CF4307"/>
    <w:rsid w:val="00CF570D"/>
    <w:rsid w:val="00CF7FAF"/>
    <w:rsid w:val="00D0008E"/>
    <w:rsid w:val="00D007CD"/>
    <w:rsid w:val="00D009E6"/>
    <w:rsid w:val="00D00C2C"/>
    <w:rsid w:val="00D00EEC"/>
    <w:rsid w:val="00D01453"/>
    <w:rsid w:val="00D018FE"/>
    <w:rsid w:val="00D01954"/>
    <w:rsid w:val="00D01ED5"/>
    <w:rsid w:val="00D021F0"/>
    <w:rsid w:val="00D02271"/>
    <w:rsid w:val="00D02456"/>
    <w:rsid w:val="00D026BC"/>
    <w:rsid w:val="00D02AD7"/>
    <w:rsid w:val="00D02C47"/>
    <w:rsid w:val="00D03458"/>
    <w:rsid w:val="00D03E7A"/>
    <w:rsid w:val="00D04827"/>
    <w:rsid w:val="00D04EFF"/>
    <w:rsid w:val="00D051A6"/>
    <w:rsid w:val="00D051E5"/>
    <w:rsid w:val="00D05245"/>
    <w:rsid w:val="00D05307"/>
    <w:rsid w:val="00D0557D"/>
    <w:rsid w:val="00D05669"/>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2482"/>
    <w:rsid w:val="00D12700"/>
    <w:rsid w:val="00D1298F"/>
    <w:rsid w:val="00D12BB7"/>
    <w:rsid w:val="00D132D5"/>
    <w:rsid w:val="00D13621"/>
    <w:rsid w:val="00D13E53"/>
    <w:rsid w:val="00D151EA"/>
    <w:rsid w:val="00D15303"/>
    <w:rsid w:val="00D16051"/>
    <w:rsid w:val="00D160F7"/>
    <w:rsid w:val="00D16297"/>
    <w:rsid w:val="00D168DB"/>
    <w:rsid w:val="00D16EF2"/>
    <w:rsid w:val="00D17788"/>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BC0"/>
    <w:rsid w:val="00D31F8D"/>
    <w:rsid w:val="00D323F9"/>
    <w:rsid w:val="00D32449"/>
    <w:rsid w:val="00D32664"/>
    <w:rsid w:val="00D326D0"/>
    <w:rsid w:val="00D32D36"/>
    <w:rsid w:val="00D32FA5"/>
    <w:rsid w:val="00D3300B"/>
    <w:rsid w:val="00D336AD"/>
    <w:rsid w:val="00D33C32"/>
    <w:rsid w:val="00D33EBE"/>
    <w:rsid w:val="00D34058"/>
    <w:rsid w:val="00D34376"/>
    <w:rsid w:val="00D34615"/>
    <w:rsid w:val="00D34E63"/>
    <w:rsid w:val="00D35357"/>
    <w:rsid w:val="00D353B4"/>
    <w:rsid w:val="00D35755"/>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35"/>
    <w:rsid w:val="00D41CF9"/>
    <w:rsid w:val="00D41E77"/>
    <w:rsid w:val="00D4281E"/>
    <w:rsid w:val="00D42B97"/>
    <w:rsid w:val="00D43096"/>
    <w:rsid w:val="00D43627"/>
    <w:rsid w:val="00D43B5E"/>
    <w:rsid w:val="00D43BC4"/>
    <w:rsid w:val="00D43D89"/>
    <w:rsid w:val="00D43DE4"/>
    <w:rsid w:val="00D43F83"/>
    <w:rsid w:val="00D44715"/>
    <w:rsid w:val="00D44DEF"/>
    <w:rsid w:val="00D44FC7"/>
    <w:rsid w:val="00D45001"/>
    <w:rsid w:val="00D458E5"/>
    <w:rsid w:val="00D45A7A"/>
    <w:rsid w:val="00D45DA9"/>
    <w:rsid w:val="00D45DEB"/>
    <w:rsid w:val="00D46076"/>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47EEC"/>
    <w:rsid w:val="00D500D3"/>
    <w:rsid w:val="00D501AA"/>
    <w:rsid w:val="00D501FA"/>
    <w:rsid w:val="00D50344"/>
    <w:rsid w:val="00D503A5"/>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1217"/>
    <w:rsid w:val="00D614B7"/>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D96"/>
    <w:rsid w:val="00D65F20"/>
    <w:rsid w:val="00D66181"/>
    <w:rsid w:val="00D6686E"/>
    <w:rsid w:val="00D66BA4"/>
    <w:rsid w:val="00D66CFF"/>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744"/>
    <w:rsid w:val="00D749C1"/>
    <w:rsid w:val="00D74D67"/>
    <w:rsid w:val="00D7506D"/>
    <w:rsid w:val="00D7518D"/>
    <w:rsid w:val="00D7563F"/>
    <w:rsid w:val="00D75B70"/>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2E35"/>
    <w:rsid w:val="00D831DB"/>
    <w:rsid w:val="00D8327F"/>
    <w:rsid w:val="00D83541"/>
    <w:rsid w:val="00D836EA"/>
    <w:rsid w:val="00D836F8"/>
    <w:rsid w:val="00D83768"/>
    <w:rsid w:val="00D8435E"/>
    <w:rsid w:val="00D8466B"/>
    <w:rsid w:val="00D8487E"/>
    <w:rsid w:val="00D84B4D"/>
    <w:rsid w:val="00D84D05"/>
    <w:rsid w:val="00D8501A"/>
    <w:rsid w:val="00D856AF"/>
    <w:rsid w:val="00D85B4C"/>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6288"/>
    <w:rsid w:val="00D96356"/>
    <w:rsid w:val="00D96699"/>
    <w:rsid w:val="00D96840"/>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6F89"/>
    <w:rsid w:val="00DA7191"/>
    <w:rsid w:val="00DA752A"/>
    <w:rsid w:val="00DA7597"/>
    <w:rsid w:val="00DA7634"/>
    <w:rsid w:val="00DA7727"/>
    <w:rsid w:val="00DA774E"/>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FCF"/>
    <w:rsid w:val="00DB2078"/>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5415"/>
    <w:rsid w:val="00DB541B"/>
    <w:rsid w:val="00DB5620"/>
    <w:rsid w:val="00DB5777"/>
    <w:rsid w:val="00DB5889"/>
    <w:rsid w:val="00DB5B8E"/>
    <w:rsid w:val="00DB5F6C"/>
    <w:rsid w:val="00DB6699"/>
    <w:rsid w:val="00DB6F15"/>
    <w:rsid w:val="00DB74B3"/>
    <w:rsid w:val="00DB762B"/>
    <w:rsid w:val="00DB7A2E"/>
    <w:rsid w:val="00DB7CF1"/>
    <w:rsid w:val="00DB7FDD"/>
    <w:rsid w:val="00DC0015"/>
    <w:rsid w:val="00DC023A"/>
    <w:rsid w:val="00DC07A1"/>
    <w:rsid w:val="00DC0AF9"/>
    <w:rsid w:val="00DC0BFE"/>
    <w:rsid w:val="00DC0DB1"/>
    <w:rsid w:val="00DC0F02"/>
    <w:rsid w:val="00DC0F8D"/>
    <w:rsid w:val="00DC1325"/>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7032"/>
    <w:rsid w:val="00DC72A4"/>
    <w:rsid w:val="00DC72D1"/>
    <w:rsid w:val="00DC746E"/>
    <w:rsid w:val="00DC76EE"/>
    <w:rsid w:val="00DC7D95"/>
    <w:rsid w:val="00DD01CA"/>
    <w:rsid w:val="00DD02F4"/>
    <w:rsid w:val="00DD043A"/>
    <w:rsid w:val="00DD069E"/>
    <w:rsid w:val="00DD0FFA"/>
    <w:rsid w:val="00DD1119"/>
    <w:rsid w:val="00DD1176"/>
    <w:rsid w:val="00DD1A7E"/>
    <w:rsid w:val="00DD1B4E"/>
    <w:rsid w:val="00DD245C"/>
    <w:rsid w:val="00DD2484"/>
    <w:rsid w:val="00DD295D"/>
    <w:rsid w:val="00DD2E0D"/>
    <w:rsid w:val="00DD304A"/>
    <w:rsid w:val="00DD399A"/>
    <w:rsid w:val="00DD3A13"/>
    <w:rsid w:val="00DD3BDC"/>
    <w:rsid w:val="00DD3CA5"/>
    <w:rsid w:val="00DD4D92"/>
    <w:rsid w:val="00DD552F"/>
    <w:rsid w:val="00DD5A48"/>
    <w:rsid w:val="00DD5A72"/>
    <w:rsid w:val="00DD5BF3"/>
    <w:rsid w:val="00DD6621"/>
    <w:rsid w:val="00DD6705"/>
    <w:rsid w:val="00DD6B1E"/>
    <w:rsid w:val="00DD6D1F"/>
    <w:rsid w:val="00DD6E9C"/>
    <w:rsid w:val="00DD742C"/>
    <w:rsid w:val="00DD75C0"/>
    <w:rsid w:val="00DD75EF"/>
    <w:rsid w:val="00DD7CB3"/>
    <w:rsid w:val="00DE03A0"/>
    <w:rsid w:val="00DE077F"/>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B41"/>
    <w:rsid w:val="00DF005A"/>
    <w:rsid w:val="00DF010F"/>
    <w:rsid w:val="00DF0155"/>
    <w:rsid w:val="00DF04EE"/>
    <w:rsid w:val="00DF08AE"/>
    <w:rsid w:val="00DF0D8B"/>
    <w:rsid w:val="00DF1879"/>
    <w:rsid w:val="00DF198F"/>
    <w:rsid w:val="00DF1C05"/>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3C5"/>
    <w:rsid w:val="00DF441A"/>
    <w:rsid w:val="00DF4742"/>
    <w:rsid w:val="00DF53A0"/>
    <w:rsid w:val="00DF5B56"/>
    <w:rsid w:val="00DF6076"/>
    <w:rsid w:val="00DF620E"/>
    <w:rsid w:val="00DF6326"/>
    <w:rsid w:val="00DF66E4"/>
    <w:rsid w:val="00DF6C50"/>
    <w:rsid w:val="00DF718E"/>
    <w:rsid w:val="00DF7249"/>
    <w:rsid w:val="00DF7D84"/>
    <w:rsid w:val="00DF7FC3"/>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A10"/>
    <w:rsid w:val="00E0623D"/>
    <w:rsid w:val="00E06243"/>
    <w:rsid w:val="00E062B6"/>
    <w:rsid w:val="00E0632A"/>
    <w:rsid w:val="00E065DF"/>
    <w:rsid w:val="00E06853"/>
    <w:rsid w:val="00E068D6"/>
    <w:rsid w:val="00E068ED"/>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E05"/>
    <w:rsid w:val="00E26810"/>
    <w:rsid w:val="00E2682C"/>
    <w:rsid w:val="00E269D9"/>
    <w:rsid w:val="00E276A9"/>
    <w:rsid w:val="00E30029"/>
    <w:rsid w:val="00E30037"/>
    <w:rsid w:val="00E30499"/>
    <w:rsid w:val="00E30A37"/>
    <w:rsid w:val="00E30B51"/>
    <w:rsid w:val="00E30B8E"/>
    <w:rsid w:val="00E3102A"/>
    <w:rsid w:val="00E31116"/>
    <w:rsid w:val="00E31290"/>
    <w:rsid w:val="00E31767"/>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1B1"/>
    <w:rsid w:val="00E373AC"/>
    <w:rsid w:val="00E37424"/>
    <w:rsid w:val="00E375C1"/>
    <w:rsid w:val="00E377E8"/>
    <w:rsid w:val="00E37821"/>
    <w:rsid w:val="00E37B7F"/>
    <w:rsid w:val="00E37C98"/>
    <w:rsid w:val="00E37E42"/>
    <w:rsid w:val="00E37E88"/>
    <w:rsid w:val="00E40283"/>
    <w:rsid w:val="00E40444"/>
    <w:rsid w:val="00E40986"/>
    <w:rsid w:val="00E40F22"/>
    <w:rsid w:val="00E415B1"/>
    <w:rsid w:val="00E416FC"/>
    <w:rsid w:val="00E41711"/>
    <w:rsid w:val="00E41C77"/>
    <w:rsid w:val="00E41CA3"/>
    <w:rsid w:val="00E41E0A"/>
    <w:rsid w:val="00E41FB9"/>
    <w:rsid w:val="00E427F0"/>
    <w:rsid w:val="00E42BE9"/>
    <w:rsid w:val="00E42C72"/>
    <w:rsid w:val="00E42EDF"/>
    <w:rsid w:val="00E43055"/>
    <w:rsid w:val="00E433DB"/>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833"/>
    <w:rsid w:val="00E45D80"/>
    <w:rsid w:val="00E45EF9"/>
    <w:rsid w:val="00E46181"/>
    <w:rsid w:val="00E471D4"/>
    <w:rsid w:val="00E4767B"/>
    <w:rsid w:val="00E477EE"/>
    <w:rsid w:val="00E47A60"/>
    <w:rsid w:val="00E47A69"/>
    <w:rsid w:val="00E47C85"/>
    <w:rsid w:val="00E501F9"/>
    <w:rsid w:val="00E50A52"/>
    <w:rsid w:val="00E50B87"/>
    <w:rsid w:val="00E50C35"/>
    <w:rsid w:val="00E51472"/>
    <w:rsid w:val="00E518D2"/>
    <w:rsid w:val="00E51919"/>
    <w:rsid w:val="00E51AB6"/>
    <w:rsid w:val="00E51E3A"/>
    <w:rsid w:val="00E51EAD"/>
    <w:rsid w:val="00E521A6"/>
    <w:rsid w:val="00E523E2"/>
    <w:rsid w:val="00E52CF0"/>
    <w:rsid w:val="00E52F74"/>
    <w:rsid w:val="00E532C7"/>
    <w:rsid w:val="00E5330C"/>
    <w:rsid w:val="00E534C6"/>
    <w:rsid w:val="00E53967"/>
    <w:rsid w:val="00E53F73"/>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74"/>
    <w:rsid w:val="00E6086D"/>
    <w:rsid w:val="00E6092E"/>
    <w:rsid w:val="00E60A84"/>
    <w:rsid w:val="00E60B92"/>
    <w:rsid w:val="00E61404"/>
    <w:rsid w:val="00E615CB"/>
    <w:rsid w:val="00E61990"/>
    <w:rsid w:val="00E61F08"/>
    <w:rsid w:val="00E620F9"/>
    <w:rsid w:val="00E62740"/>
    <w:rsid w:val="00E62C15"/>
    <w:rsid w:val="00E62DFB"/>
    <w:rsid w:val="00E631AB"/>
    <w:rsid w:val="00E63760"/>
    <w:rsid w:val="00E637D7"/>
    <w:rsid w:val="00E6383D"/>
    <w:rsid w:val="00E638A3"/>
    <w:rsid w:val="00E63E86"/>
    <w:rsid w:val="00E6435E"/>
    <w:rsid w:val="00E643C6"/>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C50"/>
    <w:rsid w:val="00E71DDF"/>
    <w:rsid w:val="00E7229E"/>
    <w:rsid w:val="00E72A82"/>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DAC"/>
    <w:rsid w:val="00E76E17"/>
    <w:rsid w:val="00E774A2"/>
    <w:rsid w:val="00E77A79"/>
    <w:rsid w:val="00E77D4E"/>
    <w:rsid w:val="00E8011B"/>
    <w:rsid w:val="00E801BC"/>
    <w:rsid w:val="00E80898"/>
    <w:rsid w:val="00E80AF8"/>
    <w:rsid w:val="00E81119"/>
    <w:rsid w:val="00E816B3"/>
    <w:rsid w:val="00E817E4"/>
    <w:rsid w:val="00E81B1A"/>
    <w:rsid w:val="00E82880"/>
    <w:rsid w:val="00E82958"/>
    <w:rsid w:val="00E829CA"/>
    <w:rsid w:val="00E82B73"/>
    <w:rsid w:val="00E831E5"/>
    <w:rsid w:val="00E83650"/>
    <w:rsid w:val="00E83A07"/>
    <w:rsid w:val="00E84592"/>
    <w:rsid w:val="00E848C5"/>
    <w:rsid w:val="00E84B9A"/>
    <w:rsid w:val="00E8509A"/>
    <w:rsid w:val="00E8529E"/>
    <w:rsid w:val="00E8555F"/>
    <w:rsid w:val="00E85A5D"/>
    <w:rsid w:val="00E85BE7"/>
    <w:rsid w:val="00E85EF5"/>
    <w:rsid w:val="00E860BF"/>
    <w:rsid w:val="00E864A7"/>
    <w:rsid w:val="00E86B7B"/>
    <w:rsid w:val="00E874B0"/>
    <w:rsid w:val="00E874FA"/>
    <w:rsid w:val="00E87908"/>
    <w:rsid w:val="00E900F1"/>
    <w:rsid w:val="00E90457"/>
    <w:rsid w:val="00E90533"/>
    <w:rsid w:val="00E90685"/>
    <w:rsid w:val="00E90B49"/>
    <w:rsid w:val="00E90B9C"/>
    <w:rsid w:val="00E90D4C"/>
    <w:rsid w:val="00E91860"/>
    <w:rsid w:val="00E91B03"/>
    <w:rsid w:val="00E91C12"/>
    <w:rsid w:val="00E91E5B"/>
    <w:rsid w:val="00E92395"/>
    <w:rsid w:val="00E9256D"/>
    <w:rsid w:val="00E9283C"/>
    <w:rsid w:val="00E92AC9"/>
    <w:rsid w:val="00E92B67"/>
    <w:rsid w:val="00E92BA1"/>
    <w:rsid w:val="00E92C15"/>
    <w:rsid w:val="00E932AE"/>
    <w:rsid w:val="00E937DD"/>
    <w:rsid w:val="00E93D55"/>
    <w:rsid w:val="00E9431A"/>
    <w:rsid w:val="00E9460B"/>
    <w:rsid w:val="00E9498C"/>
    <w:rsid w:val="00E94E32"/>
    <w:rsid w:val="00E9505D"/>
    <w:rsid w:val="00E954B7"/>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59C"/>
    <w:rsid w:val="00EA074A"/>
    <w:rsid w:val="00EA0D29"/>
    <w:rsid w:val="00EA107B"/>
    <w:rsid w:val="00EA1186"/>
    <w:rsid w:val="00EA2328"/>
    <w:rsid w:val="00EA23F6"/>
    <w:rsid w:val="00EA2A96"/>
    <w:rsid w:val="00EA2E80"/>
    <w:rsid w:val="00EA34D0"/>
    <w:rsid w:val="00EA3575"/>
    <w:rsid w:val="00EA3CF7"/>
    <w:rsid w:val="00EA3ED8"/>
    <w:rsid w:val="00EA40A6"/>
    <w:rsid w:val="00EA4232"/>
    <w:rsid w:val="00EA43AA"/>
    <w:rsid w:val="00EA43EE"/>
    <w:rsid w:val="00EA44D4"/>
    <w:rsid w:val="00EA4645"/>
    <w:rsid w:val="00EA478E"/>
    <w:rsid w:val="00EA49C8"/>
    <w:rsid w:val="00EA4D40"/>
    <w:rsid w:val="00EA59C6"/>
    <w:rsid w:val="00EA63C3"/>
    <w:rsid w:val="00EA64A8"/>
    <w:rsid w:val="00EA6BA8"/>
    <w:rsid w:val="00EA6D62"/>
    <w:rsid w:val="00EA73C1"/>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3295"/>
    <w:rsid w:val="00EB356D"/>
    <w:rsid w:val="00EB3CE5"/>
    <w:rsid w:val="00EB3D5C"/>
    <w:rsid w:val="00EB3F40"/>
    <w:rsid w:val="00EB47C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B32"/>
    <w:rsid w:val="00EC0DFD"/>
    <w:rsid w:val="00EC10A0"/>
    <w:rsid w:val="00EC1195"/>
    <w:rsid w:val="00EC1383"/>
    <w:rsid w:val="00EC13D0"/>
    <w:rsid w:val="00EC1591"/>
    <w:rsid w:val="00EC16C6"/>
    <w:rsid w:val="00EC16F1"/>
    <w:rsid w:val="00EC1C8A"/>
    <w:rsid w:val="00EC1DFD"/>
    <w:rsid w:val="00EC20D8"/>
    <w:rsid w:val="00EC260E"/>
    <w:rsid w:val="00EC282D"/>
    <w:rsid w:val="00EC2840"/>
    <w:rsid w:val="00EC2B0D"/>
    <w:rsid w:val="00EC3573"/>
    <w:rsid w:val="00EC419F"/>
    <w:rsid w:val="00EC4935"/>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67CE"/>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712F"/>
    <w:rsid w:val="00EE73B5"/>
    <w:rsid w:val="00EE79AF"/>
    <w:rsid w:val="00EF0024"/>
    <w:rsid w:val="00EF049D"/>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B55"/>
    <w:rsid w:val="00EF5CE4"/>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B2E"/>
    <w:rsid w:val="00F01490"/>
    <w:rsid w:val="00F01820"/>
    <w:rsid w:val="00F0193F"/>
    <w:rsid w:val="00F01C5B"/>
    <w:rsid w:val="00F01E52"/>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3580"/>
    <w:rsid w:val="00F13586"/>
    <w:rsid w:val="00F143EE"/>
    <w:rsid w:val="00F14435"/>
    <w:rsid w:val="00F1459F"/>
    <w:rsid w:val="00F14C45"/>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F3C"/>
    <w:rsid w:val="00F24450"/>
    <w:rsid w:val="00F24B44"/>
    <w:rsid w:val="00F2521E"/>
    <w:rsid w:val="00F25B50"/>
    <w:rsid w:val="00F25D28"/>
    <w:rsid w:val="00F26073"/>
    <w:rsid w:val="00F26137"/>
    <w:rsid w:val="00F26270"/>
    <w:rsid w:val="00F26385"/>
    <w:rsid w:val="00F2678A"/>
    <w:rsid w:val="00F267AE"/>
    <w:rsid w:val="00F26AA8"/>
    <w:rsid w:val="00F26AF2"/>
    <w:rsid w:val="00F26B6B"/>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F9F"/>
    <w:rsid w:val="00F34042"/>
    <w:rsid w:val="00F34FC3"/>
    <w:rsid w:val="00F357BC"/>
    <w:rsid w:val="00F35D06"/>
    <w:rsid w:val="00F361D0"/>
    <w:rsid w:val="00F368E6"/>
    <w:rsid w:val="00F369C2"/>
    <w:rsid w:val="00F36C87"/>
    <w:rsid w:val="00F36E5C"/>
    <w:rsid w:val="00F376F4"/>
    <w:rsid w:val="00F37AAC"/>
    <w:rsid w:val="00F37C04"/>
    <w:rsid w:val="00F37D6F"/>
    <w:rsid w:val="00F40460"/>
    <w:rsid w:val="00F40485"/>
    <w:rsid w:val="00F4165C"/>
    <w:rsid w:val="00F41869"/>
    <w:rsid w:val="00F41A52"/>
    <w:rsid w:val="00F41E2A"/>
    <w:rsid w:val="00F420C8"/>
    <w:rsid w:val="00F4256F"/>
    <w:rsid w:val="00F427F0"/>
    <w:rsid w:val="00F42C4B"/>
    <w:rsid w:val="00F4325B"/>
    <w:rsid w:val="00F4348E"/>
    <w:rsid w:val="00F439C9"/>
    <w:rsid w:val="00F43DE0"/>
    <w:rsid w:val="00F44339"/>
    <w:rsid w:val="00F4433B"/>
    <w:rsid w:val="00F44A07"/>
    <w:rsid w:val="00F44EC9"/>
    <w:rsid w:val="00F45218"/>
    <w:rsid w:val="00F468D3"/>
    <w:rsid w:val="00F46927"/>
    <w:rsid w:val="00F47062"/>
    <w:rsid w:val="00F4771A"/>
    <w:rsid w:val="00F5028B"/>
    <w:rsid w:val="00F503E9"/>
    <w:rsid w:val="00F504F3"/>
    <w:rsid w:val="00F50999"/>
    <w:rsid w:val="00F51129"/>
    <w:rsid w:val="00F51302"/>
    <w:rsid w:val="00F51396"/>
    <w:rsid w:val="00F516DA"/>
    <w:rsid w:val="00F51AA5"/>
    <w:rsid w:val="00F51C6A"/>
    <w:rsid w:val="00F51C8A"/>
    <w:rsid w:val="00F51C95"/>
    <w:rsid w:val="00F51D13"/>
    <w:rsid w:val="00F52406"/>
    <w:rsid w:val="00F53237"/>
    <w:rsid w:val="00F5385F"/>
    <w:rsid w:val="00F538BE"/>
    <w:rsid w:val="00F53CC4"/>
    <w:rsid w:val="00F543CC"/>
    <w:rsid w:val="00F54498"/>
    <w:rsid w:val="00F5493B"/>
    <w:rsid w:val="00F5506F"/>
    <w:rsid w:val="00F55097"/>
    <w:rsid w:val="00F55854"/>
    <w:rsid w:val="00F55A50"/>
    <w:rsid w:val="00F55A97"/>
    <w:rsid w:val="00F55CEC"/>
    <w:rsid w:val="00F5609A"/>
    <w:rsid w:val="00F5634E"/>
    <w:rsid w:val="00F56813"/>
    <w:rsid w:val="00F5686F"/>
    <w:rsid w:val="00F56FAE"/>
    <w:rsid w:val="00F57BEC"/>
    <w:rsid w:val="00F57F4B"/>
    <w:rsid w:val="00F600BC"/>
    <w:rsid w:val="00F60257"/>
    <w:rsid w:val="00F60959"/>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6742"/>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79"/>
    <w:rsid w:val="00F736F7"/>
    <w:rsid w:val="00F73AAB"/>
    <w:rsid w:val="00F74288"/>
    <w:rsid w:val="00F746B3"/>
    <w:rsid w:val="00F74A58"/>
    <w:rsid w:val="00F74B4B"/>
    <w:rsid w:val="00F74CB4"/>
    <w:rsid w:val="00F754C2"/>
    <w:rsid w:val="00F75843"/>
    <w:rsid w:val="00F75A5A"/>
    <w:rsid w:val="00F77498"/>
    <w:rsid w:val="00F800B8"/>
    <w:rsid w:val="00F80131"/>
    <w:rsid w:val="00F8031E"/>
    <w:rsid w:val="00F80496"/>
    <w:rsid w:val="00F80662"/>
    <w:rsid w:val="00F80866"/>
    <w:rsid w:val="00F80A88"/>
    <w:rsid w:val="00F80B4E"/>
    <w:rsid w:val="00F80F5A"/>
    <w:rsid w:val="00F80F6B"/>
    <w:rsid w:val="00F81498"/>
    <w:rsid w:val="00F81858"/>
    <w:rsid w:val="00F81DCC"/>
    <w:rsid w:val="00F81F72"/>
    <w:rsid w:val="00F823F5"/>
    <w:rsid w:val="00F824BE"/>
    <w:rsid w:val="00F826A2"/>
    <w:rsid w:val="00F82D98"/>
    <w:rsid w:val="00F82EE9"/>
    <w:rsid w:val="00F833C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1011"/>
    <w:rsid w:val="00F9170D"/>
    <w:rsid w:val="00F91AD1"/>
    <w:rsid w:val="00F920C9"/>
    <w:rsid w:val="00F926E2"/>
    <w:rsid w:val="00F92734"/>
    <w:rsid w:val="00F932D3"/>
    <w:rsid w:val="00F935A7"/>
    <w:rsid w:val="00F93824"/>
    <w:rsid w:val="00F93B52"/>
    <w:rsid w:val="00F93D18"/>
    <w:rsid w:val="00F93D8D"/>
    <w:rsid w:val="00F93F47"/>
    <w:rsid w:val="00F94368"/>
    <w:rsid w:val="00F94423"/>
    <w:rsid w:val="00F945EB"/>
    <w:rsid w:val="00F9472E"/>
    <w:rsid w:val="00F9494C"/>
    <w:rsid w:val="00F9499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597"/>
    <w:rsid w:val="00FA0840"/>
    <w:rsid w:val="00FA15C8"/>
    <w:rsid w:val="00FA1640"/>
    <w:rsid w:val="00FA21D5"/>
    <w:rsid w:val="00FA2C5D"/>
    <w:rsid w:val="00FA2D86"/>
    <w:rsid w:val="00FA348C"/>
    <w:rsid w:val="00FA3533"/>
    <w:rsid w:val="00FA39D5"/>
    <w:rsid w:val="00FA3D87"/>
    <w:rsid w:val="00FA3EBD"/>
    <w:rsid w:val="00FA463F"/>
    <w:rsid w:val="00FA4AED"/>
    <w:rsid w:val="00FA4C57"/>
    <w:rsid w:val="00FA4F25"/>
    <w:rsid w:val="00FA515B"/>
    <w:rsid w:val="00FA53D8"/>
    <w:rsid w:val="00FA53F8"/>
    <w:rsid w:val="00FA5721"/>
    <w:rsid w:val="00FA6201"/>
    <w:rsid w:val="00FA645E"/>
    <w:rsid w:val="00FA6674"/>
    <w:rsid w:val="00FA6792"/>
    <w:rsid w:val="00FA679E"/>
    <w:rsid w:val="00FA696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9C2"/>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5C"/>
    <w:rsid w:val="00FC2974"/>
    <w:rsid w:val="00FC3557"/>
    <w:rsid w:val="00FC36EE"/>
    <w:rsid w:val="00FC3A39"/>
    <w:rsid w:val="00FC3BED"/>
    <w:rsid w:val="00FC43D1"/>
    <w:rsid w:val="00FC45A5"/>
    <w:rsid w:val="00FC46CA"/>
    <w:rsid w:val="00FC4CF8"/>
    <w:rsid w:val="00FC531B"/>
    <w:rsid w:val="00FC5701"/>
    <w:rsid w:val="00FC5757"/>
    <w:rsid w:val="00FC59AD"/>
    <w:rsid w:val="00FC7206"/>
    <w:rsid w:val="00FC7740"/>
    <w:rsid w:val="00FC7D7A"/>
    <w:rsid w:val="00FC7FBD"/>
    <w:rsid w:val="00FD00AA"/>
    <w:rsid w:val="00FD0147"/>
    <w:rsid w:val="00FD019D"/>
    <w:rsid w:val="00FD0423"/>
    <w:rsid w:val="00FD05BA"/>
    <w:rsid w:val="00FD08D4"/>
    <w:rsid w:val="00FD0C68"/>
    <w:rsid w:val="00FD1065"/>
    <w:rsid w:val="00FD10FE"/>
    <w:rsid w:val="00FD1749"/>
    <w:rsid w:val="00FD1954"/>
    <w:rsid w:val="00FD1C2B"/>
    <w:rsid w:val="00FD2050"/>
    <w:rsid w:val="00FD2393"/>
    <w:rsid w:val="00FD24DE"/>
    <w:rsid w:val="00FD260F"/>
    <w:rsid w:val="00FD45BD"/>
    <w:rsid w:val="00FD51F3"/>
    <w:rsid w:val="00FD5907"/>
    <w:rsid w:val="00FD592E"/>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36C"/>
    <w:rsid w:val="00FE1406"/>
    <w:rsid w:val="00FE1AC3"/>
    <w:rsid w:val="00FE1EC3"/>
    <w:rsid w:val="00FE21B4"/>
    <w:rsid w:val="00FE23E4"/>
    <w:rsid w:val="00FE2459"/>
    <w:rsid w:val="00FE24FF"/>
    <w:rsid w:val="00FE253B"/>
    <w:rsid w:val="00FE2C17"/>
    <w:rsid w:val="00FE3496"/>
    <w:rsid w:val="00FE39C8"/>
    <w:rsid w:val="00FE3E6C"/>
    <w:rsid w:val="00FE434D"/>
    <w:rsid w:val="00FE47AE"/>
    <w:rsid w:val="00FE48E8"/>
    <w:rsid w:val="00FE4B98"/>
    <w:rsid w:val="00FE4D0B"/>
    <w:rsid w:val="00FE5131"/>
    <w:rsid w:val="00FE518B"/>
    <w:rsid w:val="00FE5C60"/>
    <w:rsid w:val="00FE699F"/>
    <w:rsid w:val="00FE69B9"/>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474"/>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707"/>
    <w:rsid w:val="00FF7F6A"/>
    <w:rsid w:val="09B8C5CE"/>
    <w:rsid w:val="0ABB79E3"/>
    <w:rsid w:val="0CA3AE72"/>
    <w:rsid w:val="1A10DA79"/>
    <w:rsid w:val="23B22024"/>
    <w:rsid w:val="24F50054"/>
    <w:rsid w:val="2A6DE07B"/>
    <w:rsid w:val="2CFC9453"/>
    <w:rsid w:val="31BA9522"/>
    <w:rsid w:val="32082CDF"/>
    <w:rsid w:val="3495AE98"/>
    <w:rsid w:val="3EEEC718"/>
    <w:rsid w:val="456E2746"/>
    <w:rsid w:val="460D8C84"/>
    <w:rsid w:val="46F25864"/>
    <w:rsid w:val="477855AB"/>
    <w:rsid w:val="4917E216"/>
    <w:rsid w:val="49BC46E6"/>
    <w:rsid w:val="4E940D90"/>
    <w:rsid w:val="4FA0265A"/>
    <w:rsid w:val="50274945"/>
    <w:rsid w:val="512A003F"/>
    <w:rsid w:val="5280316E"/>
    <w:rsid w:val="53A7A6C3"/>
    <w:rsid w:val="590B4D12"/>
    <w:rsid w:val="59F70394"/>
    <w:rsid w:val="5B5760B0"/>
    <w:rsid w:val="5B788B4C"/>
    <w:rsid w:val="5D3C852E"/>
    <w:rsid w:val="63365415"/>
    <w:rsid w:val="63F84288"/>
    <w:rsid w:val="66AFCFA2"/>
    <w:rsid w:val="6D757224"/>
    <w:rsid w:val="73B22ADA"/>
    <w:rsid w:val="75D948AC"/>
    <w:rsid w:val="78394C2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71953"/>
  <w15:docId w15:val="{ED191B1E-E7D3-43C8-8990-A896F7D8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E83A07"/>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E83A07"/>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8D06A8"/>
    <w:pPr>
      <w:ind w:left="927" w:hanging="360"/>
    </w:pPr>
    <w:rPr>
      <w:rFonts w:ascii="Work Sans" w:hAnsi="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gc.gov.au/publications/research-paper-5-framework-treatment-commonwealth-payments-gst-distributi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gc.gov.au/reports-for-government/2025-methodology-review/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gc.gov.au/reports-for-government/2020-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Vuyyuru\OneDrive%20-%20Commonwealth%20Grants%20Commission\Desktop\Commonwealth%20payments%20paper%20-%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Kathryn Conroy</DisplayName>
        <AccountId>28</AccountId>
        <AccountType/>
      </UserInfo>
      <UserInfo>
        <DisplayName>Tim Carlton</DisplayName>
        <AccountId>315</AccountId>
        <AccountType/>
      </UserInfo>
      <UserInfo>
        <DisplayName>Naomi Elliott</DisplayName>
        <AccountId>18</AccountId>
        <AccountType/>
      </UserInfo>
      <UserInfo>
        <DisplayName>Rose Verspaandonk</DisplayName>
        <AccountId>62</AccountId>
        <AccountType/>
      </UserInfo>
      <UserInfo>
        <DisplayName>Ben Crabb</DisplayName>
        <AccountId>48</AccountId>
        <AccountType/>
      </UserInfo>
      <UserInfo>
        <DisplayName>Jeffrey Evans</DisplayName>
        <AccountId>15</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A4F8F-140F-4856-8B9E-31DCD427886D}">
  <ds:schemaRefs>
    <ds:schemaRef ds:uri="http://www.w3.org/XML/1998/namespace"/>
    <ds:schemaRef ds:uri="http://purl.org/dc/dcmitype/"/>
    <ds:schemaRef ds:uri="http://purl.org/dc/elements/1.1/"/>
    <ds:schemaRef ds:uri="cde6150a-2887-4330-9d33-41179dba62e9"/>
    <ds:schemaRef ds:uri="http://schemas.microsoft.com/office/2006/documentManagement/types"/>
    <ds:schemaRef ds:uri="http://purl.org/dc/terms/"/>
    <ds:schemaRef ds:uri="b947e97b-0e0d-4a37-b7a7-c36958e104c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2549C668-AA7F-4FE5-9A78-E81D28C2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Commonwealth payments paper - new template</Template>
  <TotalTime>425</TotalTime>
  <Pages>12</Pages>
  <Words>2642</Words>
  <Characters>16660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Maddie Vuyyuru</dc:creator>
  <cp:keywords/>
  <cp:lastModifiedBy>Katrina Baldock</cp:lastModifiedBy>
  <cp:revision>181</cp:revision>
  <cp:lastPrinted>2023-03-24T05:39:00Z</cp:lastPrinted>
  <dcterms:created xsi:type="dcterms:W3CDTF">2023-06-15T22:41:00Z</dcterms:created>
  <dcterms:modified xsi:type="dcterms:W3CDTF">2023-06-26T23:57:00Z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